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769C" w:rsidRDefault="002C7D15">
      <w:pPr>
        <w:rPr>
          <w:rFonts w:ascii="Times New Roman" w:hAnsi="Times New Roman" w:cs="Times New Roman"/>
          <w:b/>
          <w:sz w:val="28"/>
          <w:szCs w:val="24"/>
          <w:lang w:val="en-AU"/>
        </w:rPr>
      </w:pPr>
      <w:bookmarkStart w:id="0" w:name="_GoBack"/>
      <w:bookmarkEnd w:id="0"/>
      <w:r>
        <w:rPr>
          <w:rFonts w:ascii="Times New Roman" w:hAnsi="Times New Roman" w:cs="Times New Roman"/>
          <w:b/>
          <w:sz w:val="28"/>
          <w:szCs w:val="24"/>
          <w:lang w:val="en-AU"/>
        </w:rPr>
        <w:t xml:space="preserve">Online </w:t>
      </w:r>
      <w:r w:rsidR="00F40AF1">
        <w:rPr>
          <w:rFonts w:ascii="Times New Roman" w:hAnsi="Times New Roman" w:cs="Times New Roman"/>
          <w:b/>
          <w:sz w:val="28"/>
          <w:szCs w:val="24"/>
          <w:lang w:val="en-AU"/>
        </w:rPr>
        <w:t xml:space="preserve">Resource </w:t>
      </w:r>
      <w:r>
        <w:rPr>
          <w:rFonts w:ascii="Times New Roman" w:hAnsi="Times New Roman" w:cs="Times New Roman"/>
          <w:b/>
          <w:sz w:val="28"/>
          <w:szCs w:val="24"/>
          <w:lang w:val="en-AU"/>
        </w:rPr>
        <w:t>1</w:t>
      </w:r>
    </w:p>
    <w:p w:rsidR="00EB4CDE" w:rsidRPr="00F40AF1" w:rsidRDefault="00EB4CDE">
      <w:pPr>
        <w:rPr>
          <w:rFonts w:ascii="Times New Roman" w:hAnsi="Times New Roman" w:cs="Times New Roman"/>
          <w:b/>
          <w:sz w:val="28"/>
          <w:szCs w:val="24"/>
          <w:lang w:val="en-AU"/>
        </w:rPr>
      </w:pPr>
    </w:p>
    <w:p w:rsidR="00EB4CDE" w:rsidRPr="00CC4072" w:rsidRDefault="00EB4CDE" w:rsidP="00EB4CDE">
      <w:pPr>
        <w:spacing w:after="0" w:line="480" w:lineRule="auto"/>
        <w:jc w:val="both"/>
        <w:rPr>
          <w:rFonts w:ascii="Times New Roman" w:hAnsi="Times New Roman" w:cs="Times New Roman"/>
          <w:sz w:val="24"/>
          <w:szCs w:val="24"/>
          <w:lang w:val="en-AU"/>
        </w:rPr>
      </w:pPr>
      <w:r w:rsidRPr="00EB4CDE">
        <w:rPr>
          <w:rFonts w:ascii="Times New Roman" w:hAnsi="Times New Roman" w:cs="Times New Roman"/>
          <w:b/>
          <w:sz w:val="24"/>
          <w:szCs w:val="24"/>
          <w:lang w:val="en-AU"/>
        </w:rPr>
        <w:t>Title</w:t>
      </w:r>
      <w:r w:rsidRPr="00CC4072">
        <w:rPr>
          <w:rFonts w:ascii="Times New Roman" w:hAnsi="Times New Roman" w:cs="Times New Roman"/>
          <w:sz w:val="24"/>
          <w:szCs w:val="24"/>
          <w:lang w:val="en-AU"/>
        </w:rPr>
        <w:t>: Adaptations to Concurrent Training in Combination with High Protein Availability</w:t>
      </w:r>
    </w:p>
    <w:p w:rsidR="00EB4CDE" w:rsidRDefault="00EB4CDE" w:rsidP="00EB4CDE">
      <w:pPr>
        <w:spacing w:after="0" w:line="480" w:lineRule="auto"/>
        <w:jc w:val="both"/>
        <w:rPr>
          <w:rFonts w:ascii="Times New Roman" w:hAnsi="Times New Roman" w:cs="Times New Roman"/>
          <w:sz w:val="24"/>
          <w:szCs w:val="24"/>
          <w:lang w:val="en-AU"/>
        </w:rPr>
      </w:pPr>
      <w:r w:rsidRPr="00EB4CDE">
        <w:rPr>
          <w:rFonts w:ascii="Times New Roman" w:hAnsi="Times New Roman" w:cs="Times New Roman"/>
          <w:b/>
          <w:sz w:val="24"/>
          <w:szCs w:val="24"/>
          <w:lang w:val="en-AU"/>
        </w:rPr>
        <w:t>Journal</w:t>
      </w:r>
      <w:r>
        <w:rPr>
          <w:rFonts w:ascii="Times New Roman" w:hAnsi="Times New Roman" w:cs="Times New Roman"/>
          <w:sz w:val="24"/>
          <w:szCs w:val="24"/>
          <w:lang w:val="en-AU"/>
        </w:rPr>
        <w:t>: Sports Medicine</w:t>
      </w:r>
    </w:p>
    <w:p w:rsidR="00EB4CDE" w:rsidRPr="00CC4072" w:rsidRDefault="00EB4CDE" w:rsidP="00EB4CDE">
      <w:pPr>
        <w:spacing w:after="0" w:line="480" w:lineRule="auto"/>
        <w:jc w:val="both"/>
        <w:rPr>
          <w:rFonts w:ascii="Times New Roman" w:hAnsi="Times New Roman" w:cs="Times New Roman"/>
          <w:sz w:val="24"/>
          <w:szCs w:val="24"/>
          <w:lang w:val="en-AU"/>
        </w:rPr>
      </w:pPr>
    </w:p>
    <w:p w:rsidR="00EB4CDE" w:rsidRPr="00CC4072" w:rsidRDefault="00EB4CDE" w:rsidP="00EB4CDE">
      <w:pPr>
        <w:spacing w:after="0" w:line="480" w:lineRule="auto"/>
        <w:jc w:val="both"/>
        <w:rPr>
          <w:rFonts w:ascii="Times New Roman" w:hAnsi="Times New Roman" w:cs="Times New Roman"/>
          <w:sz w:val="24"/>
          <w:szCs w:val="24"/>
          <w:lang w:val="en-AU"/>
        </w:rPr>
      </w:pPr>
      <w:r w:rsidRPr="00EB4CDE">
        <w:rPr>
          <w:rFonts w:ascii="Times New Roman" w:hAnsi="Times New Roman" w:cs="Times New Roman"/>
          <w:b/>
          <w:sz w:val="24"/>
          <w:szCs w:val="24"/>
          <w:lang w:val="en-AU"/>
        </w:rPr>
        <w:t>Authors</w:t>
      </w:r>
      <w:r w:rsidRPr="00CC4072">
        <w:rPr>
          <w:rFonts w:ascii="Times New Roman" w:hAnsi="Times New Roman" w:cs="Times New Roman"/>
          <w:sz w:val="24"/>
          <w:szCs w:val="24"/>
          <w:lang w:val="en-AU"/>
        </w:rPr>
        <w:t>: Baubak Shamim</w:t>
      </w:r>
      <w:r w:rsidRPr="00CC4072">
        <w:rPr>
          <w:rFonts w:ascii="Times New Roman" w:hAnsi="Times New Roman" w:cs="Times New Roman"/>
          <w:sz w:val="24"/>
          <w:szCs w:val="24"/>
          <w:vertAlign w:val="superscript"/>
          <w:lang w:val="en-AU"/>
        </w:rPr>
        <w:t>1</w:t>
      </w:r>
      <w:r w:rsidRPr="00CC4072">
        <w:rPr>
          <w:rFonts w:ascii="Times New Roman" w:hAnsi="Times New Roman" w:cs="Times New Roman"/>
          <w:sz w:val="24"/>
          <w:szCs w:val="24"/>
          <w:lang w:val="en-AU"/>
        </w:rPr>
        <w:t>, Brooke</w:t>
      </w:r>
      <w:r w:rsidR="00161A84">
        <w:rPr>
          <w:rFonts w:ascii="Times New Roman" w:hAnsi="Times New Roman" w:cs="Times New Roman"/>
          <w:sz w:val="24"/>
          <w:szCs w:val="24"/>
          <w:lang w:val="en-AU"/>
        </w:rPr>
        <w:t xml:space="preserve"> L.</w:t>
      </w:r>
      <w:r w:rsidRPr="00CC4072">
        <w:rPr>
          <w:rFonts w:ascii="Times New Roman" w:hAnsi="Times New Roman" w:cs="Times New Roman"/>
          <w:sz w:val="24"/>
          <w:szCs w:val="24"/>
          <w:lang w:val="en-AU"/>
        </w:rPr>
        <w:t xml:space="preserve"> Devlin</w:t>
      </w:r>
      <w:r w:rsidRPr="00CC4072">
        <w:rPr>
          <w:rFonts w:ascii="Times New Roman" w:hAnsi="Times New Roman" w:cs="Times New Roman"/>
          <w:sz w:val="24"/>
          <w:szCs w:val="24"/>
          <w:vertAlign w:val="superscript"/>
          <w:lang w:val="en-AU"/>
        </w:rPr>
        <w:t>1</w:t>
      </w:r>
      <w:r w:rsidRPr="00CC4072">
        <w:rPr>
          <w:rFonts w:ascii="Times New Roman" w:hAnsi="Times New Roman" w:cs="Times New Roman"/>
          <w:sz w:val="24"/>
          <w:szCs w:val="24"/>
          <w:lang w:val="en-AU"/>
        </w:rPr>
        <w:t>, Ryan G. Timmins</w:t>
      </w:r>
      <w:r w:rsidRPr="00CC4072">
        <w:rPr>
          <w:rFonts w:ascii="Times New Roman" w:hAnsi="Times New Roman" w:cs="Times New Roman"/>
          <w:sz w:val="24"/>
          <w:szCs w:val="24"/>
          <w:vertAlign w:val="superscript"/>
          <w:lang w:val="en-AU"/>
        </w:rPr>
        <w:t>2</w:t>
      </w:r>
      <w:r w:rsidRPr="00CC4072">
        <w:rPr>
          <w:rFonts w:ascii="Times New Roman" w:hAnsi="Times New Roman" w:cs="Times New Roman"/>
          <w:sz w:val="24"/>
          <w:szCs w:val="24"/>
          <w:lang w:val="en-AU"/>
        </w:rPr>
        <w:t xml:space="preserve">, Paul </w:t>
      </w:r>
      <w:r w:rsidR="00161A84">
        <w:rPr>
          <w:rFonts w:ascii="Times New Roman" w:hAnsi="Times New Roman" w:cs="Times New Roman"/>
          <w:sz w:val="24"/>
          <w:szCs w:val="24"/>
          <w:lang w:val="en-AU"/>
        </w:rPr>
        <w:t xml:space="preserve">J. </w:t>
      </w:r>
      <w:r w:rsidRPr="00CC4072">
        <w:rPr>
          <w:rFonts w:ascii="Times New Roman" w:hAnsi="Times New Roman" w:cs="Times New Roman"/>
          <w:sz w:val="24"/>
          <w:szCs w:val="24"/>
          <w:lang w:val="en-AU"/>
        </w:rPr>
        <w:t>Tofari</w:t>
      </w:r>
      <w:r w:rsidRPr="00CC4072">
        <w:rPr>
          <w:rFonts w:ascii="Times New Roman" w:hAnsi="Times New Roman" w:cs="Times New Roman"/>
          <w:sz w:val="24"/>
          <w:szCs w:val="24"/>
          <w:vertAlign w:val="superscript"/>
          <w:lang w:val="en-AU"/>
        </w:rPr>
        <w:t>2</w:t>
      </w:r>
      <w:r w:rsidRPr="00CC4072">
        <w:rPr>
          <w:rFonts w:ascii="Times New Roman" w:hAnsi="Times New Roman" w:cs="Times New Roman"/>
          <w:sz w:val="24"/>
          <w:szCs w:val="24"/>
          <w:lang w:val="en-AU"/>
        </w:rPr>
        <w:t>, Connor Lee</w:t>
      </w:r>
      <w:r>
        <w:rPr>
          <w:rFonts w:ascii="Times New Roman" w:hAnsi="Times New Roman" w:cs="Times New Roman"/>
          <w:sz w:val="24"/>
          <w:szCs w:val="24"/>
          <w:lang w:val="en-AU"/>
        </w:rPr>
        <w:t xml:space="preserve"> </w:t>
      </w:r>
      <w:r w:rsidRPr="00CC4072">
        <w:rPr>
          <w:rFonts w:ascii="Times New Roman" w:hAnsi="Times New Roman" w:cs="Times New Roman"/>
          <w:sz w:val="24"/>
          <w:szCs w:val="24"/>
          <w:lang w:val="en-AU"/>
        </w:rPr>
        <w:t>Dow</w:t>
      </w:r>
      <w:r w:rsidRPr="00CC4072">
        <w:rPr>
          <w:rFonts w:ascii="Times New Roman" w:hAnsi="Times New Roman" w:cs="Times New Roman"/>
          <w:sz w:val="24"/>
          <w:szCs w:val="24"/>
          <w:vertAlign w:val="superscript"/>
          <w:lang w:val="en-AU"/>
        </w:rPr>
        <w:t>2</w:t>
      </w:r>
      <w:r w:rsidRPr="00CC4072">
        <w:rPr>
          <w:rFonts w:ascii="Times New Roman" w:hAnsi="Times New Roman" w:cs="Times New Roman"/>
          <w:sz w:val="24"/>
          <w:szCs w:val="24"/>
          <w:lang w:val="en-AU"/>
        </w:rPr>
        <w:t>, Vernon G. Coffey</w:t>
      </w:r>
      <w:r w:rsidRPr="00CC4072">
        <w:rPr>
          <w:rFonts w:ascii="Times New Roman" w:hAnsi="Times New Roman" w:cs="Times New Roman"/>
          <w:sz w:val="24"/>
          <w:szCs w:val="24"/>
          <w:vertAlign w:val="superscript"/>
          <w:lang w:val="en-AU"/>
        </w:rPr>
        <w:t>3</w:t>
      </w:r>
      <w:r w:rsidRPr="00CC4072">
        <w:rPr>
          <w:rFonts w:ascii="Times New Roman" w:hAnsi="Times New Roman" w:cs="Times New Roman"/>
          <w:sz w:val="24"/>
          <w:szCs w:val="24"/>
          <w:lang w:val="en-AU"/>
        </w:rPr>
        <w:t>, John A Hawley</w:t>
      </w:r>
      <w:r w:rsidRPr="00CC4072">
        <w:rPr>
          <w:rFonts w:ascii="Times New Roman" w:hAnsi="Times New Roman" w:cs="Times New Roman"/>
          <w:sz w:val="24"/>
          <w:szCs w:val="24"/>
          <w:vertAlign w:val="superscript"/>
          <w:lang w:val="en-AU"/>
        </w:rPr>
        <w:t>1</w:t>
      </w:r>
      <w:r w:rsidRPr="00CC4072">
        <w:rPr>
          <w:rFonts w:ascii="Times New Roman" w:hAnsi="Times New Roman" w:cs="Times New Roman"/>
          <w:sz w:val="24"/>
          <w:szCs w:val="24"/>
          <w:lang w:val="en-AU"/>
        </w:rPr>
        <w:t>, Donny M. Camera</w:t>
      </w:r>
      <w:r w:rsidRPr="00CC4072">
        <w:rPr>
          <w:rFonts w:ascii="Times New Roman" w:hAnsi="Times New Roman" w:cs="Times New Roman"/>
          <w:sz w:val="24"/>
          <w:szCs w:val="24"/>
          <w:vertAlign w:val="superscript"/>
          <w:lang w:val="en-AU"/>
        </w:rPr>
        <w:t>1</w:t>
      </w:r>
    </w:p>
    <w:p w:rsidR="00EB4CDE" w:rsidRPr="00CC4072" w:rsidRDefault="00EB4CDE" w:rsidP="00EB4CDE">
      <w:pPr>
        <w:spacing w:after="0" w:line="480" w:lineRule="auto"/>
        <w:jc w:val="both"/>
        <w:rPr>
          <w:rFonts w:ascii="Times New Roman" w:hAnsi="Times New Roman" w:cs="Times New Roman"/>
          <w:sz w:val="24"/>
          <w:szCs w:val="24"/>
          <w:lang w:val="en-AU"/>
        </w:rPr>
      </w:pPr>
    </w:p>
    <w:p w:rsidR="00EB4CDE" w:rsidRPr="00CC4072" w:rsidRDefault="00EB4CDE" w:rsidP="00EB4CDE">
      <w:pPr>
        <w:spacing w:after="0" w:line="480" w:lineRule="auto"/>
        <w:jc w:val="both"/>
        <w:rPr>
          <w:rFonts w:ascii="Times New Roman" w:hAnsi="Times New Roman" w:cs="Times New Roman"/>
          <w:sz w:val="24"/>
          <w:szCs w:val="24"/>
        </w:rPr>
      </w:pPr>
      <w:r w:rsidRPr="00CC4072">
        <w:rPr>
          <w:rFonts w:ascii="Times New Roman" w:hAnsi="Times New Roman" w:cs="Times New Roman"/>
          <w:sz w:val="24"/>
          <w:szCs w:val="24"/>
          <w:vertAlign w:val="superscript"/>
        </w:rPr>
        <w:t>1</w:t>
      </w:r>
      <w:r w:rsidRPr="00CC4072">
        <w:rPr>
          <w:rFonts w:ascii="Times New Roman" w:hAnsi="Times New Roman" w:cs="Times New Roman"/>
          <w:sz w:val="24"/>
          <w:szCs w:val="24"/>
        </w:rPr>
        <w:t xml:space="preserve">Exercise and Nutrition Research Program, Mary </w:t>
      </w:r>
      <w:proofErr w:type="spellStart"/>
      <w:r w:rsidRPr="00CC4072">
        <w:rPr>
          <w:rFonts w:ascii="Times New Roman" w:hAnsi="Times New Roman" w:cs="Times New Roman"/>
          <w:sz w:val="24"/>
          <w:szCs w:val="24"/>
        </w:rPr>
        <w:t>MacKillop</w:t>
      </w:r>
      <w:proofErr w:type="spellEnd"/>
      <w:r w:rsidRPr="00CC4072">
        <w:rPr>
          <w:rFonts w:ascii="Times New Roman" w:hAnsi="Times New Roman" w:cs="Times New Roman"/>
          <w:sz w:val="24"/>
          <w:szCs w:val="24"/>
        </w:rPr>
        <w:t xml:space="preserve"> Institute for Health Research, Australian Catholic University, Melbourne, VIC, Australia; </w:t>
      </w:r>
      <w:r w:rsidRPr="00CC4072">
        <w:rPr>
          <w:rFonts w:ascii="Times New Roman" w:hAnsi="Times New Roman" w:cs="Times New Roman"/>
          <w:sz w:val="24"/>
          <w:szCs w:val="24"/>
          <w:vertAlign w:val="superscript"/>
        </w:rPr>
        <w:t>2</w:t>
      </w:r>
      <w:r w:rsidRPr="00CC4072">
        <w:rPr>
          <w:rFonts w:ascii="Times New Roman" w:hAnsi="Times New Roman" w:cs="Times New Roman"/>
          <w:sz w:val="24"/>
          <w:szCs w:val="24"/>
        </w:rPr>
        <w:t xml:space="preserve">School of Exercise Science, Australian Catholic University, Melbourne, VIC, Australia; </w:t>
      </w:r>
      <w:r w:rsidRPr="00CC4072">
        <w:rPr>
          <w:rFonts w:ascii="Times New Roman" w:hAnsi="Times New Roman" w:cs="Times New Roman"/>
          <w:sz w:val="24"/>
          <w:szCs w:val="24"/>
          <w:vertAlign w:val="superscript"/>
        </w:rPr>
        <w:t>3</w:t>
      </w:r>
      <w:r w:rsidRPr="00CC4072">
        <w:rPr>
          <w:rFonts w:ascii="Times New Roman" w:hAnsi="Times New Roman" w:cs="Times New Roman"/>
          <w:sz w:val="24"/>
          <w:szCs w:val="24"/>
        </w:rPr>
        <w:t xml:space="preserve">Bond Institute of Health and Sport and Faculty of Health Sciences and Medicine, Bond University, </w:t>
      </w:r>
      <w:proofErr w:type="spellStart"/>
      <w:r w:rsidRPr="00CC4072">
        <w:rPr>
          <w:rFonts w:ascii="Times New Roman" w:hAnsi="Times New Roman" w:cs="Times New Roman"/>
          <w:sz w:val="24"/>
          <w:szCs w:val="24"/>
        </w:rPr>
        <w:t>Robina</w:t>
      </w:r>
      <w:proofErr w:type="spellEnd"/>
      <w:r w:rsidRPr="00CC4072">
        <w:rPr>
          <w:rFonts w:ascii="Times New Roman" w:hAnsi="Times New Roman" w:cs="Times New Roman"/>
          <w:sz w:val="24"/>
          <w:szCs w:val="24"/>
        </w:rPr>
        <w:t xml:space="preserve">, Queensland, Australia; </w:t>
      </w:r>
    </w:p>
    <w:p w:rsidR="00EB4CDE" w:rsidRPr="00CC4072" w:rsidRDefault="00EB4CDE" w:rsidP="00EB4CDE">
      <w:pPr>
        <w:spacing w:after="0" w:line="480" w:lineRule="auto"/>
        <w:jc w:val="both"/>
        <w:rPr>
          <w:rFonts w:ascii="Times New Roman" w:hAnsi="Times New Roman" w:cs="Times New Roman"/>
          <w:sz w:val="24"/>
          <w:szCs w:val="24"/>
        </w:rPr>
      </w:pPr>
    </w:p>
    <w:p w:rsidR="00EB4CDE" w:rsidRPr="00CC4072" w:rsidRDefault="00EB4CDE" w:rsidP="00EB4CDE">
      <w:pPr>
        <w:spacing w:after="0" w:line="480" w:lineRule="auto"/>
        <w:jc w:val="both"/>
        <w:rPr>
          <w:rFonts w:ascii="Times New Roman" w:hAnsi="Times New Roman" w:cs="Times New Roman"/>
          <w:sz w:val="24"/>
          <w:szCs w:val="24"/>
        </w:rPr>
      </w:pPr>
      <w:r w:rsidRPr="00EB4CDE">
        <w:rPr>
          <w:rFonts w:ascii="Times New Roman" w:hAnsi="Times New Roman" w:cs="Times New Roman"/>
          <w:b/>
          <w:sz w:val="24"/>
          <w:szCs w:val="24"/>
        </w:rPr>
        <w:t>Corresponding author</w:t>
      </w:r>
      <w:r w:rsidRPr="00CC4072">
        <w:rPr>
          <w:rFonts w:ascii="Times New Roman" w:hAnsi="Times New Roman" w:cs="Times New Roman"/>
          <w:sz w:val="24"/>
          <w:szCs w:val="24"/>
        </w:rPr>
        <w:t>: Donny Camera, Ph.D.</w:t>
      </w:r>
    </w:p>
    <w:p w:rsidR="00EB4CDE" w:rsidRPr="00CC4072" w:rsidRDefault="00EB4CDE" w:rsidP="00EB4CDE">
      <w:pPr>
        <w:spacing w:after="0" w:line="480" w:lineRule="auto"/>
        <w:jc w:val="both"/>
        <w:rPr>
          <w:rFonts w:ascii="Times New Roman" w:hAnsi="Times New Roman" w:cs="Times New Roman"/>
          <w:sz w:val="24"/>
          <w:szCs w:val="24"/>
        </w:rPr>
      </w:pPr>
      <w:r w:rsidRPr="00EB4CDE">
        <w:rPr>
          <w:rFonts w:ascii="Times New Roman" w:hAnsi="Times New Roman" w:cs="Times New Roman"/>
          <w:b/>
          <w:sz w:val="24"/>
          <w:szCs w:val="24"/>
        </w:rPr>
        <w:t>Email</w:t>
      </w:r>
      <w:r w:rsidRPr="00CC4072">
        <w:rPr>
          <w:rFonts w:ascii="Times New Roman" w:hAnsi="Times New Roman" w:cs="Times New Roman"/>
          <w:sz w:val="24"/>
          <w:szCs w:val="24"/>
        </w:rPr>
        <w:t>: donny.camera@acu.edu.au</w:t>
      </w:r>
    </w:p>
    <w:p w:rsidR="00194BFB" w:rsidRDefault="00194BFB">
      <w:pPr>
        <w:rPr>
          <w:rFonts w:ascii="Times New Roman" w:hAnsi="Times New Roman" w:cs="Times New Roman"/>
          <w:b/>
          <w:sz w:val="24"/>
          <w:szCs w:val="24"/>
          <w:lang w:val="en-AU"/>
        </w:rPr>
      </w:pPr>
    </w:p>
    <w:p w:rsidR="00EB4CDE" w:rsidRDefault="00EB4CDE">
      <w:pPr>
        <w:rPr>
          <w:rFonts w:ascii="Times New Roman" w:hAnsi="Times New Roman" w:cs="Times New Roman"/>
          <w:b/>
          <w:sz w:val="24"/>
          <w:szCs w:val="24"/>
          <w:lang w:val="en-AU"/>
        </w:rPr>
      </w:pPr>
    </w:p>
    <w:p w:rsidR="00EB4CDE" w:rsidRDefault="00EB4CDE">
      <w:pPr>
        <w:rPr>
          <w:rFonts w:ascii="Times New Roman" w:hAnsi="Times New Roman" w:cs="Times New Roman"/>
          <w:b/>
          <w:sz w:val="24"/>
          <w:szCs w:val="24"/>
          <w:lang w:val="en-AU"/>
        </w:rPr>
      </w:pPr>
    </w:p>
    <w:p w:rsidR="00EB4CDE" w:rsidRDefault="00EB4CDE">
      <w:pPr>
        <w:rPr>
          <w:rFonts w:ascii="Times New Roman" w:hAnsi="Times New Roman" w:cs="Times New Roman"/>
          <w:b/>
          <w:sz w:val="24"/>
          <w:szCs w:val="24"/>
          <w:lang w:val="en-AU"/>
        </w:rPr>
      </w:pPr>
    </w:p>
    <w:p w:rsidR="00EB4CDE" w:rsidRDefault="00EB4CDE">
      <w:pPr>
        <w:rPr>
          <w:rFonts w:ascii="Times New Roman" w:hAnsi="Times New Roman" w:cs="Times New Roman"/>
          <w:b/>
          <w:sz w:val="24"/>
          <w:szCs w:val="24"/>
          <w:lang w:val="en-AU"/>
        </w:rPr>
      </w:pPr>
    </w:p>
    <w:p w:rsidR="00EB4CDE" w:rsidRDefault="00EB4CDE">
      <w:pPr>
        <w:rPr>
          <w:rFonts w:ascii="Times New Roman" w:hAnsi="Times New Roman" w:cs="Times New Roman"/>
          <w:b/>
          <w:sz w:val="24"/>
          <w:szCs w:val="24"/>
          <w:lang w:val="en-AU"/>
        </w:rPr>
      </w:pPr>
    </w:p>
    <w:p w:rsidR="00EB4CDE" w:rsidRDefault="00EB4CDE">
      <w:pPr>
        <w:rPr>
          <w:rFonts w:ascii="Times New Roman" w:hAnsi="Times New Roman" w:cs="Times New Roman"/>
          <w:b/>
          <w:sz w:val="24"/>
          <w:szCs w:val="24"/>
          <w:lang w:val="en-AU"/>
        </w:rPr>
      </w:pPr>
    </w:p>
    <w:p w:rsidR="00EB4CDE" w:rsidRDefault="00EB4CDE">
      <w:pPr>
        <w:rPr>
          <w:rFonts w:ascii="Times New Roman" w:hAnsi="Times New Roman" w:cs="Times New Roman"/>
          <w:b/>
          <w:sz w:val="24"/>
          <w:szCs w:val="24"/>
          <w:lang w:val="en-AU"/>
        </w:rPr>
      </w:pPr>
    </w:p>
    <w:p w:rsidR="00EB4CDE" w:rsidRPr="00141015" w:rsidRDefault="00EB4CDE">
      <w:pPr>
        <w:rPr>
          <w:rFonts w:ascii="Times New Roman" w:hAnsi="Times New Roman" w:cs="Times New Roman"/>
          <w:b/>
          <w:sz w:val="24"/>
          <w:szCs w:val="24"/>
          <w:lang w:val="en-AU"/>
        </w:rPr>
      </w:pPr>
    </w:p>
    <w:p w:rsidR="002F1282" w:rsidRPr="00F40AF1" w:rsidRDefault="00194BFB">
      <w:pPr>
        <w:rPr>
          <w:rFonts w:ascii="Times New Roman" w:hAnsi="Times New Roman" w:cs="Times New Roman"/>
          <w:b/>
          <w:sz w:val="24"/>
          <w:szCs w:val="24"/>
          <w:u w:val="single"/>
          <w:lang w:val="en-AU"/>
        </w:rPr>
      </w:pPr>
      <w:r w:rsidRPr="00F40AF1">
        <w:rPr>
          <w:rFonts w:ascii="Times New Roman" w:hAnsi="Times New Roman" w:cs="Times New Roman"/>
          <w:b/>
          <w:sz w:val="24"/>
          <w:szCs w:val="24"/>
          <w:u w:val="single"/>
          <w:lang w:val="en-AU"/>
        </w:rPr>
        <w:lastRenderedPageBreak/>
        <w:t>Supplemental Methods</w:t>
      </w:r>
    </w:p>
    <w:p w:rsidR="002F1282" w:rsidRPr="00141015" w:rsidRDefault="00133C80" w:rsidP="002F1282">
      <w:pPr>
        <w:spacing w:line="480" w:lineRule="auto"/>
        <w:jc w:val="both"/>
        <w:rPr>
          <w:rFonts w:ascii="Times New Roman" w:hAnsi="Times New Roman" w:cs="Times New Roman"/>
          <w:b/>
          <w:sz w:val="24"/>
          <w:szCs w:val="24"/>
        </w:rPr>
      </w:pPr>
      <w:r>
        <w:rPr>
          <w:rFonts w:ascii="Times New Roman" w:hAnsi="Times New Roman" w:cs="Times New Roman"/>
          <w:b/>
          <w:sz w:val="24"/>
          <w:szCs w:val="24"/>
        </w:rPr>
        <w:t>Power</w:t>
      </w:r>
      <w:r w:rsidRPr="00141015">
        <w:rPr>
          <w:rFonts w:ascii="Times New Roman" w:hAnsi="Times New Roman" w:cs="Times New Roman"/>
          <w:b/>
          <w:sz w:val="24"/>
          <w:szCs w:val="24"/>
        </w:rPr>
        <w:t xml:space="preserve"> </w:t>
      </w:r>
      <w:r w:rsidR="002F1282" w:rsidRPr="00141015">
        <w:rPr>
          <w:rFonts w:ascii="Times New Roman" w:hAnsi="Times New Roman" w:cs="Times New Roman"/>
          <w:b/>
          <w:sz w:val="24"/>
          <w:szCs w:val="24"/>
        </w:rPr>
        <w:t>Testing</w:t>
      </w:r>
    </w:p>
    <w:p w:rsidR="002F1282" w:rsidRPr="00141015" w:rsidRDefault="002F1282" w:rsidP="002F1282">
      <w:pPr>
        <w:spacing w:line="480" w:lineRule="auto"/>
        <w:jc w:val="both"/>
        <w:rPr>
          <w:rFonts w:ascii="Times New Roman" w:hAnsi="Times New Roman" w:cs="Times New Roman"/>
          <w:sz w:val="24"/>
          <w:szCs w:val="24"/>
        </w:rPr>
      </w:pPr>
      <w:r w:rsidRPr="00141015">
        <w:rPr>
          <w:rFonts w:ascii="Times New Roman" w:hAnsi="Times New Roman" w:cs="Times New Roman"/>
          <w:sz w:val="24"/>
          <w:szCs w:val="24"/>
        </w:rPr>
        <w:tab/>
        <w:t>The following performance tests were conducted prior to, and upon completion of the 12-week intervention to determine maximal power output:</w:t>
      </w:r>
    </w:p>
    <w:p w:rsidR="002F1282" w:rsidRPr="00141015" w:rsidRDefault="002F1282" w:rsidP="002F1282">
      <w:pPr>
        <w:spacing w:line="480" w:lineRule="auto"/>
        <w:jc w:val="both"/>
        <w:rPr>
          <w:rFonts w:ascii="Times New Roman" w:hAnsi="Times New Roman" w:cs="Times New Roman"/>
          <w:i/>
          <w:sz w:val="24"/>
          <w:szCs w:val="24"/>
        </w:rPr>
      </w:pPr>
      <w:r w:rsidRPr="00141015">
        <w:rPr>
          <w:rFonts w:ascii="Times New Roman" w:hAnsi="Times New Roman" w:cs="Times New Roman"/>
          <w:i/>
          <w:sz w:val="24"/>
          <w:szCs w:val="24"/>
        </w:rPr>
        <w:t>Anaerobic Power Test</w:t>
      </w:r>
    </w:p>
    <w:p w:rsidR="002F1282" w:rsidRPr="00141015" w:rsidRDefault="002F1282" w:rsidP="002F1282">
      <w:pPr>
        <w:spacing w:line="480" w:lineRule="auto"/>
        <w:jc w:val="both"/>
        <w:rPr>
          <w:rFonts w:ascii="Times New Roman" w:hAnsi="Times New Roman" w:cs="Times New Roman"/>
          <w:sz w:val="24"/>
          <w:szCs w:val="24"/>
        </w:rPr>
      </w:pPr>
      <w:r w:rsidRPr="00141015">
        <w:rPr>
          <w:rFonts w:ascii="Times New Roman" w:hAnsi="Times New Roman" w:cs="Times New Roman"/>
          <w:sz w:val="24"/>
          <w:szCs w:val="24"/>
        </w:rPr>
        <w:tab/>
        <w:t>Participants completed a Wingate test ~20 min after VO</w:t>
      </w:r>
      <w:r w:rsidRPr="00141015">
        <w:rPr>
          <w:rFonts w:ascii="Times New Roman" w:hAnsi="Times New Roman" w:cs="Times New Roman"/>
          <w:sz w:val="24"/>
          <w:szCs w:val="24"/>
          <w:vertAlign w:val="subscript"/>
        </w:rPr>
        <w:t>2peak</w:t>
      </w:r>
      <w:r w:rsidRPr="00141015">
        <w:rPr>
          <w:rFonts w:ascii="Times New Roman" w:hAnsi="Times New Roman" w:cs="Times New Roman"/>
          <w:sz w:val="24"/>
          <w:szCs w:val="24"/>
        </w:rPr>
        <w:t xml:space="preserve"> testing. The Wingate test was performed on an externally loaded stationary cycle ergometer (</w:t>
      </w:r>
      <w:proofErr w:type="spellStart"/>
      <w:r w:rsidRPr="00141015">
        <w:rPr>
          <w:rFonts w:ascii="Times New Roman" w:hAnsi="Times New Roman" w:cs="Times New Roman"/>
          <w:sz w:val="24"/>
          <w:szCs w:val="24"/>
        </w:rPr>
        <w:t>Monark</w:t>
      </w:r>
      <w:proofErr w:type="spellEnd"/>
      <w:r w:rsidRPr="00141015">
        <w:rPr>
          <w:rFonts w:ascii="Times New Roman" w:hAnsi="Times New Roman" w:cs="Times New Roman"/>
          <w:sz w:val="24"/>
          <w:szCs w:val="24"/>
        </w:rPr>
        <w:t xml:space="preserve"> 894E, </w:t>
      </w:r>
      <w:proofErr w:type="spellStart"/>
      <w:r w:rsidRPr="00141015">
        <w:rPr>
          <w:rFonts w:ascii="Times New Roman" w:hAnsi="Times New Roman" w:cs="Times New Roman"/>
          <w:sz w:val="24"/>
          <w:szCs w:val="24"/>
        </w:rPr>
        <w:t>Monark</w:t>
      </w:r>
      <w:proofErr w:type="spellEnd"/>
      <w:r w:rsidRPr="00141015">
        <w:rPr>
          <w:rFonts w:ascii="Times New Roman" w:hAnsi="Times New Roman" w:cs="Times New Roman"/>
          <w:sz w:val="24"/>
          <w:szCs w:val="24"/>
        </w:rPr>
        <w:t>, Sweden), with the resistance of the flywheel equivalent to 0.075 kg</w:t>
      </w:r>
      <w:r w:rsidRPr="00141015">
        <w:rPr>
          <w:rFonts w:ascii="Times New Roman" w:hAnsi="Times New Roman" w:cs="Times New Roman"/>
          <w:sz w:val="24"/>
          <w:szCs w:val="24"/>
          <w:lang w:val="en-AU"/>
        </w:rPr>
        <w:t>•kg</w:t>
      </w:r>
      <w:r w:rsidRPr="00141015">
        <w:rPr>
          <w:rFonts w:ascii="Times New Roman" w:hAnsi="Times New Roman" w:cs="Times New Roman"/>
          <w:sz w:val="24"/>
          <w:szCs w:val="24"/>
          <w:vertAlign w:val="superscript"/>
          <w:lang w:val="en-AU"/>
        </w:rPr>
        <w:t>-1</w:t>
      </w:r>
      <w:r w:rsidRPr="00141015">
        <w:rPr>
          <w:rFonts w:ascii="Times New Roman" w:hAnsi="Times New Roman" w:cs="Times New Roman"/>
          <w:sz w:val="24"/>
          <w:szCs w:val="24"/>
          <w:lang w:val="en-AU"/>
        </w:rPr>
        <w:t xml:space="preserve"> </w:t>
      </w:r>
      <w:r w:rsidRPr="00141015">
        <w:rPr>
          <w:rFonts w:ascii="Times New Roman" w:hAnsi="Times New Roman" w:cs="Times New Roman"/>
          <w:sz w:val="24"/>
          <w:szCs w:val="24"/>
        </w:rPr>
        <w:t>body weight. Participants were familiarized with the test and instructed to remain seated in the saddle for the duration of the test. Briefly, participants began pedaling as fast as possible against the inertial resistance of the ergometer. Once pedaling reached 150 rev</w:t>
      </w:r>
      <w:r w:rsidRPr="00141015">
        <w:rPr>
          <w:rFonts w:ascii="Times New Roman" w:hAnsi="Times New Roman" w:cs="Times New Roman"/>
          <w:sz w:val="24"/>
          <w:szCs w:val="24"/>
          <w:lang w:val="en-AU"/>
        </w:rPr>
        <w:t>•m</w:t>
      </w:r>
      <w:r w:rsidRPr="00141015">
        <w:rPr>
          <w:rFonts w:ascii="Times New Roman" w:hAnsi="Times New Roman" w:cs="Times New Roman"/>
          <w:sz w:val="24"/>
          <w:szCs w:val="24"/>
          <w:vertAlign w:val="superscript"/>
          <w:lang w:val="en-AU"/>
        </w:rPr>
        <w:t>-1</w:t>
      </w:r>
      <w:r w:rsidRPr="00141015">
        <w:rPr>
          <w:rFonts w:ascii="Times New Roman" w:hAnsi="Times New Roman" w:cs="Times New Roman"/>
          <w:sz w:val="24"/>
          <w:szCs w:val="24"/>
        </w:rPr>
        <w:t xml:space="preserve">, the external load was automatically applied to the flywheel by the ergometer-computer interface (ATS, </w:t>
      </w:r>
      <w:proofErr w:type="spellStart"/>
      <w:r w:rsidRPr="00141015">
        <w:rPr>
          <w:rFonts w:ascii="Times New Roman" w:hAnsi="Times New Roman" w:cs="Times New Roman"/>
          <w:sz w:val="24"/>
          <w:szCs w:val="24"/>
        </w:rPr>
        <w:t>Monark</w:t>
      </w:r>
      <w:proofErr w:type="spellEnd"/>
      <w:r w:rsidRPr="00141015">
        <w:rPr>
          <w:rFonts w:ascii="Times New Roman" w:hAnsi="Times New Roman" w:cs="Times New Roman"/>
          <w:sz w:val="24"/>
          <w:szCs w:val="24"/>
        </w:rPr>
        <w:t>, Sweden). Participants were verbally encouraged to continue pedaling as hard, and fast as possible throughout the whole 30-s test. Where stringent confines of the test were not met due to participants either rising from saddle (</w:t>
      </w:r>
      <w:r w:rsidRPr="00141015">
        <w:rPr>
          <w:rFonts w:ascii="Times New Roman" w:hAnsi="Times New Roman" w:cs="Times New Roman"/>
          <w:i/>
          <w:sz w:val="24"/>
          <w:szCs w:val="24"/>
        </w:rPr>
        <w:t>n</w:t>
      </w:r>
      <w:r w:rsidRPr="00141015">
        <w:rPr>
          <w:rFonts w:ascii="Times New Roman" w:hAnsi="Times New Roman" w:cs="Times New Roman"/>
          <w:sz w:val="24"/>
          <w:szCs w:val="24"/>
        </w:rPr>
        <w:t xml:space="preserve"> = 1) or incorrect seat position (</w:t>
      </w:r>
      <w:r w:rsidRPr="00141015">
        <w:rPr>
          <w:rFonts w:ascii="Times New Roman" w:hAnsi="Times New Roman" w:cs="Times New Roman"/>
          <w:i/>
          <w:sz w:val="24"/>
          <w:szCs w:val="24"/>
        </w:rPr>
        <w:t>n =</w:t>
      </w:r>
      <w:r w:rsidRPr="00141015">
        <w:rPr>
          <w:rFonts w:ascii="Times New Roman" w:hAnsi="Times New Roman" w:cs="Times New Roman"/>
          <w:sz w:val="24"/>
          <w:szCs w:val="24"/>
        </w:rPr>
        <w:t xml:space="preserve"> 1), data were excluded from analysis. </w:t>
      </w:r>
    </w:p>
    <w:p w:rsidR="002F1282" w:rsidRPr="00141015" w:rsidRDefault="002F1282" w:rsidP="002F1282">
      <w:pPr>
        <w:spacing w:line="480" w:lineRule="auto"/>
        <w:jc w:val="both"/>
        <w:rPr>
          <w:rFonts w:ascii="Times New Roman" w:hAnsi="Times New Roman" w:cs="Times New Roman"/>
          <w:i/>
          <w:sz w:val="24"/>
          <w:szCs w:val="24"/>
        </w:rPr>
      </w:pPr>
      <w:r w:rsidRPr="00141015">
        <w:rPr>
          <w:rFonts w:ascii="Times New Roman" w:hAnsi="Times New Roman" w:cs="Times New Roman"/>
          <w:i/>
          <w:sz w:val="24"/>
          <w:szCs w:val="24"/>
        </w:rPr>
        <w:t>Countermovement and Squat Jumps</w:t>
      </w:r>
    </w:p>
    <w:p w:rsidR="002F1282" w:rsidRPr="00141015" w:rsidRDefault="002F1282" w:rsidP="002F1282">
      <w:pPr>
        <w:spacing w:line="480" w:lineRule="auto"/>
        <w:jc w:val="both"/>
        <w:rPr>
          <w:rFonts w:ascii="Times New Roman" w:hAnsi="Times New Roman" w:cs="Times New Roman"/>
          <w:b/>
          <w:sz w:val="24"/>
          <w:szCs w:val="24"/>
        </w:rPr>
      </w:pPr>
      <w:r w:rsidRPr="00141015">
        <w:rPr>
          <w:rFonts w:ascii="Times New Roman" w:hAnsi="Times New Roman" w:cs="Times New Roman"/>
          <w:sz w:val="24"/>
          <w:szCs w:val="24"/>
        </w:rPr>
        <w:tab/>
        <w:t xml:space="preserve">Participants completed the countermovement jump (CMJ) and squat jump (SJ) on the force plate prior to IMTP and 1RM testing. Following a standardized warm-up consisting of 5 min of low-intensity cycling (~50 W) and dynamic stretching of the lower limbs, three attempts of each jump were performed, as previously described </w:t>
      </w:r>
      <w:r w:rsidR="00871A5C" w:rsidRPr="00141015">
        <w:rPr>
          <w:rFonts w:ascii="Times New Roman" w:hAnsi="Times New Roman" w:cs="Times New Roman"/>
          <w:sz w:val="24"/>
          <w:szCs w:val="24"/>
        </w:rPr>
        <w:fldChar w:fldCharType="begin"/>
      </w:r>
      <w:r w:rsidR="009A6627" w:rsidRPr="00141015">
        <w:rPr>
          <w:rFonts w:ascii="Times New Roman" w:hAnsi="Times New Roman" w:cs="Times New Roman"/>
          <w:sz w:val="24"/>
          <w:szCs w:val="24"/>
        </w:rPr>
        <w:instrText xml:space="preserve"> ADDIN ZOTERO_ITEM CSL_CITATION {"citationID":"6Q6MJeRX","properties":{"formattedCitation":"[1]","plainCitation":"[1]"},"citationItems":[{"id":2025,"uris":["http://zotero.org/users/2207815/items/QGVCJZJP"],"uri":["http://zotero.org/users/2207815/items/QGVCJZJP"],"itemData":{"id":2025,"type":"article-journal","title":"A Self-Paced Team Sport Match Simulation Results In Reductions In Voluntary Activation And Modifications To Biological, Perceptual And Performance Measures At Half-Time, And For Up To 96 Hours Post-Match","container-title":"Journal of Strength and Conditioning Research","source":"PubMed","abstract":"Assessing responses to soccer match-play is limited by match variability or unrealistic simulations. To address this, the biological, perceptual, and performance response were assessed using a self-paced, simulated soccer match protocol using a non-motorized treadmill. Twelve male team-sport athletes performed the 90-min simulation. Match activity; quadriceps twitch interpolation [voluntary activation (%VA) and potentiated twitch (POT)]; biochemical markers; strength and power performance; rating of perceived exertion (RPE) and self-report wellness were collected pre-, half-time, post-, and 2, 24, 48, 72 and 96-h post-match. Change compared to pre-match was calculated using effect size (ES) ±90% confidence limit, and relationships were assessed using regression analysis. Subjects covered 12445.8±768.7 m at 87.1±3.2% maximal HR (mean±SD). Reductions in %VA and POT was present at half-time (-0.38±0.46 and -0.79±0.30, respectively), and persisted post-match. Squat jump height decreased at half-time (-0.42±0.31) and was decreased until Post96. Perceptual fatigue, soreness (-0.92±0.88 and -1.49±0.76, respectively) and creatine kinase (CK, 1.11±0.43) peaked at Post24. Pre-test strength (N.kg) correlated with changes in CK (r=-0.58 to -0.81), peak oxygen consumption (V˙ O2peak) correlated with reduced perceived wellness at Post24 (r=0.44 to 0.58) and RPE post (r=-0.71±0.28). High-speed running correlated with soreness (r=0.42) and very high speed running with reduced POT (r=0.61). Previously unreported half-time reductions in %VA and POT plateaued by post-match, suggesting a role in regulating second-half performance. Perceptual and neuromuscular responses appear related to running intensity. Greater lower-body strength and V˙ O2peak were associated with less CK (i.e., muscle damage) and perceptual responses post-match, respectively, suggesting a training focus should be placed on these capacities.","DOI":"10.1519/JSC.0000000000001875","ISSN":"1533-4287","note":"PMID: 28240711","journalAbbreviation":"J Strength Cond Res","language":"eng","author":[{"family":"Tofari","given":"Paul"},{"family":"Kemp","given":"Justin"},{"family":"Cormack","given":"Stuart"}],"issued":{"date-parts":[["2017",2,23]]},"PMID":"28240711"}}],"schema":"https://github.com/citation-style-language/schema/raw/master/csl-citation.json"} </w:instrText>
      </w:r>
      <w:r w:rsidR="00871A5C" w:rsidRPr="00141015">
        <w:rPr>
          <w:rFonts w:ascii="Times New Roman" w:hAnsi="Times New Roman" w:cs="Times New Roman"/>
          <w:sz w:val="24"/>
          <w:szCs w:val="24"/>
        </w:rPr>
        <w:fldChar w:fldCharType="separate"/>
      </w:r>
      <w:r w:rsidR="009A6627" w:rsidRPr="00141015">
        <w:rPr>
          <w:rFonts w:ascii="Times New Roman" w:hAnsi="Times New Roman" w:cs="Times New Roman"/>
          <w:sz w:val="24"/>
          <w:szCs w:val="24"/>
        </w:rPr>
        <w:t>[1]</w:t>
      </w:r>
      <w:r w:rsidR="00871A5C" w:rsidRPr="00141015">
        <w:rPr>
          <w:rFonts w:ascii="Times New Roman" w:hAnsi="Times New Roman" w:cs="Times New Roman"/>
          <w:sz w:val="24"/>
          <w:szCs w:val="24"/>
        </w:rPr>
        <w:fldChar w:fldCharType="end"/>
      </w:r>
      <w:r w:rsidRPr="00141015">
        <w:rPr>
          <w:rFonts w:ascii="Times New Roman" w:hAnsi="Times New Roman" w:cs="Times New Roman"/>
          <w:sz w:val="24"/>
          <w:szCs w:val="24"/>
        </w:rPr>
        <w:t xml:space="preserve">. For the CMJ, participants started from a standing position and were instructed to maintain their hands on hips throughout the jump. </w:t>
      </w:r>
      <w:r w:rsidRPr="00141015">
        <w:rPr>
          <w:rFonts w:ascii="Times New Roman" w:hAnsi="Times New Roman" w:cs="Times New Roman"/>
          <w:sz w:val="24"/>
          <w:szCs w:val="24"/>
        </w:rPr>
        <w:lastRenderedPageBreak/>
        <w:t>Upon verbal command, participants descended quickly to a self-selected depth then accelerated as rapidly as possible from the bottom position to achieve maximal jump height and velocity. Following the CMJ, SJ’s were performed on the force plate to determine concentric-only jump performance. Participants were instructed to maintain their hands on their hips, squat down to a self-selected depth and hold the position for an audible 3-s count prior to a maximal jump. All efforts were separated by at least 60 s of passive recovery. Variables including jump height (cm), absolute and relative peak power (W and W</w:t>
      </w:r>
      <w:r w:rsidRPr="00141015">
        <w:rPr>
          <w:rFonts w:ascii="Times New Roman" w:hAnsi="Times New Roman" w:cs="Times New Roman"/>
          <w:sz w:val="24"/>
          <w:szCs w:val="24"/>
          <w:lang w:val="en-AU"/>
        </w:rPr>
        <w:t>•kg</w:t>
      </w:r>
      <w:r w:rsidRPr="00141015">
        <w:rPr>
          <w:rFonts w:ascii="Times New Roman" w:hAnsi="Times New Roman" w:cs="Times New Roman"/>
          <w:sz w:val="24"/>
          <w:szCs w:val="24"/>
          <w:vertAlign w:val="superscript"/>
          <w:lang w:val="en-AU"/>
        </w:rPr>
        <w:t>-1</w:t>
      </w:r>
      <w:r w:rsidRPr="00141015">
        <w:rPr>
          <w:rFonts w:ascii="Times New Roman" w:hAnsi="Times New Roman" w:cs="Times New Roman"/>
          <w:sz w:val="24"/>
          <w:szCs w:val="24"/>
        </w:rPr>
        <w:t>) and peak velocity (m</w:t>
      </w:r>
      <w:r w:rsidRPr="00141015">
        <w:rPr>
          <w:rFonts w:ascii="Times New Roman" w:hAnsi="Times New Roman" w:cs="Times New Roman"/>
          <w:sz w:val="24"/>
          <w:szCs w:val="24"/>
          <w:lang w:val="en-AU"/>
        </w:rPr>
        <w:t>•s</w:t>
      </w:r>
      <w:r w:rsidRPr="00141015">
        <w:rPr>
          <w:rFonts w:ascii="Times New Roman" w:hAnsi="Times New Roman" w:cs="Times New Roman"/>
          <w:sz w:val="24"/>
          <w:szCs w:val="24"/>
          <w:vertAlign w:val="superscript"/>
          <w:lang w:val="en-AU"/>
        </w:rPr>
        <w:t>-1</w:t>
      </w:r>
      <w:r w:rsidRPr="00141015">
        <w:rPr>
          <w:rFonts w:ascii="Times New Roman" w:hAnsi="Times New Roman" w:cs="Times New Roman"/>
          <w:sz w:val="24"/>
          <w:szCs w:val="24"/>
        </w:rPr>
        <w:t>) were recorded from the trial with the greatest jump height.</w:t>
      </w:r>
    </w:p>
    <w:p w:rsidR="002F1282" w:rsidRPr="00141015" w:rsidRDefault="002F1282" w:rsidP="002F1282">
      <w:pPr>
        <w:spacing w:line="480" w:lineRule="auto"/>
        <w:jc w:val="both"/>
        <w:rPr>
          <w:rFonts w:ascii="Times New Roman" w:hAnsi="Times New Roman" w:cs="Times New Roman"/>
          <w:b/>
          <w:sz w:val="24"/>
          <w:szCs w:val="24"/>
        </w:rPr>
      </w:pPr>
      <w:r w:rsidRPr="00141015">
        <w:rPr>
          <w:rFonts w:ascii="Times New Roman" w:hAnsi="Times New Roman" w:cs="Times New Roman"/>
          <w:b/>
          <w:sz w:val="24"/>
          <w:szCs w:val="24"/>
        </w:rPr>
        <w:t>Architectural Assessment of Vastus Lateralis</w:t>
      </w:r>
    </w:p>
    <w:p w:rsidR="002F1282" w:rsidRPr="00141015" w:rsidRDefault="002F1282" w:rsidP="002F1282">
      <w:pPr>
        <w:spacing w:line="480" w:lineRule="auto"/>
        <w:ind w:firstLine="720"/>
        <w:jc w:val="both"/>
        <w:rPr>
          <w:rFonts w:ascii="Times New Roman" w:hAnsi="Times New Roman" w:cs="Times New Roman"/>
          <w:sz w:val="24"/>
          <w:szCs w:val="24"/>
        </w:rPr>
      </w:pPr>
      <w:r w:rsidRPr="00141015">
        <w:rPr>
          <w:rFonts w:ascii="Times New Roman" w:hAnsi="Times New Roman" w:cs="Times New Roman"/>
          <w:sz w:val="24"/>
          <w:szCs w:val="24"/>
        </w:rPr>
        <w:t xml:space="preserve">Segmental muscle thickness, </w:t>
      </w:r>
      <w:proofErr w:type="spellStart"/>
      <w:r w:rsidRPr="00141015">
        <w:rPr>
          <w:rFonts w:ascii="Times New Roman" w:hAnsi="Times New Roman" w:cs="Times New Roman"/>
          <w:sz w:val="24"/>
          <w:szCs w:val="24"/>
        </w:rPr>
        <w:t>pennation</w:t>
      </w:r>
      <w:proofErr w:type="spellEnd"/>
      <w:r w:rsidRPr="00141015">
        <w:rPr>
          <w:rFonts w:ascii="Times New Roman" w:hAnsi="Times New Roman" w:cs="Times New Roman"/>
          <w:sz w:val="24"/>
          <w:szCs w:val="24"/>
        </w:rPr>
        <w:t xml:space="preserve"> angle, fascicle length and volume changes of the VL</w:t>
      </w:r>
      <w:r w:rsidRPr="00141015">
        <w:rPr>
          <w:rFonts w:ascii="Times New Roman" w:hAnsi="Times New Roman" w:cs="Times New Roman"/>
          <w:i/>
          <w:sz w:val="24"/>
          <w:szCs w:val="24"/>
        </w:rPr>
        <w:t xml:space="preserve"> </w:t>
      </w:r>
      <w:r w:rsidRPr="00141015">
        <w:rPr>
          <w:rFonts w:ascii="Times New Roman" w:hAnsi="Times New Roman" w:cs="Times New Roman"/>
          <w:sz w:val="24"/>
          <w:szCs w:val="24"/>
        </w:rPr>
        <w:t xml:space="preserve">were assessed from ultrasound images taken along the longitudinal axis of the muscle belly utilizing a two dimensional, B-mode ultrasound (frequency, 12 </w:t>
      </w:r>
      <w:proofErr w:type="spellStart"/>
      <w:r w:rsidRPr="00141015">
        <w:rPr>
          <w:rFonts w:ascii="Times New Roman" w:hAnsi="Times New Roman" w:cs="Times New Roman"/>
          <w:sz w:val="24"/>
          <w:szCs w:val="24"/>
        </w:rPr>
        <w:t>Mhz</w:t>
      </w:r>
      <w:proofErr w:type="spellEnd"/>
      <w:r w:rsidRPr="00141015">
        <w:rPr>
          <w:rFonts w:ascii="Times New Roman" w:hAnsi="Times New Roman" w:cs="Times New Roman"/>
          <w:sz w:val="24"/>
          <w:szCs w:val="24"/>
        </w:rPr>
        <w:t>; depth, 8 cm; field of view, 14 x 47 mm; GE Healthcare Vivid-</w:t>
      </w:r>
      <w:proofErr w:type="spellStart"/>
      <w:r w:rsidRPr="00141015">
        <w:rPr>
          <w:rFonts w:ascii="Times New Roman" w:hAnsi="Times New Roman" w:cs="Times New Roman"/>
          <w:sz w:val="24"/>
          <w:szCs w:val="24"/>
        </w:rPr>
        <w:t>i</w:t>
      </w:r>
      <w:proofErr w:type="spellEnd"/>
      <w:r w:rsidRPr="00141015">
        <w:rPr>
          <w:rFonts w:ascii="Times New Roman" w:hAnsi="Times New Roman" w:cs="Times New Roman"/>
          <w:sz w:val="24"/>
          <w:szCs w:val="24"/>
        </w:rPr>
        <w:t xml:space="preserve">, USA) at baseline, after weeks 2, 4, 8, and post-intervention. Images were taken at 75 (proximal), 50 (mid), and 33% (distal) of the distance between the central palpable point of the greater trochanter and the lateral condyle of the femur.  Once the scanning sites were determined, the distances from various anatomical landmarks were recorded to ensure reproducibility for future testing sessions. These landmarks included the ischial tuberosity, fibula head and the greater trochanter. On subsequent visits the scanning sites were determined and marked on the skin and then confirmed by replicated landmark distance measures. All architectural assessments were performed with participants in a supine position with the hip and knee in a neutral position following at least 5 min of inactivity and prior to any testing or exercise sessions. To obtain ultrasound images, the linear array ultrasound probe was aligned parallel to the muscle fascicles and perpendicular to the skin with a layer of conductive </w:t>
      </w:r>
      <w:r w:rsidRPr="00141015">
        <w:rPr>
          <w:rFonts w:ascii="Times New Roman" w:hAnsi="Times New Roman" w:cs="Times New Roman"/>
          <w:sz w:val="24"/>
          <w:szCs w:val="24"/>
        </w:rPr>
        <w:lastRenderedPageBreak/>
        <w:t xml:space="preserve">gel. Care was taken to ensure minimal pressure was placed on the skin by the probe as this may influence measurement accuracy </w:t>
      </w:r>
      <w:r w:rsidR="00871A5C" w:rsidRPr="00141015">
        <w:rPr>
          <w:rFonts w:ascii="Times New Roman" w:hAnsi="Times New Roman" w:cs="Times New Roman"/>
          <w:sz w:val="24"/>
          <w:szCs w:val="24"/>
        </w:rPr>
        <w:fldChar w:fldCharType="begin"/>
      </w:r>
      <w:r w:rsidR="009A6627" w:rsidRPr="00141015">
        <w:rPr>
          <w:rFonts w:ascii="Times New Roman" w:hAnsi="Times New Roman" w:cs="Times New Roman"/>
          <w:sz w:val="24"/>
          <w:szCs w:val="24"/>
        </w:rPr>
        <w:instrText xml:space="preserve"> ADDIN ZOTERO_ITEM CSL_CITATION {"citationID":"ZdVyt56j","properties":{"formattedCitation":"[2]","plainCitation":"[2]"},"citationItems":[{"id":4672,"uris":["http://zotero.org/users/2207815/items/HS3QWZWE"],"uri":["http://zotero.org/users/2207815/items/HS3QWZWE"],"itemData":{"id":4672,"type":"article-journal","title":"The effect of ultrasound probe orientation on muscle architecture measurement","container-title":"Journal of Electromyography and Kinesiology","page":"504-514","volume":"17","issue":"4","source":"www.arthroplastyjournal.org","DOI":"10.1016/j.jelekin.2006.04.011","ISSN":"1050-6411, 1873-5711","note":"PMID: 16919969","journalAbbreviation":"Journal of Electromyography and Kinesiology","language":"English","author":[{"family":"Klimstra","given":"Marc"},{"family":"Dowling","given":"Jim"},{"family":"Durkin","given":"Jennifer L."},{"family":"MacDonald","given":"Maureen"}],"issued":{"date-parts":[["2007",8,1]]},"PMID":"16919969"}}],"schema":"https://github.com/citation-style-language/schema/raw/master/csl-citation.json"} </w:instrText>
      </w:r>
      <w:r w:rsidR="00871A5C" w:rsidRPr="00141015">
        <w:rPr>
          <w:rFonts w:ascii="Times New Roman" w:hAnsi="Times New Roman" w:cs="Times New Roman"/>
          <w:sz w:val="24"/>
          <w:szCs w:val="24"/>
        </w:rPr>
        <w:fldChar w:fldCharType="separate"/>
      </w:r>
      <w:r w:rsidR="009A6627" w:rsidRPr="00141015">
        <w:rPr>
          <w:rFonts w:ascii="Times New Roman" w:hAnsi="Times New Roman" w:cs="Times New Roman"/>
          <w:sz w:val="24"/>
          <w:szCs w:val="24"/>
        </w:rPr>
        <w:t>[2]</w:t>
      </w:r>
      <w:r w:rsidR="00871A5C" w:rsidRPr="00141015">
        <w:rPr>
          <w:rFonts w:ascii="Times New Roman" w:hAnsi="Times New Roman" w:cs="Times New Roman"/>
          <w:sz w:val="24"/>
          <w:szCs w:val="24"/>
        </w:rPr>
        <w:fldChar w:fldCharType="end"/>
      </w:r>
      <w:r w:rsidRPr="00141015">
        <w:rPr>
          <w:rFonts w:ascii="Times New Roman" w:hAnsi="Times New Roman" w:cs="Times New Roman"/>
          <w:sz w:val="24"/>
          <w:szCs w:val="24"/>
        </w:rPr>
        <w:t xml:space="preserve">. Finally, the probe orientation was manipulated slightly by the assessor if the superficial and deep aponeuroses were not parallel. </w:t>
      </w:r>
      <w:r w:rsidR="00A4517D">
        <w:rPr>
          <w:rFonts w:ascii="Times New Roman" w:hAnsi="Times New Roman" w:cs="Times New Roman"/>
          <w:sz w:val="24"/>
          <w:szCs w:val="24"/>
        </w:rPr>
        <w:t xml:space="preserve">Two images were taken at each site, and the best quality image used for subsequent analysis. </w:t>
      </w:r>
    </w:p>
    <w:p w:rsidR="002F1282" w:rsidRPr="00141015" w:rsidRDefault="002F1282" w:rsidP="002F1282">
      <w:pPr>
        <w:spacing w:line="480" w:lineRule="auto"/>
        <w:ind w:firstLine="720"/>
        <w:jc w:val="both"/>
        <w:rPr>
          <w:rFonts w:ascii="Times New Roman" w:hAnsi="Times New Roman" w:cs="Times New Roman"/>
          <w:sz w:val="24"/>
          <w:szCs w:val="24"/>
        </w:rPr>
      </w:pPr>
      <w:r w:rsidRPr="00141015">
        <w:rPr>
          <w:rFonts w:ascii="Times New Roman" w:hAnsi="Times New Roman" w:cs="Times New Roman"/>
          <w:sz w:val="24"/>
          <w:szCs w:val="24"/>
        </w:rPr>
        <w:t>Once the images were collected, analysis was undertaken off-line (</w:t>
      </w:r>
      <w:proofErr w:type="spellStart"/>
      <w:r w:rsidRPr="00141015">
        <w:rPr>
          <w:rFonts w:ascii="Times New Roman" w:hAnsi="Times New Roman" w:cs="Times New Roman"/>
          <w:sz w:val="24"/>
          <w:szCs w:val="24"/>
        </w:rPr>
        <w:t>MicroDicom</w:t>
      </w:r>
      <w:proofErr w:type="spellEnd"/>
      <w:r w:rsidRPr="00141015">
        <w:rPr>
          <w:rFonts w:ascii="Times New Roman" w:hAnsi="Times New Roman" w:cs="Times New Roman"/>
          <w:sz w:val="24"/>
          <w:szCs w:val="24"/>
        </w:rPr>
        <w:t xml:space="preserve"> version 0.7.8, Bulgaria). For each image and site, fascicle length estimation was performed as described elsewhere </w:t>
      </w:r>
      <w:r w:rsidR="00871A5C" w:rsidRPr="00141015">
        <w:rPr>
          <w:rFonts w:ascii="Times New Roman" w:hAnsi="Times New Roman" w:cs="Times New Roman"/>
          <w:sz w:val="24"/>
          <w:szCs w:val="24"/>
        </w:rPr>
        <w:fldChar w:fldCharType="begin"/>
      </w:r>
      <w:r w:rsidR="009A6627" w:rsidRPr="00141015">
        <w:rPr>
          <w:rFonts w:ascii="Times New Roman" w:hAnsi="Times New Roman" w:cs="Times New Roman"/>
          <w:sz w:val="24"/>
          <w:szCs w:val="24"/>
        </w:rPr>
        <w:instrText xml:space="preserve"> ADDIN ZOTERO_ITEM CSL_CITATION {"citationID":"rTL7oVI5","properties":{"formattedCitation":"[3,4]","plainCitation":"[3,4]"},"citationItems":[{"id":4676,"uris":["http://zotero.org/users/2207815/items/M8BN3Q6G"],"uri":["http://zotero.org/users/2207815/items/M8BN3Q6G"],"itemData":{"id":4676,"type":"article-journal","title":"Intra- and intermuscular variation in human quadriceps femoris architecture assessed in vivo","container-title":"Journal of Anatomy","page":"289-310","volume":"209","issue":"3","source":"PubMed","abstract":"Despite the functional importance of the human quadriceps femoris in movements such as running, jumping, lifting and climbing, and the known effects of muscle architecture on muscle function, no research has fully described the complex architecture of this muscle group. We used ultrasound imaging techniques to measure muscle thickness, fascicle angle and fascicle length at multiple regions of the four quadriceps muscles in vivo in 31 recreationally active, but non-strength-trained adult men and women. Our analyses revealed a reasonable similarity in the superficial quadriceps muscles, which is suggestive of functional similarity (at least during the uni-joint knee extension task) given that they act via a common tendon. The deep vastus intermedius (VI) is architecturally dissimilar and therefore probably serves a different function(s). Architecture varies significantly along the length of the superficial muscles, which has implications for the accuracy of models that assume a constant intramuscular architecture. It might also have consequences for the efficiency of intra- and intermuscular force transmission. Our results provide some evidence that subjects with a given architecture of one superficial muscle, relative to the rest of the subject sample, also have a similar architecture in other superficial muscles. However, this is not necessarily true for vastus lateralis (VL), and was not the case for VI. Therefore, the relative architecture of one muscle cannot confidently be used to estimate the relative architecture of another. To confirm this, we calculated a value of whole quadriceps architecture by four different methods. Regardless of the method used, we found that the absolute or relative architecture of one muscle could not be used as an indicator of whole quadriceps architecture, although vastus medialis, possibly in concert with VL and the anterior portion of VI, could be used to provide a useful snapshot. Importantly, our estimates of whole quadriceps architecture show a gender difference in whole quadriceps muscle thickness, and that muscle thickness is positively correlated with fascicle angle whereas fascicle length is negatively, although weakly, correlated with fascicle angle. These results are supportive of the validity of estimates of whole quadriceps architecture. These data are interpreted with respect to their implications for neural control strategies, region-specific adaptations in muscle size in response to training, and gender-dependent differences in the response to exercise training.","DOI":"10.1111/j.1469-7580.2006.00619.x","ISSN":"0021-8782","note":"PMID: 16928199\nPMCID: PMC2100333","journalAbbreviation":"J. Anat.","language":"eng","author":[{"family":"Blazevich","given":"Anthony J."},{"family":"Gill","given":"Nicholas D."},{"family":"Zhou","given":"Shi"}],"issued":{"date-parts":[["2006",9]]},"PMID":"16928199","PMCID":"PMC2100333"},"label":"page"},{"id":4678,"uris":["http://zotero.org/users/2207815/items/8FUJ6J8A"],"uri":["http://zotero.org/users/2207815/items/8FUJ6J8A"],"itemData":{"id":4678,"type":"article-journal","title":"Validity of architectural properties of the hamstring muscles: correlation of ultrasound findings with cadaveric dissection","container-title":"Journal of Biomechanics","page":"2549-2554","volume":"42","issue":"15","source":"PubMed","abstract":"The purpose of this study was to compare the architectural parameters of the long head of biceps femoris (BFlh) and semitendinosus (ST) muscles by comparing measurements from ultrasound (US) with those obtained from direct dissection. The BFlh and ST architectures were examined bilaterally in 6 legs from 3 male cadavers. The fascicle length, pennation angle, muscle thickness and muscle and tendon length were obtained from direct measurement and US scans along each muscle. Intraclass correlation coefficients between the two methods ranged from 0.905 to 0.913 for the BFlh variables and from 0.774 to 0.974 for the ST parameters. Compared with the direct measurements, the US method showed a mean typical error of 0.09-0.14 cm for muscle thickness, 1.01-1.31 degrees for the pennation angle, 0.92-1.71 cm for fascicle length and muscle-tendon length measurements. The US method is a valid alternative tool for assessing basic architectural parameters of ST and BFlh components of the hamstring muscles.","DOI":"10.1016/j.jbiomech.2009.07.011","ISSN":"1873-2380","note":"PMID: 19646698","shortTitle":"Validity of architectural properties of the hamstring muscles","journalAbbreviation":"J Biomech","language":"eng","author":[{"family":"Kellis","given":"Eleftherios"},{"family":"Galanis","given":"Nikiforos"},{"family":"Natsis","given":"Konstantinos"},{"family":"Kapetanos","given":"George"}],"issued":{"date-parts":[["2009",11,13]]},"PMID":"19646698"},"label":"page"}],"schema":"https://github.com/citation-style-language/schema/raw/master/csl-citation.json"} </w:instrText>
      </w:r>
      <w:r w:rsidR="00871A5C" w:rsidRPr="00141015">
        <w:rPr>
          <w:rFonts w:ascii="Times New Roman" w:hAnsi="Times New Roman" w:cs="Times New Roman"/>
          <w:sz w:val="24"/>
          <w:szCs w:val="24"/>
        </w:rPr>
        <w:fldChar w:fldCharType="separate"/>
      </w:r>
      <w:r w:rsidR="009A6627" w:rsidRPr="00141015">
        <w:rPr>
          <w:rFonts w:ascii="Times New Roman" w:hAnsi="Times New Roman" w:cs="Times New Roman"/>
          <w:sz w:val="24"/>
          <w:szCs w:val="24"/>
        </w:rPr>
        <w:t>[3,4]</w:t>
      </w:r>
      <w:r w:rsidR="00871A5C" w:rsidRPr="00141015">
        <w:rPr>
          <w:rFonts w:ascii="Times New Roman" w:hAnsi="Times New Roman" w:cs="Times New Roman"/>
          <w:sz w:val="24"/>
          <w:szCs w:val="24"/>
        </w:rPr>
        <w:fldChar w:fldCharType="end"/>
      </w:r>
      <w:r w:rsidRPr="00141015">
        <w:rPr>
          <w:rFonts w:ascii="Times New Roman" w:hAnsi="Times New Roman" w:cs="Times New Roman"/>
          <w:sz w:val="24"/>
          <w:szCs w:val="24"/>
        </w:rPr>
        <w:t xml:space="preserve">. At each site, muscle thickness was defined as the distance between the superficial and deep aponeuroses of the VL. A fascicle of interest was outlined and marked on the image, and the angle at which it inserted onto the deep aponeurosis was determined as the </w:t>
      </w:r>
      <w:proofErr w:type="spellStart"/>
      <w:r w:rsidRPr="00141015">
        <w:rPr>
          <w:rFonts w:ascii="Times New Roman" w:hAnsi="Times New Roman" w:cs="Times New Roman"/>
          <w:sz w:val="24"/>
          <w:szCs w:val="24"/>
        </w:rPr>
        <w:t>pennation</w:t>
      </w:r>
      <w:proofErr w:type="spellEnd"/>
      <w:r w:rsidRPr="00141015">
        <w:rPr>
          <w:rFonts w:ascii="Times New Roman" w:hAnsi="Times New Roman" w:cs="Times New Roman"/>
          <w:sz w:val="24"/>
          <w:szCs w:val="24"/>
        </w:rPr>
        <w:t xml:space="preserve"> angle. The superficial and deep aponeurosis angles were determined as the angle between the line marked as the aponeurosis and an intersecting horizontal reference line across the captured image </w:t>
      </w:r>
      <w:r w:rsidR="00871A5C" w:rsidRPr="00141015">
        <w:rPr>
          <w:rFonts w:ascii="Times New Roman" w:hAnsi="Times New Roman" w:cs="Times New Roman"/>
          <w:sz w:val="24"/>
          <w:szCs w:val="24"/>
        </w:rPr>
        <w:fldChar w:fldCharType="begin"/>
      </w:r>
      <w:r w:rsidR="009A6627" w:rsidRPr="00141015">
        <w:rPr>
          <w:rFonts w:ascii="Times New Roman" w:hAnsi="Times New Roman" w:cs="Times New Roman"/>
          <w:sz w:val="24"/>
          <w:szCs w:val="24"/>
        </w:rPr>
        <w:instrText xml:space="preserve"> ADDIN ZOTERO_ITEM CSL_CITATION {"citationID":"tvfdktt4p","properties":{"formattedCitation":"[3,4]","plainCitation":"[3,4]"},"citationItems":[{"id":4676,"uris":["http://zotero.org/users/2207815/items/M8BN3Q6G"],"uri":["http://zotero.org/users/2207815/items/M8BN3Q6G"],"itemData":{"id":4676,"type":"article-journal","title":"Intra- and intermuscular variation in human quadriceps femoris architecture assessed in vivo","container-title":"Journal of Anatomy","page":"289-310","volume":"209","issue":"3","source":"PubMed","abstract":"Despite the functional importance of the human quadriceps femoris in movements such as running, jumping, lifting and climbing, and the known effects of muscle architecture on muscle function, no research has fully described the complex architecture of this muscle group. We used ultrasound imaging techniques to measure muscle thickness, fascicle angle and fascicle length at multiple regions of the four quadriceps muscles in vivo in 31 recreationally active, but non-strength-trained adult men and women. Our analyses revealed a reasonable similarity in the superficial quadriceps muscles, which is suggestive of functional similarity (at least during the uni-joint knee extension task) given that they act via a common tendon. The deep vastus intermedius (VI) is architecturally dissimilar and therefore probably serves a different function(s). Architecture varies significantly along the length of the superficial muscles, which has implications for the accuracy of models that assume a constant intramuscular architecture. It might also have consequences for the efficiency of intra- and intermuscular force transmission. Our results provide some evidence that subjects with a given architecture of one superficial muscle, relative to the rest of the subject sample, also have a similar architecture in other superficial muscles. However, this is not necessarily true for vastus lateralis (VL), and was not the case for VI. Therefore, the relative architecture of one muscle cannot confidently be used to estimate the relative architecture of another. To confirm this, we calculated a value of whole quadriceps architecture by four different methods. Regardless of the method used, we found that the absolute or relative architecture of one muscle could not be used as an indicator of whole quadriceps architecture, although vastus medialis, possibly in concert with VL and the anterior portion of VI, could be used to provide a useful snapshot. Importantly, our estimates of whole quadriceps architecture show a gender difference in whole quadriceps muscle thickness, and that muscle thickness is positively correlated with fascicle angle whereas fascicle length is negatively, although weakly, correlated with fascicle angle. These results are supportive of the validity of estimates of whole quadriceps architecture. These data are interpreted with respect to their implications for neural control strategies, region-specific adaptations in muscle size in response to training, and gender-dependent differences in the response to exercise training.","DOI":"10.1111/j.1469-7580.2006.00619.x","ISSN":"0021-8782","note":"PMID: 16928199\nPMCID: PMC2100333","journalAbbreviation":"J. Anat.","language":"eng","author":[{"family":"Blazevich","given":"Anthony J."},{"family":"Gill","given":"Nicholas D."},{"family":"Zhou","given":"Shi"}],"issued":{"date-parts":[["2006",9]]},"PMID":"16928199","PMCID":"PMC2100333"},"label":"page"},{"id":4678,"uris":["http://zotero.org/users/2207815/items/8FUJ6J8A"],"uri":["http://zotero.org/users/2207815/items/8FUJ6J8A"],"itemData":{"id":4678,"type":"article-journal","title":"Validity of architectural properties of the hamstring muscles: correlation of ultrasound findings with cadaveric dissection","container-title":"Journal of Biomechanics","page":"2549-2554","volume":"42","issue":"15","source":"PubMed","abstract":"The purpose of this study was to compare the architectural parameters of the long head of biceps femoris (BFlh) and semitendinosus (ST) muscles by comparing measurements from ultrasound (US) with those obtained from direct dissection. The BFlh and ST architectures were examined bilaterally in 6 legs from 3 male cadavers. The fascicle length, pennation angle, muscle thickness and muscle and tendon length were obtained from direct measurement and US scans along each muscle. Intraclass correlation coefficients between the two methods ranged from 0.905 to 0.913 for the BFlh variables and from 0.774 to 0.974 for the ST parameters. Compared with the direct measurements, the US method showed a mean typical error of 0.09-0.14 cm for muscle thickness, 1.01-1.31 degrees for the pennation angle, 0.92-1.71 cm for fascicle length and muscle-tendon length measurements. The US method is a valid alternative tool for assessing basic architectural parameters of ST and BFlh components of the hamstring muscles.","DOI":"10.1016/j.jbiomech.2009.07.011","ISSN":"1873-2380","note":"PMID: 19646698","shortTitle":"Validity of architectural properties of the hamstring muscles","journalAbbreviation":"J Biomech","language":"eng","author":[{"family":"Kellis","given":"Eleftherios"},{"family":"Galanis","given":"Nikiforos"},{"family":"Natsis","given":"Konstantinos"},{"family":"Kapetanos","given":"George"}],"issued":{"date-parts":[["2009",11,13]]},"PMID":"19646698"},"label":"page"}],"schema":"https://github.com/citation-style-language/schema/raw/master/csl-citation.json"} </w:instrText>
      </w:r>
      <w:r w:rsidR="00871A5C" w:rsidRPr="00141015">
        <w:rPr>
          <w:rFonts w:ascii="Times New Roman" w:hAnsi="Times New Roman" w:cs="Times New Roman"/>
          <w:sz w:val="24"/>
          <w:szCs w:val="24"/>
        </w:rPr>
        <w:fldChar w:fldCharType="separate"/>
      </w:r>
      <w:r w:rsidR="009A6627" w:rsidRPr="00141015">
        <w:rPr>
          <w:rFonts w:ascii="Times New Roman" w:hAnsi="Times New Roman" w:cs="Times New Roman"/>
          <w:sz w:val="24"/>
          <w:szCs w:val="24"/>
        </w:rPr>
        <w:t>[3,4]</w:t>
      </w:r>
      <w:r w:rsidR="00871A5C" w:rsidRPr="00141015">
        <w:rPr>
          <w:rFonts w:ascii="Times New Roman" w:hAnsi="Times New Roman" w:cs="Times New Roman"/>
          <w:sz w:val="24"/>
          <w:szCs w:val="24"/>
        </w:rPr>
        <w:fldChar w:fldCharType="end"/>
      </w:r>
      <w:r w:rsidRPr="00141015">
        <w:rPr>
          <w:rFonts w:ascii="Times New Roman" w:hAnsi="Times New Roman" w:cs="Times New Roman"/>
          <w:sz w:val="24"/>
          <w:szCs w:val="24"/>
        </w:rPr>
        <w:t xml:space="preserve">. </w:t>
      </w:r>
    </w:p>
    <w:p w:rsidR="002F1282" w:rsidRPr="00141015" w:rsidRDefault="002F1282" w:rsidP="002F1282">
      <w:pPr>
        <w:spacing w:line="480" w:lineRule="auto"/>
        <w:ind w:firstLine="720"/>
        <w:jc w:val="both"/>
        <w:rPr>
          <w:rFonts w:ascii="Times New Roman" w:hAnsi="Times New Roman" w:cs="Times New Roman"/>
          <w:sz w:val="24"/>
          <w:szCs w:val="24"/>
        </w:rPr>
      </w:pPr>
      <w:r w:rsidRPr="00141015">
        <w:rPr>
          <w:rFonts w:ascii="Times New Roman" w:hAnsi="Times New Roman" w:cs="Times New Roman"/>
          <w:sz w:val="24"/>
          <w:szCs w:val="24"/>
        </w:rPr>
        <w:t>The same assessor collected and analysed all scans and was blinded to participant identifiers (name and group) during the collection and analysis of the images. Day-to-day reliability of the assessor was determined prior to data collection in a small pilot study (</w:t>
      </w:r>
      <w:r w:rsidRPr="00141015">
        <w:rPr>
          <w:rFonts w:ascii="Times New Roman" w:hAnsi="Times New Roman" w:cs="Times New Roman"/>
          <w:i/>
          <w:sz w:val="24"/>
          <w:szCs w:val="24"/>
        </w:rPr>
        <w:t>n</w:t>
      </w:r>
      <w:r w:rsidRPr="00141015">
        <w:rPr>
          <w:rFonts w:ascii="Times New Roman" w:hAnsi="Times New Roman" w:cs="Times New Roman"/>
          <w:sz w:val="24"/>
          <w:szCs w:val="24"/>
        </w:rPr>
        <w:t xml:space="preserve"> = 9). Measures of reliability included intraclass correlation coefficients (ICC), typical error (TE) and TE as a coefficient of variation (%TE). Minimum detectable change at a 95% confidence interval (MDC</w:t>
      </w:r>
      <w:r w:rsidRPr="00141015">
        <w:rPr>
          <w:rFonts w:ascii="Times New Roman" w:hAnsi="Times New Roman" w:cs="Times New Roman"/>
          <w:sz w:val="24"/>
          <w:szCs w:val="24"/>
          <w:vertAlign w:val="subscript"/>
        </w:rPr>
        <w:t>95</w:t>
      </w:r>
      <w:r w:rsidRPr="00141015">
        <w:rPr>
          <w:rFonts w:ascii="Times New Roman" w:hAnsi="Times New Roman" w:cs="Times New Roman"/>
          <w:sz w:val="24"/>
          <w:szCs w:val="24"/>
        </w:rPr>
        <w:t>) was calculated as TE x 1.96 x √2. Based on previous quantitative reliability literature, it was determined that an ICC ≥ 0.90 was regarded as high, between 0.80 and 0.89 as moderate and ≤0.79 as poor. A %TE ≤10% was considered to represent an acceptable level of reliability. Assessments for the pilot study were taken one day apart at the same time of day. Across all three sites for muscle thickness ICCs ranged from 0.97 to 0.99, TE from 0.09 to 0.22, %TE from 1.0 to 3.9% and MDC</w:t>
      </w:r>
      <w:r w:rsidRPr="00141015">
        <w:rPr>
          <w:rFonts w:ascii="Times New Roman" w:hAnsi="Times New Roman" w:cs="Times New Roman"/>
          <w:sz w:val="24"/>
          <w:szCs w:val="24"/>
          <w:vertAlign w:val="subscript"/>
        </w:rPr>
        <w:t xml:space="preserve">95 </w:t>
      </w:r>
      <w:r w:rsidRPr="00141015">
        <w:rPr>
          <w:rFonts w:ascii="Times New Roman" w:hAnsi="Times New Roman" w:cs="Times New Roman"/>
          <w:sz w:val="24"/>
          <w:szCs w:val="24"/>
        </w:rPr>
        <w:t xml:space="preserve">from 0.25 to 0.61cm. For </w:t>
      </w:r>
      <w:proofErr w:type="spellStart"/>
      <w:r w:rsidRPr="00141015">
        <w:rPr>
          <w:rFonts w:ascii="Times New Roman" w:hAnsi="Times New Roman" w:cs="Times New Roman"/>
          <w:sz w:val="24"/>
          <w:szCs w:val="24"/>
        </w:rPr>
        <w:t>pennation</w:t>
      </w:r>
      <w:proofErr w:type="spellEnd"/>
      <w:r w:rsidRPr="00141015">
        <w:rPr>
          <w:rFonts w:ascii="Times New Roman" w:hAnsi="Times New Roman" w:cs="Times New Roman"/>
          <w:sz w:val="24"/>
          <w:szCs w:val="24"/>
        </w:rPr>
        <w:t xml:space="preserve"> angle </w:t>
      </w:r>
      <w:proofErr w:type="spellStart"/>
      <w:r w:rsidRPr="00141015">
        <w:rPr>
          <w:rFonts w:ascii="Times New Roman" w:hAnsi="Times New Roman" w:cs="Times New Roman"/>
          <w:sz w:val="24"/>
          <w:szCs w:val="24"/>
        </w:rPr>
        <w:t>ICCs</w:t>
      </w:r>
      <w:proofErr w:type="spellEnd"/>
      <w:r w:rsidRPr="00141015">
        <w:rPr>
          <w:rFonts w:ascii="Times New Roman" w:hAnsi="Times New Roman" w:cs="Times New Roman"/>
          <w:sz w:val="24"/>
          <w:szCs w:val="24"/>
        </w:rPr>
        <w:t xml:space="preserve"> ranged from 0.90 to </w:t>
      </w:r>
      <w:r w:rsidRPr="00141015">
        <w:rPr>
          <w:rFonts w:ascii="Times New Roman" w:hAnsi="Times New Roman" w:cs="Times New Roman"/>
          <w:sz w:val="24"/>
          <w:szCs w:val="24"/>
        </w:rPr>
        <w:lastRenderedPageBreak/>
        <w:t>0.98, TE from 0.16 to 0.33, %TE from 2.1 to 4.0% and MDC</w:t>
      </w:r>
      <w:r w:rsidRPr="00141015">
        <w:rPr>
          <w:rFonts w:ascii="Times New Roman" w:hAnsi="Times New Roman" w:cs="Times New Roman"/>
          <w:sz w:val="24"/>
          <w:szCs w:val="24"/>
          <w:vertAlign w:val="subscript"/>
        </w:rPr>
        <w:t xml:space="preserve">95 </w:t>
      </w:r>
      <w:r w:rsidRPr="00141015">
        <w:rPr>
          <w:rFonts w:ascii="Times New Roman" w:hAnsi="Times New Roman" w:cs="Times New Roman"/>
          <w:sz w:val="24"/>
          <w:szCs w:val="24"/>
        </w:rPr>
        <w:t>from 0.44° to 0.91°. For fascicle length ICCs ranged from 0.90 to 0.98, TE from 0.18 to 0.30, %TE from 3.9 to 4.9% and MDC</w:t>
      </w:r>
      <w:r w:rsidRPr="00141015">
        <w:rPr>
          <w:rFonts w:ascii="Times New Roman" w:hAnsi="Times New Roman" w:cs="Times New Roman"/>
          <w:sz w:val="24"/>
          <w:szCs w:val="24"/>
          <w:vertAlign w:val="subscript"/>
        </w:rPr>
        <w:t xml:space="preserve">95 </w:t>
      </w:r>
      <w:r w:rsidRPr="00141015">
        <w:rPr>
          <w:rFonts w:ascii="Times New Roman" w:hAnsi="Times New Roman" w:cs="Times New Roman"/>
          <w:sz w:val="24"/>
          <w:szCs w:val="24"/>
        </w:rPr>
        <w:t>from 0.49 cm to 0.83 cm.</w:t>
      </w:r>
    </w:p>
    <w:p w:rsidR="002F1282" w:rsidRPr="00141015" w:rsidRDefault="002F1282" w:rsidP="002F1282">
      <w:pPr>
        <w:spacing w:line="480" w:lineRule="auto"/>
        <w:ind w:firstLine="720"/>
        <w:jc w:val="both"/>
        <w:rPr>
          <w:rFonts w:ascii="Times New Roman" w:hAnsi="Times New Roman" w:cs="Times New Roman"/>
          <w:sz w:val="24"/>
          <w:szCs w:val="24"/>
        </w:rPr>
      </w:pPr>
      <w:r w:rsidRPr="00141015">
        <w:rPr>
          <w:rFonts w:ascii="Times New Roman" w:hAnsi="Times New Roman" w:cs="Times New Roman"/>
          <w:sz w:val="24"/>
          <w:szCs w:val="24"/>
        </w:rPr>
        <w:t xml:space="preserve">Muscle thickness measures from ultrasound have been used to estimate muscle volume at a single time point and following training interventions </w:t>
      </w:r>
      <w:r w:rsidR="00871A5C" w:rsidRPr="00141015">
        <w:rPr>
          <w:rFonts w:ascii="Times New Roman" w:hAnsi="Times New Roman" w:cs="Times New Roman"/>
          <w:sz w:val="24"/>
          <w:szCs w:val="24"/>
        </w:rPr>
        <w:fldChar w:fldCharType="begin"/>
      </w:r>
      <w:r w:rsidR="009A6627" w:rsidRPr="00141015">
        <w:rPr>
          <w:rFonts w:ascii="Times New Roman" w:hAnsi="Times New Roman" w:cs="Times New Roman"/>
          <w:sz w:val="24"/>
          <w:szCs w:val="24"/>
        </w:rPr>
        <w:instrText xml:space="preserve"> ADDIN ZOTERO_ITEM CSL_CITATION {"citationID":"144l7elonu","properties":{"formattedCitation":"{\\rtf [5\\uc0\\u8211{}7]}","plainCitation":"[5–7]"},"citationItems":[{"id":4680,"uris":["http://zotero.org/users/2207815/items/966TZPQ4"],"uri":["http://zotero.org/users/2207815/items/966TZPQ4"],"itemData":{"id":4680,"type":"article-journal","title":"Validity of ultrasonograph muscle thickness measurements for estimating muscle volume of knee extensors in humans","container-title":"European Journal of Applied Physiology","page":"203-208","volume":"86","issue":"3","source":"PubMed","abstract":"This study aimed to investigate the suitability of using ultrasonograph muscle thickness (MT) measurements to estimate the muscle volume (MV) of the quadriceps femoris as an alternative approach to magnetic resonance imaging (MRI). The subjects were 46 men aged from 20 to 70 years who were randomly allocated to either a validation or a cross-validation group. In the validation group, multiple and simple regression equations, which used a set of MT values determined at mid-thigh and thigh length (1) and the product of pi, (MT/2)2, and l [pi x (MT/2)2 x l], respectively, as independent variables, were derived to estimate the MV measured by MRI. Because the two equations were cross-validated, the data from the two groups were pooled to generate the final prediction equations: MV (cm3)=(MT x 311.732)+(l x 53.346) -2058.529 as the multiple regression equation and MV (cm3) = [pi x (MT/ 2)2 x l] x 1.1176+663.040 as the simple regression equation. In the multiple regression equation, MT explained 75% of the variation in the MV measured by MRI. The r2 and the standard error of the estimate (SEE) of the equations were 0.824 and 175.6 cm3 (10.6%), respectively, for the multiple regression equation and 0.829 and 173.7 cm3 (10.5%), respectively, for the simple regression equation. Thus, the present results indicate that ultrasonograph MT measurements at mid-thigh are useful for estimating the MV of knee extensors. However, the observed SEE values suggest that the prediction equation obtained in this study may be limited to population studies rather than individual assessments in longitudinal studies.","ISSN":"1439-6319","note":"PMID: 11990727","journalAbbreviation":"Eur. J. Appl. Physiol.","language":"eng","author":[{"family":"Miyatani","given":"Masae"},{"family":"Kanehisa","given":"Hiroaki"},{"family":"Kuno","given":"Shinya"},{"family":"Nishijima","given":"Takahiko"},{"family":"Fukunaga","given":"Tetsuo"}],"issued":{"date-parts":[["2002",1]]},"PMID":"11990727"},"label":"page"},{"id":4682,"uris":["http://zotero.org/users/2207815/items/4JUCZC2U"],"uri":["http://zotero.org/users/2207815/items/4JUCZC2U"],"itemData":{"id":4682,"type":"article-journal","title":"The accuracy of volume estimates using ultrasound muscle thickness measurements in different muscle groups","container-title":"European Journal of Applied Physiology","page":"264-272","volume":"91","issue":"2-3","source":"PubMed","abstract":"This study aimed to investigate the accuracy of estimating the volume of limb muscles (MV) using ultrasonographic muscle thickness (MT) measurements. The MT and MV of each of elbow flexors and extensors, knee extensors and ankle plantar flexors were determined from a single ultrasonographic image and multiple magnetic resonance imaging (MRI) scans, respectively, in 27 healthy men (23-40 years of age) who were allocated to validation ( n=14) and cross-validation groups ( n=13). In the validation group, simple and multiple regression equations using MT and a set of MT and limb length, respectively, as independent variables were derived to estimate the MV measured by MRI. However, only the multiple regression equations were cross-validated, and so the prediction equations with r(2) of 0.787-0.884 and the standard error of estimate of 22.1 cm(3) (7.3%) for the elbow flexors to 198.5 cm(3) (11.1%) for the knee extensors were developed using the pooled data. This approach did not induce significant systematic error in any muscle group, with no significant difference in the accuracy of estimating MV between muscle groups. In the multiple regression equations, the relative contribution of MT for predicting MV varied from 41.9% for the knee extensors to 70.4% for the elbow flexors. Thus, ultrasonographic MT measurement was a good predictor of MV when combined with limb length. For predicting MV, however, the unsuitability of a simple equation using MT only and the difference between muscle groups in the relative contribution of MT in multiple regression equations indicated a need for further research on the limb site selected and muscle analyzed for MT measurement.","DOI":"10.1007/s00421-003-0974-4","ISSN":"1439-6319","note":"PMID: 14569399","journalAbbreviation":"Eur. J. Appl. Physiol.","language":"eng","author":[{"family":"Miyatani","given":"Masae"},{"family":"Kanehisa","given":"Hiroaki"},{"family":"Ito","given":"Masamitsu"},{"family":"Kawakami","given":"Yasuo"},{"family":"Fukunaga","given":"Tetsuo"}],"issued":{"date-parts":[["2004",3]]},"PMID":"14569399"},"label":"page"},{"id":4684,"uris":["http://zotero.org/users/2207815/items/IVKE2UBB"],"uri":["http://zotero.org/users/2207815/items/IVKE2UBB"],"itemData":{"id":4684,"type":"article-journal","title":"Muscle thickness correlates to muscle cross-sectional area in the assessment of strength training-induced hypertrophy","container-title":"Scandinavian Journal of Medicine &amp; Science in Sports","source":"PubMed","abstract":"Muscle thickness (MT) measured by ultrasound has been used to estimate cross-sectional area (measured by CT and MRI) at a single time point. We tested whether MT could be used as a valid marker of MRI determined muscle anatomical cross-sectional area (ACSA) and volume changes following resistance training (RT). Nine healthy, young, male volunteers (24 ± 2 y.o., BMI 24.1 ± 2.8 kg/m(2) ) had vastus lateralis (VL) muscle volume (VOL) and ACSAmid (at 50% of femur length, FL) assessed by MRI, and VL MT measured by ultrasound at 50% FL. Measurements were taken at baseline and after 12 weeks of isokinetic RT. Differences between baseline and post-training were assessed by Student's paired t test. The relationships between MRI and ultrasound measurements were tested by Pearson's correlation. After RT, MT increased by 7.5 ± 6.1% (P &lt; .001), ACSAmid by 5.2 ± 5% (P &lt; .001), and VOL by 5.0 ± 6.9% (P &lt; .05) (values: means ± SD). Positive correlations were found, at baseline and 12 weeks, between MT and ACSAmid (r = .82, P &lt; .001 and r = .73, P &lt; .001, respectively), and between MT and VOL (r = .76, P &lt; .001 and r = .73, P &lt; .001, respectively). The % change in MT with training was correlated with % change in ACSAmid (r = .69, P &lt; .01), but not % change in VOL (r = .33, P &gt; .05). These data support evidence that MT is a reliable index of muscle ACSAmid and VOL at a single time point. MT changes following RT are associated with parallel changes in muscle ACSAmid but not with the changes in VOL, highlighting the impact of RT on regional hypertrophy.","DOI":"10.1111/sms.12961","ISSN":"1600-0838","note":"PMID: 28805932","journalAbbreviation":"Scand J Med Sci Sports","language":"eng","author":[{"family":"Franchi","given":"M. V."},{"family":"Longo","given":"S."},{"family":"Mallinson","given":"J."},{"family":"Quinlan","given":"J. I."},{"family":"Taylor","given":"T."},{"family":"Greenhaff","given":"P. L."},{"family":"Narici","given":"M. V."}],"issued":{"date-parts":[["2017",8,14]]},"PMID":"28805932"},"label":"page"}],"schema":"https://github.com/citation-style-language/schema/raw/master/csl-citation.json"} </w:instrText>
      </w:r>
      <w:r w:rsidR="00871A5C" w:rsidRPr="00141015">
        <w:rPr>
          <w:rFonts w:ascii="Times New Roman" w:hAnsi="Times New Roman" w:cs="Times New Roman"/>
          <w:sz w:val="24"/>
          <w:szCs w:val="24"/>
        </w:rPr>
        <w:fldChar w:fldCharType="separate"/>
      </w:r>
      <w:r w:rsidR="009A6627" w:rsidRPr="00141015">
        <w:rPr>
          <w:rFonts w:ascii="Times New Roman" w:hAnsi="Times New Roman"/>
          <w:sz w:val="24"/>
          <w:szCs w:val="24"/>
        </w:rPr>
        <w:t>[5–7]</w:t>
      </w:r>
      <w:r w:rsidR="00871A5C" w:rsidRPr="00141015">
        <w:rPr>
          <w:rFonts w:ascii="Times New Roman" w:hAnsi="Times New Roman" w:cs="Times New Roman"/>
          <w:sz w:val="24"/>
          <w:szCs w:val="24"/>
        </w:rPr>
        <w:fldChar w:fldCharType="end"/>
      </w:r>
      <w:r w:rsidRPr="00141015">
        <w:rPr>
          <w:rFonts w:ascii="Times New Roman" w:hAnsi="Times New Roman" w:cs="Times New Roman"/>
          <w:sz w:val="24"/>
          <w:szCs w:val="24"/>
        </w:rPr>
        <w:t xml:space="preserve">. In the current study, thigh length and VL thickness measures at the mid-point of the thigh were utilised with the following validated equation </w:t>
      </w:r>
      <w:r w:rsidR="00871A5C" w:rsidRPr="00141015">
        <w:rPr>
          <w:rFonts w:ascii="Times New Roman" w:hAnsi="Times New Roman" w:cs="Times New Roman"/>
          <w:sz w:val="24"/>
          <w:szCs w:val="24"/>
        </w:rPr>
        <w:fldChar w:fldCharType="begin"/>
      </w:r>
      <w:r w:rsidR="009A6627" w:rsidRPr="00141015">
        <w:rPr>
          <w:rFonts w:ascii="Times New Roman" w:hAnsi="Times New Roman" w:cs="Times New Roman"/>
          <w:sz w:val="24"/>
          <w:szCs w:val="24"/>
        </w:rPr>
        <w:instrText xml:space="preserve"> ADDIN ZOTERO_ITEM CSL_CITATION {"citationID":"i8w5gmkG","properties":{"formattedCitation":"[5]","plainCitation":"[5]"},"citationItems":[{"id":4680,"uris":["http://zotero.org/users/2207815/items/966TZPQ4"],"uri":["http://zotero.org/users/2207815/items/966TZPQ4"],"itemData":{"id":4680,"type":"article-journal","title":"Validity of ultrasonograph muscle thickness measurements for estimating muscle volume of knee extensors in humans","container-title":"European Journal of Applied Physiology","page":"203-208","volume":"86","issue":"3","source":"PubMed","abstract":"This study aimed to investigate the suitability of using ultrasonograph muscle thickness (MT) measurements to estimate the muscle volume (MV) of the quadriceps femoris as an alternative approach to magnetic resonance imaging (MRI). The subjects were 46 men aged from 20 to 70 years who were randomly allocated to either a validation or a cross-validation group. In the validation group, multiple and simple regression equations, which used a set of MT values determined at mid-thigh and thigh length (1) and the product of pi, (MT/2)2, and l [pi x (MT/2)2 x l], respectively, as independent variables, were derived to estimate the MV measured by MRI. Because the two equations were cross-validated, the data from the two groups were pooled to generate the final prediction equations: MV (cm3)=(MT x 311.732)+(l x 53.346) -2058.529 as the multiple regression equation and MV (cm3) = [pi x (MT/ 2)2 x l] x 1.1176+663.040 as the simple regression equation. In the multiple regression equation, MT explained 75% of the variation in the MV measured by MRI. The r2 and the standard error of the estimate (SEE) of the equations were 0.824 and 175.6 cm3 (10.6%), respectively, for the multiple regression equation and 0.829 and 173.7 cm3 (10.5%), respectively, for the simple regression equation. Thus, the present results indicate that ultrasonograph MT measurements at mid-thigh are useful for estimating the MV of knee extensors. However, the observed SEE values suggest that the prediction equation obtained in this study may be limited to population studies rather than individual assessments in longitudinal studies.","ISSN":"1439-6319","note":"PMID: 11990727","journalAbbreviation":"Eur. J. Appl. Physiol.","language":"eng","author":[{"family":"Miyatani","given":"Masae"},{"family":"Kanehisa","given":"Hiroaki"},{"family":"Kuno","given":"Shinya"},{"family":"Nishijima","given":"Takahiko"},{"family":"Fukunaga","given":"Tetsuo"}],"issued":{"date-parts":[["2002",1]]},"PMID":"11990727"}}],"schema":"https://github.com/citation-style-language/schema/raw/master/csl-citation.json"} </w:instrText>
      </w:r>
      <w:r w:rsidR="00871A5C" w:rsidRPr="00141015">
        <w:rPr>
          <w:rFonts w:ascii="Times New Roman" w:hAnsi="Times New Roman" w:cs="Times New Roman"/>
          <w:sz w:val="24"/>
          <w:szCs w:val="24"/>
        </w:rPr>
        <w:fldChar w:fldCharType="separate"/>
      </w:r>
      <w:r w:rsidR="009A6627" w:rsidRPr="00141015">
        <w:rPr>
          <w:rFonts w:ascii="Times New Roman" w:hAnsi="Times New Roman" w:cs="Times New Roman"/>
          <w:sz w:val="24"/>
          <w:szCs w:val="24"/>
        </w:rPr>
        <w:t>[5]</w:t>
      </w:r>
      <w:r w:rsidR="00871A5C" w:rsidRPr="00141015">
        <w:rPr>
          <w:rFonts w:ascii="Times New Roman" w:hAnsi="Times New Roman" w:cs="Times New Roman"/>
          <w:sz w:val="24"/>
          <w:szCs w:val="24"/>
        </w:rPr>
        <w:fldChar w:fldCharType="end"/>
      </w:r>
      <w:r w:rsidRPr="00141015">
        <w:rPr>
          <w:rFonts w:ascii="Times New Roman" w:hAnsi="Times New Roman" w:cs="Times New Roman"/>
          <w:sz w:val="24"/>
          <w:szCs w:val="24"/>
        </w:rPr>
        <w:t xml:space="preserve"> to estimate muscle volume:</w:t>
      </w:r>
    </w:p>
    <w:p w:rsidR="002F1282" w:rsidRPr="00141015" w:rsidRDefault="002F1282" w:rsidP="002F1282">
      <w:pPr>
        <w:spacing w:line="480" w:lineRule="auto"/>
        <w:ind w:firstLine="720"/>
        <w:jc w:val="both"/>
        <w:rPr>
          <w:rFonts w:ascii="Times New Roman" w:hAnsi="Times New Roman" w:cs="Times New Roman"/>
          <w:sz w:val="24"/>
          <w:szCs w:val="24"/>
        </w:rPr>
      </w:pPr>
      <w:r w:rsidRPr="00141015">
        <w:rPr>
          <w:rFonts w:ascii="Times New Roman" w:hAnsi="Times New Roman" w:cs="Times New Roman"/>
          <w:sz w:val="24"/>
          <w:szCs w:val="24"/>
        </w:rPr>
        <w:t>MV (cm</w:t>
      </w:r>
      <w:r w:rsidRPr="00141015">
        <w:rPr>
          <w:rFonts w:ascii="Times New Roman" w:hAnsi="Times New Roman" w:cs="Times New Roman"/>
          <w:sz w:val="24"/>
          <w:szCs w:val="24"/>
          <w:vertAlign w:val="superscript"/>
        </w:rPr>
        <w:t>3</w:t>
      </w:r>
      <w:r w:rsidRPr="00141015">
        <w:rPr>
          <w:rFonts w:ascii="Times New Roman" w:hAnsi="Times New Roman" w:cs="Times New Roman"/>
          <w:sz w:val="24"/>
          <w:szCs w:val="24"/>
        </w:rPr>
        <w:t>) = (MT x 311.732) + (TL x 53.346) – 2058.529</w:t>
      </w:r>
    </w:p>
    <w:p w:rsidR="002F1282" w:rsidRPr="00141015" w:rsidRDefault="002F1282" w:rsidP="002F1282">
      <w:pPr>
        <w:spacing w:line="480" w:lineRule="auto"/>
        <w:jc w:val="both"/>
        <w:rPr>
          <w:rFonts w:ascii="Times New Roman" w:hAnsi="Times New Roman" w:cs="Times New Roman"/>
          <w:sz w:val="24"/>
          <w:szCs w:val="24"/>
        </w:rPr>
      </w:pPr>
      <w:r w:rsidRPr="00141015">
        <w:rPr>
          <w:rFonts w:ascii="Times New Roman" w:hAnsi="Times New Roman" w:cs="Times New Roman"/>
          <w:sz w:val="24"/>
          <w:szCs w:val="24"/>
        </w:rPr>
        <w:t>Where MV = muscle volume, MT = muscle thickness in centimeters, and TL = thigh length in centimeters.</w:t>
      </w:r>
    </w:p>
    <w:p w:rsidR="002F1282" w:rsidRPr="00141015" w:rsidRDefault="002F1282" w:rsidP="002F1282">
      <w:pPr>
        <w:spacing w:line="480" w:lineRule="auto"/>
        <w:jc w:val="both"/>
        <w:rPr>
          <w:rFonts w:ascii="Times New Roman" w:hAnsi="Times New Roman" w:cs="Times New Roman"/>
          <w:b/>
          <w:sz w:val="24"/>
          <w:szCs w:val="24"/>
        </w:rPr>
      </w:pPr>
      <w:r w:rsidRPr="00141015">
        <w:rPr>
          <w:rFonts w:ascii="Times New Roman" w:hAnsi="Times New Roman" w:cs="Times New Roman"/>
          <w:b/>
          <w:sz w:val="24"/>
          <w:szCs w:val="24"/>
        </w:rPr>
        <w:t>Diet</w:t>
      </w:r>
    </w:p>
    <w:p w:rsidR="002F1282" w:rsidRPr="00141015" w:rsidRDefault="002F1282" w:rsidP="009771C0">
      <w:pPr>
        <w:spacing w:line="480" w:lineRule="auto"/>
        <w:ind w:firstLine="720"/>
        <w:jc w:val="both"/>
        <w:rPr>
          <w:rFonts w:ascii="Times New Roman" w:hAnsi="Times New Roman" w:cs="Times New Roman"/>
          <w:sz w:val="24"/>
          <w:szCs w:val="24"/>
        </w:rPr>
      </w:pPr>
      <w:r w:rsidRPr="00141015">
        <w:rPr>
          <w:rFonts w:ascii="Times New Roman" w:hAnsi="Times New Roman" w:cs="Times New Roman"/>
          <w:sz w:val="24"/>
          <w:szCs w:val="24"/>
        </w:rPr>
        <w:t xml:space="preserve">A free-living, high-protein (2 </w:t>
      </w:r>
      <w:r w:rsidRPr="00141015">
        <w:rPr>
          <w:rFonts w:ascii="Times New Roman" w:hAnsi="Times New Roman" w:cs="Times New Roman"/>
          <w:sz w:val="24"/>
          <w:szCs w:val="24"/>
          <w:lang w:val="en-AU"/>
        </w:rPr>
        <w:t>g•kg</w:t>
      </w:r>
      <w:r w:rsidRPr="00141015">
        <w:rPr>
          <w:rFonts w:ascii="Times New Roman" w:hAnsi="Times New Roman" w:cs="Times New Roman"/>
          <w:sz w:val="24"/>
          <w:szCs w:val="24"/>
          <w:vertAlign w:val="superscript"/>
          <w:lang w:val="en-AU"/>
        </w:rPr>
        <w:t>-1</w:t>
      </w:r>
      <w:r w:rsidRPr="00141015">
        <w:rPr>
          <w:rFonts w:ascii="Times New Roman" w:hAnsi="Times New Roman" w:cs="Times New Roman"/>
          <w:sz w:val="24"/>
          <w:szCs w:val="24"/>
          <w:lang w:val="en-AU"/>
        </w:rPr>
        <w:t>•d</w:t>
      </w:r>
      <w:r w:rsidRPr="00141015">
        <w:rPr>
          <w:rFonts w:ascii="Times New Roman" w:hAnsi="Times New Roman" w:cs="Times New Roman"/>
          <w:sz w:val="24"/>
          <w:szCs w:val="24"/>
          <w:vertAlign w:val="superscript"/>
          <w:lang w:val="en-AU"/>
        </w:rPr>
        <w:t>-1</w:t>
      </w:r>
      <w:r w:rsidRPr="00141015">
        <w:rPr>
          <w:rFonts w:ascii="Times New Roman" w:hAnsi="Times New Roman" w:cs="Times New Roman"/>
          <w:sz w:val="24"/>
          <w:szCs w:val="24"/>
        </w:rPr>
        <w:t xml:space="preserve">) eating plan was implemented over the 12-wk intervention. Energy intake was based on the Cunningham Equation (using fat free mass from DXA) and Physical Activity Level (PAL) of 1.6 (RES and END) or 1.8 (CET), and modified accordingly depending on individual weight changes over the 12-wk intervention. Macronutrient composition was monitored throughout the intervention with total energy intake (TEI) and protein intake a focus. Carbohydrate and fat intake were recommended to be within the Acceptable Macronutrient Distribution Range for these macronutrients (45-65% and 20-35% TEI for carbohydrate and fat, respectively). </w:t>
      </w:r>
      <w:r w:rsidR="008C4CB5">
        <w:rPr>
          <w:rFonts w:ascii="Times New Roman" w:hAnsi="Times New Roman" w:cs="Times New Roman"/>
          <w:sz w:val="24"/>
          <w:szCs w:val="24"/>
        </w:rPr>
        <w:t>Participants were instructed to remain in a positive energy balance to mitigate any potential of energetic stress related interferences to anabolic adaptations</w:t>
      </w:r>
      <w:r w:rsidR="00045318">
        <w:rPr>
          <w:rFonts w:ascii="Times New Roman" w:hAnsi="Times New Roman" w:cs="Times New Roman"/>
          <w:sz w:val="24"/>
          <w:szCs w:val="24"/>
        </w:rPr>
        <w:t xml:space="preserve"> </w:t>
      </w:r>
      <w:r w:rsidR="00871A5C">
        <w:rPr>
          <w:rFonts w:ascii="Times New Roman" w:hAnsi="Times New Roman" w:cs="Times New Roman"/>
          <w:sz w:val="24"/>
          <w:szCs w:val="24"/>
        </w:rPr>
        <w:fldChar w:fldCharType="begin"/>
      </w:r>
      <w:r w:rsidR="00045318">
        <w:rPr>
          <w:rFonts w:ascii="Times New Roman" w:hAnsi="Times New Roman" w:cs="Times New Roman"/>
          <w:sz w:val="24"/>
          <w:szCs w:val="24"/>
        </w:rPr>
        <w:instrText xml:space="preserve"> ADDIN ZOTERO_ITEM CSL_CITATION {"citationID":"0BUnGSp5","properties":{"formattedCitation":"[8,9]","plainCitation":"[8,9]"},"citationItems":[{"id":3904,"uris":["http://zotero.org/users/2207815/items/6E6PNWHR"],"uri":["http://zotero.org/users/2207815/items/6E6PNWHR"],"itemData":{"id":3904,"type":"article-journal","title":"Nutritional strategies to support concurrent training","container-title":"European Journal of Sport Science","page":"41-52","volume":"15","issue":"1","source":"Taylor and Francis+NEJM","abstract":"Concurrent training (the combination of endurance exercise to resistance training) is a common practice for athletes looking to maximise strength and endurance. Over 20 years ago, it was first observed that performing endurance exercise after resistance exercise could have detrimental effects on strength gains. At the cellular level, specific protein candidates have been suggested to mediate this training interference; however, at present, the physiological reason(s) behind the concurrent training effect remain largely unknown. Even less is known regarding the optimal nutritional strategies to support concurrent training and whether unique nutritional approaches are needed to support endurance and resistance exercise during concurrent training approaches. In this review, we will discuss the importance of protein supplementation for both endurance and resistance training adaptation and highlight additional nutritional strategies that may support concurrent training. Finally, we will attempt to synergise current understanding of the interaction between physiological responses and nutritional approaches into practical recommendations for concurrent training.","DOI":"10.1080/17461391.2014.950345","ISSN":"1746-1391","note":"PMID: 25159707","author":[{"family":"Perez-Schindler","given":"Joaquin"},{"family":"Hamilton","given":"D. Lee"},{"family":"Moore","given":"Daniel R."},{"family":"Baar","given":"Keith"},{"family":"Philp","given":"Andrew"}],"issued":{"date-parts":[["2015",1,2]]},"PMID":"25159707"},"label":"page"},{"id":5193,"uris":["http://zotero.org/users/2207815/items/8BC9THCC"],"uri":["http://zotero.org/users/2207815/items/8BC9THCC"],"itemData":{"id":5193,"type":"article-journal","title":"Can AMPK mediated suppression of mTORC1 explain the concurrent training effect?","container-title":"Cellular and Molecular Exercise Physiology","page":"e4","volume":"2","issue":"1","source":"www.cellularandmolecularexercisephysiology.com","abstract":"Endurance and resistance exercise are divergent modes of exercise training which each drive mode specific adaptive responses. Some of these adaptations are mutually exclusive, whilst others drive divergent effects on muscle contractile properties, mass and metabolic function. When both resistance and endurance exercise training are employed together, a process termed ‘concurrent training’, there appears to be a reduction in skeletal muscle adaptive potential. In real world terms this is evident in decathletes, in which personal bests represent approximately a 25% reduction compared to competitors from individual events. This review will detail the molecular pathways thought to drive the resistance and endurance training response and discuss recent evidence addressing the cross talk between these molecular pathways. Ultimately we will address whether interference at the molecular level can in some part explain the repression on strength gains observed following concurrent training.","DOI":"10.7457/cmep.v2i1.","ISSN":"2049-419X","language":"en","author":[{"family":"Hamilton","given":"David Lee"},{"family":"Philp","given":"Andy"}],"issued":{"date-parts":[["2013",9,8]]}},"label":"page"}],"schema":"https://github.com/citation-style-language/schema/raw/master/csl-citation.json"} </w:instrText>
      </w:r>
      <w:r w:rsidR="00871A5C">
        <w:rPr>
          <w:rFonts w:ascii="Times New Roman" w:hAnsi="Times New Roman" w:cs="Times New Roman"/>
          <w:sz w:val="24"/>
          <w:szCs w:val="24"/>
        </w:rPr>
        <w:fldChar w:fldCharType="separate"/>
      </w:r>
      <w:r w:rsidR="00045318">
        <w:rPr>
          <w:rFonts w:ascii="Times New Roman" w:hAnsi="Times New Roman" w:cs="Times New Roman"/>
          <w:noProof/>
          <w:sz w:val="24"/>
          <w:szCs w:val="24"/>
        </w:rPr>
        <w:t>[8,9]</w:t>
      </w:r>
      <w:r w:rsidR="00871A5C">
        <w:rPr>
          <w:rFonts w:ascii="Times New Roman" w:hAnsi="Times New Roman" w:cs="Times New Roman"/>
          <w:sz w:val="24"/>
          <w:szCs w:val="24"/>
        </w:rPr>
        <w:fldChar w:fldCharType="end"/>
      </w:r>
      <w:r w:rsidR="008C4CB5">
        <w:rPr>
          <w:rFonts w:ascii="Times New Roman" w:hAnsi="Times New Roman" w:cs="Times New Roman"/>
          <w:sz w:val="24"/>
          <w:szCs w:val="24"/>
        </w:rPr>
        <w:t>.</w:t>
      </w:r>
    </w:p>
    <w:p w:rsidR="002F1282" w:rsidRPr="00141015" w:rsidRDefault="002F1282" w:rsidP="009771C0">
      <w:pPr>
        <w:spacing w:line="480" w:lineRule="auto"/>
        <w:ind w:firstLine="720"/>
        <w:jc w:val="both"/>
        <w:rPr>
          <w:rFonts w:ascii="Times New Roman" w:hAnsi="Times New Roman" w:cs="Times New Roman"/>
          <w:sz w:val="24"/>
          <w:szCs w:val="24"/>
        </w:rPr>
      </w:pPr>
      <w:r w:rsidRPr="00141015">
        <w:rPr>
          <w:rFonts w:ascii="Times New Roman" w:hAnsi="Times New Roman" w:cs="Times New Roman"/>
          <w:sz w:val="24"/>
          <w:szCs w:val="24"/>
        </w:rPr>
        <w:lastRenderedPageBreak/>
        <w:t xml:space="preserve">Prior to and throughout the intervention, participants were provided the following guidelines to reach protein and energy targets: 1) distribute protein intake evenly throughout the day across 4-6 meals </w:t>
      </w:r>
      <w:r w:rsidR="00871A5C" w:rsidRPr="00141015">
        <w:rPr>
          <w:rFonts w:ascii="Times New Roman" w:hAnsi="Times New Roman" w:cs="Times New Roman"/>
          <w:sz w:val="24"/>
          <w:szCs w:val="24"/>
        </w:rPr>
        <w:fldChar w:fldCharType="begin"/>
      </w:r>
      <w:r w:rsidR="00045318">
        <w:rPr>
          <w:rFonts w:ascii="Times New Roman" w:hAnsi="Times New Roman" w:cs="Times New Roman"/>
          <w:sz w:val="24"/>
          <w:szCs w:val="24"/>
        </w:rPr>
        <w:instrText xml:space="preserve"> ADDIN ZOTERO_ITEM CSL_CITATION {"citationID":"2kakf3rak0","properties":{"formattedCitation":"[10,11]","plainCitation":"[10,11]"},"citationItems":[{"id":4370,"uris":["http://zotero.org/users/2207815/items/5DV7TMJT"],"uri":["http://zotero.org/users/2207815/items/5DV7TMJT"],"itemData":{"id":4370,"type":"article-journal","title":"Timing and distribution of protein ingestion during prolonged recovery from resistance exercise alters myofibrillar protein synthesis","container-title":"The Journal of Physiology","page":"2319-2331","volume":"591","issue":"9","source":"PubMed","abstract":"Quantity and timing of protein ingestion are major factors regulating myofibrillar protein synthesis (MPS). However, the effect of specific ingestion patterns on MPS throughout a 12 h period is unknown. We determined how different distributions of protein feeding during 12 h recovery after resistance exercise affects anabolic responses in skeletal muscle. Twenty-four healthy trained males were assigned to three groups (n = 8/group) and undertook a bout of resistance exercise followed by ingestion of 80 g of whey protein throughout 12 h recovery in one of the following protocols: 8 × 10 g every 1.5 h (PULSE); 4 × 20 g every 3 h (intermediate: INT); or 2 × 40 g every 6 h (BOLUS). Muscle biopsies were obtained at rest and after 1, 4, 6, 7 and 12 h post exercise. Resting and post-exercise MPS (l-[ring-(13)C6] phenylalanine), and muscle mRNA abundance and cell signalling were assessed. All ingestion protocols increased MPS above rest throughout 1-12 h recovery (88-148%, P &lt; 0.02), but INT elicited greater MPS than PULSE and BOLUS (31-48%, P &lt; 0.02). In general signalling showed a BOLUS&gt;INT&gt;PULSE hierarchy in magnitude of phosphorylation. MuRF-1 and SLC38A2 mRNA were differentially expressed with BOLUS. In conclusion, 20 g of whey protein consumed every 3 h was superior to either PULSE or BOLUS feeding patterns for stimulating MPS throughout the day. This study provides novel information on the effect of modulating the distribution of protein intake on anabolic responses in skeletal muscle and has the potential to maximize outcomes of resistance training for attaining peak muscle mass.","DOI":"10.1113/jphysiol.2012.244897","ISSN":"1469-7793","note":"PMID: 23459753\nPMCID: PMC3650697","journalAbbreviation":"J. Physiol. (Lond.)","language":"eng","author":[{"family":"Areta","given":"José L."},{"family":"Burke","given":"Louise M."},{"family":"Ross","given":"Megan L."},{"family":"Camera","given":"Donny M."},{"family":"West","given":"Daniel W. D."},{"family":"Broad","given":"Elizabeth M."},{"family":"Jeacocke","given":"Nikki A."},{"family":"Moore","given":"Daniel R."},{"family":"Stellingwerff","given":"Trent"},{"family":"Phillips","given":"Stuart M."},{"family":"Hawley","given":"John A."},{"family":"Coffey","given":"Vernon G."}],"issued":{"date-parts":[["2013",5,1]]},"PMID":"23459753","PMCID":"PMC3650697"},"label":"page"},{"id":4660,"uris":["http://zotero.org/users/2207815/items/25PUCBKH"],"uri":["http://zotero.org/users/2207815/items/25PUCBKH"],"itemData":{"id":4660,"type":"article-journal","title":"Per meal dose and frequency of protein consumption is associated with lean mass and muscle performance","container-title":"Clinical Nutrition (Edinburgh, Scotland)","page":"1506-1511","volume":"35","issue":"6","source":"PubMed","abstract":"BACKGROUND: It has been hypothesized that for older adults evenly distributing consumption of protein at 30-40 g per meal throughout the day may result in more favorable retention of lean mass and muscular strength. Such a thesis has not, to our knowledge, been tested outside of short-term studies or acute measures of muscle protein synthesis.\nAIMS: To examine whether the number of times an individual consumed a minimum of 30 g of protein at a meal is associated with leg lean mass and knee extensor strength.\nMETHODS: Data from the 1999-2002 NHANES were used, with 1081 adults (50-85 y) constituting the analytic sample. A \"multiple pass\" 24-h dietary interview format was used to collect detailed information about the participants' dietary intake. Knee extensor strength was assessed objectively using the Kin Com MP dynamometer. Leg lean mass was estimated from whole-body dual-energy X-ray absorptiometry (DXA) scans.\nRESULTS: Participants with 1 vs. 0 (βadjusted = 23.6, p = 0.002) and 2 vs. 0 (βadjusted = 51.1, p = 0.001) meals of ≥30 g protein/meal had greater strength and leg lean mass (1 vs. 0, βadjusted = 1160, p &lt; 0.05 and 2 vs. 0, βadjusted = 2389, p &lt; 0.05). The association of protein frequency with leg lean mass and strength plateaued at </w:instrText>
      </w:r>
      <w:r w:rsidR="00045318">
        <w:rPr>
          <w:rFonts w:ascii="Bradley Hand Bold" w:hAnsi="Bradley Hand Bold" w:cs="Bradley Hand Bold"/>
          <w:sz w:val="24"/>
          <w:szCs w:val="24"/>
        </w:rPr>
        <w:instrText>∼</w:instrText>
      </w:r>
      <w:r w:rsidR="00045318">
        <w:rPr>
          <w:rFonts w:ascii="Times New Roman" w:hAnsi="Times New Roman" w:cs="Times New Roman"/>
          <w:sz w:val="24"/>
          <w:szCs w:val="24"/>
        </w:rPr>
        <w:instrText xml:space="preserve">45 g protein/meal for those consuming 2 vs. 0 meals above the evaluated protein/meal threshold. However, for those with only 1 meal at or above the evaluated threshold, the response plateaued at 30 g/meal. Leg lean mass mediated the relationship between protein frequency and strength, with the proportion of the total effect mediated being 64%.\nCONCLUSIONS: We found that more frequent consumption of meals containing between 30 and 45 g protein/meal produced the greatest association with leg lean mass and strength. Thus, the consumption of 1-2 daily meals with protein content from 30 to 45 g may be an important strategy for increasing and/or maintaining lean body mass and muscle strength with aging.","DOI":"10.1016/j.clnu.2016.04.002","ISSN":"1532-1983","note":"PMID: 27086196","journalAbbreviation":"Clin Nutr","language":"eng","author":[{"family":"Loenneke","given":"Jeremy P."},{"family":"Loprinzi","given":"Paul D."},{"family":"Murphy","given":"Caoileann H."},{"family":"Phillips","given":"Stuart M."}],"issued":{"date-parts":[["2016",12]]},"PMID":"27086196"},"label":"page"}],"schema":"https://github.com/citation-style-language/schema/raw/master/csl-citation.json"} </w:instrText>
      </w:r>
      <w:r w:rsidR="00871A5C" w:rsidRPr="00141015">
        <w:rPr>
          <w:rFonts w:ascii="Times New Roman" w:hAnsi="Times New Roman" w:cs="Times New Roman"/>
          <w:sz w:val="24"/>
          <w:szCs w:val="24"/>
        </w:rPr>
        <w:fldChar w:fldCharType="separate"/>
      </w:r>
      <w:r w:rsidR="00045318">
        <w:rPr>
          <w:rFonts w:ascii="Times New Roman" w:hAnsi="Times New Roman" w:cs="Times New Roman"/>
          <w:sz w:val="24"/>
          <w:szCs w:val="24"/>
        </w:rPr>
        <w:t>[10,11]</w:t>
      </w:r>
      <w:r w:rsidR="00871A5C" w:rsidRPr="00141015">
        <w:rPr>
          <w:rFonts w:ascii="Times New Roman" w:hAnsi="Times New Roman" w:cs="Times New Roman"/>
          <w:sz w:val="24"/>
          <w:szCs w:val="24"/>
        </w:rPr>
        <w:fldChar w:fldCharType="end"/>
      </w:r>
      <w:r w:rsidRPr="00141015">
        <w:rPr>
          <w:rFonts w:ascii="Times New Roman" w:hAnsi="Times New Roman" w:cs="Times New Roman"/>
          <w:sz w:val="24"/>
          <w:szCs w:val="24"/>
        </w:rPr>
        <w:t xml:space="preserve"> and 2) consume ~20-30 g of protein prior to bed to maximize potential for muscle protein synthesis </w:t>
      </w:r>
      <w:r w:rsidR="00871A5C" w:rsidRPr="00141015">
        <w:rPr>
          <w:rFonts w:ascii="Times New Roman" w:hAnsi="Times New Roman" w:cs="Times New Roman"/>
          <w:sz w:val="24"/>
          <w:szCs w:val="24"/>
        </w:rPr>
        <w:fldChar w:fldCharType="begin"/>
      </w:r>
      <w:r w:rsidR="00045318">
        <w:rPr>
          <w:rFonts w:ascii="Times New Roman" w:hAnsi="Times New Roman" w:cs="Times New Roman"/>
          <w:sz w:val="24"/>
          <w:szCs w:val="24"/>
        </w:rPr>
        <w:instrText xml:space="preserve"> ADDIN ZOTERO_ITEM CSL_CITATION {"citationID":"PgpPGumN","properties":{"formattedCitation":"{\\rtf [12\\uc0\\u8211{}14]}","plainCitation":"[12–14]"},"citationItems":[{"id":851,"uris":["http://zotero.org/users/2207815/items/8CA5TAUX"],"uri":["http://zotero.org/users/2207815/items/8CA5TAUX"],"itemData":{"id":851,"type":"article-journal","title":"Ingested protein dose response of muscle and albumin protein synthesis after resistance exercise in young men","container-title":"American Journal of Clinical Nutrition","page":"161-168","volume":"89","issue":"1","source":"CrossRef","DOI":"10.3945/ajcn.2008.26401","ISSN":"0002-9165, 1938-3207","language":"en","author":[{"family":"Moore","given":"D. R"},{"family":"Robinson","given":"M. J"},{"family":"Fry","given":"J. L"},{"family":"Tang","given":"J. E"},{"family":"Glover","given":"E. I"},{"family":"Wilkinson","given":"S. B"},{"family":"Prior","given":"T."},{"family":"Tarnopolsky","given":"M. A"},{"family":"Phillips","given":"S. M"}],"issued":{"date-parts":[["2009"]]}},"label":"page"},{"id":1063,"uris":["http://zotero.org/users/2207815/items/S5QDESJE"],"uri":["http://zotero.org/users/2207815/items/S5QDESJE"],"itemData":{"id":1063,"type":"article-journal","title":"Protein Ingestion before Sleep Increases Muscle Mass and Strength Gains during Prolonged Resistance-Type Exercise Training in Healthy Young Men","container-title":"The Journal of Nutrition","page":"1178-1184","volume":"145","issue":"6","source":"PubMed","abstract":"BACKGROUND: It has been demonstrated that protein ingestion before sleep increases muscle protein synthesis rates during overnight recovery from an exercise bout. However, it remains to be established whether dietary protein ingestion before sleep can effectively augment the muscle adaptive response to resistance-type exercise training.\nOBJECTIVE: Here we assessed the impact of dietary protein supplementation before sleep on muscle mass and strength gains during resistance-type exercise training.\nMETHODS: Forty-four young men (22 ± 1 y) were randomly assigned to a progressive, 12-wk resistance exercise training program. One group consumed a protein supplement containing 27.5 g of protein, 15 g of carbohydrate, and 0.1 g of fat every night before sleep. The other group received a noncaloric placebo. Muscle hypertrophy was assessed on a whole-body (dual-energy X-ray absorptiometry), limb (computed tomography scan), and muscle fiber (muscle biopsy specimen) level before and after exercise training. Strength was assessed regularly by 1-repetition maximum strength testing.\nRESULTS: Muscle strength increased after resistance exercise training to a significantly greater extent in the protein-supplemented (PRO) group than in the placebo-supplemented (PLA) group (+164 ± 11 kg and +130 ± 9 kg, respectively; P &lt; 0.001). In addition, quadriceps muscle cross-sectional area increased in both groups over time (P &lt; 0.001), with a greater increase in the PRO group than in the PLA group (+8.4 ± 1.1 cm(2) vs. +4.8 ± 0.8 cm(2), respectively; P &lt; 0.05). Both type I and type II muscle fiber size increased after exercise training (P &lt; 0.001), with a greater increase in type II muscle fiber size in the PRO group (+2319 ± 368 μm(2)) than in the PLA group (+1017 ± 353 μm(2); P &lt; 0.05).\nCONCLUSION: Protein ingestion before sleep represents an effective dietary strategy to augment muscle mass and strength gains during resistance exercise training in young men. This trial was registered at clinicaltrials.gov as NCT02222415.","DOI":"10.3945/jn.114.208371","ISSN":"1541-6100","note":"PMID: 25926415","journalAbbreviation":"J. Nutr.","language":"eng","author":[{"family":"Snijders","given":"Tim"},{"family":"Res","given":"Peter T."},{"family":"Smeets","given":"Joey Sj"},{"family":"Vliet","given":"Stephan","non-dropping-particle":"van"},{"family":"Kranenburg","given":"Janneau","non-dropping-particle":"van"},{"family":"Maase","given":"Kamiel"},{"family":"Kies","given":"Arie K."},{"family":"Verdijk","given":"Lex B."},{"family":"Loon","given":"Luc Jc","non-dropping-particle":"van"}],"issued":{"date-parts":[["2015",6]]},"PMID":"25926415"},"label":"page"},{"id":4231,"uris":["http://zotero.org/users/2207815/items/2IM45V8R"],"uri":["http://zotero.org/users/2207815/items/2IM45V8R"],"itemData":{"id":4231,"type":"article-journal","title":"Pre-sleep dietary protein-derived amino acids are incorporated in myofibrillar protein during post-exercise overnight recovery","container-title":"American Journal of Physiology - Endocrinology and Metabolism","page":"ajpendo.00273.2016","source":"ajpendo.physiology.org","abstract":"The purpose of this study was to determine the impact of ingesting 30 g casein protein with and without 2 g free leucine prior to sleep on myofibrillar protein synthesis rates during post-exercise overnight recovery. 36 healthy young males performed a single bout of resistance-type exercise in the evening (19:45 h) after a full day of dietary standardization. Thirty min prior to sleep (23:30 h), subjects ingested 30 g intrinsically L-[1-13C]-phenylalanine-labeled protein with (PRO+leu, n=12) or without (PRO, n=12) 2 g free leucine, or a noncaloric placebo (PLA, n=12). Continuous intravenous L-[ring-2H5]-phenylalanine, L-[1-13C]-leucine and L-[ring-2H2]-tyrosine infusions were applied. Blood and muscle tissue samples were collected to assess whole-body protein net balance, myofibrillar protein synthesis rates and overnight incorporation of dietary protein-derived amino acids into myofibrillar protein. Protein ingestion prior to sleep improved overnight whole-body protein net balance (P&lt;0.001). Myofibrillar protein synthesis rates did not differ significantly between treatments as assessed by L-[ring-2H5]-phenylalanine (0.057±0.002, 0.055±0.002, and 0.055±0.004 %∙h-1 for PLA, PRO, and PRO+leu, respectively; P=0.850) or L-[1-13C]-leucine (0.080±0.004, 0.073±0.004, and 0.083±0.006 %∙h-1, respectively; P=0.328). Myofibrillar L-[1-13C]-phenylalanine enrichments increased following protein ingestion, but did not differ between the PRO and PRO+leu treatments. In conclusion, protein ingestion prior to sleep improves whole-body protein net balance and provides amino acids that are incorporated into myofibrillar protein during sleep. However, the ingestion of 30 g casein protein with or without additional free leucine prior to sleep does not increase muscle protein synthesis rates during post-exercise overnight recovery.","DOI":"10.1152/ajpendo.00273.2016","ISSN":"0193-1849, 1522-1555","note":"PMID: 28536184","language":"en","author":[{"family":"Trommelen","given":"Jorn"},{"family":"Kouw","given":"Imre W. K."},{"family":"Holwerda","given":"Andrew M."},{"family":"Snijders","given":"Tim"},{"family":"Halson","given":"Shona L."},{"family":"Rollo","given":"Ian"},{"family":"Verdijk","given":"Lex B."},{"family":"Loon","given":"Luc J. C.","dropping-particle":"van"}],"issued":{"date-parts":[["2017",5,23]]},"PMID":"28536184"},"label":"page"}],"schema":"https://github.com/citation-style-language/schema/raw/master/csl-citation.json"} </w:instrText>
      </w:r>
      <w:r w:rsidR="00871A5C" w:rsidRPr="00141015">
        <w:rPr>
          <w:rFonts w:ascii="Times New Roman" w:hAnsi="Times New Roman" w:cs="Times New Roman"/>
          <w:sz w:val="24"/>
          <w:szCs w:val="24"/>
        </w:rPr>
        <w:fldChar w:fldCharType="separate"/>
      </w:r>
      <w:r w:rsidR="00045318" w:rsidRPr="008F055D">
        <w:rPr>
          <w:rFonts w:ascii="Times New Roman" w:hAnsi="Times New Roman" w:cs="Times New Roman"/>
          <w:sz w:val="24"/>
          <w:szCs w:val="24"/>
        </w:rPr>
        <w:t>[12–14]</w:t>
      </w:r>
      <w:r w:rsidR="00871A5C" w:rsidRPr="00141015">
        <w:rPr>
          <w:rFonts w:ascii="Times New Roman" w:hAnsi="Times New Roman" w:cs="Times New Roman"/>
          <w:sz w:val="24"/>
          <w:szCs w:val="24"/>
        </w:rPr>
        <w:fldChar w:fldCharType="end"/>
      </w:r>
      <w:r w:rsidRPr="00141015">
        <w:rPr>
          <w:rFonts w:ascii="Times New Roman" w:hAnsi="Times New Roman" w:cs="Times New Roman"/>
          <w:sz w:val="24"/>
          <w:szCs w:val="24"/>
        </w:rPr>
        <w:t xml:space="preserve">. Participants were provided with ~34 g of whey protein (Pure Warrior 100% WPI, </w:t>
      </w:r>
      <w:proofErr w:type="spellStart"/>
      <w:r w:rsidRPr="00141015">
        <w:rPr>
          <w:rFonts w:ascii="Times New Roman" w:hAnsi="Times New Roman" w:cs="Times New Roman"/>
          <w:sz w:val="24"/>
          <w:szCs w:val="24"/>
        </w:rPr>
        <w:t>Swisse</w:t>
      </w:r>
      <w:proofErr w:type="spellEnd"/>
      <w:r w:rsidRPr="00141015">
        <w:rPr>
          <w:rFonts w:ascii="Times New Roman" w:hAnsi="Times New Roman" w:cs="Times New Roman"/>
          <w:sz w:val="24"/>
          <w:szCs w:val="24"/>
        </w:rPr>
        <w:t xml:space="preserve">™, Australia) following every training session to maximally stimulate post-exercise rates of muscle protein synthesis </w:t>
      </w:r>
      <w:r w:rsidR="00871A5C" w:rsidRPr="00141015">
        <w:rPr>
          <w:rFonts w:ascii="Times New Roman" w:hAnsi="Times New Roman" w:cs="Times New Roman"/>
          <w:sz w:val="24"/>
          <w:szCs w:val="24"/>
        </w:rPr>
        <w:fldChar w:fldCharType="begin"/>
      </w:r>
      <w:r w:rsidR="00045318">
        <w:rPr>
          <w:rFonts w:ascii="Times New Roman" w:hAnsi="Times New Roman" w:cs="Times New Roman"/>
          <w:sz w:val="24"/>
          <w:szCs w:val="24"/>
        </w:rPr>
        <w:instrText xml:space="preserve"> ADDIN ZOTERO_ITEM CSL_CITATION {"citationID":"8irTWUMe","properties":{"formattedCitation":"[15]","plainCitation":"[15]"},"citationItems":[{"id":3112,"uris":["http://zotero.org/users/2207815/items/PN783V7V"],"uri":["http://zotero.org/users/2207815/items/PN783V7V"],"itemData":{"id":3112,"type":"article-journal","title":"The response of muscle protein synthesis following whole</w:instrText>
      </w:r>
      <w:r w:rsidR="00045318">
        <w:rPr>
          <w:rFonts w:ascii="American Typewriter" w:hAnsi="American Typewriter" w:cs="American Typewriter"/>
          <w:sz w:val="24"/>
          <w:szCs w:val="24"/>
        </w:rPr>
        <w:instrText>‐</w:instrText>
      </w:r>
      <w:r w:rsidR="00045318">
        <w:rPr>
          <w:rFonts w:ascii="Times New Roman" w:hAnsi="Times New Roman" w:cs="Times New Roman"/>
          <w:sz w:val="24"/>
          <w:szCs w:val="24"/>
        </w:rPr>
        <w:instrText>body resistance exercise is greater following 40 g than 20 g of ingested whey protein","container-title":"Physiological Reports","page":"e12893","volume":"4","issue":"15","source":"physreports.physiology.org","abstract":"The currently accepted amount of protein required to achieve maximal stimulation of myofibrillar protein synthesis (MPS) following resistance exercise is 20–25 g. However, the influence of lean body mass (LBM) on the response of MPS to protein ingestion is unclear. Our aim was to assess the influence of LBM, both total and the amount activated during exercise, on the maximal response of MPS to ingestion of 20 or 40 g of whey protein following a bout of whole</w:instrText>
      </w:r>
      <w:r w:rsidR="00045318">
        <w:rPr>
          <w:rFonts w:ascii="American Typewriter" w:hAnsi="American Typewriter" w:cs="American Typewriter"/>
          <w:sz w:val="24"/>
          <w:szCs w:val="24"/>
        </w:rPr>
        <w:instrText>‐</w:instrText>
      </w:r>
      <w:r w:rsidR="00045318">
        <w:rPr>
          <w:rFonts w:ascii="Times New Roman" w:hAnsi="Times New Roman" w:cs="Times New Roman"/>
          <w:sz w:val="24"/>
          <w:szCs w:val="24"/>
        </w:rPr>
        <w:instrText>body resistance exercise. Resistance</w:instrText>
      </w:r>
      <w:r w:rsidR="00045318">
        <w:rPr>
          <w:rFonts w:ascii="American Typewriter" w:hAnsi="American Typewriter" w:cs="American Typewriter"/>
          <w:sz w:val="24"/>
          <w:szCs w:val="24"/>
        </w:rPr>
        <w:instrText>‐</w:instrText>
      </w:r>
      <w:r w:rsidR="00045318">
        <w:rPr>
          <w:rFonts w:ascii="Times New Roman" w:hAnsi="Times New Roman" w:cs="Times New Roman"/>
          <w:sz w:val="24"/>
          <w:szCs w:val="24"/>
        </w:rPr>
        <w:instrText>trained males were assigned to a group with lower LBM (≤65 kg; LLBM n = 15) or higher LBM (≥70 kg; HLBM n = 15) and participated in two trials in random order. MPS was measured with the infusion of 13C6</w:instrText>
      </w:r>
      <w:r w:rsidR="00045318">
        <w:rPr>
          <w:rFonts w:ascii="American Typewriter" w:hAnsi="American Typewriter" w:cs="American Typewriter"/>
          <w:sz w:val="24"/>
          <w:szCs w:val="24"/>
        </w:rPr>
        <w:instrText>‐</w:instrText>
      </w:r>
      <w:r w:rsidR="00045318">
        <w:rPr>
          <w:rFonts w:ascii="Times New Roman" w:hAnsi="Times New Roman" w:cs="Times New Roman"/>
          <w:sz w:val="24"/>
          <w:szCs w:val="24"/>
        </w:rPr>
        <w:instrText>phenylalanine tracer and collection of muscle biopsies following ingestion of either 20 or 40 g protein during recovery from a single bout of whole</w:instrText>
      </w:r>
      <w:r w:rsidR="00045318">
        <w:rPr>
          <w:rFonts w:ascii="American Typewriter" w:hAnsi="American Typewriter" w:cs="American Typewriter"/>
          <w:sz w:val="24"/>
          <w:szCs w:val="24"/>
        </w:rPr>
        <w:instrText>‐</w:instrText>
      </w:r>
      <w:r w:rsidR="00045318">
        <w:rPr>
          <w:rFonts w:ascii="Times New Roman" w:hAnsi="Times New Roman" w:cs="Times New Roman"/>
          <w:sz w:val="24"/>
          <w:szCs w:val="24"/>
        </w:rPr>
        <w:instrText>body resistance exercise. A similar response of MPS during exercise recovery was observed between LBM groups following protein ingestion (20 g – LLBM: 0.048 ± 0.018%·h−1; HLBM: 0.051 ± 0.014%·h−1; 40 g – LLBM: 0.059 ± 0.021%·h−1; HLBM: 0.059 ± 0.012%·h−1). Overall (groups combined), MPS was stimulated to a greater extent following ingestion of 40 g (0.059 ± 0.020%·h−1) compared with 20 g (0.049 ± 0.020%·h−1; P = 0.005) of protein. Our data indicate that ingestion of 40 g whey protein following whole</w:instrText>
      </w:r>
      <w:r w:rsidR="00045318">
        <w:rPr>
          <w:rFonts w:ascii="American Typewriter" w:hAnsi="American Typewriter" w:cs="American Typewriter"/>
          <w:sz w:val="24"/>
          <w:szCs w:val="24"/>
        </w:rPr>
        <w:instrText>‐</w:instrText>
      </w:r>
      <w:r w:rsidR="00045318">
        <w:rPr>
          <w:rFonts w:ascii="Times New Roman" w:hAnsi="Times New Roman" w:cs="Times New Roman"/>
          <w:sz w:val="24"/>
          <w:szCs w:val="24"/>
        </w:rPr>
        <w:instrText>body resistance exercise stimulates a greater MPS response than 20 g in young resistance</w:instrText>
      </w:r>
      <w:r w:rsidR="00045318">
        <w:rPr>
          <w:rFonts w:ascii="American Typewriter" w:hAnsi="American Typewriter" w:cs="American Typewriter"/>
          <w:sz w:val="24"/>
          <w:szCs w:val="24"/>
        </w:rPr>
        <w:instrText>‐</w:instrText>
      </w:r>
      <w:r w:rsidR="00045318">
        <w:rPr>
          <w:rFonts w:ascii="Times New Roman" w:hAnsi="Times New Roman" w:cs="Times New Roman"/>
          <w:sz w:val="24"/>
          <w:szCs w:val="24"/>
        </w:rPr>
        <w:instrText xml:space="preserve">trained men. However, with the current doses, the total amount of LBM does not seem to influence the response.","DOI":"10.14814/phy2.12893","ISSN":"2051-817X, 2051-817X","note":"PMID: 27511985","language":"en","author":[{"family":"Macnaughton","given":"Lindsay S."},{"family":"Wardle","given":"Sophie L."},{"family":"Witard","given":"Oliver C."},{"family":"McGlory","given":"Chris"},{"family":"Hamilton","given":"D. Lee"},{"family":"Jeromson","given":"Stewart"},{"family":"Lawrence","given":"Clare E."},{"family":"Wallis","given":"Gareth A."},{"family":"Tipton","given":"Kevin D."}],"issued":{"date-parts":[["2016",8,1]]},"PMID":"27511985"}}],"schema":"https://github.com/citation-style-language/schema/raw/master/csl-citation.json"} </w:instrText>
      </w:r>
      <w:r w:rsidR="00871A5C" w:rsidRPr="00141015">
        <w:rPr>
          <w:rFonts w:ascii="Times New Roman" w:hAnsi="Times New Roman" w:cs="Times New Roman"/>
          <w:sz w:val="24"/>
          <w:szCs w:val="24"/>
        </w:rPr>
        <w:fldChar w:fldCharType="separate"/>
      </w:r>
      <w:r w:rsidR="00045318">
        <w:rPr>
          <w:rFonts w:ascii="Times New Roman" w:hAnsi="Times New Roman" w:cs="Times New Roman"/>
          <w:sz w:val="24"/>
          <w:szCs w:val="24"/>
        </w:rPr>
        <w:t>[15]</w:t>
      </w:r>
      <w:r w:rsidR="00871A5C" w:rsidRPr="00141015">
        <w:rPr>
          <w:rFonts w:ascii="Times New Roman" w:hAnsi="Times New Roman" w:cs="Times New Roman"/>
          <w:sz w:val="24"/>
          <w:szCs w:val="24"/>
        </w:rPr>
        <w:fldChar w:fldCharType="end"/>
      </w:r>
      <w:r w:rsidRPr="00141015">
        <w:rPr>
          <w:rFonts w:ascii="Times New Roman" w:hAnsi="Times New Roman" w:cs="Times New Roman"/>
          <w:sz w:val="24"/>
          <w:szCs w:val="24"/>
        </w:rPr>
        <w:t>. In addition, all participants were provided with a whey protein supplement (Whey Protein Concentrate, Bulk Nutrients, Australia) to consume as needed throughout the 12-wk intervention. Both protein supplements are commercially available and undergo batch testing for banned substances by independent organizations in compliance with the World Anti-Doping Authority. To further assist in reaching the 2 g•kg</w:t>
      </w:r>
      <w:r w:rsidRPr="00141015">
        <w:rPr>
          <w:rFonts w:ascii="Times New Roman" w:hAnsi="Times New Roman" w:cs="Times New Roman"/>
          <w:sz w:val="24"/>
          <w:szCs w:val="24"/>
          <w:vertAlign w:val="superscript"/>
        </w:rPr>
        <w:t>-1</w:t>
      </w:r>
      <w:r w:rsidRPr="00141015">
        <w:rPr>
          <w:rFonts w:ascii="Times New Roman" w:hAnsi="Times New Roman" w:cs="Times New Roman"/>
          <w:sz w:val="24"/>
          <w:szCs w:val="24"/>
        </w:rPr>
        <w:t>•d</w:t>
      </w:r>
      <w:r w:rsidRPr="00141015">
        <w:rPr>
          <w:rFonts w:ascii="Times New Roman" w:hAnsi="Times New Roman" w:cs="Times New Roman"/>
          <w:sz w:val="24"/>
          <w:szCs w:val="24"/>
          <w:vertAlign w:val="superscript"/>
        </w:rPr>
        <w:t>-1</w:t>
      </w:r>
      <w:r w:rsidRPr="00141015">
        <w:rPr>
          <w:rFonts w:ascii="Times New Roman" w:hAnsi="Times New Roman" w:cs="Times New Roman"/>
          <w:sz w:val="24"/>
          <w:szCs w:val="24"/>
        </w:rPr>
        <w:t xml:space="preserve"> protein amount, participants were also provided with weekly allotments of yoghurt from Chobani (Chobani LLC, Australia) and </w:t>
      </w:r>
      <w:proofErr w:type="spellStart"/>
      <w:r w:rsidRPr="00141015">
        <w:rPr>
          <w:rFonts w:ascii="Times New Roman" w:hAnsi="Times New Roman" w:cs="Times New Roman"/>
          <w:sz w:val="24"/>
          <w:szCs w:val="24"/>
        </w:rPr>
        <w:t>Jalna</w:t>
      </w:r>
      <w:proofErr w:type="spellEnd"/>
      <w:r w:rsidRPr="00141015">
        <w:rPr>
          <w:rFonts w:ascii="Times New Roman" w:hAnsi="Times New Roman" w:cs="Times New Roman"/>
          <w:sz w:val="24"/>
          <w:szCs w:val="24"/>
        </w:rPr>
        <w:t xml:space="preserve"> (</w:t>
      </w:r>
      <w:proofErr w:type="spellStart"/>
      <w:r w:rsidRPr="00141015">
        <w:rPr>
          <w:rFonts w:ascii="Times New Roman" w:hAnsi="Times New Roman" w:cs="Times New Roman"/>
          <w:sz w:val="24"/>
          <w:szCs w:val="24"/>
        </w:rPr>
        <w:t>Jalna</w:t>
      </w:r>
      <w:proofErr w:type="spellEnd"/>
      <w:r w:rsidRPr="00141015">
        <w:rPr>
          <w:rFonts w:ascii="Times New Roman" w:hAnsi="Times New Roman" w:cs="Times New Roman"/>
          <w:sz w:val="24"/>
          <w:szCs w:val="24"/>
        </w:rPr>
        <w:t xml:space="preserve"> Dairy Foods Pty Ltd, Australia), as well as almonds (Almond Board of Australia).</w:t>
      </w:r>
    </w:p>
    <w:p w:rsidR="002F1282" w:rsidRPr="00141015" w:rsidRDefault="002F1282" w:rsidP="009771C0">
      <w:pPr>
        <w:spacing w:line="480" w:lineRule="auto"/>
        <w:ind w:firstLine="720"/>
        <w:jc w:val="both"/>
        <w:rPr>
          <w:rFonts w:ascii="Times New Roman" w:hAnsi="Times New Roman" w:cs="Times New Roman"/>
          <w:sz w:val="24"/>
          <w:szCs w:val="24"/>
        </w:rPr>
      </w:pPr>
      <w:r w:rsidRPr="00141015">
        <w:rPr>
          <w:rFonts w:ascii="Times New Roman" w:hAnsi="Times New Roman" w:cs="Times New Roman"/>
          <w:sz w:val="24"/>
          <w:szCs w:val="24"/>
        </w:rPr>
        <w:t>Participants attended consultations with an Accredited Practicing Dietitian on a fortnightly basis for a total of 8 consultations (Baseline prior to intervention, week 1, 3, 5, 7, 9, and 11, as well as week 13 to conclude the study). Consultations lasted ~20-30 min and provided participants with education, support, and advice to ensure nutrient targets were met, protein intake was evenly distributed throughout the day, and to monitor, and assess, dietary adherence. Advice was tailored and individualized to each participant depending on food preference, as well as eating habits and behaviours. On alternate weeks, the Accredited Practicing Dietitian contacted participants via text message and phone call to ensure dietary compliance and food record maintenance. Daily food records were kept by participants through mobile phone applications Easy Diet Diary (</w:t>
      </w:r>
      <w:proofErr w:type="spellStart"/>
      <w:r w:rsidRPr="00141015">
        <w:rPr>
          <w:rFonts w:ascii="Times New Roman" w:hAnsi="Times New Roman" w:cs="Times New Roman"/>
          <w:sz w:val="24"/>
          <w:szCs w:val="24"/>
        </w:rPr>
        <w:t>Xyris</w:t>
      </w:r>
      <w:proofErr w:type="spellEnd"/>
      <w:r w:rsidRPr="00141015">
        <w:rPr>
          <w:rFonts w:ascii="Times New Roman" w:hAnsi="Times New Roman" w:cs="Times New Roman"/>
          <w:sz w:val="24"/>
          <w:szCs w:val="24"/>
        </w:rPr>
        <w:t xml:space="preserve"> Software Pty Ltd, Australia) for participants with iPhones</w:t>
      </w:r>
      <w:r w:rsidRPr="00141015">
        <w:rPr>
          <w:rFonts w:ascii="Times New Roman" w:hAnsi="Times New Roman" w:cs="Times New Roman"/>
          <w:sz w:val="24"/>
          <w:szCs w:val="24"/>
          <w:vertAlign w:val="superscript"/>
        </w:rPr>
        <w:t>®</w:t>
      </w:r>
      <w:r w:rsidRPr="00141015">
        <w:rPr>
          <w:rFonts w:ascii="Times New Roman" w:hAnsi="Times New Roman" w:cs="Times New Roman"/>
          <w:sz w:val="24"/>
          <w:szCs w:val="24"/>
        </w:rPr>
        <w:t xml:space="preserve"> </w:t>
      </w:r>
      <w:r w:rsidRPr="00141015">
        <w:rPr>
          <w:rFonts w:ascii="Times New Roman" w:hAnsi="Times New Roman" w:cs="Times New Roman"/>
          <w:sz w:val="24"/>
          <w:szCs w:val="24"/>
        </w:rPr>
        <w:lastRenderedPageBreak/>
        <w:t xml:space="preserve">(Apple Inc., USA; </w:t>
      </w:r>
      <w:r w:rsidRPr="00141015">
        <w:rPr>
          <w:rFonts w:ascii="Times New Roman" w:hAnsi="Times New Roman" w:cs="Times New Roman"/>
          <w:i/>
          <w:sz w:val="24"/>
          <w:szCs w:val="24"/>
        </w:rPr>
        <w:t>n</w:t>
      </w:r>
      <w:r w:rsidRPr="00141015">
        <w:rPr>
          <w:rFonts w:ascii="Times New Roman" w:hAnsi="Times New Roman" w:cs="Times New Roman"/>
          <w:sz w:val="24"/>
          <w:szCs w:val="24"/>
        </w:rPr>
        <w:t xml:space="preserve"> = 20) and MyFitnessPal (MyFitnessPal Inc., USA) for participants with Android-based (Google Inc., USA) devices (</w:t>
      </w:r>
      <w:r w:rsidRPr="00141015">
        <w:rPr>
          <w:rFonts w:ascii="Times New Roman" w:hAnsi="Times New Roman" w:cs="Times New Roman"/>
          <w:i/>
          <w:sz w:val="24"/>
          <w:szCs w:val="24"/>
        </w:rPr>
        <w:t>n</w:t>
      </w:r>
      <w:r w:rsidRPr="00141015">
        <w:rPr>
          <w:rFonts w:ascii="Times New Roman" w:hAnsi="Times New Roman" w:cs="Times New Roman"/>
          <w:sz w:val="24"/>
          <w:szCs w:val="24"/>
        </w:rPr>
        <w:t xml:space="preserve"> = 12). All dietary intake data was analyzed using </w:t>
      </w:r>
      <w:proofErr w:type="spellStart"/>
      <w:r w:rsidRPr="00141015">
        <w:rPr>
          <w:rFonts w:ascii="Times New Roman" w:hAnsi="Times New Roman" w:cs="Times New Roman"/>
          <w:sz w:val="24"/>
          <w:szCs w:val="24"/>
        </w:rPr>
        <w:t>FoodWorks</w:t>
      </w:r>
      <w:proofErr w:type="spellEnd"/>
      <w:r w:rsidRPr="00141015">
        <w:rPr>
          <w:rFonts w:ascii="Times New Roman" w:hAnsi="Times New Roman" w:cs="Times New Roman"/>
          <w:sz w:val="24"/>
          <w:szCs w:val="24"/>
        </w:rPr>
        <w:t xml:space="preserve"> 8</w:t>
      </w:r>
      <w:r w:rsidRPr="00141015">
        <w:rPr>
          <w:rFonts w:ascii="Times New Roman" w:hAnsi="Times New Roman" w:cs="Times New Roman"/>
          <w:sz w:val="24"/>
          <w:szCs w:val="24"/>
          <w:vertAlign w:val="superscript"/>
        </w:rPr>
        <w:t>©</w:t>
      </w:r>
      <w:r w:rsidRPr="00141015">
        <w:rPr>
          <w:rFonts w:ascii="Times New Roman" w:hAnsi="Times New Roman" w:cs="Times New Roman"/>
          <w:sz w:val="24"/>
          <w:szCs w:val="24"/>
        </w:rPr>
        <w:t xml:space="preserve"> (</w:t>
      </w:r>
      <w:proofErr w:type="spellStart"/>
      <w:r w:rsidRPr="00141015">
        <w:rPr>
          <w:rFonts w:ascii="Times New Roman" w:hAnsi="Times New Roman" w:cs="Times New Roman"/>
          <w:sz w:val="24"/>
          <w:szCs w:val="24"/>
        </w:rPr>
        <w:t>Xyris</w:t>
      </w:r>
      <w:proofErr w:type="spellEnd"/>
      <w:r w:rsidRPr="00141015">
        <w:rPr>
          <w:rFonts w:ascii="Times New Roman" w:hAnsi="Times New Roman" w:cs="Times New Roman"/>
          <w:sz w:val="24"/>
          <w:szCs w:val="24"/>
        </w:rPr>
        <w:t xml:space="preserve"> Software Pty Ltd, Australia) to ensure the same food database was used for all analysis. Diet records were analyzed for energy (kJ</w:t>
      </w:r>
      <w:r w:rsidRPr="00141015">
        <w:rPr>
          <w:rFonts w:ascii="Times New Roman" w:hAnsi="Times New Roman" w:cs="Times New Roman"/>
          <w:sz w:val="24"/>
          <w:szCs w:val="24"/>
          <w:lang w:val="en-AU"/>
        </w:rPr>
        <w:t>•kg</w:t>
      </w:r>
      <w:r w:rsidRPr="00141015">
        <w:rPr>
          <w:rFonts w:ascii="Times New Roman" w:hAnsi="Times New Roman" w:cs="Times New Roman"/>
          <w:sz w:val="24"/>
          <w:szCs w:val="24"/>
          <w:vertAlign w:val="superscript"/>
          <w:lang w:val="en-AU"/>
        </w:rPr>
        <w:t>-1</w:t>
      </w:r>
      <w:r w:rsidRPr="00141015">
        <w:rPr>
          <w:rFonts w:ascii="Times New Roman" w:hAnsi="Times New Roman" w:cs="Times New Roman"/>
          <w:sz w:val="24"/>
          <w:szCs w:val="24"/>
        </w:rPr>
        <w:t>), protein, carbohydrate, and fat (g</w:t>
      </w:r>
      <w:r w:rsidRPr="00141015">
        <w:rPr>
          <w:rFonts w:ascii="Times New Roman" w:hAnsi="Times New Roman" w:cs="Times New Roman"/>
          <w:sz w:val="24"/>
          <w:szCs w:val="24"/>
          <w:lang w:val="en-AU"/>
        </w:rPr>
        <w:t>•kg</w:t>
      </w:r>
      <w:r w:rsidRPr="00141015">
        <w:rPr>
          <w:rFonts w:ascii="Times New Roman" w:hAnsi="Times New Roman" w:cs="Times New Roman"/>
          <w:sz w:val="24"/>
          <w:szCs w:val="24"/>
          <w:vertAlign w:val="superscript"/>
          <w:lang w:val="en-AU"/>
        </w:rPr>
        <w:t>-1</w:t>
      </w:r>
      <w:r w:rsidRPr="00141015">
        <w:rPr>
          <w:rFonts w:ascii="Times New Roman" w:hAnsi="Times New Roman" w:cs="Times New Roman"/>
          <w:sz w:val="24"/>
          <w:szCs w:val="24"/>
        </w:rPr>
        <w:t xml:space="preserve"> for all macronutrients) to provide a daily average for the entire 12-week intervention. Habitual dietary intake at baseline was assessed prior to commencing the study and analyzed for energy and macronutrient intakes.</w:t>
      </w:r>
    </w:p>
    <w:p w:rsidR="009A57A2" w:rsidRPr="00141015" w:rsidRDefault="009A57A2" w:rsidP="009A57A2">
      <w:pPr>
        <w:spacing w:line="480" w:lineRule="auto"/>
        <w:jc w:val="both"/>
        <w:rPr>
          <w:rFonts w:ascii="Times New Roman" w:hAnsi="Times New Roman" w:cs="Times New Roman"/>
          <w:sz w:val="24"/>
          <w:szCs w:val="24"/>
        </w:rPr>
      </w:pPr>
    </w:p>
    <w:p w:rsidR="009A57A2" w:rsidRPr="00141015" w:rsidRDefault="009A57A2" w:rsidP="009A57A2">
      <w:pPr>
        <w:spacing w:line="480" w:lineRule="auto"/>
        <w:jc w:val="both"/>
        <w:rPr>
          <w:rFonts w:ascii="Times New Roman" w:hAnsi="Times New Roman" w:cs="Times New Roman"/>
          <w:b/>
          <w:sz w:val="24"/>
          <w:szCs w:val="24"/>
        </w:rPr>
      </w:pPr>
      <w:r w:rsidRPr="00141015">
        <w:rPr>
          <w:rFonts w:ascii="Times New Roman" w:hAnsi="Times New Roman" w:cs="Times New Roman"/>
          <w:b/>
          <w:sz w:val="24"/>
          <w:szCs w:val="24"/>
        </w:rPr>
        <w:t>References</w:t>
      </w:r>
    </w:p>
    <w:p w:rsidR="00045318" w:rsidRPr="008F055D" w:rsidRDefault="00871A5C" w:rsidP="008F055D">
      <w:pPr>
        <w:pStyle w:val="Bibliography"/>
        <w:rPr>
          <w:rFonts w:ascii="Times New Roman" w:hAnsi="Times New Roman" w:cs="Times New Roman"/>
          <w:sz w:val="24"/>
          <w:szCs w:val="24"/>
        </w:rPr>
      </w:pPr>
      <w:r w:rsidRPr="008F055D">
        <w:rPr>
          <w:rFonts w:ascii="Times New Roman" w:hAnsi="Times New Roman" w:cs="Times New Roman"/>
          <w:sz w:val="24"/>
          <w:szCs w:val="24"/>
        </w:rPr>
        <w:fldChar w:fldCharType="begin"/>
      </w:r>
      <w:r w:rsidR="00045318" w:rsidRPr="008F055D">
        <w:rPr>
          <w:rFonts w:ascii="Times New Roman" w:hAnsi="Times New Roman" w:cs="Times New Roman"/>
          <w:sz w:val="24"/>
          <w:szCs w:val="24"/>
        </w:rPr>
        <w:instrText xml:space="preserve"> ADDIN ZOTERO_BIBL {"custom":[]} CSL_BIBLIOGRAPHY </w:instrText>
      </w:r>
      <w:r w:rsidRPr="008F055D">
        <w:rPr>
          <w:rFonts w:ascii="Times New Roman" w:hAnsi="Times New Roman" w:cs="Times New Roman"/>
          <w:sz w:val="24"/>
          <w:szCs w:val="24"/>
        </w:rPr>
        <w:fldChar w:fldCharType="separate"/>
      </w:r>
      <w:r w:rsidR="00045318" w:rsidRPr="008F055D">
        <w:rPr>
          <w:rFonts w:ascii="Times New Roman" w:hAnsi="Times New Roman" w:cs="Times New Roman"/>
          <w:sz w:val="24"/>
          <w:szCs w:val="24"/>
        </w:rPr>
        <w:t xml:space="preserve">1. Tofari P, Kemp J, Cormack S. A Self-Paced Team Sport Match Simulation Results In Reductions In Voluntary Activation And Modifications To Biological, Perceptual And Performance Measures At Half-Time, And For Up To 96 Hours Post-Match. J Strength Cond Res. 2017; </w:t>
      </w:r>
    </w:p>
    <w:p w:rsidR="00045318" w:rsidRPr="008F055D" w:rsidRDefault="00045318" w:rsidP="008F055D">
      <w:pPr>
        <w:pStyle w:val="Bibliography"/>
        <w:rPr>
          <w:rFonts w:ascii="Times New Roman" w:hAnsi="Times New Roman" w:cs="Times New Roman"/>
          <w:sz w:val="24"/>
          <w:szCs w:val="24"/>
        </w:rPr>
      </w:pPr>
      <w:r w:rsidRPr="008F055D">
        <w:rPr>
          <w:rFonts w:ascii="Times New Roman" w:hAnsi="Times New Roman" w:cs="Times New Roman"/>
          <w:sz w:val="24"/>
          <w:szCs w:val="24"/>
        </w:rPr>
        <w:t xml:space="preserve">2. Klimstra M, Dowling J, Durkin JL, MacDonald M. The effect of ultrasound probe orientation on muscle architecture measurement. J Electromyogr Kinesiol. 2007;17:504–14. </w:t>
      </w:r>
    </w:p>
    <w:p w:rsidR="00045318" w:rsidRPr="008F055D" w:rsidRDefault="00045318" w:rsidP="008F055D">
      <w:pPr>
        <w:pStyle w:val="Bibliography"/>
        <w:rPr>
          <w:rFonts w:ascii="Times New Roman" w:hAnsi="Times New Roman" w:cs="Times New Roman"/>
          <w:sz w:val="24"/>
          <w:szCs w:val="24"/>
        </w:rPr>
      </w:pPr>
      <w:r w:rsidRPr="008F055D">
        <w:rPr>
          <w:rFonts w:ascii="Times New Roman" w:hAnsi="Times New Roman" w:cs="Times New Roman"/>
          <w:sz w:val="24"/>
          <w:szCs w:val="24"/>
        </w:rPr>
        <w:t xml:space="preserve">3. Blazevich AJ, Gill ND, Zhou S. Intra- and intermuscular variation in human quadriceps femoris architecture assessed in vivo. J Anat. 2006;209:289–310. </w:t>
      </w:r>
    </w:p>
    <w:p w:rsidR="00045318" w:rsidRPr="008F055D" w:rsidRDefault="00045318" w:rsidP="008F055D">
      <w:pPr>
        <w:pStyle w:val="Bibliography"/>
        <w:rPr>
          <w:rFonts w:ascii="Times New Roman" w:hAnsi="Times New Roman" w:cs="Times New Roman"/>
          <w:sz w:val="24"/>
          <w:szCs w:val="24"/>
        </w:rPr>
      </w:pPr>
      <w:r w:rsidRPr="008F055D">
        <w:rPr>
          <w:rFonts w:ascii="Times New Roman" w:hAnsi="Times New Roman" w:cs="Times New Roman"/>
          <w:sz w:val="24"/>
          <w:szCs w:val="24"/>
        </w:rPr>
        <w:t xml:space="preserve">4. Kellis E, Galanis N, Natsis K, Kapetanos G. Validity of architectural properties of the hamstring muscles: correlation of ultrasound findings with cadaveric dissection. J Biomech. 2009;42:2549–54. </w:t>
      </w:r>
    </w:p>
    <w:p w:rsidR="00045318" w:rsidRPr="008F055D" w:rsidRDefault="00045318" w:rsidP="008F055D">
      <w:pPr>
        <w:pStyle w:val="Bibliography"/>
        <w:rPr>
          <w:rFonts w:ascii="Times New Roman" w:hAnsi="Times New Roman" w:cs="Times New Roman"/>
          <w:sz w:val="24"/>
          <w:szCs w:val="24"/>
        </w:rPr>
      </w:pPr>
      <w:r w:rsidRPr="008F055D">
        <w:rPr>
          <w:rFonts w:ascii="Times New Roman" w:hAnsi="Times New Roman" w:cs="Times New Roman"/>
          <w:sz w:val="24"/>
          <w:szCs w:val="24"/>
        </w:rPr>
        <w:t xml:space="preserve">5. Miyatani M, Kanehisa H, Kuno S, Nishijima T, Fukunaga T. Validity of ultrasonograph muscle thickness measurements for estimating muscle volume of knee extensors in humans. Eur J Appl Physiol. 2002;86:203–8. </w:t>
      </w:r>
    </w:p>
    <w:p w:rsidR="00045318" w:rsidRPr="008F055D" w:rsidRDefault="00045318" w:rsidP="008F055D">
      <w:pPr>
        <w:pStyle w:val="Bibliography"/>
        <w:rPr>
          <w:rFonts w:ascii="Times New Roman" w:hAnsi="Times New Roman" w:cs="Times New Roman"/>
          <w:sz w:val="24"/>
          <w:szCs w:val="24"/>
        </w:rPr>
      </w:pPr>
      <w:r w:rsidRPr="008F055D">
        <w:rPr>
          <w:rFonts w:ascii="Times New Roman" w:hAnsi="Times New Roman" w:cs="Times New Roman"/>
          <w:sz w:val="24"/>
          <w:szCs w:val="24"/>
        </w:rPr>
        <w:t xml:space="preserve">6. Miyatani M, Kanehisa H, Ito M, Kawakami Y, Fukunaga T. The accuracy of volume estimates using ultrasound muscle thickness measurements in different muscle groups. Eur J Appl Physiol. 2004;91:264–72. </w:t>
      </w:r>
    </w:p>
    <w:p w:rsidR="00045318" w:rsidRPr="008F055D" w:rsidRDefault="00045318" w:rsidP="008F055D">
      <w:pPr>
        <w:pStyle w:val="Bibliography"/>
        <w:rPr>
          <w:rFonts w:ascii="Times New Roman" w:hAnsi="Times New Roman" w:cs="Times New Roman"/>
          <w:sz w:val="24"/>
          <w:szCs w:val="24"/>
        </w:rPr>
      </w:pPr>
      <w:r w:rsidRPr="008F055D">
        <w:rPr>
          <w:rFonts w:ascii="Times New Roman" w:hAnsi="Times New Roman" w:cs="Times New Roman"/>
          <w:sz w:val="24"/>
          <w:szCs w:val="24"/>
        </w:rPr>
        <w:t xml:space="preserve">7. Franchi MV, Longo S, Mallinson J, Quinlan JI, Taylor T, Greenhaff PL, et al. Muscle thickness correlates to muscle cross-sectional area in the assessment of strength training-induced hypertrophy. Scand J Med Sci Sports. 2017; </w:t>
      </w:r>
    </w:p>
    <w:p w:rsidR="00045318" w:rsidRPr="008F055D" w:rsidRDefault="00045318" w:rsidP="008F055D">
      <w:pPr>
        <w:pStyle w:val="Bibliography"/>
        <w:rPr>
          <w:rFonts w:ascii="Times New Roman" w:hAnsi="Times New Roman" w:cs="Times New Roman"/>
          <w:sz w:val="24"/>
          <w:szCs w:val="24"/>
        </w:rPr>
      </w:pPr>
      <w:r w:rsidRPr="008F055D">
        <w:rPr>
          <w:rFonts w:ascii="Times New Roman" w:hAnsi="Times New Roman" w:cs="Times New Roman"/>
          <w:sz w:val="24"/>
          <w:szCs w:val="24"/>
        </w:rPr>
        <w:lastRenderedPageBreak/>
        <w:t xml:space="preserve">8. Perez-Schindler J, Hamilton DL, Moore DR, Baar K, Philp A. Nutritional strategies to support concurrent training. Eur J Sport Sci. 2015;15:41–52. </w:t>
      </w:r>
    </w:p>
    <w:p w:rsidR="00045318" w:rsidRPr="008F055D" w:rsidRDefault="00045318" w:rsidP="008F055D">
      <w:pPr>
        <w:pStyle w:val="Bibliography"/>
        <w:rPr>
          <w:rFonts w:ascii="Times New Roman" w:hAnsi="Times New Roman" w:cs="Times New Roman"/>
          <w:sz w:val="24"/>
          <w:szCs w:val="24"/>
        </w:rPr>
      </w:pPr>
      <w:r w:rsidRPr="008F055D">
        <w:rPr>
          <w:rFonts w:ascii="Times New Roman" w:hAnsi="Times New Roman" w:cs="Times New Roman"/>
          <w:sz w:val="24"/>
          <w:szCs w:val="24"/>
        </w:rPr>
        <w:t xml:space="preserve">9. Hamilton DL, Philp A. Can AMPK mediated suppression of mTORC1 explain the concurrent training effect? Cell Mol Exerc Physiol. 2013;2:e4. </w:t>
      </w:r>
    </w:p>
    <w:p w:rsidR="00045318" w:rsidRPr="008F055D" w:rsidRDefault="00045318" w:rsidP="008F055D">
      <w:pPr>
        <w:pStyle w:val="Bibliography"/>
        <w:rPr>
          <w:rFonts w:ascii="Times New Roman" w:hAnsi="Times New Roman" w:cs="Times New Roman"/>
          <w:sz w:val="24"/>
          <w:szCs w:val="24"/>
        </w:rPr>
      </w:pPr>
      <w:r w:rsidRPr="008F055D">
        <w:rPr>
          <w:rFonts w:ascii="Times New Roman" w:hAnsi="Times New Roman" w:cs="Times New Roman"/>
          <w:sz w:val="24"/>
          <w:szCs w:val="24"/>
        </w:rPr>
        <w:t xml:space="preserve">10. Areta JL, Burke LM, Ross ML, Camera DM, West DWD, Broad EM, et al. Timing and distribution of protein ingestion during prolonged recovery from resistance exercise alters myofibrillar protein synthesis. J Physiol. 2013;591:2319–31. </w:t>
      </w:r>
    </w:p>
    <w:p w:rsidR="00045318" w:rsidRPr="008F055D" w:rsidRDefault="00045318" w:rsidP="008F055D">
      <w:pPr>
        <w:pStyle w:val="Bibliography"/>
        <w:rPr>
          <w:rFonts w:ascii="Times New Roman" w:hAnsi="Times New Roman" w:cs="Times New Roman"/>
          <w:sz w:val="24"/>
          <w:szCs w:val="24"/>
        </w:rPr>
      </w:pPr>
      <w:r w:rsidRPr="008F055D">
        <w:rPr>
          <w:rFonts w:ascii="Times New Roman" w:hAnsi="Times New Roman" w:cs="Times New Roman"/>
          <w:sz w:val="24"/>
          <w:szCs w:val="24"/>
        </w:rPr>
        <w:t xml:space="preserve">11. Loenneke JP, Loprinzi PD, Murphy CH, Phillips SM. Per meal dose and frequency of protein consumption is associated with lean mass and muscle performance. Clin Nutr Edinb Scotl. 2016;35:1506–11. </w:t>
      </w:r>
    </w:p>
    <w:p w:rsidR="00045318" w:rsidRPr="008F055D" w:rsidRDefault="00045318" w:rsidP="008F055D">
      <w:pPr>
        <w:pStyle w:val="Bibliography"/>
        <w:rPr>
          <w:rFonts w:ascii="Times New Roman" w:hAnsi="Times New Roman" w:cs="Times New Roman"/>
          <w:sz w:val="24"/>
          <w:szCs w:val="24"/>
        </w:rPr>
      </w:pPr>
      <w:r w:rsidRPr="008F055D">
        <w:rPr>
          <w:rFonts w:ascii="Times New Roman" w:hAnsi="Times New Roman" w:cs="Times New Roman"/>
          <w:sz w:val="24"/>
          <w:szCs w:val="24"/>
        </w:rPr>
        <w:t xml:space="preserve">12. Moore DR, Robinson MJ, Fry JL, Tang JE, Glover EI, Wilkinson SB, et al. Ingested protein dose response of muscle and albumin protein synthesis after resistance exercise in young men. Am J Clin Nutr. 2009;89:161–8. </w:t>
      </w:r>
    </w:p>
    <w:p w:rsidR="00045318" w:rsidRPr="008F055D" w:rsidRDefault="00045318" w:rsidP="008F055D">
      <w:pPr>
        <w:pStyle w:val="Bibliography"/>
        <w:rPr>
          <w:rFonts w:ascii="Times New Roman" w:hAnsi="Times New Roman" w:cs="Times New Roman"/>
          <w:sz w:val="24"/>
          <w:szCs w:val="24"/>
        </w:rPr>
      </w:pPr>
      <w:r w:rsidRPr="008F055D">
        <w:rPr>
          <w:rFonts w:ascii="Times New Roman" w:hAnsi="Times New Roman" w:cs="Times New Roman"/>
          <w:sz w:val="24"/>
          <w:szCs w:val="24"/>
        </w:rPr>
        <w:t xml:space="preserve">13. Snijders T, Res PT, Smeets JS, van Vliet S, van Kranenburg J, Maase K, et al. Protein Ingestion before Sleep Increases Muscle Mass and Strength Gains during Prolonged Resistance-Type Exercise Training in Healthy Young Men. J Nutr. 2015;145:1178–84. </w:t>
      </w:r>
    </w:p>
    <w:p w:rsidR="00045318" w:rsidRPr="008F055D" w:rsidRDefault="00045318" w:rsidP="008F055D">
      <w:pPr>
        <w:pStyle w:val="Bibliography"/>
        <w:rPr>
          <w:rFonts w:ascii="Times New Roman" w:hAnsi="Times New Roman" w:cs="Times New Roman"/>
          <w:sz w:val="24"/>
          <w:szCs w:val="24"/>
        </w:rPr>
      </w:pPr>
      <w:r w:rsidRPr="008F055D">
        <w:rPr>
          <w:rFonts w:ascii="Times New Roman" w:hAnsi="Times New Roman" w:cs="Times New Roman"/>
          <w:sz w:val="24"/>
          <w:szCs w:val="24"/>
        </w:rPr>
        <w:t xml:space="preserve">14. Trommelen J, Kouw IWK, Holwerda AM, Snijders T, Halson SL, Rollo I, et al. Pre-sleep dietary protein-derived amino acids are incorporated in myofibrillar protein during post-exercise overnight recovery. Am J Physiol - Endocrinol Metab. 2017;ajpendo.00273.2016. </w:t>
      </w:r>
    </w:p>
    <w:p w:rsidR="00045318" w:rsidRPr="008F055D" w:rsidRDefault="00045318" w:rsidP="008F055D">
      <w:pPr>
        <w:pStyle w:val="Bibliography"/>
        <w:rPr>
          <w:rFonts w:ascii="Times New Roman" w:hAnsi="Times New Roman" w:cs="Times New Roman"/>
          <w:sz w:val="24"/>
          <w:szCs w:val="24"/>
        </w:rPr>
      </w:pPr>
      <w:r w:rsidRPr="008F055D">
        <w:rPr>
          <w:rFonts w:ascii="Times New Roman" w:hAnsi="Times New Roman" w:cs="Times New Roman"/>
          <w:sz w:val="24"/>
          <w:szCs w:val="24"/>
        </w:rPr>
        <w:t>15. Macnaughton LS, Wardle SL, Witard OC, McGlory C, Hamilton DL, Jeromson S, et al. The response of muscle protein synthesis following whole</w:t>
      </w:r>
      <w:r w:rsidRPr="008F055D">
        <w:rPr>
          <w:rFonts w:ascii="Cambria Math" w:hAnsi="Cambria Math" w:cs="Cambria Math"/>
          <w:sz w:val="24"/>
          <w:szCs w:val="24"/>
        </w:rPr>
        <w:t>‐</w:t>
      </w:r>
      <w:r w:rsidRPr="008F055D">
        <w:rPr>
          <w:rFonts w:ascii="Times New Roman" w:hAnsi="Times New Roman" w:cs="Times New Roman"/>
          <w:sz w:val="24"/>
          <w:szCs w:val="24"/>
        </w:rPr>
        <w:t xml:space="preserve">body resistance exercise is greater following 40 g than 20 g of ingested whey protein. Physiol Rep. 2016;4:e12893. </w:t>
      </w:r>
    </w:p>
    <w:p w:rsidR="00DD15F6" w:rsidRDefault="00871A5C" w:rsidP="00F40AF1">
      <w:pPr>
        <w:spacing w:line="480" w:lineRule="auto"/>
        <w:jc w:val="both"/>
        <w:rPr>
          <w:lang w:val="en-AU"/>
        </w:rPr>
      </w:pPr>
      <w:r w:rsidRPr="008F055D">
        <w:rPr>
          <w:rFonts w:ascii="Times New Roman" w:hAnsi="Times New Roman" w:cs="Times New Roman"/>
          <w:sz w:val="24"/>
          <w:szCs w:val="24"/>
        </w:rPr>
        <w:fldChar w:fldCharType="end"/>
      </w:r>
    </w:p>
    <w:p w:rsidR="00DD15F6" w:rsidRPr="00141015" w:rsidRDefault="00DD15F6" w:rsidP="00BE3684">
      <w:pPr>
        <w:spacing w:line="480" w:lineRule="auto"/>
        <w:jc w:val="both"/>
        <w:rPr>
          <w:rFonts w:ascii="Times New Roman" w:hAnsi="Times New Roman" w:cs="Times New Roman"/>
          <w:sz w:val="24"/>
          <w:szCs w:val="24"/>
        </w:rPr>
      </w:pPr>
    </w:p>
    <w:sectPr w:rsidR="00DD15F6" w:rsidRPr="00141015" w:rsidSect="00F15BA9">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48AC" w:rsidRDefault="009B48AC" w:rsidP="002D7981">
      <w:pPr>
        <w:spacing w:after="0" w:line="240" w:lineRule="auto"/>
      </w:pPr>
      <w:r>
        <w:separator/>
      </w:r>
    </w:p>
  </w:endnote>
  <w:endnote w:type="continuationSeparator" w:id="0">
    <w:p w:rsidR="009B48AC" w:rsidRDefault="009B48AC" w:rsidP="002D798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Bradley Hand Bold">
    <w:charset w:val="00"/>
    <w:family w:val="auto"/>
    <w:pitch w:val="variable"/>
    <w:sig w:usb0="800000FF" w:usb1="5000204A" w:usb2="00000000" w:usb3="00000000" w:csb0="00000111" w:csb1="00000000"/>
  </w:font>
  <w:font w:name="American Typewriter">
    <w:charset w:val="00"/>
    <w:family w:val="auto"/>
    <w:pitch w:val="variable"/>
    <w:sig w:usb0="A000006F" w:usb1="00000019" w:usb2="00000000" w:usb3="00000000" w:csb0="00000111"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7981" w:rsidRDefault="00871A5C" w:rsidP="00D951E4">
    <w:pPr>
      <w:pStyle w:val="Footer"/>
      <w:framePr w:wrap="around" w:vAnchor="text" w:hAnchor="margin" w:xAlign="right" w:y="1"/>
      <w:rPr>
        <w:rStyle w:val="PageNumber"/>
      </w:rPr>
    </w:pPr>
    <w:r>
      <w:rPr>
        <w:rStyle w:val="PageNumber"/>
      </w:rPr>
      <w:fldChar w:fldCharType="begin"/>
    </w:r>
    <w:r w:rsidR="002D7981">
      <w:rPr>
        <w:rStyle w:val="PageNumber"/>
      </w:rPr>
      <w:instrText xml:space="preserve">PAGE  </w:instrText>
    </w:r>
    <w:r>
      <w:rPr>
        <w:rStyle w:val="PageNumber"/>
      </w:rPr>
      <w:fldChar w:fldCharType="end"/>
    </w:r>
  </w:p>
  <w:p w:rsidR="002D7981" w:rsidRDefault="002D7981" w:rsidP="002D7981">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7981" w:rsidRDefault="00871A5C" w:rsidP="00D951E4">
    <w:pPr>
      <w:pStyle w:val="Footer"/>
      <w:framePr w:wrap="around" w:vAnchor="text" w:hAnchor="margin" w:xAlign="right" w:y="1"/>
      <w:rPr>
        <w:rStyle w:val="PageNumber"/>
      </w:rPr>
    </w:pPr>
    <w:r>
      <w:rPr>
        <w:rStyle w:val="PageNumber"/>
      </w:rPr>
      <w:fldChar w:fldCharType="begin"/>
    </w:r>
    <w:r w:rsidR="002D7981">
      <w:rPr>
        <w:rStyle w:val="PageNumber"/>
      </w:rPr>
      <w:instrText xml:space="preserve">PAGE  </w:instrText>
    </w:r>
    <w:r>
      <w:rPr>
        <w:rStyle w:val="PageNumber"/>
      </w:rPr>
      <w:fldChar w:fldCharType="separate"/>
    </w:r>
    <w:r w:rsidR="00F15BA9">
      <w:rPr>
        <w:rStyle w:val="PageNumber"/>
        <w:noProof/>
      </w:rPr>
      <w:t>1</w:t>
    </w:r>
    <w:r>
      <w:rPr>
        <w:rStyle w:val="PageNumber"/>
      </w:rPr>
      <w:fldChar w:fldCharType="end"/>
    </w:r>
  </w:p>
  <w:p w:rsidR="002D7981" w:rsidRDefault="002D7981" w:rsidP="002D7981">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48AC" w:rsidRDefault="009B48AC" w:rsidP="002D7981">
      <w:pPr>
        <w:spacing w:after="0" w:line="240" w:lineRule="auto"/>
      </w:pPr>
      <w:r>
        <w:separator/>
      </w:r>
    </w:p>
  </w:footnote>
  <w:footnote w:type="continuationSeparator" w:id="0">
    <w:p w:rsidR="009B48AC" w:rsidRDefault="009B48AC" w:rsidP="002D7981">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ocamera">
    <w15:presenceInfo w15:providerId="None" w15:userId="docamer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2F1282"/>
    <w:rsid w:val="00045318"/>
    <w:rsid w:val="00133C80"/>
    <w:rsid w:val="00141015"/>
    <w:rsid w:val="00161A84"/>
    <w:rsid w:val="00194BFB"/>
    <w:rsid w:val="00287087"/>
    <w:rsid w:val="002A6307"/>
    <w:rsid w:val="002B0A56"/>
    <w:rsid w:val="002C7D15"/>
    <w:rsid w:val="002D7981"/>
    <w:rsid w:val="002E14F9"/>
    <w:rsid w:val="002F1282"/>
    <w:rsid w:val="00383989"/>
    <w:rsid w:val="00706E63"/>
    <w:rsid w:val="00871A5C"/>
    <w:rsid w:val="008C4CB5"/>
    <w:rsid w:val="008F055D"/>
    <w:rsid w:val="008F5E10"/>
    <w:rsid w:val="009771C0"/>
    <w:rsid w:val="009A57A2"/>
    <w:rsid w:val="009A6627"/>
    <w:rsid w:val="009B48AC"/>
    <w:rsid w:val="009C3AB5"/>
    <w:rsid w:val="00A4517D"/>
    <w:rsid w:val="00B755F9"/>
    <w:rsid w:val="00BE3684"/>
    <w:rsid w:val="00BF79A8"/>
    <w:rsid w:val="00DD15F6"/>
    <w:rsid w:val="00EB4CDE"/>
    <w:rsid w:val="00EF3BB1"/>
    <w:rsid w:val="00F15BA9"/>
    <w:rsid w:val="00F40AF1"/>
    <w:rsid w:val="00FE769C"/>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A5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next w:val="Normal"/>
    <w:uiPriority w:val="37"/>
    <w:unhideWhenUsed/>
    <w:rsid w:val="009A57A2"/>
    <w:pPr>
      <w:spacing w:after="240" w:line="240" w:lineRule="auto"/>
    </w:pPr>
  </w:style>
  <w:style w:type="character" w:styleId="LineNumber">
    <w:name w:val="line number"/>
    <w:basedOn w:val="DefaultParagraphFont"/>
    <w:uiPriority w:val="99"/>
    <w:semiHidden/>
    <w:unhideWhenUsed/>
    <w:rsid w:val="00DD15F6"/>
  </w:style>
  <w:style w:type="character" w:styleId="CommentReference">
    <w:name w:val="annotation reference"/>
    <w:basedOn w:val="DefaultParagraphFont"/>
    <w:uiPriority w:val="99"/>
    <w:semiHidden/>
    <w:unhideWhenUsed/>
    <w:rsid w:val="00DD15F6"/>
    <w:rPr>
      <w:sz w:val="16"/>
      <w:szCs w:val="16"/>
    </w:rPr>
  </w:style>
  <w:style w:type="paragraph" w:styleId="CommentText">
    <w:name w:val="annotation text"/>
    <w:basedOn w:val="Normal"/>
    <w:link w:val="CommentTextChar"/>
    <w:uiPriority w:val="99"/>
    <w:semiHidden/>
    <w:unhideWhenUsed/>
    <w:rsid w:val="00DD15F6"/>
    <w:pPr>
      <w:spacing w:line="240" w:lineRule="auto"/>
    </w:pPr>
    <w:rPr>
      <w:sz w:val="20"/>
      <w:szCs w:val="20"/>
    </w:rPr>
  </w:style>
  <w:style w:type="character" w:customStyle="1" w:styleId="CommentTextChar">
    <w:name w:val="Comment Text Char"/>
    <w:basedOn w:val="DefaultParagraphFont"/>
    <w:link w:val="CommentText"/>
    <w:uiPriority w:val="99"/>
    <w:semiHidden/>
    <w:rsid w:val="00DD15F6"/>
    <w:rPr>
      <w:sz w:val="20"/>
      <w:szCs w:val="20"/>
    </w:rPr>
  </w:style>
  <w:style w:type="paragraph" w:styleId="BalloonText">
    <w:name w:val="Balloon Text"/>
    <w:basedOn w:val="Normal"/>
    <w:link w:val="BalloonTextChar"/>
    <w:uiPriority w:val="99"/>
    <w:semiHidden/>
    <w:unhideWhenUsed/>
    <w:rsid w:val="00DD15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15F6"/>
    <w:rPr>
      <w:rFonts w:ascii="Tahoma" w:hAnsi="Tahoma" w:cs="Tahoma"/>
      <w:sz w:val="16"/>
      <w:szCs w:val="16"/>
    </w:rPr>
  </w:style>
  <w:style w:type="character" w:customStyle="1" w:styleId="CommentSubjectChar">
    <w:name w:val="Comment Subject Char"/>
    <w:basedOn w:val="CommentTextChar"/>
    <w:link w:val="CommentSubject"/>
    <w:uiPriority w:val="99"/>
    <w:semiHidden/>
    <w:rsid w:val="00DD15F6"/>
    <w:rPr>
      <w:b/>
      <w:bCs/>
      <w:sz w:val="20"/>
      <w:szCs w:val="20"/>
    </w:rPr>
  </w:style>
  <w:style w:type="paragraph" w:styleId="CommentSubject">
    <w:name w:val="annotation subject"/>
    <w:basedOn w:val="CommentText"/>
    <w:next w:val="CommentText"/>
    <w:link w:val="CommentSubjectChar"/>
    <w:uiPriority w:val="99"/>
    <w:semiHidden/>
    <w:unhideWhenUsed/>
    <w:rsid w:val="00DD15F6"/>
    <w:rPr>
      <w:b/>
      <w:bCs/>
    </w:rPr>
  </w:style>
  <w:style w:type="character" w:customStyle="1" w:styleId="CommentSubjectChar1">
    <w:name w:val="Comment Subject Char1"/>
    <w:basedOn w:val="CommentTextChar"/>
    <w:uiPriority w:val="99"/>
    <w:semiHidden/>
    <w:rsid w:val="00DD15F6"/>
    <w:rPr>
      <w:b/>
      <w:bCs/>
      <w:sz w:val="20"/>
      <w:szCs w:val="20"/>
    </w:rPr>
  </w:style>
  <w:style w:type="paragraph" w:styleId="Header">
    <w:name w:val="header"/>
    <w:basedOn w:val="Normal"/>
    <w:link w:val="HeaderChar"/>
    <w:uiPriority w:val="99"/>
    <w:unhideWhenUsed/>
    <w:rsid w:val="00DD15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15F6"/>
  </w:style>
  <w:style w:type="paragraph" w:styleId="Footer">
    <w:name w:val="footer"/>
    <w:basedOn w:val="Normal"/>
    <w:link w:val="FooterChar"/>
    <w:uiPriority w:val="99"/>
    <w:unhideWhenUsed/>
    <w:rsid w:val="00DD15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15F6"/>
  </w:style>
  <w:style w:type="character" w:styleId="PageNumber">
    <w:name w:val="page number"/>
    <w:basedOn w:val="DefaultParagraphFont"/>
    <w:uiPriority w:val="99"/>
    <w:semiHidden/>
    <w:unhideWhenUsed/>
    <w:rsid w:val="002D79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next w:val="Normal"/>
    <w:uiPriority w:val="37"/>
    <w:unhideWhenUsed/>
    <w:rsid w:val="009A57A2"/>
    <w:pPr>
      <w:spacing w:after="240" w:line="240" w:lineRule="auto"/>
    </w:pPr>
  </w:style>
  <w:style w:type="character" w:styleId="LineNumber">
    <w:name w:val="line number"/>
    <w:basedOn w:val="DefaultParagraphFont"/>
    <w:uiPriority w:val="99"/>
    <w:semiHidden/>
    <w:unhideWhenUsed/>
    <w:rsid w:val="00DD15F6"/>
  </w:style>
  <w:style w:type="character" w:styleId="CommentReference">
    <w:name w:val="annotation reference"/>
    <w:basedOn w:val="DefaultParagraphFont"/>
    <w:uiPriority w:val="99"/>
    <w:semiHidden/>
    <w:unhideWhenUsed/>
    <w:rsid w:val="00DD15F6"/>
    <w:rPr>
      <w:sz w:val="16"/>
      <w:szCs w:val="16"/>
    </w:rPr>
  </w:style>
  <w:style w:type="paragraph" w:styleId="CommentText">
    <w:name w:val="annotation text"/>
    <w:basedOn w:val="Normal"/>
    <w:link w:val="CommentTextChar"/>
    <w:uiPriority w:val="99"/>
    <w:semiHidden/>
    <w:unhideWhenUsed/>
    <w:rsid w:val="00DD15F6"/>
    <w:pPr>
      <w:spacing w:line="240" w:lineRule="auto"/>
    </w:pPr>
    <w:rPr>
      <w:sz w:val="20"/>
      <w:szCs w:val="20"/>
    </w:rPr>
  </w:style>
  <w:style w:type="character" w:customStyle="1" w:styleId="CommentTextChar">
    <w:name w:val="Comment Text Char"/>
    <w:basedOn w:val="DefaultParagraphFont"/>
    <w:link w:val="CommentText"/>
    <w:uiPriority w:val="99"/>
    <w:semiHidden/>
    <w:rsid w:val="00DD15F6"/>
    <w:rPr>
      <w:sz w:val="20"/>
      <w:szCs w:val="20"/>
    </w:rPr>
  </w:style>
  <w:style w:type="paragraph" w:styleId="BalloonText">
    <w:name w:val="Balloon Text"/>
    <w:basedOn w:val="Normal"/>
    <w:link w:val="BalloonTextChar"/>
    <w:uiPriority w:val="99"/>
    <w:semiHidden/>
    <w:unhideWhenUsed/>
    <w:rsid w:val="00DD15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15F6"/>
    <w:rPr>
      <w:rFonts w:ascii="Tahoma" w:hAnsi="Tahoma" w:cs="Tahoma"/>
      <w:sz w:val="16"/>
      <w:szCs w:val="16"/>
    </w:rPr>
  </w:style>
  <w:style w:type="character" w:customStyle="1" w:styleId="CommentSubjectChar">
    <w:name w:val="Comment Subject Char"/>
    <w:basedOn w:val="CommentTextChar"/>
    <w:link w:val="CommentSubject"/>
    <w:uiPriority w:val="99"/>
    <w:semiHidden/>
    <w:rsid w:val="00DD15F6"/>
    <w:rPr>
      <w:b/>
      <w:bCs/>
      <w:sz w:val="20"/>
      <w:szCs w:val="20"/>
    </w:rPr>
  </w:style>
  <w:style w:type="paragraph" w:styleId="CommentSubject">
    <w:name w:val="annotation subject"/>
    <w:basedOn w:val="CommentText"/>
    <w:next w:val="CommentText"/>
    <w:link w:val="CommentSubjectChar"/>
    <w:uiPriority w:val="99"/>
    <w:semiHidden/>
    <w:unhideWhenUsed/>
    <w:rsid w:val="00DD15F6"/>
    <w:rPr>
      <w:b/>
      <w:bCs/>
    </w:rPr>
  </w:style>
  <w:style w:type="character" w:customStyle="1" w:styleId="CommentSubjectChar1">
    <w:name w:val="Comment Subject Char1"/>
    <w:basedOn w:val="CommentTextChar"/>
    <w:uiPriority w:val="99"/>
    <w:semiHidden/>
    <w:rsid w:val="00DD15F6"/>
    <w:rPr>
      <w:b/>
      <w:bCs/>
      <w:sz w:val="20"/>
      <w:szCs w:val="20"/>
    </w:rPr>
  </w:style>
  <w:style w:type="paragraph" w:styleId="Header">
    <w:name w:val="header"/>
    <w:basedOn w:val="Normal"/>
    <w:link w:val="HeaderChar"/>
    <w:uiPriority w:val="99"/>
    <w:unhideWhenUsed/>
    <w:rsid w:val="00DD15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15F6"/>
  </w:style>
  <w:style w:type="paragraph" w:styleId="Footer">
    <w:name w:val="footer"/>
    <w:basedOn w:val="Normal"/>
    <w:link w:val="FooterChar"/>
    <w:uiPriority w:val="99"/>
    <w:unhideWhenUsed/>
    <w:rsid w:val="00DD15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15F6"/>
  </w:style>
  <w:style w:type="character" w:styleId="PageNumber">
    <w:name w:val="page number"/>
    <w:basedOn w:val="DefaultParagraphFont"/>
    <w:uiPriority w:val="99"/>
    <w:semiHidden/>
    <w:unhideWhenUsed/>
    <w:rsid w:val="002D7981"/>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C03B0F-2BC7-4CB0-94A8-0FB840B95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8</Pages>
  <Words>8743</Words>
  <Characters>49837</Characters>
  <Application>Microsoft Office Word</Application>
  <DocSecurity>0</DocSecurity>
  <Lines>415</Lines>
  <Paragraphs>116</Paragraphs>
  <ScaleCrop>false</ScaleCrop>
  <HeadingPairs>
    <vt:vector size="2" baseType="variant">
      <vt:variant>
        <vt:lpstr>Title</vt:lpstr>
      </vt:variant>
      <vt:variant>
        <vt:i4>1</vt:i4>
      </vt:variant>
    </vt:vector>
  </HeadingPairs>
  <TitlesOfParts>
    <vt:vector size="1" baseType="lpstr">
      <vt:lpstr/>
    </vt:vector>
  </TitlesOfParts>
  <Company>Australian Catholic University</Company>
  <LinksUpToDate>false</LinksUpToDate>
  <CharactersWithSpaces>58464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Bobby Shamim</dc:creator>
  <cp:lastModifiedBy>0012588</cp:lastModifiedBy>
  <cp:revision>9</cp:revision>
  <dcterms:created xsi:type="dcterms:W3CDTF">2018-05-21T01:12:00Z</dcterms:created>
  <dcterms:modified xsi:type="dcterms:W3CDTF">2018-10-10T13:00:00Z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zotero-version="4.0.29.5"&gt;&lt;session id="qFDkPAdo"/&gt;&lt;style id="http://www.zotero.org/styles/sports-medicine-open" hasBibliography="1" bibliographyStyleHasBeenSet="1"/&gt;&lt;prefs&gt;&lt;pref name="fieldType" value="Field"/&gt;&lt;pref name="storeRefer</vt:lpwstr>
  </property>
  <property fmtid="{D5CDD505-2E9C-101B-9397-08002B2CF9AE}" pid="3" name="ZOTERO_PREF_2">
    <vt:lpwstr>ences" value="true"/&gt;&lt;pref name="automaticJournalAbbreviations" value="true"/&gt;&lt;pref name="noteType" value=""/&gt;&lt;/prefs&gt;&lt;/data&gt;</vt:lpwstr>
  </property>
</Properties>
</file>