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F39B3" w14:textId="7DFF23A2" w:rsidR="00FD2BE2" w:rsidRPr="00FD2BE2" w:rsidRDefault="00FD2BE2" w:rsidP="00B712B6">
      <w:pPr>
        <w:rPr>
          <w:rFonts w:asciiTheme="majorBidi" w:eastAsia="Times New Roman" w:hAnsiTheme="majorBidi" w:cstheme="majorBidi"/>
          <w:b/>
          <w:bCs/>
          <w:lang w:val="en-US"/>
        </w:rPr>
      </w:pPr>
      <w:bookmarkStart w:id="0" w:name="_Hlk29975644"/>
      <w:r w:rsidRPr="00FD2BE2">
        <w:rPr>
          <w:rFonts w:asciiTheme="majorBidi" w:eastAsia="Times New Roman" w:hAnsiTheme="majorBidi" w:cstheme="majorBidi"/>
          <w:b/>
          <w:bCs/>
          <w:lang w:val="en-US"/>
        </w:rPr>
        <w:t>Supplementary material</w:t>
      </w:r>
    </w:p>
    <w:p w14:paraId="147D28FD" w14:textId="3F3DF02C" w:rsidR="00B712B6" w:rsidRPr="00D97F69" w:rsidRDefault="00B712B6" w:rsidP="00B712B6">
      <w:pPr>
        <w:rPr>
          <w:rFonts w:asciiTheme="majorBidi" w:eastAsia="Times New Roman" w:hAnsiTheme="majorBidi" w:cstheme="majorBidi"/>
          <w:lang w:val="en-US"/>
        </w:rPr>
      </w:pPr>
      <w:r>
        <w:rPr>
          <w:rFonts w:asciiTheme="majorBidi" w:eastAsia="Times New Roman" w:hAnsiTheme="majorBidi" w:cstheme="majorBidi"/>
          <w:lang w:val="en-US"/>
        </w:rPr>
        <w:t xml:space="preserve">Title: </w:t>
      </w:r>
      <w:r w:rsidRPr="00FE7C9F">
        <w:rPr>
          <w:rFonts w:asciiTheme="majorBidi" w:eastAsia="Times New Roman" w:hAnsiTheme="majorBidi" w:cstheme="majorBidi"/>
          <w:lang w:val="en-US"/>
        </w:rPr>
        <w:t xml:space="preserve">The association between grip strength measured in childhood, young- and mid-adulthood and prediabetes </w:t>
      </w:r>
      <w:r w:rsidR="00D6095C">
        <w:rPr>
          <w:rFonts w:asciiTheme="majorBidi" w:eastAsia="Times New Roman" w:hAnsiTheme="majorBidi" w:cstheme="majorBidi"/>
          <w:lang w:val="en-US"/>
        </w:rPr>
        <w:t>or</w:t>
      </w:r>
      <w:r w:rsidR="00D6095C" w:rsidRPr="00FE7C9F">
        <w:rPr>
          <w:rFonts w:asciiTheme="majorBidi" w:eastAsia="Times New Roman" w:hAnsiTheme="majorBidi" w:cstheme="majorBidi"/>
          <w:lang w:val="en-US"/>
        </w:rPr>
        <w:t xml:space="preserve"> </w:t>
      </w:r>
      <w:r w:rsidRPr="00FE7C9F">
        <w:rPr>
          <w:rFonts w:asciiTheme="majorBidi" w:eastAsia="Times New Roman" w:hAnsiTheme="majorBidi" w:cstheme="majorBidi"/>
          <w:lang w:val="en-US"/>
        </w:rPr>
        <w:t>type 2 diabetes in mid-adulthood</w:t>
      </w:r>
      <w:r w:rsidRPr="00FE7C9F" w:rsidDel="00FE7C9F">
        <w:rPr>
          <w:rFonts w:asciiTheme="majorBidi" w:eastAsia="Times New Roman" w:hAnsiTheme="majorBidi" w:cstheme="majorBidi"/>
          <w:lang w:val="en-US"/>
        </w:rPr>
        <w:t xml:space="preserve"> </w:t>
      </w:r>
    </w:p>
    <w:bookmarkEnd w:id="0"/>
    <w:p w14:paraId="209A3BF1" w14:textId="1FB549F0" w:rsidR="00B712B6" w:rsidRPr="003F10AA" w:rsidRDefault="00B712B6" w:rsidP="00B712B6">
      <w:pPr>
        <w:rPr>
          <w:rFonts w:asciiTheme="majorBidi" w:eastAsia="Times New Roman" w:hAnsiTheme="majorBidi" w:cstheme="majorBidi"/>
          <w:bCs/>
        </w:rPr>
      </w:pPr>
      <w:r>
        <w:rPr>
          <w:rFonts w:asciiTheme="majorBidi" w:eastAsia="Times New Roman" w:hAnsiTheme="majorBidi" w:cstheme="majorBidi"/>
        </w:rPr>
        <w:t xml:space="preserve">Journal: </w:t>
      </w:r>
      <w:r w:rsidRPr="00B712B6">
        <w:rPr>
          <w:rFonts w:asciiTheme="majorBidi" w:eastAsia="Times New Roman" w:hAnsiTheme="majorBidi" w:cstheme="majorBidi"/>
          <w:i/>
          <w:iCs/>
        </w:rPr>
        <w:t>Sports Medicine</w:t>
      </w:r>
    </w:p>
    <w:p w14:paraId="57FA51B5" w14:textId="1520D462" w:rsidR="00B712B6" w:rsidRDefault="00B712B6" w:rsidP="00B712B6">
      <w:pPr>
        <w:rPr>
          <w:rFonts w:asciiTheme="majorBidi" w:eastAsia="Times New Roman" w:hAnsiTheme="majorBidi" w:cstheme="majorBidi"/>
          <w:bCs/>
        </w:rPr>
      </w:pPr>
    </w:p>
    <w:p w14:paraId="27807936" w14:textId="3FC2654E" w:rsidR="00B712B6" w:rsidRPr="003F10AA" w:rsidRDefault="00B712B6" w:rsidP="00B712B6">
      <w:pPr>
        <w:rPr>
          <w:rFonts w:asciiTheme="majorBidi" w:eastAsia="Times New Roman" w:hAnsiTheme="majorBidi" w:cstheme="majorBidi"/>
          <w:bCs/>
        </w:rPr>
      </w:pPr>
      <w:r>
        <w:rPr>
          <w:rFonts w:asciiTheme="majorBidi" w:eastAsia="Times New Roman" w:hAnsiTheme="majorBidi" w:cstheme="majorBidi"/>
          <w:bCs/>
        </w:rPr>
        <w:t>Authors and affiliations:</w:t>
      </w:r>
    </w:p>
    <w:p w14:paraId="391D7FB2" w14:textId="77777777" w:rsidR="00B712B6" w:rsidRPr="003F10AA" w:rsidRDefault="00B712B6" w:rsidP="00B712B6">
      <w:pPr>
        <w:rPr>
          <w:rFonts w:asciiTheme="majorBidi" w:eastAsia="Times New Roman" w:hAnsiTheme="majorBidi" w:cstheme="majorBidi"/>
        </w:rPr>
      </w:pPr>
      <w:r w:rsidRPr="003F10AA">
        <w:rPr>
          <w:rFonts w:asciiTheme="majorBidi" w:eastAsia="Times New Roman" w:hAnsiTheme="majorBidi" w:cstheme="majorBidi"/>
          <w:bCs/>
        </w:rPr>
        <w:t xml:space="preserve">Brooklyn J. Fraser, </w:t>
      </w:r>
      <w:proofErr w:type="spellStart"/>
      <w:proofErr w:type="gramStart"/>
      <w:r w:rsidRPr="003F10AA">
        <w:rPr>
          <w:rFonts w:asciiTheme="majorBidi" w:eastAsia="Times New Roman" w:hAnsiTheme="majorBidi" w:cstheme="majorBidi"/>
          <w:bCs/>
        </w:rPr>
        <w:t>BBiotechMedRes</w:t>
      </w:r>
      <w:proofErr w:type="spellEnd"/>
      <w:r w:rsidRPr="003F10AA">
        <w:rPr>
          <w:rFonts w:asciiTheme="majorBidi" w:eastAsia="Times New Roman" w:hAnsiTheme="majorBidi" w:cstheme="majorBidi"/>
          <w:bCs/>
        </w:rPr>
        <w:t>(</w:t>
      </w:r>
      <w:proofErr w:type="gramEnd"/>
      <w:r w:rsidRPr="003F10AA">
        <w:rPr>
          <w:rFonts w:asciiTheme="majorBidi" w:eastAsia="Times New Roman" w:hAnsiTheme="majorBidi" w:cstheme="majorBidi"/>
          <w:bCs/>
        </w:rPr>
        <w:t xml:space="preserve">Hons) </w:t>
      </w:r>
      <w:r w:rsidRPr="003F10AA">
        <w:rPr>
          <w:rFonts w:asciiTheme="majorBidi" w:eastAsia="Times New Roman" w:hAnsiTheme="majorBidi" w:cstheme="majorBidi"/>
          <w:bCs/>
          <w:i/>
          <w:vertAlign w:val="superscript"/>
        </w:rPr>
        <w:t>a</w:t>
      </w:r>
    </w:p>
    <w:p w14:paraId="3BB89B91" w14:textId="77777777" w:rsidR="00B712B6" w:rsidRPr="003F10AA" w:rsidRDefault="00B712B6" w:rsidP="00B712B6">
      <w:pPr>
        <w:keepNext/>
        <w:keepLines/>
        <w:outlineLvl w:val="1"/>
        <w:rPr>
          <w:rFonts w:asciiTheme="majorBidi" w:eastAsia="Times New Roman" w:hAnsiTheme="majorBidi" w:cstheme="majorBidi"/>
          <w:bCs/>
        </w:rPr>
      </w:pPr>
      <w:r w:rsidRPr="003F10AA">
        <w:rPr>
          <w:rFonts w:asciiTheme="majorBidi" w:eastAsia="Times New Roman" w:hAnsiTheme="majorBidi" w:cstheme="majorBidi"/>
          <w:bCs/>
        </w:rPr>
        <w:t xml:space="preserve">Leigh Blizzard*, PhD </w:t>
      </w:r>
      <w:r w:rsidRPr="003F10AA">
        <w:rPr>
          <w:rFonts w:asciiTheme="majorBidi" w:eastAsia="Times New Roman" w:hAnsiTheme="majorBidi" w:cstheme="majorBidi"/>
          <w:bCs/>
          <w:i/>
          <w:vertAlign w:val="superscript"/>
        </w:rPr>
        <w:t>a</w:t>
      </w:r>
    </w:p>
    <w:p w14:paraId="3434E397" w14:textId="77777777" w:rsidR="00B712B6" w:rsidRPr="003F10AA" w:rsidRDefault="00B712B6" w:rsidP="00B712B6">
      <w:pPr>
        <w:keepNext/>
        <w:keepLines/>
        <w:outlineLvl w:val="1"/>
        <w:rPr>
          <w:rFonts w:asciiTheme="majorBidi" w:eastAsia="Times New Roman" w:hAnsiTheme="majorBidi" w:cstheme="majorBidi"/>
          <w:bCs/>
        </w:rPr>
      </w:pPr>
      <w:r w:rsidRPr="003F10AA">
        <w:rPr>
          <w:rFonts w:asciiTheme="majorBidi" w:eastAsia="Times New Roman" w:hAnsiTheme="majorBidi" w:cstheme="majorBidi"/>
          <w:bCs/>
        </w:rPr>
        <w:t xml:space="preserve">Marie-Jeanne Buscot*, PhD </w:t>
      </w:r>
      <w:r w:rsidRPr="003F10AA">
        <w:rPr>
          <w:rFonts w:asciiTheme="majorBidi" w:eastAsia="Times New Roman" w:hAnsiTheme="majorBidi" w:cstheme="majorBidi"/>
          <w:bCs/>
          <w:i/>
          <w:iCs/>
          <w:vertAlign w:val="superscript"/>
        </w:rPr>
        <w:t>a</w:t>
      </w:r>
    </w:p>
    <w:p w14:paraId="6C0BF07E" w14:textId="77777777" w:rsidR="00B712B6" w:rsidRPr="003F10AA" w:rsidRDefault="00B712B6" w:rsidP="00B712B6">
      <w:pPr>
        <w:keepNext/>
        <w:keepLines/>
        <w:outlineLvl w:val="1"/>
        <w:rPr>
          <w:rFonts w:asciiTheme="majorBidi" w:eastAsia="Times New Roman" w:hAnsiTheme="majorBidi" w:cstheme="majorBidi"/>
          <w:bCs/>
          <w:i/>
          <w:vertAlign w:val="superscript"/>
        </w:rPr>
      </w:pPr>
      <w:r w:rsidRPr="003F10AA">
        <w:rPr>
          <w:rFonts w:asciiTheme="majorBidi" w:eastAsia="Times New Roman" w:hAnsiTheme="majorBidi" w:cstheme="majorBidi"/>
          <w:bCs/>
        </w:rPr>
        <w:t xml:space="preserve">Michael D. Schmidt, PhD </w:t>
      </w:r>
      <w:r w:rsidRPr="003F10AA">
        <w:rPr>
          <w:rFonts w:asciiTheme="majorBidi" w:eastAsia="Times New Roman" w:hAnsiTheme="majorBidi" w:cstheme="majorBidi"/>
          <w:bCs/>
          <w:i/>
          <w:vertAlign w:val="superscript"/>
        </w:rPr>
        <w:t>b</w:t>
      </w:r>
    </w:p>
    <w:p w14:paraId="21160D68" w14:textId="77777777" w:rsidR="00B712B6" w:rsidRPr="003F10AA" w:rsidRDefault="00B712B6" w:rsidP="00B712B6">
      <w:pPr>
        <w:keepNext/>
        <w:keepLines/>
        <w:outlineLvl w:val="1"/>
        <w:rPr>
          <w:rFonts w:asciiTheme="majorBidi" w:eastAsia="Times New Roman" w:hAnsiTheme="majorBidi" w:cstheme="majorBidi"/>
          <w:bCs/>
          <w:i/>
          <w:vertAlign w:val="superscript"/>
        </w:rPr>
      </w:pPr>
      <w:r w:rsidRPr="003F10AA">
        <w:rPr>
          <w:rFonts w:asciiTheme="majorBidi" w:eastAsia="Times New Roman" w:hAnsiTheme="majorBidi" w:cstheme="majorBidi"/>
          <w:bCs/>
        </w:rPr>
        <w:t xml:space="preserve">Terence Dwyer, MD, MPH </w:t>
      </w:r>
      <w:r w:rsidRPr="003F10AA">
        <w:rPr>
          <w:rFonts w:asciiTheme="majorBidi" w:eastAsia="Times New Roman" w:hAnsiTheme="majorBidi" w:cstheme="majorBidi"/>
          <w:bCs/>
          <w:i/>
          <w:vertAlign w:val="superscript"/>
        </w:rPr>
        <w:t>a, c, d, e</w:t>
      </w:r>
    </w:p>
    <w:p w14:paraId="660D1D87" w14:textId="77777777" w:rsidR="00B712B6" w:rsidRPr="003F10AA" w:rsidRDefault="00B712B6" w:rsidP="00B712B6">
      <w:pPr>
        <w:keepNext/>
        <w:keepLines/>
        <w:outlineLvl w:val="1"/>
        <w:rPr>
          <w:rFonts w:asciiTheme="majorBidi" w:eastAsia="Times New Roman" w:hAnsiTheme="majorBidi" w:cstheme="majorBidi"/>
          <w:bCs/>
          <w:vertAlign w:val="superscript"/>
        </w:rPr>
      </w:pPr>
      <w:r w:rsidRPr="003F10AA">
        <w:rPr>
          <w:rFonts w:asciiTheme="majorBidi" w:eastAsia="Times New Roman" w:hAnsiTheme="majorBidi" w:cstheme="majorBidi"/>
          <w:bCs/>
        </w:rPr>
        <w:t>Alison J. Venn, PhD</w:t>
      </w:r>
      <w:r w:rsidRPr="003F10AA">
        <w:rPr>
          <w:rFonts w:asciiTheme="majorBidi" w:eastAsia="Times New Roman" w:hAnsiTheme="majorBidi" w:cstheme="majorBidi"/>
          <w:bCs/>
          <w:vertAlign w:val="superscript"/>
        </w:rPr>
        <w:t xml:space="preserve"> </w:t>
      </w:r>
      <w:r w:rsidRPr="003F10AA">
        <w:rPr>
          <w:rFonts w:asciiTheme="majorBidi" w:eastAsia="Times New Roman" w:hAnsiTheme="majorBidi" w:cstheme="majorBidi"/>
          <w:bCs/>
          <w:i/>
          <w:vertAlign w:val="superscript"/>
        </w:rPr>
        <w:t>a</w:t>
      </w:r>
    </w:p>
    <w:p w14:paraId="2032C093" w14:textId="77777777" w:rsidR="00B712B6" w:rsidRPr="003F10AA" w:rsidRDefault="00B712B6" w:rsidP="00B712B6">
      <w:pPr>
        <w:keepNext/>
        <w:keepLines/>
        <w:outlineLvl w:val="1"/>
        <w:rPr>
          <w:rFonts w:asciiTheme="majorBidi" w:eastAsia="Times New Roman" w:hAnsiTheme="majorBidi" w:cstheme="majorBidi"/>
          <w:bCs/>
          <w:i/>
          <w:vertAlign w:val="superscript"/>
        </w:rPr>
      </w:pPr>
      <w:r w:rsidRPr="003F10AA">
        <w:rPr>
          <w:rFonts w:asciiTheme="majorBidi" w:eastAsia="Times New Roman" w:hAnsiTheme="majorBidi" w:cstheme="majorBidi"/>
          <w:bCs/>
        </w:rPr>
        <w:t xml:space="preserve">Costan G. Magnussen, PhD </w:t>
      </w:r>
      <w:r w:rsidRPr="003F10AA">
        <w:rPr>
          <w:rFonts w:asciiTheme="majorBidi" w:eastAsia="Times New Roman" w:hAnsiTheme="majorBidi" w:cstheme="majorBidi"/>
          <w:bCs/>
          <w:i/>
          <w:vertAlign w:val="superscript"/>
        </w:rPr>
        <w:t>a</w:t>
      </w:r>
      <w:r w:rsidRPr="003F10AA">
        <w:rPr>
          <w:rFonts w:asciiTheme="majorBidi" w:eastAsia="Times New Roman" w:hAnsiTheme="majorBidi" w:cstheme="majorBidi"/>
          <w:bCs/>
          <w:vertAlign w:val="superscript"/>
        </w:rPr>
        <w:t xml:space="preserve">, </w:t>
      </w:r>
      <w:r w:rsidRPr="003F10AA">
        <w:rPr>
          <w:rFonts w:asciiTheme="majorBidi" w:eastAsia="Times New Roman" w:hAnsiTheme="majorBidi" w:cstheme="majorBidi"/>
          <w:bCs/>
          <w:i/>
          <w:vertAlign w:val="superscript"/>
        </w:rPr>
        <w:t>f, g</w:t>
      </w:r>
    </w:p>
    <w:p w14:paraId="56129CE5" w14:textId="77777777" w:rsidR="00B712B6" w:rsidRPr="003F10AA" w:rsidRDefault="00B712B6" w:rsidP="00B712B6">
      <w:pPr>
        <w:keepNext/>
        <w:keepLines/>
        <w:outlineLvl w:val="1"/>
        <w:rPr>
          <w:rFonts w:asciiTheme="majorBidi" w:eastAsia="Times New Roman" w:hAnsiTheme="majorBidi" w:cstheme="majorBidi"/>
          <w:bCs/>
        </w:rPr>
      </w:pPr>
    </w:p>
    <w:p w14:paraId="2319E0B3" w14:textId="77777777" w:rsidR="00B712B6" w:rsidRPr="003F10AA" w:rsidRDefault="00B712B6" w:rsidP="00B712B6">
      <w:pPr>
        <w:keepNext/>
        <w:keepLines/>
        <w:outlineLvl w:val="1"/>
        <w:rPr>
          <w:rFonts w:asciiTheme="majorBidi" w:eastAsia="Times New Roman" w:hAnsiTheme="majorBidi" w:cstheme="majorBidi"/>
          <w:bCs/>
          <w:i/>
        </w:rPr>
      </w:pPr>
      <w:r w:rsidRPr="003F10AA">
        <w:rPr>
          <w:rFonts w:asciiTheme="majorBidi" w:eastAsia="Times New Roman" w:hAnsiTheme="majorBidi" w:cstheme="majorBidi"/>
          <w:bCs/>
          <w:i/>
          <w:vertAlign w:val="superscript"/>
        </w:rPr>
        <w:t xml:space="preserve">a </w:t>
      </w:r>
      <w:r w:rsidRPr="003F10AA">
        <w:rPr>
          <w:rFonts w:asciiTheme="majorBidi" w:hAnsiTheme="majorBidi" w:cstheme="majorBidi"/>
          <w:i/>
        </w:rPr>
        <w:t>Menzies Institute for Medical Research, University of Tasmania, Hobart, Tasmania, Australia</w:t>
      </w:r>
      <w:r w:rsidRPr="003F10AA">
        <w:rPr>
          <w:rFonts w:asciiTheme="majorBidi" w:eastAsia="Times New Roman" w:hAnsiTheme="majorBidi" w:cstheme="majorBidi"/>
          <w:bCs/>
          <w:i/>
        </w:rPr>
        <w:t>.</w:t>
      </w:r>
    </w:p>
    <w:p w14:paraId="32CDEEE5" w14:textId="77777777" w:rsidR="00B712B6" w:rsidRPr="003F10AA" w:rsidRDefault="00B712B6" w:rsidP="00B712B6">
      <w:pPr>
        <w:keepNext/>
        <w:keepLines/>
        <w:outlineLvl w:val="1"/>
        <w:rPr>
          <w:rFonts w:asciiTheme="majorBidi" w:eastAsia="Times New Roman" w:hAnsiTheme="majorBidi" w:cstheme="majorBidi"/>
          <w:bCs/>
          <w:i/>
        </w:rPr>
      </w:pPr>
      <w:r w:rsidRPr="003F10AA">
        <w:rPr>
          <w:rFonts w:asciiTheme="majorBidi" w:eastAsia="Times New Roman" w:hAnsiTheme="majorBidi" w:cstheme="majorBidi"/>
          <w:bCs/>
          <w:i/>
          <w:vertAlign w:val="superscript"/>
        </w:rPr>
        <w:t>b</w:t>
      </w:r>
      <w:r w:rsidRPr="003F10AA">
        <w:rPr>
          <w:rFonts w:asciiTheme="majorBidi" w:eastAsia="Times New Roman" w:hAnsiTheme="majorBidi" w:cstheme="majorBidi"/>
          <w:bCs/>
          <w:i/>
        </w:rPr>
        <w:t xml:space="preserve"> Department of Kinesiology, University of Georgia, Athens, USA.</w:t>
      </w:r>
    </w:p>
    <w:p w14:paraId="2152A60E" w14:textId="77777777" w:rsidR="00B712B6" w:rsidRPr="003F10AA" w:rsidRDefault="00B712B6" w:rsidP="00B712B6">
      <w:pPr>
        <w:keepNext/>
        <w:keepLines/>
        <w:outlineLvl w:val="1"/>
        <w:rPr>
          <w:rFonts w:asciiTheme="majorBidi" w:eastAsia="Times New Roman" w:hAnsiTheme="majorBidi" w:cstheme="majorBidi"/>
          <w:i/>
          <w:iCs/>
          <w:shd w:val="clear" w:color="auto" w:fill="FFFFFF"/>
        </w:rPr>
      </w:pPr>
      <w:r w:rsidRPr="003F10AA">
        <w:rPr>
          <w:rFonts w:asciiTheme="majorBidi" w:eastAsia="Times New Roman" w:hAnsiTheme="majorBidi" w:cstheme="majorBidi"/>
          <w:bCs/>
          <w:i/>
          <w:vertAlign w:val="superscript"/>
        </w:rPr>
        <w:t xml:space="preserve">c </w:t>
      </w:r>
      <w:r w:rsidRPr="003F10AA">
        <w:rPr>
          <w:rFonts w:asciiTheme="majorBidi" w:eastAsia="Times New Roman" w:hAnsiTheme="majorBidi" w:cstheme="majorBidi"/>
          <w:i/>
          <w:iCs/>
          <w:shd w:val="clear" w:color="auto" w:fill="FFFFFF"/>
        </w:rPr>
        <w:t>George Institute for Global Health, Oxford Martin School and Nuffield Department of Obstetrics &amp; Gynaecology, Oxford University, Oxford, UK.</w:t>
      </w:r>
    </w:p>
    <w:p w14:paraId="7AB918E9" w14:textId="77777777" w:rsidR="00B712B6" w:rsidRPr="003F10AA" w:rsidRDefault="00B712B6" w:rsidP="00B712B6">
      <w:pPr>
        <w:keepNext/>
        <w:keepLines/>
        <w:outlineLvl w:val="1"/>
        <w:rPr>
          <w:rFonts w:asciiTheme="majorBidi" w:eastAsia="Times New Roman" w:hAnsiTheme="majorBidi" w:cstheme="majorBidi"/>
          <w:i/>
          <w:iCs/>
          <w:shd w:val="clear" w:color="auto" w:fill="FFFFFF"/>
        </w:rPr>
      </w:pPr>
      <w:r w:rsidRPr="003F10AA">
        <w:rPr>
          <w:rFonts w:asciiTheme="majorBidi" w:eastAsia="Times New Roman" w:hAnsiTheme="majorBidi" w:cstheme="majorBidi"/>
          <w:i/>
          <w:iCs/>
          <w:shd w:val="clear" w:color="auto" w:fill="FFFFFF"/>
          <w:vertAlign w:val="superscript"/>
        </w:rPr>
        <w:t xml:space="preserve">d </w:t>
      </w:r>
      <w:r w:rsidRPr="003F10AA">
        <w:rPr>
          <w:rFonts w:asciiTheme="majorBidi" w:eastAsia="Times New Roman" w:hAnsiTheme="majorBidi" w:cstheme="majorBidi"/>
          <w:i/>
          <w:iCs/>
          <w:shd w:val="clear" w:color="auto" w:fill="FFFFFF"/>
        </w:rPr>
        <w:t>Murdoch Children’s Research Institute, Melbourne, Australia.</w:t>
      </w:r>
    </w:p>
    <w:p w14:paraId="29FD9AD5" w14:textId="77777777" w:rsidR="00B712B6" w:rsidRPr="003F10AA" w:rsidRDefault="00B712B6" w:rsidP="00B712B6">
      <w:pPr>
        <w:keepNext/>
        <w:keepLines/>
        <w:outlineLvl w:val="1"/>
        <w:rPr>
          <w:rFonts w:asciiTheme="majorBidi" w:eastAsia="Times New Roman" w:hAnsiTheme="majorBidi" w:cstheme="majorBidi"/>
          <w:i/>
          <w:iCs/>
          <w:shd w:val="clear" w:color="auto" w:fill="FFFFFF"/>
        </w:rPr>
      </w:pPr>
      <w:r w:rsidRPr="003F10AA">
        <w:rPr>
          <w:rFonts w:asciiTheme="majorBidi" w:eastAsia="Times New Roman" w:hAnsiTheme="majorBidi" w:cstheme="majorBidi"/>
          <w:i/>
          <w:iCs/>
          <w:shd w:val="clear" w:color="auto" w:fill="FFFFFF"/>
          <w:vertAlign w:val="superscript"/>
        </w:rPr>
        <w:t>e</w:t>
      </w:r>
      <w:r w:rsidRPr="003F10AA">
        <w:rPr>
          <w:rFonts w:asciiTheme="majorBidi" w:eastAsia="Times New Roman" w:hAnsiTheme="majorBidi" w:cstheme="majorBidi"/>
          <w:i/>
          <w:iCs/>
          <w:shd w:val="clear" w:color="auto" w:fill="FFFFFF"/>
        </w:rPr>
        <w:t xml:space="preserve"> Faculty of Medicine, Dentistry and Health Sciences, University of Melbourne, Melbourne, Australia.</w:t>
      </w:r>
    </w:p>
    <w:p w14:paraId="01299E59" w14:textId="77777777" w:rsidR="00B712B6" w:rsidRPr="003F10AA" w:rsidRDefault="00B712B6" w:rsidP="00B712B6">
      <w:pPr>
        <w:rPr>
          <w:rFonts w:asciiTheme="majorBidi" w:eastAsia="Times New Roman" w:hAnsiTheme="majorBidi" w:cstheme="majorBidi"/>
          <w:i/>
        </w:rPr>
      </w:pPr>
      <w:r w:rsidRPr="003F10AA">
        <w:rPr>
          <w:rFonts w:asciiTheme="majorBidi" w:eastAsia="Times New Roman" w:hAnsiTheme="majorBidi" w:cstheme="majorBidi"/>
          <w:i/>
          <w:vertAlign w:val="superscript"/>
        </w:rPr>
        <w:t xml:space="preserve">f </w:t>
      </w:r>
      <w:r w:rsidRPr="003F10AA">
        <w:rPr>
          <w:rFonts w:asciiTheme="majorBidi" w:eastAsia="Times New Roman" w:hAnsiTheme="majorBidi" w:cstheme="majorBidi"/>
          <w:i/>
        </w:rPr>
        <w:t>Research Centre of Applied and Preventive Cardiovascular Medicine, University of Turku, Turku, Finland.</w:t>
      </w:r>
    </w:p>
    <w:p w14:paraId="34AC5BF4" w14:textId="77777777" w:rsidR="00B712B6" w:rsidRPr="003F10AA" w:rsidRDefault="00B712B6" w:rsidP="00B712B6">
      <w:pPr>
        <w:rPr>
          <w:rFonts w:asciiTheme="majorBidi" w:eastAsia="Times New Roman" w:hAnsiTheme="majorBidi" w:cstheme="majorBidi"/>
          <w:i/>
        </w:rPr>
      </w:pPr>
      <w:r w:rsidRPr="003F10AA">
        <w:rPr>
          <w:rFonts w:asciiTheme="majorBidi" w:eastAsia="Times New Roman" w:hAnsiTheme="majorBidi" w:cstheme="majorBidi"/>
          <w:i/>
          <w:vertAlign w:val="superscript"/>
        </w:rPr>
        <w:lastRenderedPageBreak/>
        <w:t xml:space="preserve">g </w:t>
      </w:r>
      <w:r w:rsidRPr="003F10AA">
        <w:rPr>
          <w:rFonts w:asciiTheme="majorBidi" w:eastAsia="Times New Roman" w:hAnsiTheme="majorBidi" w:cstheme="majorBidi"/>
          <w:i/>
        </w:rPr>
        <w:t>Centre for Population Health Research, University of Turku and Turku University Hospital, Turku, Finland.</w:t>
      </w:r>
    </w:p>
    <w:p w14:paraId="53506C25" w14:textId="77777777" w:rsidR="00B712B6" w:rsidRPr="003F10AA" w:rsidRDefault="00B712B6" w:rsidP="00B712B6">
      <w:pPr>
        <w:rPr>
          <w:rFonts w:asciiTheme="majorBidi" w:eastAsia="Times New Roman" w:hAnsiTheme="majorBidi" w:cstheme="majorBidi"/>
          <w:i/>
        </w:rPr>
      </w:pPr>
    </w:p>
    <w:p w14:paraId="4F5197E0" w14:textId="77777777" w:rsidR="00B712B6" w:rsidRPr="003F10AA" w:rsidRDefault="00B712B6" w:rsidP="00B712B6">
      <w:pPr>
        <w:keepNext/>
        <w:keepLines/>
        <w:outlineLvl w:val="1"/>
        <w:rPr>
          <w:rFonts w:asciiTheme="majorBidi" w:eastAsia="Times New Roman" w:hAnsiTheme="majorBidi" w:cstheme="majorBidi"/>
          <w:bCs/>
        </w:rPr>
      </w:pPr>
      <w:r w:rsidRPr="003F10AA">
        <w:rPr>
          <w:rFonts w:asciiTheme="majorBidi" w:eastAsia="Times New Roman" w:hAnsiTheme="majorBidi" w:cstheme="majorBidi"/>
          <w:bCs/>
        </w:rPr>
        <w:t>* These two authors contributed equally to this work and are considered equal second authors.</w:t>
      </w:r>
    </w:p>
    <w:p w14:paraId="083C5906" w14:textId="77777777" w:rsidR="00B712B6" w:rsidRPr="003F10AA" w:rsidRDefault="00B712B6" w:rsidP="00B712B6">
      <w:pPr>
        <w:rPr>
          <w:rStyle w:val="Hyperlink"/>
          <w:rFonts w:asciiTheme="majorBidi" w:hAnsiTheme="majorBidi" w:cstheme="majorBidi"/>
          <w:bCs/>
        </w:rPr>
      </w:pPr>
      <w:r w:rsidRPr="003F10AA">
        <w:rPr>
          <w:rFonts w:asciiTheme="majorBidi" w:hAnsiTheme="majorBidi" w:cstheme="majorBidi"/>
          <w:bCs/>
        </w:rPr>
        <w:t>Correspondence to Costan G Magnussen, Menzies Institute for Medical Research, University of Tasmania, Private Bag 23, Hobart 7001, Tasmania, Australia. E-mail:</w:t>
      </w:r>
      <w:r w:rsidRPr="003F10AA">
        <w:rPr>
          <w:rFonts w:asciiTheme="majorBidi" w:hAnsiTheme="majorBidi" w:cstheme="majorBidi"/>
        </w:rPr>
        <w:t xml:space="preserve"> </w:t>
      </w:r>
      <w:hyperlink r:id="rId4" w:history="1">
        <w:r w:rsidRPr="003F10AA">
          <w:rPr>
            <w:rStyle w:val="Hyperlink"/>
            <w:rFonts w:asciiTheme="majorBidi" w:hAnsiTheme="majorBidi" w:cstheme="majorBidi"/>
            <w:bCs/>
          </w:rPr>
          <w:t>cmagnuss@utas.edu.au</w:t>
        </w:r>
      </w:hyperlink>
    </w:p>
    <w:p w14:paraId="682D66BE" w14:textId="77777777" w:rsidR="00FD2BE2" w:rsidRDefault="00FD2BE2">
      <w:pPr>
        <w:sectPr w:rsidR="00FD2BE2">
          <w:pgSz w:w="11906" w:h="16838"/>
          <w:pgMar w:top="1440" w:right="1440" w:bottom="1440" w:left="1440" w:header="708" w:footer="708" w:gutter="0"/>
          <w:cols w:space="708"/>
          <w:docGrid w:linePitch="360"/>
        </w:sectPr>
      </w:pPr>
    </w:p>
    <w:p w14:paraId="1E0F271D" w14:textId="77777777" w:rsidR="00FD2BE2" w:rsidRDefault="00FD2BE2" w:rsidP="00FD2BE2">
      <w:r>
        <w:lastRenderedPageBreak/>
        <w:t xml:space="preserve">Supplementary methods and results </w:t>
      </w:r>
    </w:p>
    <w:p w14:paraId="465C5548" w14:textId="77777777" w:rsidR="00FD2BE2" w:rsidRPr="000003B7" w:rsidRDefault="00FD2BE2" w:rsidP="00FD2BE2">
      <w:pPr>
        <w:rPr>
          <w:i/>
          <w:iCs/>
        </w:rPr>
      </w:pPr>
      <w:r w:rsidRPr="000003B7">
        <w:rPr>
          <w:i/>
          <w:iCs/>
        </w:rPr>
        <w:t>Additional detail regarding the Bayesian relevant life course exposure model (</w:t>
      </w:r>
      <w:proofErr w:type="spellStart"/>
      <w:r w:rsidRPr="000003B7">
        <w:rPr>
          <w:i/>
          <w:iCs/>
        </w:rPr>
        <w:t>BRLM</w:t>
      </w:r>
      <w:proofErr w:type="spellEnd"/>
      <w:r w:rsidRPr="000003B7">
        <w:rPr>
          <w:i/>
          <w:iCs/>
        </w:rPr>
        <w:t xml:space="preserve">) and our simulation study to assess the performance of the </w:t>
      </w:r>
      <w:proofErr w:type="spellStart"/>
      <w:r w:rsidRPr="000003B7">
        <w:rPr>
          <w:i/>
          <w:iCs/>
        </w:rPr>
        <w:t>BRLM</w:t>
      </w:r>
      <w:proofErr w:type="spellEnd"/>
      <w:r w:rsidRPr="000003B7">
        <w:rPr>
          <w:i/>
          <w:iCs/>
        </w:rPr>
        <w:t xml:space="preserve"> under small sample size and low outcome frequency.</w:t>
      </w:r>
    </w:p>
    <w:p w14:paraId="5F408B83" w14:textId="15BA25BC" w:rsidR="00FD2BE2" w:rsidRDefault="00FD2BE2" w:rsidP="00FD2BE2">
      <w:r>
        <w:t xml:space="preserve">The relative importance of grip strength measured in childhood, young adulthood and mid-adulthood on prediabetes </w:t>
      </w:r>
      <w:r w:rsidR="00D6095C">
        <w:t xml:space="preserve">or </w:t>
      </w:r>
      <w:r>
        <w:t>type 2 diabetes risk in mid-adulthood is identified using a Bayesian relevant life course exposure model (</w:t>
      </w:r>
      <w:proofErr w:type="spellStart"/>
      <w:r>
        <w:t>BRLM</w:t>
      </w:r>
      <w:proofErr w:type="spellEnd"/>
      <w:r>
        <w:t xml:space="preserve">) [1, 2]. The </w:t>
      </w:r>
      <w:proofErr w:type="spellStart"/>
      <w:r>
        <w:t>BRLM</w:t>
      </w:r>
      <w:proofErr w:type="spellEnd"/>
      <w:r>
        <w:t xml:space="preserve"> assumes weights for the effect of grip strength at different life stages (childhood=W1, young adulthood=W2, mid-adulthood=W3), allowing grip strength to associate with prediabetes </w:t>
      </w:r>
      <w:r w:rsidR="00D6095C">
        <w:t xml:space="preserve">or </w:t>
      </w:r>
      <w:r>
        <w:t xml:space="preserve">type 2 diabetes differently depending on the life stage at which it was measured. The </w:t>
      </w:r>
      <w:proofErr w:type="spellStart"/>
      <w:r>
        <w:t>BRLM</w:t>
      </w:r>
      <w:proofErr w:type="spellEnd"/>
      <w:r>
        <w:t xml:space="preserve"> considers a model of weighted exposure for each considered life stage, conceptualized as the product of the exposure metric and its corresponding weight over each considered life stage, summed over all life stages. The weight relates to the relevance of grip strength during each period to the development of prediabetes </w:t>
      </w:r>
      <w:r w:rsidR="00D6095C">
        <w:t xml:space="preserve">or </w:t>
      </w:r>
      <w:r>
        <w:t xml:space="preserve">type 2 diabetes in mid-adulthood. The life stage specific weight parameters are estimated using a Bayesian approach. The estimated weights help determine the life course model best supported by the data. The joint posterior distribution of the weight parameters at each of the three life stages can be visualized using a ternary plot. When the posterior distribution of weights cluster along vertices, the model indicates critical periods for the corresponding weight stage, and when the posterior distribution clusters in the central area of the plot, the model suggests an accumulation model [1, 2]. In addition, the </w:t>
      </w:r>
      <w:proofErr w:type="spellStart"/>
      <w:r>
        <w:t>BRLM</w:t>
      </w:r>
      <w:proofErr w:type="spellEnd"/>
      <w:r>
        <w:t xml:space="preserve"> estimates an overall effect for the lifetime exposure of grip strength, representing the maximum accumulated effect of grip strength across the life course on prediabetes </w:t>
      </w:r>
      <w:r w:rsidR="00D6095C">
        <w:t xml:space="preserve">or </w:t>
      </w:r>
      <w:r>
        <w:t xml:space="preserve">type 2 diabetes in mid-adulthood. Furthermore, the </w:t>
      </w:r>
      <w:proofErr w:type="spellStart"/>
      <w:r>
        <w:t>BRLM</w:t>
      </w:r>
      <w:proofErr w:type="spellEnd"/>
      <w:r>
        <w:t xml:space="preserve"> method derives life stage specific effects, a combination of the overall effect and relative weights. These represent the time dependent </w:t>
      </w:r>
      <w:r>
        <w:lastRenderedPageBreak/>
        <w:t xml:space="preserve">association between grip strength (in childhood, young adulthood and mid-adulthood) and prediabetes </w:t>
      </w:r>
      <w:r w:rsidR="00D6095C">
        <w:t xml:space="preserve">or </w:t>
      </w:r>
      <w:r>
        <w:t xml:space="preserve">type 2 diabetes in mid-adulthood [1, 2]. </w:t>
      </w:r>
    </w:p>
    <w:p w14:paraId="4A35110F" w14:textId="77777777" w:rsidR="00FD2BE2" w:rsidRDefault="00FD2BE2" w:rsidP="00FD2BE2"/>
    <w:p w14:paraId="70DC3893" w14:textId="21466647" w:rsidR="00FD2BE2" w:rsidRDefault="00FD2BE2" w:rsidP="00FD2BE2">
      <w:r>
        <w:t xml:space="preserve">In R (Version 3.5.3, R Foundation for Statistical Computing, Vienna, Austria) [3] using the Stan package to fit Bayesian models [4], the </w:t>
      </w:r>
      <w:proofErr w:type="spellStart"/>
      <w:r>
        <w:t>BRLM</w:t>
      </w:r>
      <w:proofErr w:type="spellEnd"/>
      <w:r>
        <w:t xml:space="preserve"> with an unconditional logistic regression likelihood was used to identify the relative importance of grip strength measured in childhood, young adulthood and mid-adulthood on prediabetes </w:t>
      </w:r>
      <w:r w:rsidR="00D6095C">
        <w:t xml:space="preserve">or </w:t>
      </w:r>
      <w:r>
        <w:t xml:space="preserve">type 2 diabetes. There was little or no evidence to include prior beliefs on what life course model would best support these data. Therefore, a non-informative prior, giving equal support to all life models, was used. In this study, a non-informative Dirichlet (1, 1, 1) prior for weights and a Cauchy prior (0, 2.5) for the lifetime effect were used. Posterior distributions were used to compute mean and 95% credible intervals (95% </w:t>
      </w:r>
      <w:proofErr w:type="spellStart"/>
      <w:r>
        <w:t>CrI</w:t>
      </w:r>
      <w:proofErr w:type="spellEnd"/>
      <w:r>
        <w:t>) for weights (interpreted as relative importance) and OR for the overall effect. Measures of CRF and waist circumference in childhood, young adulthood and mid-adulthood were age- and sex-standardized and a numerical average from across the life course, representing an average standardized value, was created ((z-childhood + z-young adulthood + z-mid-adulthood)/3). If data were not available at all three time-points, an average standardized value was created using the data that were available (one time-point: CRF: n=11; waist circumference: n=0; two time-points: CRF: n=91; waist circumference: n=14; three time-points: CRF: n=163; waist circumference: n=251). In a sensitivity analysis, the lifetime average of standardized CRF and waist circumference values were included within the model as covariates using Cauchy priors (0, 2.5) for each continuous covariate.</w:t>
      </w:r>
    </w:p>
    <w:p w14:paraId="4B734E39" w14:textId="77777777" w:rsidR="00FD2BE2" w:rsidRDefault="00FD2BE2" w:rsidP="00FD2BE2"/>
    <w:p w14:paraId="218CAD10" w14:textId="77777777" w:rsidR="00FD2BE2" w:rsidRPr="000003B7" w:rsidRDefault="00FD2BE2" w:rsidP="00FD2BE2">
      <w:pPr>
        <w:rPr>
          <w:i/>
          <w:iCs/>
        </w:rPr>
      </w:pPr>
      <w:r w:rsidRPr="000003B7">
        <w:rPr>
          <w:i/>
          <w:iCs/>
        </w:rPr>
        <w:t xml:space="preserve">Simulation study to assess the performance of the </w:t>
      </w:r>
      <w:proofErr w:type="spellStart"/>
      <w:r w:rsidRPr="000003B7">
        <w:rPr>
          <w:i/>
          <w:iCs/>
        </w:rPr>
        <w:t>BRLM</w:t>
      </w:r>
      <w:proofErr w:type="spellEnd"/>
      <w:r w:rsidRPr="000003B7">
        <w:rPr>
          <w:i/>
          <w:iCs/>
        </w:rPr>
        <w:t xml:space="preserve"> approach under small sample size and low outcome frequency</w:t>
      </w:r>
    </w:p>
    <w:p w14:paraId="2CD7F5D0" w14:textId="24CE887D" w:rsidR="00FD2BE2" w:rsidRDefault="00FD2BE2" w:rsidP="00FD2BE2">
      <w:r>
        <w:lastRenderedPageBreak/>
        <w:t xml:space="preserve">Since the </w:t>
      </w:r>
      <w:proofErr w:type="spellStart"/>
      <w:r>
        <w:t>BRLM</w:t>
      </w:r>
      <w:proofErr w:type="spellEnd"/>
      <w:r>
        <w:t xml:space="preserve"> is a recently developed approach, its performance at identifying the correct life course model by estimating ‘true’ parameter values has not been investigated in a scenario including a small sample size (&lt;300 participants) and a rare binary outcome (frequency &lt;10 %). To assess the performance of the model to predict a pure accumulation model in a dataset matching this scenario, we simulated a three-period pure accumulation (W1=W2=W3=0.33) life course model (‘true’ model), with three exposure gaussian distributed variables with a correlation of 0.75 between adjacent measures and 0.50 between non-adjacent measures. The parameter for the lifetime effect was set to beta=2 and for simplicity, covariates were not included. Using this model, the binary dependent variable was simulated for a sample of size N=265 using an inverse logit function of the cross product of the lifetime effect multiplied by the weighted simulated exposure to approximately match the outcome prevalence with the prevalence of prediabetes </w:t>
      </w:r>
      <w:r w:rsidR="00D6095C">
        <w:t xml:space="preserve">or </w:t>
      </w:r>
      <w:r>
        <w:t xml:space="preserve">type 2 diabetes observed in our study (i.e. 7.5 %). This was repeated 5,000 times, and 5,000 random simulated samples of N=265, where the data generating process matched a pure accumulation scenario and the occurrence of the observed outcome was rare (&lt;10 %), were produced. For each of these 5,000 simulated datasets, using the non-informative priors described in the previous section, the </w:t>
      </w:r>
      <w:proofErr w:type="spellStart"/>
      <w:r>
        <w:t>BRLM</w:t>
      </w:r>
      <w:proofErr w:type="spellEnd"/>
      <w:r>
        <w:t xml:space="preserve"> was fitted using 10000 iterations for burn-in and 20000 iterations for parameter inference to: (1) retrieve the posterior distribution for each of the three weight parameters, and (2), identify the shortest Euclidian distance between the estimated weights and five possible reference weight vectors corresponding to various life course models. These included one pure accumulation (where all three weights=0.33), three critical periods (i.e. where one of the three weights=1 and the other two=0), and one sensitive period (where the most weight was set to period 1 (0.75), with 20 % of the weight allocated to period 2 and 5 % to period 3, respectively), as previously described [1]. The shortest Euclidian distance represents the life course model best supported by the data.</w:t>
      </w:r>
    </w:p>
    <w:p w14:paraId="73FDEC79" w14:textId="77777777" w:rsidR="00FD2BE2" w:rsidRDefault="00FD2BE2" w:rsidP="00FD2BE2"/>
    <w:p w14:paraId="6F65DBD6" w14:textId="77777777" w:rsidR="00FD2BE2" w:rsidRPr="000003B7" w:rsidRDefault="00FD2BE2" w:rsidP="00FD2BE2">
      <w:pPr>
        <w:rPr>
          <w:i/>
          <w:iCs/>
        </w:rPr>
      </w:pPr>
      <w:r w:rsidRPr="000003B7">
        <w:rPr>
          <w:i/>
          <w:iCs/>
        </w:rPr>
        <w:t>Results of the simulation study</w:t>
      </w:r>
    </w:p>
    <w:p w14:paraId="31AF8094" w14:textId="77777777" w:rsidR="00FD2BE2" w:rsidRDefault="00FD2BE2" w:rsidP="00FD2BE2">
      <w:r>
        <w:t>Across the 5,000 generated small (N=265) datasets, the average posterior mean of weights were close to the ‘true’ weights set in the simulation (i.e. mean (W1)=0</w:t>
      </w:r>
      <w:bookmarkStart w:id="1" w:name="_GoBack"/>
      <w:bookmarkEnd w:id="1"/>
      <w:r>
        <w:t xml:space="preserve">.28, mean (W2)=0.27, mean (W3)=0.31) but the standard deviation around the means were relatively wide (i.e. SD (W1)=0.57, SD (W2)=0.62, SD (W3)=0.71). This suggest that although on average the </w:t>
      </w:r>
      <w:proofErr w:type="spellStart"/>
      <w:r>
        <w:t>BRLM</w:t>
      </w:r>
      <w:proofErr w:type="spellEnd"/>
      <w:r>
        <w:t xml:space="preserve"> estimates the correct weight values in a situation of small sample size such as ours, there is some variability around those estimates. However, using the Euclidian distance approach, the correct life course model (i.e. ‘pure’ accumulation) was identified for N=4,162/5,000 simulated samples with a sample size of N=265, suggesting that the </w:t>
      </w:r>
      <w:proofErr w:type="spellStart"/>
      <w:r>
        <w:t>BRLM</w:t>
      </w:r>
      <w:proofErr w:type="spellEnd"/>
      <w:r>
        <w:t xml:space="preserve"> has a power of 83.2 % at detecting the true data generating-process in situation of very small sample size and low disease prevalence. </w:t>
      </w:r>
    </w:p>
    <w:p w14:paraId="34E46D88" w14:textId="77777777" w:rsidR="00FD2BE2" w:rsidRDefault="00FD2BE2" w:rsidP="00FD2BE2"/>
    <w:p w14:paraId="3A4AC3FD" w14:textId="77777777" w:rsidR="00FD2BE2" w:rsidRPr="000003B7" w:rsidRDefault="00FD2BE2" w:rsidP="00FD2BE2">
      <w:pPr>
        <w:rPr>
          <w:b/>
          <w:bCs/>
        </w:rPr>
      </w:pPr>
      <w:r w:rsidRPr="000003B7">
        <w:rPr>
          <w:b/>
          <w:bCs/>
        </w:rPr>
        <w:t>Supplementary references:</w:t>
      </w:r>
    </w:p>
    <w:p w14:paraId="614D829F" w14:textId="77777777" w:rsidR="00FD2BE2" w:rsidRDefault="00FD2BE2" w:rsidP="00FD2BE2">
      <w:pPr>
        <w:ind w:left="720" w:hanging="720"/>
      </w:pPr>
      <w:r>
        <w:t>1.</w:t>
      </w:r>
      <w:r>
        <w:tab/>
        <w:t xml:space="preserve">Madathil S, Joseph L, Hardy R, Rousseau MC, </w:t>
      </w:r>
      <w:proofErr w:type="spellStart"/>
      <w:r>
        <w:t>Nicolau</w:t>
      </w:r>
      <w:proofErr w:type="spellEnd"/>
      <w:r>
        <w:t xml:space="preserve"> B. A Bayesian approach to investigate life course hypotheses involving continuous exposures. Int J Epidemiol. 2018 Oct 1;47(5):1623-35.</w:t>
      </w:r>
    </w:p>
    <w:p w14:paraId="7598F310" w14:textId="77777777" w:rsidR="00FD2BE2" w:rsidRDefault="00FD2BE2" w:rsidP="00FD2BE2">
      <w:pPr>
        <w:ind w:left="720" w:hanging="720"/>
      </w:pPr>
      <w:r>
        <w:t>2.</w:t>
      </w:r>
      <w:r>
        <w:tab/>
        <w:t xml:space="preserve">Madathil S, Blaser C, </w:t>
      </w:r>
      <w:proofErr w:type="spellStart"/>
      <w:r>
        <w:t>Nicolau</w:t>
      </w:r>
      <w:proofErr w:type="spellEnd"/>
      <w:r>
        <w:t xml:space="preserve"> B, Richard H, Parent ME. Disadvantageous socioeconomic position at specific life periods may contribute to prostate cancer risk and aggressiveness. Front Oncol. </w:t>
      </w:r>
      <w:proofErr w:type="gramStart"/>
      <w:r>
        <w:t>2018;8:515</w:t>
      </w:r>
      <w:proofErr w:type="gramEnd"/>
      <w:r>
        <w:t>.</w:t>
      </w:r>
    </w:p>
    <w:p w14:paraId="07B19CD6" w14:textId="77777777" w:rsidR="00FD2BE2" w:rsidRDefault="00FD2BE2" w:rsidP="00FD2BE2">
      <w:pPr>
        <w:ind w:left="720" w:hanging="720"/>
      </w:pPr>
      <w:r>
        <w:t>3.</w:t>
      </w:r>
      <w:r>
        <w:tab/>
        <w:t>R Core Team. R: A language and environment for statistical computing. Vienna, Austria: R Foundation for Statistical Computing; 2018.</w:t>
      </w:r>
    </w:p>
    <w:p w14:paraId="43DA6022" w14:textId="77777777" w:rsidR="00FD2BE2" w:rsidRDefault="00FD2BE2" w:rsidP="00FD2BE2">
      <w:pPr>
        <w:ind w:left="720" w:hanging="720"/>
      </w:pPr>
      <w:r>
        <w:t>4.</w:t>
      </w:r>
      <w:r>
        <w:tab/>
        <w:t xml:space="preserve">Carpenter B, Gelman A, Hoffman MD, Lee D, Goodrich B, Betancourt M, et al. Stan: A probabilistic programming language. J Stat </w:t>
      </w:r>
      <w:proofErr w:type="spellStart"/>
      <w:r>
        <w:t>Softw</w:t>
      </w:r>
      <w:proofErr w:type="spellEnd"/>
      <w:r>
        <w:t>. 2017;76(1).</w:t>
      </w:r>
    </w:p>
    <w:p w14:paraId="2BF9BCAC" w14:textId="77777777" w:rsidR="00FD2BE2" w:rsidRDefault="00FD2BE2">
      <w:pPr>
        <w:sectPr w:rsidR="00FD2BE2">
          <w:pgSz w:w="11906" w:h="16838"/>
          <w:pgMar w:top="1440" w:right="1440" w:bottom="1440" w:left="1440" w:header="708" w:footer="708" w:gutter="0"/>
          <w:cols w:space="708"/>
          <w:docGrid w:linePitch="360"/>
        </w:sectPr>
      </w:pPr>
    </w:p>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gridCol w:w="55"/>
      </w:tblGrid>
      <w:tr w:rsidR="00FD2BE2" w14:paraId="49539567" w14:textId="77777777" w:rsidTr="00246681">
        <w:trPr>
          <w:gridAfter w:val="1"/>
          <w:wAfter w:w="55" w:type="dxa"/>
        </w:trPr>
        <w:tc>
          <w:tcPr>
            <w:tcW w:w="9016" w:type="dxa"/>
          </w:tcPr>
          <w:p w14:paraId="26C7ED73" w14:textId="0CD576F8" w:rsidR="00FD2BE2" w:rsidRDefault="00FD2BE2" w:rsidP="00246681">
            <w:pPr>
              <w:spacing w:after="160" w:line="360" w:lineRule="auto"/>
              <w:rPr>
                <w:rFonts w:asciiTheme="majorBidi" w:hAnsiTheme="majorBidi" w:cstheme="majorBidi"/>
                <w:bCs/>
                <w:sz w:val="22"/>
                <w:szCs w:val="22"/>
              </w:rPr>
            </w:pPr>
            <w:r w:rsidRPr="005F43FA">
              <w:rPr>
                <w:rFonts w:asciiTheme="majorBidi" w:hAnsiTheme="majorBidi" w:cstheme="majorBidi"/>
                <w:bCs/>
                <w:sz w:val="22"/>
                <w:szCs w:val="22"/>
              </w:rPr>
              <w:lastRenderedPageBreak/>
              <w:t xml:space="preserve">Figure </w:t>
            </w:r>
            <w:r>
              <w:rPr>
                <w:rFonts w:asciiTheme="majorBidi" w:hAnsiTheme="majorBidi" w:cstheme="majorBidi"/>
                <w:bCs/>
                <w:sz w:val="22"/>
                <w:szCs w:val="22"/>
              </w:rPr>
              <w:t>S1</w:t>
            </w:r>
            <w:r w:rsidRPr="005F43FA">
              <w:rPr>
                <w:rFonts w:asciiTheme="majorBidi" w:hAnsiTheme="majorBidi" w:cstheme="majorBidi"/>
                <w:bCs/>
                <w:sz w:val="22"/>
                <w:szCs w:val="22"/>
              </w:rPr>
              <w:t>. Distribution of the non-informative Dirichlet (1,1,1) prior</w:t>
            </w:r>
            <w:r>
              <w:rPr>
                <w:rFonts w:asciiTheme="majorBidi" w:hAnsiTheme="majorBidi" w:cstheme="majorBidi"/>
                <w:bCs/>
                <w:sz w:val="22"/>
                <w:szCs w:val="22"/>
              </w:rPr>
              <w:t xml:space="preserve"> with 50% (thick solid line) and 95% (dashed line) credible intervals.</w:t>
            </w:r>
          </w:p>
          <w:p w14:paraId="5EED1BE2" w14:textId="77777777" w:rsidR="00FD2BE2" w:rsidRPr="00680971" w:rsidRDefault="00FD2BE2" w:rsidP="00246681">
            <w:pPr>
              <w:spacing w:after="160" w:line="360" w:lineRule="auto"/>
              <w:rPr>
                <w:rFonts w:asciiTheme="majorBidi" w:hAnsiTheme="majorBidi" w:cstheme="majorBidi"/>
                <w:bCs/>
                <w:sz w:val="22"/>
                <w:szCs w:val="22"/>
              </w:rPr>
            </w:pPr>
          </w:p>
        </w:tc>
      </w:tr>
      <w:tr w:rsidR="00FD2BE2" w14:paraId="18EE41FF" w14:textId="77777777" w:rsidTr="00246681">
        <w:tc>
          <w:tcPr>
            <w:tcW w:w="9071" w:type="dxa"/>
            <w:gridSpan w:val="2"/>
          </w:tcPr>
          <w:p w14:paraId="26976444" w14:textId="77777777" w:rsidR="00FD2BE2" w:rsidRDefault="00FD2BE2" w:rsidP="00246681">
            <w:pPr>
              <w:jc w:val="center"/>
              <w:rPr>
                <w:rFonts w:asciiTheme="majorBidi" w:hAnsiTheme="majorBidi" w:cstheme="majorBidi"/>
              </w:rPr>
            </w:pPr>
            <w:r>
              <w:rPr>
                <w:rFonts w:asciiTheme="majorBidi" w:hAnsiTheme="majorBidi" w:cstheme="majorBidi"/>
                <w:noProof/>
              </w:rPr>
              <w:drawing>
                <wp:inline distT="0" distB="0" distL="0" distR="0" wp14:anchorId="14AF4F10" wp14:editId="2478E398">
                  <wp:extent cx="3600000" cy="270772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plot_dirseed3342.jpeg"/>
                          <pic:cNvPicPr/>
                        </pic:nvPicPr>
                        <pic:blipFill rotWithShape="1">
                          <a:blip r:embed="rId5">
                            <a:extLst>
                              <a:ext uri="{28A0092B-C50C-407E-A947-70E740481C1C}">
                                <a14:useLocalDpi xmlns:a14="http://schemas.microsoft.com/office/drawing/2010/main" val="0"/>
                              </a:ext>
                            </a:extLst>
                          </a:blip>
                          <a:srcRect l="23932" r="21434"/>
                          <a:stretch/>
                        </pic:blipFill>
                        <pic:spPr bwMode="auto">
                          <a:xfrm>
                            <a:off x="0" y="0"/>
                            <a:ext cx="3600000" cy="2707725"/>
                          </a:xfrm>
                          <a:prstGeom prst="rect">
                            <a:avLst/>
                          </a:prstGeom>
                          <a:ln>
                            <a:noFill/>
                          </a:ln>
                          <a:extLst>
                            <a:ext uri="{53640926-AAD7-44D8-BBD7-CCE9431645EC}">
                              <a14:shadowObscured xmlns:a14="http://schemas.microsoft.com/office/drawing/2010/main"/>
                            </a:ext>
                          </a:extLst>
                        </pic:spPr>
                      </pic:pic>
                    </a:graphicData>
                  </a:graphic>
                </wp:inline>
              </w:drawing>
            </w:r>
          </w:p>
        </w:tc>
      </w:tr>
      <w:tr w:rsidR="00FD2BE2" w14:paraId="06B2CEAC" w14:textId="77777777" w:rsidTr="00246681">
        <w:trPr>
          <w:gridAfter w:val="1"/>
          <w:wAfter w:w="55" w:type="dxa"/>
        </w:trPr>
        <w:tc>
          <w:tcPr>
            <w:tcW w:w="9016" w:type="dxa"/>
          </w:tcPr>
          <w:p w14:paraId="07669D72" w14:textId="77777777" w:rsidR="00FD2BE2" w:rsidRDefault="00FD2BE2" w:rsidP="00246681">
            <w:pPr>
              <w:rPr>
                <w:rFonts w:asciiTheme="majorBidi" w:hAnsiTheme="majorBidi" w:cstheme="majorBidi"/>
              </w:rPr>
            </w:pPr>
            <w:r w:rsidRPr="005F43FA">
              <w:rPr>
                <w:rFonts w:asciiTheme="majorBidi" w:hAnsiTheme="majorBidi" w:cstheme="majorBidi"/>
                <w:bCs/>
                <w:sz w:val="22"/>
                <w:szCs w:val="22"/>
              </w:rPr>
              <w:t>Abbreviations: W1, posterior mean estimates of weights for childhood; W2, posterior mean estimates of weights for young</w:t>
            </w:r>
            <w:r>
              <w:rPr>
                <w:rFonts w:asciiTheme="majorBidi" w:hAnsiTheme="majorBidi" w:cstheme="majorBidi"/>
                <w:bCs/>
                <w:sz w:val="22"/>
                <w:szCs w:val="22"/>
              </w:rPr>
              <w:t xml:space="preserve"> </w:t>
            </w:r>
            <w:r w:rsidRPr="005F43FA">
              <w:rPr>
                <w:rFonts w:asciiTheme="majorBidi" w:hAnsiTheme="majorBidi" w:cstheme="majorBidi"/>
                <w:bCs/>
                <w:sz w:val="22"/>
                <w:szCs w:val="22"/>
              </w:rPr>
              <w:t>adulthood; W3, posterior mean estimates of weights for mid-adulthood.</w:t>
            </w:r>
          </w:p>
        </w:tc>
      </w:tr>
    </w:tbl>
    <w:p w14:paraId="4C7CB536" w14:textId="77777777" w:rsidR="00FD2BE2" w:rsidRDefault="00FD2BE2">
      <w:pPr>
        <w:sectPr w:rsidR="00FD2BE2">
          <w:pgSz w:w="11906" w:h="16838"/>
          <w:pgMar w:top="1440" w:right="1440" w:bottom="1440" w:left="1440" w:header="708" w:footer="708" w:gutter="0"/>
          <w:cols w:space="708"/>
          <w:docGrid w:linePitch="360"/>
        </w:sectPr>
      </w:pPr>
    </w:p>
    <w:tbl>
      <w:tblPr>
        <w:tblW w:w="5031" w:type="pct"/>
        <w:tblCellMar>
          <w:left w:w="0" w:type="dxa"/>
          <w:right w:w="0" w:type="dxa"/>
        </w:tblCellMar>
        <w:tblLook w:val="0420" w:firstRow="1" w:lastRow="0" w:firstColumn="0" w:lastColumn="0" w:noHBand="0" w:noVBand="1"/>
      </w:tblPr>
      <w:tblGrid>
        <w:gridCol w:w="363"/>
        <w:gridCol w:w="3530"/>
        <w:gridCol w:w="2318"/>
        <w:gridCol w:w="336"/>
        <w:gridCol w:w="2535"/>
      </w:tblGrid>
      <w:tr w:rsidR="00FD2BE2" w:rsidRPr="005F43FA" w14:paraId="5A8060A9" w14:textId="77777777" w:rsidTr="00246681">
        <w:trPr>
          <w:trHeight w:val="317"/>
        </w:trPr>
        <w:tc>
          <w:tcPr>
            <w:tcW w:w="9082" w:type="dxa"/>
            <w:gridSpan w:val="5"/>
            <w:tcBorders>
              <w:left w:val="nil"/>
              <w:bottom w:val="single" w:sz="4" w:space="0" w:color="auto"/>
              <w:right w:val="nil"/>
            </w:tcBorders>
            <w:shd w:val="clear" w:color="auto" w:fill="auto"/>
            <w:tcMar>
              <w:top w:w="72" w:type="dxa"/>
              <w:left w:w="144" w:type="dxa"/>
              <w:bottom w:w="72" w:type="dxa"/>
              <w:right w:w="144" w:type="dxa"/>
            </w:tcMar>
          </w:tcPr>
          <w:p w14:paraId="38F99971" w14:textId="04A5F2F9" w:rsidR="00FD2BE2" w:rsidRPr="005F43FA" w:rsidRDefault="00FD2BE2" w:rsidP="00246681">
            <w:pPr>
              <w:spacing w:after="160" w:line="360" w:lineRule="auto"/>
              <w:rPr>
                <w:rFonts w:asciiTheme="majorBidi" w:hAnsiTheme="majorBidi" w:cstheme="majorBidi"/>
                <w:sz w:val="22"/>
                <w:szCs w:val="22"/>
              </w:rPr>
            </w:pPr>
            <w:r w:rsidRPr="005F43FA">
              <w:rPr>
                <w:rFonts w:asciiTheme="majorBidi" w:hAnsiTheme="majorBidi" w:cstheme="majorBidi"/>
                <w:sz w:val="22"/>
                <w:szCs w:val="22"/>
              </w:rPr>
              <w:lastRenderedPageBreak/>
              <w:t xml:space="preserve">Table </w:t>
            </w:r>
            <w:r>
              <w:rPr>
                <w:rFonts w:asciiTheme="majorBidi" w:hAnsiTheme="majorBidi" w:cstheme="majorBidi"/>
                <w:sz w:val="22"/>
                <w:szCs w:val="22"/>
              </w:rPr>
              <w:t>S</w:t>
            </w:r>
            <w:r w:rsidRPr="005F43FA">
              <w:rPr>
                <w:rFonts w:asciiTheme="majorBidi" w:hAnsiTheme="majorBidi" w:cstheme="majorBidi"/>
                <w:sz w:val="22"/>
                <w:szCs w:val="22"/>
              </w:rPr>
              <w:t>1. Association between dominant grip strength and prediabetes</w:t>
            </w:r>
            <w:r w:rsidR="00D6095C">
              <w:rPr>
                <w:rFonts w:asciiTheme="majorBidi" w:hAnsiTheme="majorBidi" w:cstheme="majorBidi"/>
                <w:sz w:val="22"/>
                <w:szCs w:val="22"/>
              </w:rPr>
              <w:t xml:space="preserve"> or type 2 diabetes</w:t>
            </w:r>
            <w:r w:rsidRPr="005F43FA">
              <w:rPr>
                <w:rFonts w:asciiTheme="majorBidi" w:hAnsiTheme="majorBidi" w:cstheme="majorBidi"/>
                <w:sz w:val="22"/>
                <w:szCs w:val="22"/>
              </w:rPr>
              <w:t xml:space="preserve"> adjusted for life course average standardized values of cardiorespiratory fitness and waist circumference.</w:t>
            </w:r>
          </w:p>
        </w:tc>
      </w:tr>
      <w:tr w:rsidR="00FD2BE2" w:rsidRPr="005F43FA" w14:paraId="32B53B44" w14:textId="77777777" w:rsidTr="00246681">
        <w:trPr>
          <w:trHeight w:val="317"/>
        </w:trPr>
        <w:tc>
          <w:tcPr>
            <w:tcW w:w="3893" w:type="dxa"/>
            <w:gridSpan w:val="2"/>
            <w:tcBorders>
              <w:top w:val="single" w:sz="4" w:space="0" w:color="auto"/>
              <w:left w:val="nil"/>
              <w:bottom w:val="single" w:sz="4" w:space="0" w:color="auto"/>
              <w:right w:val="nil"/>
            </w:tcBorders>
            <w:shd w:val="clear" w:color="auto" w:fill="auto"/>
            <w:tcMar>
              <w:top w:w="72" w:type="dxa"/>
              <w:left w:w="144" w:type="dxa"/>
              <w:bottom w:w="72" w:type="dxa"/>
              <w:right w:w="144" w:type="dxa"/>
            </w:tcMar>
            <w:hideMark/>
          </w:tcPr>
          <w:p w14:paraId="0A0920B8" w14:textId="77777777" w:rsidR="00FD2BE2" w:rsidRPr="005F43FA" w:rsidRDefault="00FD2BE2" w:rsidP="00246681">
            <w:pPr>
              <w:spacing w:after="160" w:line="360" w:lineRule="auto"/>
              <w:rPr>
                <w:rFonts w:asciiTheme="majorBidi" w:hAnsiTheme="majorBidi" w:cstheme="majorBidi"/>
                <w:sz w:val="22"/>
                <w:szCs w:val="22"/>
              </w:rPr>
            </w:pPr>
          </w:p>
        </w:tc>
        <w:tc>
          <w:tcPr>
            <w:tcW w:w="2318" w:type="dxa"/>
            <w:tcBorders>
              <w:top w:val="single" w:sz="4" w:space="0" w:color="auto"/>
              <w:left w:val="nil"/>
              <w:bottom w:val="single" w:sz="4" w:space="0" w:color="auto"/>
              <w:right w:val="nil"/>
            </w:tcBorders>
            <w:shd w:val="clear" w:color="auto" w:fill="auto"/>
            <w:tcMar>
              <w:top w:w="72" w:type="dxa"/>
              <w:left w:w="144" w:type="dxa"/>
              <w:bottom w:w="72" w:type="dxa"/>
              <w:right w:w="144" w:type="dxa"/>
            </w:tcMar>
            <w:hideMark/>
          </w:tcPr>
          <w:p w14:paraId="1B38E6D9" w14:textId="77777777" w:rsidR="00FD2BE2" w:rsidRPr="005F43FA" w:rsidRDefault="00FD2BE2" w:rsidP="00246681">
            <w:pPr>
              <w:spacing w:after="160" w:line="360" w:lineRule="auto"/>
              <w:jc w:val="center"/>
              <w:rPr>
                <w:rFonts w:asciiTheme="majorBidi" w:hAnsiTheme="majorBidi" w:cstheme="majorBidi"/>
                <w:sz w:val="22"/>
                <w:szCs w:val="22"/>
              </w:rPr>
            </w:pPr>
            <w:r w:rsidRPr="005F43FA">
              <w:rPr>
                <w:rFonts w:asciiTheme="majorBidi" w:hAnsiTheme="majorBidi" w:cstheme="majorBidi"/>
                <w:sz w:val="22"/>
                <w:szCs w:val="22"/>
              </w:rPr>
              <w:t xml:space="preserve">Odds Ratio </w:t>
            </w:r>
          </w:p>
          <w:p w14:paraId="70FCC88E" w14:textId="77777777" w:rsidR="00FD2BE2" w:rsidRPr="005F43FA" w:rsidRDefault="00FD2BE2" w:rsidP="00246681">
            <w:pPr>
              <w:spacing w:after="160" w:line="360" w:lineRule="auto"/>
              <w:jc w:val="center"/>
              <w:rPr>
                <w:rFonts w:asciiTheme="majorBidi" w:hAnsiTheme="majorBidi" w:cstheme="majorBidi"/>
                <w:sz w:val="22"/>
                <w:szCs w:val="22"/>
              </w:rPr>
            </w:pPr>
            <w:r w:rsidRPr="005F43FA">
              <w:rPr>
                <w:rFonts w:asciiTheme="majorBidi" w:hAnsiTheme="majorBidi" w:cstheme="majorBidi"/>
                <w:sz w:val="22"/>
                <w:szCs w:val="22"/>
              </w:rPr>
              <w:t xml:space="preserve">(95% </w:t>
            </w:r>
            <w:proofErr w:type="spellStart"/>
            <w:r w:rsidRPr="005F43FA">
              <w:rPr>
                <w:rFonts w:asciiTheme="majorBidi" w:hAnsiTheme="majorBidi" w:cstheme="majorBidi"/>
                <w:sz w:val="22"/>
                <w:szCs w:val="22"/>
              </w:rPr>
              <w:t>CrI</w:t>
            </w:r>
            <w:proofErr w:type="spellEnd"/>
            <w:r w:rsidRPr="005F43FA">
              <w:rPr>
                <w:rFonts w:asciiTheme="majorBidi" w:hAnsiTheme="majorBidi" w:cstheme="majorBidi"/>
                <w:sz w:val="22"/>
                <w:szCs w:val="22"/>
              </w:rPr>
              <w:t>)</w:t>
            </w:r>
          </w:p>
        </w:tc>
        <w:tc>
          <w:tcPr>
            <w:tcW w:w="336" w:type="dxa"/>
            <w:tcBorders>
              <w:top w:val="single" w:sz="4" w:space="0" w:color="auto"/>
              <w:left w:val="nil"/>
              <w:right w:val="nil"/>
            </w:tcBorders>
            <w:shd w:val="clear" w:color="auto" w:fill="auto"/>
            <w:tcMar>
              <w:top w:w="72" w:type="dxa"/>
              <w:left w:w="144" w:type="dxa"/>
              <w:bottom w:w="72" w:type="dxa"/>
              <w:right w:w="144" w:type="dxa"/>
            </w:tcMar>
            <w:hideMark/>
          </w:tcPr>
          <w:p w14:paraId="2CA6D27E" w14:textId="77777777" w:rsidR="00FD2BE2" w:rsidRPr="005F43FA" w:rsidRDefault="00FD2BE2" w:rsidP="00246681">
            <w:pPr>
              <w:spacing w:after="160" w:line="360" w:lineRule="auto"/>
              <w:rPr>
                <w:rFonts w:asciiTheme="majorBidi" w:hAnsiTheme="majorBidi" w:cstheme="majorBidi"/>
                <w:sz w:val="22"/>
                <w:szCs w:val="22"/>
              </w:rPr>
            </w:pPr>
          </w:p>
        </w:tc>
        <w:tc>
          <w:tcPr>
            <w:tcW w:w="2535" w:type="dxa"/>
            <w:tcBorders>
              <w:top w:val="single" w:sz="4" w:space="0" w:color="auto"/>
              <w:left w:val="nil"/>
              <w:bottom w:val="single" w:sz="4" w:space="0" w:color="auto"/>
              <w:right w:val="nil"/>
            </w:tcBorders>
            <w:shd w:val="clear" w:color="auto" w:fill="auto"/>
            <w:tcMar>
              <w:top w:w="72" w:type="dxa"/>
              <w:left w:w="144" w:type="dxa"/>
              <w:bottom w:w="72" w:type="dxa"/>
              <w:right w:w="144" w:type="dxa"/>
            </w:tcMar>
            <w:hideMark/>
          </w:tcPr>
          <w:p w14:paraId="16E5FCA0" w14:textId="77777777" w:rsidR="00FD2BE2" w:rsidRPr="005F43FA" w:rsidRDefault="00FD2BE2" w:rsidP="00246681">
            <w:pPr>
              <w:spacing w:after="160" w:line="360" w:lineRule="auto"/>
              <w:jc w:val="center"/>
              <w:rPr>
                <w:rFonts w:asciiTheme="majorBidi" w:hAnsiTheme="majorBidi" w:cstheme="majorBidi"/>
                <w:sz w:val="22"/>
                <w:szCs w:val="22"/>
              </w:rPr>
            </w:pPr>
            <w:r w:rsidRPr="005F43FA">
              <w:rPr>
                <w:rFonts w:asciiTheme="majorBidi" w:hAnsiTheme="majorBidi" w:cstheme="majorBidi"/>
                <w:sz w:val="22"/>
                <w:szCs w:val="22"/>
              </w:rPr>
              <w:t xml:space="preserve">Relative importance </w:t>
            </w:r>
          </w:p>
          <w:p w14:paraId="1019393B" w14:textId="77777777" w:rsidR="00FD2BE2" w:rsidRPr="005F43FA" w:rsidRDefault="00FD2BE2" w:rsidP="00246681">
            <w:pPr>
              <w:spacing w:after="160" w:line="360" w:lineRule="auto"/>
              <w:jc w:val="center"/>
              <w:rPr>
                <w:rFonts w:asciiTheme="majorBidi" w:hAnsiTheme="majorBidi" w:cstheme="majorBidi"/>
                <w:sz w:val="22"/>
                <w:szCs w:val="22"/>
              </w:rPr>
            </w:pPr>
            <w:r w:rsidRPr="005F43FA">
              <w:rPr>
                <w:rFonts w:asciiTheme="majorBidi" w:hAnsiTheme="majorBidi" w:cstheme="majorBidi"/>
                <w:sz w:val="22"/>
                <w:szCs w:val="22"/>
              </w:rPr>
              <w:t xml:space="preserve">(95% </w:t>
            </w:r>
            <w:proofErr w:type="spellStart"/>
            <w:r w:rsidRPr="005F43FA">
              <w:rPr>
                <w:rFonts w:asciiTheme="majorBidi" w:hAnsiTheme="majorBidi" w:cstheme="majorBidi"/>
                <w:sz w:val="22"/>
                <w:szCs w:val="22"/>
              </w:rPr>
              <w:t>CrI</w:t>
            </w:r>
            <w:proofErr w:type="spellEnd"/>
            <w:r w:rsidRPr="005F43FA">
              <w:rPr>
                <w:rFonts w:asciiTheme="majorBidi" w:hAnsiTheme="majorBidi" w:cstheme="majorBidi"/>
                <w:sz w:val="22"/>
                <w:szCs w:val="22"/>
              </w:rPr>
              <w:t>)</w:t>
            </w:r>
          </w:p>
        </w:tc>
      </w:tr>
      <w:tr w:rsidR="00FD2BE2" w:rsidRPr="005F43FA" w14:paraId="68FA5146" w14:textId="77777777" w:rsidTr="00246681">
        <w:trPr>
          <w:trHeight w:val="325"/>
        </w:trPr>
        <w:tc>
          <w:tcPr>
            <w:tcW w:w="3893" w:type="dxa"/>
            <w:gridSpan w:val="2"/>
            <w:tcBorders>
              <w:left w:val="nil"/>
              <w:bottom w:val="nil"/>
              <w:right w:val="nil"/>
            </w:tcBorders>
            <w:shd w:val="clear" w:color="auto" w:fill="auto"/>
            <w:tcMar>
              <w:top w:w="72" w:type="dxa"/>
              <w:left w:w="144" w:type="dxa"/>
              <w:bottom w:w="72" w:type="dxa"/>
              <w:right w:w="144" w:type="dxa"/>
            </w:tcMar>
            <w:hideMark/>
          </w:tcPr>
          <w:p w14:paraId="6DAF6755" w14:textId="0650CE90" w:rsidR="00FD2BE2" w:rsidRPr="005F43FA" w:rsidRDefault="00FD2BE2" w:rsidP="00246681">
            <w:pPr>
              <w:spacing w:after="160" w:line="360" w:lineRule="auto"/>
              <w:rPr>
                <w:rFonts w:asciiTheme="majorBidi" w:hAnsiTheme="majorBidi" w:cstheme="majorBidi"/>
                <w:sz w:val="22"/>
                <w:szCs w:val="22"/>
              </w:rPr>
            </w:pPr>
            <w:r w:rsidRPr="005F43FA">
              <w:rPr>
                <w:rFonts w:asciiTheme="majorBidi" w:hAnsiTheme="majorBidi" w:cstheme="majorBidi"/>
                <w:sz w:val="22"/>
                <w:szCs w:val="22"/>
              </w:rPr>
              <w:t xml:space="preserve">Prediabetes </w:t>
            </w:r>
            <w:r w:rsidR="00D6095C">
              <w:rPr>
                <w:rFonts w:asciiTheme="majorBidi" w:hAnsiTheme="majorBidi" w:cstheme="majorBidi"/>
                <w:sz w:val="22"/>
                <w:szCs w:val="22"/>
              </w:rPr>
              <w:t>or type 2 diabetes</w:t>
            </w:r>
          </w:p>
        </w:tc>
        <w:tc>
          <w:tcPr>
            <w:tcW w:w="2318" w:type="dxa"/>
            <w:tcBorders>
              <w:left w:val="nil"/>
              <w:bottom w:val="nil"/>
              <w:right w:val="nil"/>
            </w:tcBorders>
            <w:shd w:val="clear" w:color="auto" w:fill="auto"/>
            <w:tcMar>
              <w:top w:w="72" w:type="dxa"/>
              <w:left w:w="144" w:type="dxa"/>
              <w:bottom w:w="72" w:type="dxa"/>
              <w:right w:w="144" w:type="dxa"/>
            </w:tcMar>
            <w:hideMark/>
          </w:tcPr>
          <w:p w14:paraId="7D1C1A97" w14:textId="77777777" w:rsidR="00FD2BE2" w:rsidRPr="005F43FA" w:rsidRDefault="00FD2BE2" w:rsidP="00246681">
            <w:pPr>
              <w:spacing w:after="160" w:line="360" w:lineRule="auto"/>
              <w:jc w:val="center"/>
              <w:rPr>
                <w:rFonts w:asciiTheme="majorBidi" w:hAnsiTheme="majorBidi" w:cstheme="majorBidi"/>
                <w:sz w:val="22"/>
                <w:szCs w:val="22"/>
              </w:rPr>
            </w:pPr>
          </w:p>
        </w:tc>
        <w:tc>
          <w:tcPr>
            <w:tcW w:w="336" w:type="dxa"/>
            <w:tcBorders>
              <w:left w:val="nil"/>
              <w:bottom w:val="nil"/>
              <w:right w:val="nil"/>
            </w:tcBorders>
            <w:shd w:val="clear" w:color="auto" w:fill="auto"/>
            <w:tcMar>
              <w:top w:w="72" w:type="dxa"/>
              <w:left w:w="144" w:type="dxa"/>
              <w:bottom w:w="72" w:type="dxa"/>
              <w:right w:w="144" w:type="dxa"/>
            </w:tcMar>
            <w:hideMark/>
          </w:tcPr>
          <w:p w14:paraId="3A3516A8" w14:textId="77777777" w:rsidR="00FD2BE2" w:rsidRPr="005F43FA" w:rsidRDefault="00FD2BE2" w:rsidP="00246681">
            <w:pPr>
              <w:spacing w:after="160" w:line="360" w:lineRule="auto"/>
              <w:rPr>
                <w:rFonts w:asciiTheme="majorBidi" w:hAnsiTheme="majorBidi" w:cstheme="majorBidi"/>
                <w:sz w:val="22"/>
                <w:szCs w:val="22"/>
              </w:rPr>
            </w:pPr>
          </w:p>
        </w:tc>
        <w:tc>
          <w:tcPr>
            <w:tcW w:w="2535" w:type="dxa"/>
            <w:tcBorders>
              <w:top w:val="single" w:sz="4" w:space="0" w:color="auto"/>
              <w:left w:val="nil"/>
              <w:bottom w:val="nil"/>
              <w:right w:val="nil"/>
            </w:tcBorders>
            <w:shd w:val="clear" w:color="auto" w:fill="auto"/>
            <w:tcMar>
              <w:top w:w="72" w:type="dxa"/>
              <w:left w:w="144" w:type="dxa"/>
              <w:bottom w:w="72" w:type="dxa"/>
              <w:right w:w="144" w:type="dxa"/>
            </w:tcMar>
            <w:hideMark/>
          </w:tcPr>
          <w:p w14:paraId="21B2F1FE" w14:textId="77777777" w:rsidR="00FD2BE2" w:rsidRPr="005F43FA" w:rsidRDefault="00FD2BE2" w:rsidP="00246681">
            <w:pPr>
              <w:spacing w:after="160" w:line="360" w:lineRule="auto"/>
              <w:jc w:val="center"/>
              <w:rPr>
                <w:rFonts w:asciiTheme="majorBidi" w:hAnsiTheme="majorBidi" w:cstheme="majorBidi"/>
                <w:sz w:val="22"/>
                <w:szCs w:val="22"/>
              </w:rPr>
            </w:pPr>
          </w:p>
        </w:tc>
      </w:tr>
      <w:tr w:rsidR="00FD2BE2" w:rsidRPr="005F43FA" w14:paraId="7DB18B19" w14:textId="77777777" w:rsidTr="00246681">
        <w:trPr>
          <w:trHeight w:val="318"/>
        </w:trPr>
        <w:tc>
          <w:tcPr>
            <w:tcW w:w="3893" w:type="dxa"/>
            <w:gridSpan w:val="2"/>
            <w:tcBorders>
              <w:top w:val="nil"/>
              <w:left w:val="nil"/>
              <w:bottom w:val="nil"/>
              <w:right w:val="nil"/>
            </w:tcBorders>
            <w:shd w:val="clear" w:color="auto" w:fill="auto"/>
            <w:tcMar>
              <w:top w:w="72" w:type="dxa"/>
              <w:left w:w="144" w:type="dxa"/>
              <w:bottom w:w="72" w:type="dxa"/>
              <w:right w:w="144" w:type="dxa"/>
            </w:tcMar>
            <w:hideMark/>
          </w:tcPr>
          <w:p w14:paraId="660CC684" w14:textId="77777777" w:rsidR="00FD2BE2" w:rsidRPr="005F43FA" w:rsidRDefault="00FD2BE2" w:rsidP="00246681">
            <w:pPr>
              <w:spacing w:after="160" w:line="360" w:lineRule="auto"/>
              <w:rPr>
                <w:rFonts w:asciiTheme="majorBidi" w:hAnsiTheme="majorBidi" w:cstheme="majorBidi"/>
                <w:sz w:val="22"/>
                <w:szCs w:val="22"/>
              </w:rPr>
            </w:pPr>
            <w:proofErr w:type="gramStart"/>
            <w:r w:rsidRPr="005F43FA">
              <w:rPr>
                <w:rFonts w:asciiTheme="majorBidi" w:hAnsiTheme="majorBidi" w:cstheme="majorBidi"/>
                <w:sz w:val="22"/>
                <w:szCs w:val="22"/>
              </w:rPr>
              <w:t>Life time</w:t>
            </w:r>
            <w:proofErr w:type="gramEnd"/>
            <w:r w:rsidRPr="005F43FA">
              <w:rPr>
                <w:rFonts w:asciiTheme="majorBidi" w:hAnsiTheme="majorBidi" w:cstheme="majorBidi"/>
                <w:sz w:val="22"/>
                <w:szCs w:val="22"/>
              </w:rPr>
              <w:t xml:space="preserve"> effect</w:t>
            </w:r>
          </w:p>
        </w:tc>
        <w:tc>
          <w:tcPr>
            <w:tcW w:w="2318" w:type="dxa"/>
            <w:tcBorders>
              <w:top w:val="nil"/>
              <w:left w:val="nil"/>
              <w:bottom w:val="nil"/>
              <w:right w:val="nil"/>
            </w:tcBorders>
            <w:shd w:val="clear" w:color="auto" w:fill="auto"/>
            <w:tcMar>
              <w:top w:w="72" w:type="dxa"/>
              <w:left w:w="144" w:type="dxa"/>
              <w:bottom w:w="72" w:type="dxa"/>
              <w:right w:w="144" w:type="dxa"/>
            </w:tcMar>
            <w:hideMark/>
          </w:tcPr>
          <w:p w14:paraId="132898DD" w14:textId="77777777" w:rsidR="00FD2BE2" w:rsidRPr="005F43FA" w:rsidRDefault="00FD2BE2" w:rsidP="00246681">
            <w:pPr>
              <w:spacing w:after="160" w:line="360" w:lineRule="auto"/>
              <w:jc w:val="center"/>
              <w:rPr>
                <w:rFonts w:asciiTheme="majorBidi" w:hAnsiTheme="majorBidi" w:cstheme="majorBidi"/>
                <w:sz w:val="22"/>
                <w:szCs w:val="22"/>
              </w:rPr>
            </w:pPr>
            <w:r w:rsidRPr="005F43FA">
              <w:rPr>
                <w:rFonts w:asciiTheme="majorBidi" w:hAnsiTheme="majorBidi" w:cstheme="majorBidi"/>
                <w:sz w:val="22"/>
                <w:szCs w:val="22"/>
              </w:rPr>
              <w:t>0.75 (0.45, 1.13)</w:t>
            </w:r>
          </w:p>
        </w:tc>
        <w:tc>
          <w:tcPr>
            <w:tcW w:w="336" w:type="dxa"/>
            <w:tcBorders>
              <w:top w:val="nil"/>
              <w:left w:val="nil"/>
              <w:bottom w:val="nil"/>
              <w:right w:val="nil"/>
            </w:tcBorders>
            <w:shd w:val="clear" w:color="auto" w:fill="auto"/>
            <w:tcMar>
              <w:top w:w="72" w:type="dxa"/>
              <w:left w:w="144" w:type="dxa"/>
              <w:bottom w:w="72" w:type="dxa"/>
              <w:right w:w="144" w:type="dxa"/>
            </w:tcMar>
            <w:hideMark/>
          </w:tcPr>
          <w:p w14:paraId="177D00C6" w14:textId="77777777" w:rsidR="00FD2BE2" w:rsidRPr="005F43FA" w:rsidRDefault="00FD2BE2" w:rsidP="00246681">
            <w:pPr>
              <w:spacing w:after="160" w:line="360" w:lineRule="auto"/>
              <w:rPr>
                <w:rFonts w:asciiTheme="majorBidi" w:hAnsiTheme="majorBidi" w:cstheme="majorBidi"/>
                <w:sz w:val="22"/>
                <w:szCs w:val="22"/>
              </w:rPr>
            </w:pPr>
          </w:p>
        </w:tc>
        <w:tc>
          <w:tcPr>
            <w:tcW w:w="2535" w:type="dxa"/>
            <w:tcBorders>
              <w:top w:val="nil"/>
              <w:left w:val="nil"/>
              <w:bottom w:val="nil"/>
              <w:right w:val="nil"/>
            </w:tcBorders>
            <w:shd w:val="clear" w:color="auto" w:fill="auto"/>
            <w:tcMar>
              <w:top w:w="72" w:type="dxa"/>
              <w:left w:w="144" w:type="dxa"/>
              <w:bottom w:w="72" w:type="dxa"/>
              <w:right w:w="144" w:type="dxa"/>
            </w:tcMar>
            <w:hideMark/>
          </w:tcPr>
          <w:p w14:paraId="31935F08" w14:textId="77777777" w:rsidR="00FD2BE2" w:rsidRPr="005F43FA" w:rsidRDefault="00FD2BE2" w:rsidP="00246681">
            <w:pPr>
              <w:spacing w:after="160" w:line="360" w:lineRule="auto"/>
              <w:jc w:val="center"/>
              <w:rPr>
                <w:rFonts w:asciiTheme="majorBidi" w:hAnsiTheme="majorBidi" w:cstheme="majorBidi"/>
                <w:sz w:val="22"/>
                <w:szCs w:val="22"/>
              </w:rPr>
            </w:pPr>
          </w:p>
        </w:tc>
      </w:tr>
      <w:tr w:rsidR="00FD2BE2" w:rsidRPr="005F43FA" w14:paraId="4A5C18A1" w14:textId="77777777" w:rsidTr="00246681">
        <w:trPr>
          <w:trHeight w:val="312"/>
        </w:trPr>
        <w:tc>
          <w:tcPr>
            <w:tcW w:w="3893" w:type="dxa"/>
            <w:gridSpan w:val="2"/>
            <w:tcBorders>
              <w:top w:val="nil"/>
              <w:left w:val="nil"/>
              <w:bottom w:val="nil"/>
              <w:right w:val="nil"/>
            </w:tcBorders>
            <w:shd w:val="clear" w:color="auto" w:fill="auto"/>
            <w:tcMar>
              <w:top w:w="72" w:type="dxa"/>
              <w:left w:w="144" w:type="dxa"/>
              <w:bottom w:w="72" w:type="dxa"/>
              <w:right w:w="144" w:type="dxa"/>
            </w:tcMar>
            <w:hideMark/>
          </w:tcPr>
          <w:p w14:paraId="1F322C14" w14:textId="77777777" w:rsidR="00FD2BE2" w:rsidRPr="005F43FA" w:rsidRDefault="00FD2BE2" w:rsidP="00246681">
            <w:pPr>
              <w:spacing w:after="160" w:line="360" w:lineRule="auto"/>
              <w:rPr>
                <w:rFonts w:asciiTheme="majorBidi" w:hAnsiTheme="majorBidi" w:cstheme="majorBidi"/>
                <w:sz w:val="22"/>
                <w:szCs w:val="22"/>
              </w:rPr>
            </w:pPr>
            <w:r w:rsidRPr="005F43FA">
              <w:rPr>
                <w:rFonts w:asciiTheme="majorBidi" w:hAnsiTheme="majorBidi" w:cstheme="majorBidi"/>
                <w:sz w:val="22"/>
                <w:szCs w:val="22"/>
              </w:rPr>
              <w:t>Life stages</w:t>
            </w:r>
          </w:p>
        </w:tc>
        <w:tc>
          <w:tcPr>
            <w:tcW w:w="2318" w:type="dxa"/>
            <w:tcBorders>
              <w:top w:val="nil"/>
              <w:left w:val="nil"/>
              <w:bottom w:val="nil"/>
              <w:right w:val="nil"/>
            </w:tcBorders>
            <w:shd w:val="clear" w:color="auto" w:fill="auto"/>
            <w:tcMar>
              <w:top w:w="72" w:type="dxa"/>
              <w:left w:w="144" w:type="dxa"/>
              <w:bottom w:w="72" w:type="dxa"/>
              <w:right w:w="144" w:type="dxa"/>
            </w:tcMar>
            <w:hideMark/>
          </w:tcPr>
          <w:p w14:paraId="62D1C79E" w14:textId="77777777" w:rsidR="00FD2BE2" w:rsidRPr="005F43FA" w:rsidRDefault="00FD2BE2" w:rsidP="00246681">
            <w:pPr>
              <w:spacing w:after="160" w:line="360" w:lineRule="auto"/>
              <w:jc w:val="center"/>
              <w:rPr>
                <w:rFonts w:asciiTheme="majorBidi" w:hAnsiTheme="majorBidi" w:cstheme="majorBidi"/>
                <w:sz w:val="22"/>
                <w:szCs w:val="22"/>
              </w:rPr>
            </w:pPr>
          </w:p>
        </w:tc>
        <w:tc>
          <w:tcPr>
            <w:tcW w:w="336" w:type="dxa"/>
            <w:tcBorders>
              <w:top w:val="nil"/>
              <w:left w:val="nil"/>
              <w:bottom w:val="nil"/>
              <w:right w:val="nil"/>
            </w:tcBorders>
            <w:shd w:val="clear" w:color="auto" w:fill="auto"/>
            <w:tcMar>
              <w:top w:w="72" w:type="dxa"/>
              <w:left w:w="144" w:type="dxa"/>
              <w:bottom w:w="72" w:type="dxa"/>
              <w:right w:w="144" w:type="dxa"/>
            </w:tcMar>
            <w:hideMark/>
          </w:tcPr>
          <w:p w14:paraId="24E3D5C3" w14:textId="77777777" w:rsidR="00FD2BE2" w:rsidRPr="005F43FA" w:rsidRDefault="00FD2BE2" w:rsidP="00246681">
            <w:pPr>
              <w:spacing w:after="160" w:line="360" w:lineRule="auto"/>
              <w:rPr>
                <w:rFonts w:asciiTheme="majorBidi" w:hAnsiTheme="majorBidi" w:cstheme="majorBidi"/>
                <w:sz w:val="22"/>
                <w:szCs w:val="22"/>
              </w:rPr>
            </w:pPr>
          </w:p>
        </w:tc>
        <w:tc>
          <w:tcPr>
            <w:tcW w:w="2535" w:type="dxa"/>
            <w:tcBorders>
              <w:top w:val="nil"/>
              <w:left w:val="nil"/>
              <w:bottom w:val="nil"/>
              <w:right w:val="nil"/>
            </w:tcBorders>
            <w:shd w:val="clear" w:color="auto" w:fill="auto"/>
            <w:tcMar>
              <w:top w:w="72" w:type="dxa"/>
              <w:left w:w="144" w:type="dxa"/>
              <w:bottom w:w="72" w:type="dxa"/>
              <w:right w:w="144" w:type="dxa"/>
            </w:tcMar>
            <w:hideMark/>
          </w:tcPr>
          <w:p w14:paraId="538C59C1" w14:textId="77777777" w:rsidR="00FD2BE2" w:rsidRPr="005F43FA" w:rsidRDefault="00FD2BE2" w:rsidP="00246681">
            <w:pPr>
              <w:spacing w:after="160" w:line="360" w:lineRule="auto"/>
              <w:jc w:val="center"/>
              <w:rPr>
                <w:rFonts w:asciiTheme="majorBidi" w:hAnsiTheme="majorBidi" w:cstheme="majorBidi"/>
                <w:sz w:val="22"/>
                <w:szCs w:val="22"/>
              </w:rPr>
            </w:pPr>
          </w:p>
        </w:tc>
      </w:tr>
      <w:tr w:rsidR="00FD2BE2" w:rsidRPr="005F43FA" w14:paraId="4DF8A549" w14:textId="77777777" w:rsidTr="00246681">
        <w:trPr>
          <w:trHeight w:val="442"/>
        </w:trPr>
        <w:tc>
          <w:tcPr>
            <w:tcW w:w="363" w:type="dxa"/>
            <w:tcBorders>
              <w:top w:val="nil"/>
              <w:left w:val="nil"/>
              <w:bottom w:val="nil"/>
              <w:right w:val="nil"/>
            </w:tcBorders>
            <w:shd w:val="clear" w:color="auto" w:fill="auto"/>
            <w:tcMar>
              <w:top w:w="72" w:type="dxa"/>
              <w:left w:w="144" w:type="dxa"/>
              <w:bottom w:w="72" w:type="dxa"/>
              <w:right w:w="144" w:type="dxa"/>
            </w:tcMar>
            <w:hideMark/>
          </w:tcPr>
          <w:p w14:paraId="4A29B852" w14:textId="77777777" w:rsidR="00FD2BE2" w:rsidRPr="005F43FA" w:rsidRDefault="00FD2BE2" w:rsidP="00246681">
            <w:pPr>
              <w:spacing w:after="160" w:line="360" w:lineRule="auto"/>
              <w:rPr>
                <w:rFonts w:asciiTheme="majorBidi" w:hAnsiTheme="majorBidi" w:cstheme="majorBidi"/>
                <w:sz w:val="22"/>
                <w:szCs w:val="22"/>
              </w:rPr>
            </w:pPr>
          </w:p>
        </w:tc>
        <w:tc>
          <w:tcPr>
            <w:tcW w:w="3530" w:type="dxa"/>
            <w:tcBorders>
              <w:top w:val="nil"/>
              <w:left w:val="nil"/>
              <w:bottom w:val="nil"/>
              <w:right w:val="nil"/>
            </w:tcBorders>
            <w:shd w:val="clear" w:color="auto" w:fill="auto"/>
            <w:tcMar>
              <w:top w:w="72" w:type="dxa"/>
              <w:left w:w="144" w:type="dxa"/>
              <w:bottom w:w="72" w:type="dxa"/>
              <w:right w:w="144" w:type="dxa"/>
            </w:tcMar>
            <w:hideMark/>
          </w:tcPr>
          <w:p w14:paraId="3D9107D8" w14:textId="77777777" w:rsidR="00FD2BE2" w:rsidRPr="005F43FA" w:rsidRDefault="00FD2BE2" w:rsidP="00246681">
            <w:pPr>
              <w:spacing w:after="160" w:line="360" w:lineRule="auto"/>
              <w:rPr>
                <w:rFonts w:asciiTheme="majorBidi" w:hAnsiTheme="majorBidi" w:cstheme="majorBidi"/>
                <w:sz w:val="22"/>
                <w:szCs w:val="22"/>
              </w:rPr>
            </w:pPr>
            <w:r w:rsidRPr="005F43FA">
              <w:rPr>
                <w:rFonts w:asciiTheme="majorBidi" w:hAnsiTheme="majorBidi" w:cstheme="majorBidi"/>
                <w:sz w:val="22"/>
                <w:szCs w:val="22"/>
              </w:rPr>
              <w:t>Childhood</w:t>
            </w:r>
          </w:p>
        </w:tc>
        <w:tc>
          <w:tcPr>
            <w:tcW w:w="2318" w:type="dxa"/>
            <w:tcBorders>
              <w:top w:val="nil"/>
              <w:left w:val="nil"/>
              <w:bottom w:val="nil"/>
              <w:right w:val="nil"/>
            </w:tcBorders>
            <w:shd w:val="clear" w:color="auto" w:fill="auto"/>
            <w:tcMar>
              <w:top w:w="72" w:type="dxa"/>
              <w:left w:w="144" w:type="dxa"/>
              <w:bottom w:w="72" w:type="dxa"/>
              <w:right w:w="144" w:type="dxa"/>
            </w:tcMar>
            <w:hideMark/>
          </w:tcPr>
          <w:p w14:paraId="7FE6AC14" w14:textId="77777777" w:rsidR="00FD2BE2" w:rsidRPr="005F43FA" w:rsidRDefault="00FD2BE2" w:rsidP="00246681">
            <w:pPr>
              <w:spacing w:after="160" w:line="360" w:lineRule="auto"/>
              <w:jc w:val="center"/>
              <w:rPr>
                <w:rFonts w:asciiTheme="majorBidi" w:hAnsiTheme="majorBidi" w:cstheme="majorBidi"/>
                <w:sz w:val="22"/>
                <w:szCs w:val="22"/>
              </w:rPr>
            </w:pPr>
          </w:p>
        </w:tc>
        <w:tc>
          <w:tcPr>
            <w:tcW w:w="336" w:type="dxa"/>
            <w:tcBorders>
              <w:top w:val="nil"/>
              <w:left w:val="nil"/>
              <w:bottom w:val="nil"/>
              <w:right w:val="nil"/>
            </w:tcBorders>
            <w:shd w:val="clear" w:color="auto" w:fill="auto"/>
            <w:tcMar>
              <w:top w:w="72" w:type="dxa"/>
              <w:left w:w="144" w:type="dxa"/>
              <w:bottom w:w="72" w:type="dxa"/>
              <w:right w:w="144" w:type="dxa"/>
            </w:tcMar>
            <w:hideMark/>
          </w:tcPr>
          <w:p w14:paraId="4F646776" w14:textId="77777777" w:rsidR="00FD2BE2" w:rsidRPr="005F43FA" w:rsidRDefault="00FD2BE2" w:rsidP="00246681">
            <w:pPr>
              <w:spacing w:after="160" w:line="360" w:lineRule="auto"/>
              <w:rPr>
                <w:rFonts w:asciiTheme="majorBidi" w:hAnsiTheme="majorBidi" w:cstheme="majorBidi"/>
                <w:sz w:val="22"/>
                <w:szCs w:val="22"/>
              </w:rPr>
            </w:pPr>
          </w:p>
        </w:tc>
        <w:tc>
          <w:tcPr>
            <w:tcW w:w="2535" w:type="dxa"/>
            <w:tcBorders>
              <w:top w:val="nil"/>
              <w:left w:val="nil"/>
              <w:bottom w:val="nil"/>
              <w:right w:val="nil"/>
            </w:tcBorders>
            <w:shd w:val="clear" w:color="auto" w:fill="auto"/>
            <w:tcMar>
              <w:top w:w="72" w:type="dxa"/>
              <w:left w:w="144" w:type="dxa"/>
              <w:bottom w:w="72" w:type="dxa"/>
              <w:right w:w="144" w:type="dxa"/>
            </w:tcMar>
            <w:hideMark/>
          </w:tcPr>
          <w:p w14:paraId="59E1FECB" w14:textId="77777777" w:rsidR="00FD2BE2" w:rsidRPr="005F43FA" w:rsidRDefault="00FD2BE2" w:rsidP="00246681">
            <w:pPr>
              <w:spacing w:after="160" w:line="360" w:lineRule="auto"/>
              <w:jc w:val="center"/>
              <w:rPr>
                <w:rFonts w:asciiTheme="majorBidi" w:hAnsiTheme="majorBidi" w:cstheme="majorBidi"/>
                <w:sz w:val="22"/>
                <w:szCs w:val="22"/>
              </w:rPr>
            </w:pPr>
            <w:r w:rsidRPr="005F43FA">
              <w:rPr>
                <w:rFonts w:asciiTheme="majorBidi" w:hAnsiTheme="majorBidi" w:cstheme="majorBidi"/>
                <w:sz w:val="22"/>
                <w:szCs w:val="22"/>
              </w:rPr>
              <w:t>34 % (3 %, 77 %)</w:t>
            </w:r>
          </w:p>
        </w:tc>
      </w:tr>
      <w:tr w:rsidR="00FD2BE2" w:rsidRPr="005F43FA" w14:paraId="303DFEF3" w14:textId="77777777" w:rsidTr="00246681">
        <w:trPr>
          <w:trHeight w:val="19"/>
        </w:trPr>
        <w:tc>
          <w:tcPr>
            <w:tcW w:w="363" w:type="dxa"/>
            <w:tcBorders>
              <w:top w:val="nil"/>
              <w:left w:val="nil"/>
              <w:bottom w:val="nil"/>
              <w:right w:val="nil"/>
            </w:tcBorders>
            <w:shd w:val="clear" w:color="auto" w:fill="auto"/>
            <w:tcMar>
              <w:top w:w="72" w:type="dxa"/>
              <w:left w:w="144" w:type="dxa"/>
              <w:bottom w:w="72" w:type="dxa"/>
              <w:right w:w="144" w:type="dxa"/>
            </w:tcMar>
            <w:hideMark/>
          </w:tcPr>
          <w:p w14:paraId="56E9BECE" w14:textId="77777777" w:rsidR="00FD2BE2" w:rsidRPr="005F43FA" w:rsidRDefault="00FD2BE2" w:rsidP="00246681">
            <w:pPr>
              <w:spacing w:after="160" w:line="360" w:lineRule="auto"/>
              <w:rPr>
                <w:rFonts w:asciiTheme="majorBidi" w:hAnsiTheme="majorBidi" w:cstheme="majorBidi"/>
                <w:sz w:val="22"/>
                <w:szCs w:val="22"/>
              </w:rPr>
            </w:pPr>
          </w:p>
        </w:tc>
        <w:tc>
          <w:tcPr>
            <w:tcW w:w="3530" w:type="dxa"/>
            <w:tcBorders>
              <w:top w:val="nil"/>
              <w:left w:val="nil"/>
              <w:bottom w:val="nil"/>
              <w:right w:val="nil"/>
            </w:tcBorders>
            <w:shd w:val="clear" w:color="auto" w:fill="auto"/>
            <w:tcMar>
              <w:top w:w="72" w:type="dxa"/>
              <w:left w:w="144" w:type="dxa"/>
              <w:bottom w:w="72" w:type="dxa"/>
              <w:right w:w="144" w:type="dxa"/>
            </w:tcMar>
            <w:hideMark/>
          </w:tcPr>
          <w:p w14:paraId="6049C425" w14:textId="77777777" w:rsidR="00FD2BE2" w:rsidRPr="005F43FA" w:rsidRDefault="00FD2BE2" w:rsidP="00246681">
            <w:pPr>
              <w:spacing w:after="160" w:line="360" w:lineRule="auto"/>
              <w:rPr>
                <w:rFonts w:asciiTheme="majorBidi" w:hAnsiTheme="majorBidi" w:cstheme="majorBidi"/>
                <w:sz w:val="22"/>
                <w:szCs w:val="22"/>
              </w:rPr>
            </w:pPr>
            <w:r w:rsidRPr="005F43FA">
              <w:rPr>
                <w:rFonts w:asciiTheme="majorBidi" w:hAnsiTheme="majorBidi" w:cstheme="majorBidi"/>
                <w:sz w:val="22"/>
                <w:szCs w:val="22"/>
              </w:rPr>
              <w:t>Young</w:t>
            </w:r>
            <w:r>
              <w:rPr>
                <w:rFonts w:asciiTheme="majorBidi" w:hAnsiTheme="majorBidi" w:cstheme="majorBidi"/>
                <w:sz w:val="22"/>
                <w:szCs w:val="22"/>
              </w:rPr>
              <w:t xml:space="preserve"> </w:t>
            </w:r>
            <w:r w:rsidRPr="005F43FA">
              <w:rPr>
                <w:rFonts w:asciiTheme="majorBidi" w:hAnsiTheme="majorBidi" w:cstheme="majorBidi"/>
                <w:sz w:val="22"/>
                <w:szCs w:val="22"/>
              </w:rPr>
              <w:t>adulthood</w:t>
            </w:r>
          </w:p>
        </w:tc>
        <w:tc>
          <w:tcPr>
            <w:tcW w:w="2318" w:type="dxa"/>
            <w:tcBorders>
              <w:top w:val="nil"/>
              <w:left w:val="nil"/>
              <w:bottom w:val="nil"/>
              <w:right w:val="nil"/>
            </w:tcBorders>
            <w:shd w:val="clear" w:color="auto" w:fill="auto"/>
            <w:tcMar>
              <w:top w:w="72" w:type="dxa"/>
              <w:left w:w="144" w:type="dxa"/>
              <w:bottom w:w="72" w:type="dxa"/>
              <w:right w:w="144" w:type="dxa"/>
            </w:tcMar>
            <w:hideMark/>
          </w:tcPr>
          <w:p w14:paraId="08F69B15" w14:textId="77777777" w:rsidR="00FD2BE2" w:rsidRPr="005F43FA" w:rsidRDefault="00FD2BE2" w:rsidP="00246681">
            <w:pPr>
              <w:spacing w:after="160" w:line="360" w:lineRule="auto"/>
              <w:jc w:val="center"/>
              <w:rPr>
                <w:rFonts w:asciiTheme="majorBidi" w:hAnsiTheme="majorBidi" w:cstheme="majorBidi"/>
                <w:sz w:val="22"/>
                <w:szCs w:val="22"/>
              </w:rPr>
            </w:pPr>
          </w:p>
        </w:tc>
        <w:tc>
          <w:tcPr>
            <w:tcW w:w="336" w:type="dxa"/>
            <w:tcBorders>
              <w:top w:val="nil"/>
              <w:left w:val="nil"/>
              <w:bottom w:val="nil"/>
              <w:right w:val="nil"/>
            </w:tcBorders>
            <w:shd w:val="clear" w:color="auto" w:fill="auto"/>
            <w:tcMar>
              <w:top w:w="72" w:type="dxa"/>
              <w:left w:w="144" w:type="dxa"/>
              <w:bottom w:w="72" w:type="dxa"/>
              <w:right w:w="144" w:type="dxa"/>
            </w:tcMar>
            <w:hideMark/>
          </w:tcPr>
          <w:p w14:paraId="77A82DB9" w14:textId="77777777" w:rsidR="00FD2BE2" w:rsidRPr="005F43FA" w:rsidRDefault="00FD2BE2" w:rsidP="00246681">
            <w:pPr>
              <w:spacing w:after="160" w:line="360" w:lineRule="auto"/>
              <w:rPr>
                <w:rFonts w:asciiTheme="majorBidi" w:hAnsiTheme="majorBidi" w:cstheme="majorBidi"/>
                <w:sz w:val="22"/>
                <w:szCs w:val="22"/>
              </w:rPr>
            </w:pPr>
          </w:p>
        </w:tc>
        <w:tc>
          <w:tcPr>
            <w:tcW w:w="2535" w:type="dxa"/>
            <w:tcBorders>
              <w:top w:val="nil"/>
              <w:left w:val="nil"/>
              <w:bottom w:val="nil"/>
              <w:right w:val="nil"/>
            </w:tcBorders>
            <w:shd w:val="clear" w:color="auto" w:fill="auto"/>
            <w:tcMar>
              <w:top w:w="72" w:type="dxa"/>
              <w:left w:w="144" w:type="dxa"/>
              <w:bottom w:w="72" w:type="dxa"/>
              <w:right w:w="144" w:type="dxa"/>
            </w:tcMar>
            <w:hideMark/>
          </w:tcPr>
          <w:p w14:paraId="09EEFBC9" w14:textId="77777777" w:rsidR="00FD2BE2" w:rsidRPr="005F43FA" w:rsidRDefault="00FD2BE2" w:rsidP="00246681">
            <w:pPr>
              <w:spacing w:after="160" w:line="360" w:lineRule="auto"/>
              <w:jc w:val="center"/>
              <w:rPr>
                <w:rFonts w:asciiTheme="majorBidi" w:hAnsiTheme="majorBidi" w:cstheme="majorBidi"/>
                <w:sz w:val="22"/>
                <w:szCs w:val="22"/>
              </w:rPr>
            </w:pPr>
            <w:r w:rsidRPr="005F43FA">
              <w:rPr>
                <w:rFonts w:asciiTheme="majorBidi" w:hAnsiTheme="majorBidi" w:cstheme="majorBidi"/>
                <w:sz w:val="22"/>
                <w:szCs w:val="22"/>
              </w:rPr>
              <w:t>37 % (4 %, 80 %)</w:t>
            </w:r>
          </w:p>
        </w:tc>
      </w:tr>
      <w:tr w:rsidR="00FD2BE2" w:rsidRPr="005F43FA" w14:paraId="41E18C20" w14:textId="77777777" w:rsidTr="00246681">
        <w:trPr>
          <w:trHeight w:val="134"/>
        </w:trPr>
        <w:tc>
          <w:tcPr>
            <w:tcW w:w="363" w:type="dxa"/>
            <w:tcBorders>
              <w:top w:val="nil"/>
              <w:left w:val="nil"/>
              <w:right w:val="nil"/>
            </w:tcBorders>
            <w:shd w:val="clear" w:color="auto" w:fill="auto"/>
            <w:tcMar>
              <w:top w:w="72" w:type="dxa"/>
              <w:left w:w="144" w:type="dxa"/>
              <w:bottom w:w="72" w:type="dxa"/>
              <w:right w:w="144" w:type="dxa"/>
            </w:tcMar>
            <w:hideMark/>
          </w:tcPr>
          <w:p w14:paraId="556A7B34" w14:textId="77777777" w:rsidR="00FD2BE2" w:rsidRPr="005F43FA" w:rsidRDefault="00FD2BE2" w:rsidP="00246681">
            <w:pPr>
              <w:spacing w:after="160" w:line="360" w:lineRule="auto"/>
              <w:rPr>
                <w:rFonts w:asciiTheme="majorBidi" w:hAnsiTheme="majorBidi" w:cstheme="majorBidi"/>
                <w:sz w:val="22"/>
                <w:szCs w:val="22"/>
              </w:rPr>
            </w:pPr>
          </w:p>
        </w:tc>
        <w:tc>
          <w:tcPr>
            <w:tcW w:w="3530" w:type="dxa"/>
            <w:tcBorders>
              <w:top w:val="nil"/>
              <w:left w:val="nil"/>
              <w:right w:val="nil"/>
            </w:tcBorders>
            <w:shd w:val="clear" w:color="auto" w:fill="auto"/>
            <w:tcMar>
              <w:top w:w="72" w:type="dxa"/>
              <w:left w:w="144" w:type="dxa"/>
              <w:bottom w:w="72" w:type="dxa"/>
              <w:right w:w="144" w:type="dxa"/>
            </w:tcMar>
            <w:hideMark/>
          </w:tcPr>
          <w:p w14:paraId="71056C4E" w14:textId="77777777" w:rsidR="00FD2BE2" w:rsidRPr="005F43FA" w:rsidRDefault="00FD2BE2" w:rsidP="00246681">
            <w:pPr>
              <w:spacing w:after="160" w:line="360" w:lineRule="auto"/>
              <w:rPr>
                <w:rFonts w:asciiTheme="majorBidi" w:hAnsiTheme="majorBidi" w:cstheme="majorBidi"/>
                <w:sz w:val="22"/>
                <w:szCs w:val="22"/>
              </w:rPr>
            </w:pPr>
            <w:r w:rsidRPr="005F43FA">
              <w:rPr>
                <w:rFonts w:asciiTheme="majorBidi" w:hAnsiTheme="majorBidi" w:cstheme="majorBidi"/>
                <w:sz w:val="22"/>
                <w:szCs w:val="22"/>
              </w:rPr>
              <w:t>Mid-adulthood</w:t>
            </w:r>
          </w:p>
        </w:tc>
        <w:tc>
          <w:tcPr>
            <w:tcW w:w="2318" w:type="dxa"/>
            <w:tcBorders>
              <w:top w:val="nil"/>
              <w:left w:val="nil"/>
              <w:right w:val="nil"/>
            </w:tcBorders>
            <w:shd w:val="clear" w:color="auto" w:fill="auto"/>
            <w:tcMar>
              <w:top w:w="72" w:type="dxa"/>
              <w:left w:w="144" w:type="dxa"/>
              <w:bottom w:w="72" w:type="dxa"/>
              <w:right w:w="144" w:type="dxa"/>
            </w:tcMar>
            <w:hideMark/>
          </w:tcPr>
          <w:p w14:paraId="7818D42F" w14:textId="77777777" w:rsidR="00FD2BE2" w:rsidRPr="005F43FA" w:rsidRDefault="00FD2BE2" w:rsidP="00246681">
            <w:pPr>
              <w:spacing w:after="160" w:line="360" w:lineRule="auto"/>
              <w:jc w:val="center"/>
              <w:rPr>
                <w:rFonts w:asciiTheme="majorBidi" w:hAnsiTheme="majorBidi" w:cstheme="majorBidi"/>
                <w:sz w:val="22"/>
                <w:szCs w:val="22"/>
              </w:rPr>
            </w:pPr>
          </w:p>
        </w:tc>
        <w:tc>
          <w:tcPr>
            <w:tcW w:w="336" w:type="dxa"/>
            <w:tcBorders>
              <w:top w:val="nil"/>
              <w:left w:val="nil"/>
              <w:right w:val="nil"/>
            </w:tcBorders>
            <w:shd w:val="clear" w:color="auto" w:fill="auto"/>
            <w:tcMar>
              <w:top w:w="72" w:type="dxa"/>
              <w:left w:w="144" w:type="dxa"/>
              <w:bottom w:w="72" w:type="dxa"/>
              <w:right w:w="144" w:type="dxa"/>
            </w:tcMar>
            <w:hideMark/>
          </w:tcPr>
          <w:p w14:paraId="6B9105FC" w14:textId="77777777" w:rsidR="00FD2BE2" w:rsidRPr="005F43FA" w:rsidRDefault="00FD2BE2" w:rsidP="00246681">
            <w:pPr>
              <w:spacing w:after="160" w:line="360" w:lineRule="auto"/>
              <w:rPr>
                <w:rFonts w:asciiTheme="majorBidi" w:hAnsiTheme="majorBidi" w:cstheme="majorBidi"/>
                <w:sz w:val="22"/>
                <w:szCs w:val="22"/>
              </w:rPr>
            </w:pPr>
          </w:p>
        </w:tc>
        <w:tc>
          <w:tcPr>
            <w:tcW w:w="2535" w:type="dxa"/>
            <w:tcBorders>
              <w:top w:val="nil"/>
              <w:left w:val="nil"/>
              <w:right w:val="nil"/>
            </w:tcBorders>
            <w:shd w:val="clear" w:color="auto" w:fill="auto"/>
            <w:tcMar>
              <w:top w:w="72" w:type="dxa"/>
              <w:left w:w="144" w:type="dxa"/>
              <w:bottom w:w="72" w:type="dxa"/>
              <w:right w:w="144" w:type="dxa"/>
            </w:tcMar>
            <w:hideMark/>
          </w:tcPr>
          <w:p w14:paraId="359F7894" w14:textId="77777777" w:rsidR="00FD2BE2" w:rsidRPr="005F43FA" w:rsidRDefault="00FD2BE2" w:rsidP="00246681">
            <w:pPr>
              <w:spacing w:after="160" w:line="360" w:lineRule="auto"/>
              <w:jc w:val="center"/>
              <w:rPr>
                <w:rFonts w:asciiTheme="majorBidi" w:hAnsiTheme="majorBidi" w:cstheme="majorBidi"/>
                <w:sz w:val="22"/>
                <w:szCs w:val="22"/>
              </w:rPr>
            </w:pPr>
            <w:r w:rsidRPr="005F43FA">
              <w:rPr>
                <w:rFonts w:asciiTheme="majorBidi" w:hAnsiTheme="majorBidi" w:cstheme="majorBidi"/>
                <w:sz w:val="22"/>
                <w:szCs w:val="22"/>
              </w:rPr>
              <w:t>29 % (2 %, 72 %)</w:t>
            </w:r>
          </w:p>
        </w:tc>
      </w:tr>
      <w:tr w:rsidR="00FD2BE2" w:rsidRPr="005F43FA" w14:paraId="3EF1C100" w14:textId="77777777" w:rsidTr="00246681">
        <w:trPr>
          <w:trHeight w:val="134"/>
        </w:trPr>
        <w:tc>
          <w:tcPr>
            <w:tcW w:w="9082" w:type="dxa"/>
            <w:gridSpan w:val="5"/>
            <w:tcBorders>
              <w:top w:val="single" w:sz="4" w:space="0" w:color="auto"/>
              <w:left w:val="nil"/>
              <w:bottom w:val="nil"/>
              <w:right w:val="nil"/>
            </w:tcBorders>
            <w:shd w:val="clear" w:color="auto" w:fill="auto"/>
            <w:tcMar>
              <w:top w:w="72" w:type="dxa"/>
              <w:left w:w="144" w:type="dxa"/>
              <w:bottom w:w="72" w:type="dxa"/>
              <w:right w:w="144" w:type="dxa"/>
            </w:tcMar>
          </w:tcPr>
          <w:p w14:paraId="04C9709C" w14:textId="77777777" w:rsidR="00FD2BE2" w:rsidRPr="005F43FA" w:rsidRDefault="00FD2BE2" w:rsidP="00246681">
            <w:pPr>
              <w:spacing w:line="360" w:lineRule="auto"/>
              <w:rPr>
                <w:rFonts w:asciiTheme="majorBidi" w:hAnsiTheme="majorBidi" w:cstheme="majorBidi"/>
                <w:sz w:val="22"/>
                <w:szCs w:val="22"/>
              </w:rPr>
            </w:pPr>
            <w:r w:rsidRPr="005F43FA">
              <w:rPr>
                <w:rFonts w:asciiTheme="majorBidi" w:hAnsiTheme="majorBidi" w:cstheme="majorBidi"/>
                <w:sz w:val="22"/>
                <w:szCs w:val="22"/>
              </w:rPr>
              <w:t xml:space="preserve">Abbreviations: </w:t>
            </w:r>
            <w:proofErr w:type="spellStart"/>
            <w:r w:rsidRPr="005F43FA">
              <w:rPr>
                <w:rFonts w:asciiTheme="majorBidi" w:hAnsiTheme="majorBidi" w:cstheme="majorBidi"/>
                <w:sz w:val="22"/>
                <w:szCs w:val="22"/>
              </w:rPr>
              <w:t>CrI</w:t>
            </w:r>
            <w:proofErr w:type="spellEnd"/>
            <w:r w:rsidRPr="005F43FA">
              <w:rPr>
                <w:rFonts w:asciiTheme="majorBidi" w:hAnsiTheme="majorBidi" w:cstheme="majorBidi"/>
                <w:sz w:val="22"/>
                <w:szCs w:val="22"/>
              </w:rPr>
              <w:t xml:space="preserve">, Credible Intervals. </w:t>
            </w:r>
          </w:p>
        </w:tc>
      </w:tr>
    </w:tbl>
    <w:p w14:paraId="5B85FCE8" w14:textId="77777777" w:rsidR="00FD2BE2" w:rsidRDefault="00FD2BE2" w:rsidP="00FD2BE2">
      <w:pPr>
        <w:rPr>
          <w:rFonts w:asciiTheme="majorBidi" w:hAnsiTheme="majorBidi" w:cstheme="majorBidi"/>
        </w:rPr>
        <w:sectPr w:rsidR="00FD2BE2">
          <w:pgSz w:w="11906" w:h="16838"/>
          <w:pgMar w:top="1440" w:right="1440" w:bottom="1440" w:left="1440" w:header="708" w:footer="708" w:gutter="0"/>
          <w:cols w:space="708"/>
          <w:docGrid w:linePitch="360"/>
        </w:sectPr>
      </w:pPr>
    </w:p>
    <w:tbl>
      <w:tblPr>
        <w:tblW w:w="5000" w:type="pct"/>
        <w:tblCellMar>
          <w:left w:w="0" w:type="dxa"/>
          <w:right w:w="0" w:type="dxa"/>
        </w:tblCellMar>
        <w:tblLook w:val="0420" w:firstRow="1" w:lastRow="0" w:firstColumn="0" w:lastColumn="0" w:noHBand="0" w:noVBand="1"/>
      </w:tblPr>
      <w:tblGrid>
        <w:gridCol w:w="4074"/>
        <w:gridCol w:w="4952"/>
      </w:tblGrid>
      <w:tr w:rsidR="00FD2BE2" w:rsidRPr="005F43FA" w14:paraId="5AF097D3" w14:textId="77777777" w:rsidTr="00246681">
        <w:trPr>
          <w:trHeight w:val="343"/>
        </w:trPr>
        <w:tc>
          <w:tcPr>
            <w:tcW w:w="5000" w:type="pct"/>
            <w:gridSpan w:val="2"/>
            <w:tcBorders>
              <w:left w:val="nil"/>
              <w:bottom w:val="single" w:sz="4" w:space="0" w:color="auto"/>
              <w:right w:val="nil"/>
            </w:tcBorders>
            <w:shd w:val="clear" w:color="auto" w:fill="auto"/>
            <w:tcMar>
              <w:top w:w="72" w:type="dxa"/>
              <w:left w:w="144" w:type="dxa"/>
              <w:bottom w:w="72" w:type="dxa"/>
              <w:right w:w="144" w:type="dxa"/>
            </w:tcMar>
          </w:tcPr>
          <w:p w14:paraId="3E443D4D" w14:textId="38B49955" w:rsidR="00FD2BE2" w:rsidRPr="005F43FA" w:rsidRDefault="00FD2BE2" w:rsidP="00246681">
            <w:pPr>
              <w:spacing w:after="160" w:line="360" w:lineRule="auto"/>
              <w:rPr>
                <w:rFonts w:asciiTheme="majorBidi" w:hAnsiTheme="majorBidi" w:cstheme="majorBidi"/>
                <w:sz w:val="22"/>
                <w:szCs w:val="22"/>
              </w:rPr>
            </w:pPr>
            <w:r w:rsidRPr="005F43FA">
              <w:rPr>
                <w:rFonts w:asciiTheme="majorBidi" w:hAnsiTheme="majorBidi" w:cstheme="majorBidi"/>
                <w:sz w:val="22"/>
                <w:szCs w:val="22"/>
              </w:rPr>
              <w:lastRenderedPageBreak/>
              <w:t xml:space="preserve">Table </w:t>
            </w:r>
            <w:r>
              <w:rPr>
                <w:rFonts w:asciiTheme="majorBidi" w:hAnsiTheme="majorBidi" w:cstheme="majorBidi"/>
                <w:sz w:val="22"/>
                <w:szCs w:val="22"/>
              </w:rPr>
              <w:t>S</w:t>
            </w:r>
            <w:r w:rsidRPr="005F43FA">
              <w:rPr>
                <w:rFonts w:asciiTheme="majorBidi" w:hAnsiTheme="majorBidi" w:cstheme="majorBidi"/>
                <w:sz w:val="22"/>
                <w:szCs w:val="22"/>
              </w:rPr>
              <w:t xml:space="preserve">2. Life stage specific associations between dominant grip strength and prediabetes </w:t>
            </w:r>
            <w:r w:rsidR="00D6095C">
              <w:rPr>
                <w:rFonts w:asciiTheme="majorBidi" w:hAnsiTheme="majorBidi" w:cstheme="majorBidi"/>
                <w:sz w:val="22"/>
                <w:szCs w:val="22"/>
              </w:rPr>
              <w:t xml:space="preserve">or type 2 diabetes </w:t>
            </w:r>
            <w:r w:rsidRPr="005F43FA">
              <w:rPr>
                <w:rFonts w:asciiTheme="majorBidi" w:hAnsiTheme="majorBidi" w:cstheme="majorBidi"/>
                <w:sz w:val="22"/>
                <w:szCs w:val="22"/>
              </w:rPr>
              <w:t>adjusted for life course average standardized values of cardiorespiratory fitness and waist circumference.</w:t>
            </w:r>
          </w:p>
        </w:tc>
      </w:tr>
      <w:tr w:rsidR="00FD2BE2" w:rsidRPr="005F43FA" w14:paraId="3F248978" w14:textId="77777777" w:rsidTr="00246681">
        <w:trPr>
          <w:trHeight w:val="343"/>
        </w:trPr>
        <w:tc>
          <w:tcPr>
            <w:tcW w:w="2257" w:type="pct"/>
            <w:tcBorders>
              <w:top w:val="single" w:sz="4" w:space="0" w:color="auto"/>
              <w:left w:val="nil"/>
              <w:bottom w:val="single" w:sz="4" w:space="0" w:color="auto"/>
              <w:right w:val="nil"/>
            </w:tcBorders>
            <w:shd w:val="clear" w:color="auto" w:fill="auto"/>
            <w:tcMar>
              <w:top w:w="72" w:type="dxa"/>
              <w:left w:w="144" w:type="dxa"/>
              <w:bottom w:w="72" w:type="dxa"/>
              <w:right w:w="144" w:type="dxa"/>
            </w:tcMar>
            <w:hideMark/>
          </w:tcPr>
          <w:p w14:paraId="5AFD6639" w14:textId="77777777" w:rsidR="00FD2BE2" w:rsidRPr="005F43FA" w:rsidRDefault="00FD2BE2" w:rsidP="00246681">
            <w:pPr>
              <w:spacing w:after="160" w:line="360" w:lineRule="auto"/>
              <w:rPr>
                <w:rFonts w:asciiTheme="majorBidi" w:hAnsiTheme="majorBidi" w:cstheme="majorBidi"/>
                <w:sz w:val="22"/>
                <w:szCs w:val="22"/>
              </w:rPr>
            </w:pPr>
          </w:p>
        </w:tc>
        <w:tc>
          <w:tcPr>
            <w:tcW w:w="2743" w:type="pct"/>
            <w:tcBorders>
              <w:top w:val="single" w:sz="4" w:space="0" w:color="auto"/>
              <w:left w:val="nil"/>
              <w:bottom w:val="single" w:sz="4" w:space="0" w:color="auto"/>
              <w:right w:val="nil"/>
            </w:tcBorders>
            <w:shd w:val="clear" w:color="auto" w:fill="auto"/>
            <w:tcMar>
              <w:top w:w="72" w:type="dxa"/>
              <w:left w:w="144" w:type="dxa"/>
              <w:bottom w:w="72" w:type="dxa"/>
              <w:right w:w="144" w:type="dxa"/>
            </w:tcMar>
            <w:hideMark/>
          </w:tcPr>
          <w:p w14:paraId="46477A1D" w14:textId="77777777" w:rsidR="00FD2BE2" w:rsidRPr="005F43FA" w:rsidRDefault="00FD2BE2" w:rsidP="00246681">
            <w:pPr>
              <w:spacing w:after="160" w:line="360" w:lineRule="auto"/>
              <w:jc w:val="center"/>
              <w:rPr>
                <w:rFonts w:asciiTheme="majorBidi" w:hAnsiTheme="majorBidi" w:cstheme="majorBidi"/>
                <w:sz w:val="22"/>
                <w:szCs w:val="22"/>
              </w:rPr>
            </w:pPr>
            <w:r w:rsidRPr="005F43FA">
              <w:rPr>
                <w:rFonts w:asciiTheme="majorBidi" w:hAnsiTheme="majorBidi" w:cstheme="majorBidi"/>
                <w:sz w:val="22"/>
                <w:szCs w:val="22"/>
              </w:rPr>
              <w:t xml:space="preserve">Odds Ratio (95% </w:t>
            </w:r>
            <w:proofErr w:type="spellStart"/>
            <w:r w:rsidRPr="005F43FA">
              <w:rPr>
                <w:rFonts w:asciiTheme="majorBidi" w:hAnsiTheme="majorBidi" w:cstheme="majorBidi"/>
                <w:sz w:val="22"/>
                <w:szCs w:val="22"/>
              </w:rPr>
              <w:t>CrI</w:t>
            </w:r>
            <w:proofErr w:type="spellEnd"/>
            <w:r w:rsidRPr="005F43FA">
              <w:rPr>
                <w:rFonts w:asciiTheme="majorBidi" w:hAnsiTheme="majorBidi" w:cstheme="majorBidi"/>
                <w:sz w:val="22"/>
                <w:szCs w:val="22"/>
              </w:rPr>
              <w:t>)</w:t>
            </w:r>
          </w:p>
        </w:tc>
      </w:tr>
      <w:tr w:rsidR="00FD2BE2" w:rsidRPr="005F43FA" w14:paraId="14B41F57" w14:textId="77777777" w:rsidTr="00246681">
        <w:trPr>
          <w:trHeight w:val="477"/>
        </w:trPr>
        <w:tc>
          <w:tcPr>
            <w:tcW w:w="2257" w:type="pct"/>
            <w:tcBorders>
              <w:top w:val="nil"/>
              <w:left w:val="nil"/>
              <w:bottom w:val="nil"/>
              <w:right w:val="nil"/>
            </w:tcBorders>
            <w:shd w:val="clear" w:color="auto" w:fill="auto"/>
            <w:tcMar>
              <w:top w:w="72" w:type="dxa"/>
              <w:left w:w="144" w:type="dxa"/>
              <w:bottom w:w="72" w:type="dxa"/>
              <w:right w:w="144" w:type="dxa"/>
            </w:tcMar>
            <w:hideMark/>
          </w:tcPr>
          <w:p w14:paraId="77BA9FC0" w14:textId="77777777" w:rsidR="00FD2BE2" w:rsidRPr="005F43FA" w:rsidRDefault="00FD2BE2" w:rsidP="00246681">
            <w:pPr>
              <w:spacing w:after="160" w:line="360" w:lineRule="auto"/>
              <w:rPr>
                <w:rFonts w:asciiTheme="majorBidi" w:hAnsiTheme="majorBidi" w:cstheme="majorBidi"/>
                <w:sz w:val="22"/>
                <w:szCs w:val="22"/>
              </w:rPr>
            </w:pPr>
            <w:r w:rsidRPr="005F43FA">
              <w:rPr>
                <w:rFonts w:asciiTheme="majorBidi" w:hAnsiTheme="majorBidi" w:cstheme="majorBidi"/>
                <w:sz w:val="22"/>
                <w:szCs w:val="22"/>
              </w:rPr>
              <w:t>Childhood</w:t>
            </w:r>
          </w:p>
        </w:tc>
        <w:tc>
          <w:tcPr>
            <w:tcW w:w="2743" w:type="pct"/>
            <w:tcBorders>
              <w:top w:val="nil"/>
              <w:left w:val="nil"/>
              <w:bottom w:val="nil"/>
              <w:right w:val="nil"/>
            </w:tcBorders>
            <w:shd w:val="clear" w:color="auto" w:fill="auto"/>
            <w:tcMar>
              <w:top w:w="72" w:type="dxa"/>
              <w:left w:w="144" w:type="dxa"/>
              <w:bottom w:w="72" w:type="dxa"/>
              <w:right w:w="144" w:type="dxa"/>
            </w:tcMar>
            <w:hideMark/>
          </w:tcPr>
          <w:p w14:paraId="4D8F7CD0" w14:textId="77777777" w:rsidR="00FD2BE2" w:rsidRPr="005F43FA" w:rsidRDefault="00FD2BE2" w:rsidP="00246681">
            <w:pPr>
              <w:spacing w:after="160" w:line="360" w:lineRule="auto"/>
              <w:jc w:val="center"/>
              <w:rPr>
                <w:rFonts w:asciiTheme="majorBidi" w:hAnsiTheme="majorBidi" w:cstheme="majorBidi"/>
                <w:sz w:val="22"/>
                <w:szCs w:val="22"/>
              </w:rPr>
            </w:pPr>
            <w:r w:rsidRPr="005F43FA">
              <w:rPr>
                <w:rFonts w:asciiTheme="majorBidi" w:hAnsiTheme="majorBidi" w:cstheme="majorBidi"/>
                <w:sz w:val="22"/>
                <w:szCs w:val="22"/>
              </w:rPr>
              <w:t>0.90 (0.67, 1.03)</w:t>
            </w:r>
          </w:p>
        </w:tc>
      </w:tr>
      <w:tr w:rsidR="00FD2BE2" w:rsidRPr="005F43FA" w14:paraId="7CA15053" w14:textId="77777777" w:rsidTr="00246681">
        <w:trPr>
          <w:trHeight w:val="20"/>
        </w:trPr>
        <w:tc>
          <w:tcPr>
            <w:tcW w:w="2257" w:type="pct"/>
            <w:tcBorders>
              <w:top w:val="nil"/>
              <w:left w:val="nil"/>
              <w:bottom w:val="nil"/>
              <w:right w:val="nil"/>
            </w:tcBorders>
            <w:shd w:val="clear" w:color="auto" w:fill="auto"/>
            <w:tcMar>
              <w:top w:w="72" w:type="dxa"/>
              <w:left w:w="144" w:type="dxa"/>
              <w:bottom w:w="72" w:type="dxa"/>
              <w:right w:w="144" w:type="dxa"/>
            </w:tcMar>
            <w:hideMark/>
          </w:tcPr>
          <w:p w14:paraId="5D231609" w14:textId="77777777" w:rsidR="00FD2BE2" w:rsidRPr="005F43FA" w:rsidRDefault="00FD2BE2" w:rsidP="00246681">
            <w:pPr>
              <w:spacing w:after="160" w:line="360" w:lineRule="auto"/>
              <w:rPr>
                <w:rFonts w:asciiTheme="majorBidi" w:hAnsiTheme="majorBidi" w:cstheme="majorBidi"/>
                <w:sz w:val="22"/>
                <w:szCs w:val="22"/>
              </w:rPr>
            </w:pPr>
            <w:r w:rsidRPr="005F43FA">
              <w:rPr>
                <w:rFonts w:asciiTheme="majorBidi" w:hAnsiTheme="majorBidi" w:cstheme="majorBidi"/>
                <w:sz w:val="22"/>
                <w:szCs w:val="22"/>
              </w:rPr>
              <w:t>Young</w:t>
            </w:r>
            <w:r>
              <w:rPr>
                <w:rFonts w:asciiTheme="majorBidi" w:hAnsiTheme="majorBidi" w:cstheme="majorBidi"/>
                <w:sz w:val="22"/>
                <w:szCs w:val="22"/>
              </w:rPr>
              <w:t xml:space="preserve"> </w:t>
            </w:r>
            <w:r w:rsidRPr="005F43FA">
              <w:rPr>
                <w:rFonts w:asciiTheme="majorBidi" w:hAnsiTheme="majorBidi" w:cstheme="majorBidi"/>
                <w:sz w:val="22"/>
                <w:szCs w:val="22"/>
              </w:rPr>
              <w:t>adulthood</w:t>
            </w:r>
          </w:p>
        </w:tc>
        <w:tc>
          <w:tcPr>
            <w:tcW w:w="2743" w:type="pct"/>
            <w:tcBorders>
              <w:top w:val="nil"/>
              <w:left w:val="nil"/>
              <w:bottom w:val="nil"/>
              <w:right w:val="nil"/>
            </w:tcBorders>
            <w:shd w:val="clear" w:color="auto" w:fill="auto"/>
            <w:tcMar>
              <w:top w:w="72" w:type="dxa"/>
              <w:left w:w="144" w:type="dxa"/>
              <w:bottom w:w="72" w:type="dxa"/>
              <w:right w:w="144" w:type="dxa"/>
            </w:tcMar>
            <w:hideMark/>
          </w:tcPr>
          <w:p w14:paraId="26113169" w14:textId="77777777" w:rsidR="00FD2BE2" w:rsidRPr="005F43FA" w:rsidRDefault="00FD2BE2" w:rsidP="00246681">
            <w:pPr>
              <w:spacing w:after="160" w:line="360" w:lineRule="auto"/>
              <w:jc w:val="center"/>
              <w:rPr>
                <w:rFonts w:asciiTheme="majorBidi" w:hAnsiTheme="majorBidi" w:cstheme="majorBidi"/>
                <w:sz w:val="22"/>
                <w:szCs w:val="22"/>
              </w:rPr>
            </w:pPr>
            <w:r w:rsidRPr="005F43FA">
              <w:rPr>
                <w:rFonts w:asciiTheme="majorBidi" w:hAnsiTheme="majorBidi" w:cstheme="majorBidi"/>
                <w:sz w:val="22"/>
                <w:szCs w:val="22"/>
              </w:rPr>
              <w:t>0.89 (0.65, 1.03)</w:t>
            </w:r>
          </w:p>
        </w:tc>
      </w:tr>
      <w:tr w:rsidR="00FD2BE2" w:rsidRPr="005F43FA" w14:paraId="0B25E7E8" w14:textId="77777777" w:rsidTr="00246681">
        <w:trPr>
          <w:trHeight w:val="144"/>
        </w:trPr>
        <w:tc>
          <w:tcPr>
            <w:tcW w:w="2257" w:type="pct"/>
            <w:tcBorders>
              <w:top w:val="nil"/>
              <w:left w:val="nil"/>
              <w:bottom w:val="single" w:sz="4" w:space="0" w:color="auto"/>
              <w:right w:val="nil"/>
            </w:tcBorders>
            <w:shd w:val="clear" w:color="auto" w:fill="auto"/>
            <w:tcMar>
              <w:top w:w="72" w:type="dxa"/>
              <w:left w:w="144" w:type="dxa"/>
              <w:bottom w:w="72" w:type="dxa"/>
              <w:right w:w="144" w:type="dxa"/>
            </w:tcMar>
            <w:hideMark/>
          </w:tcPr>
          <w:p w14:paraId="53936F6C" w14:textId="77777777" w:rsidR="00FD2BE2" w:rsidRPr="005F43FA" w:rsidRDefault="00FD2BE2" w:rsidP="00246681">
            <w:pPr>
              <w:spacing w:after="160" w:line="360" w:lineRule="auto"/>
              <w:rPr>
                <w:rFonts w:asciiTheme="majorBidi" w:hAnsiTheme="majorBidi" w:cstheme="majorBidi"/>
                <w:sz w:val="22"/>
                <w:szCs w:val="22"/>
              </w:rPr>
            </w:pPr>
            <w:r w:rsidRPr="005F43FA">
              <w:rPr>
                <w:rFonts w:asciiTheme="majorBidi" w:hAnsiTheme="majorBidi" w:cstheme="majorBidi"/>
                <w:sz w:val="22"/>
                <w:szCs w:val="22"/>
              </w:rPr>
              <w:t>Mid-adulthood</w:t>
            </w:r>
          </w:p>
        </w:tc>
        <w:tc>
          <w:tcPr>
            <w:tcW w:w="2743" w:type="pct"/>
            <w:tcBorders>
              <w:top w:val="nil"/>
              <w:left w:val="nil"/>
              <w:bottom w:val="single" w:sz="4" w:space="0" w:color="auto"/>
              <w:right w:val="nil"/>
            </w:tcBorders>
            <w:shd w:val="clear" w:color="auto" w:fill="auto"/>
            <w:tcMar>
              <w:top w:w="72" w:type="dxa"/>
              <w:left w:w="144" w:type="dxa"/>
              <w:bottom w:w="72" w:type="dxa"/>
              <w:right w:w="144" w:type="dxa"/>
            </w:tcMar>
            <w:hideMark/>
          </w:tcPr>
          <w:p w14:paraId="5A265208" w14:textId="77777777" w:rsidR="00FD2BE2" w:rsidRPr="005F43FA" w:rsidRDefault="00FD2BE2" w:rsidP="00246681">
            <w:pPr>
              <w:spacing w:after="160" w:line="360" w:lineRule="auto"/>
              <w:jc w:val="center"/>
              <w:rPr>
                <w:rFonts w:asciiTheme="majorBidi" w:hAnsiTheme="majorBidi" w:cstheme="majorBidi"/>
                <w:sz w:val="22"/>
                <w:szCs w:val="22"/>
              </w:rPr>
            </w:pPr>
            <w:r w:rsidRPr="005F43FA">
              <w:rPr>
                <w:rFonts w:asciiTheme="majorBidi" w:hAnsiTheme="majorBidi" w:cstheme="majorBidi"/>
                <w:sz w:val="22"/>
                <w:szCs w:val="22"/>
              </w:rPr>
              <w:t>0.92 (0.74, 1.03)</w:t>
            </w:r>
          </w:p>
        </w:tc>
      </w:tr>
      <w:tr w:rsidR="00FD2BE2" w:rsidRPr="005F43FA" w14:paraId="1E92E4CE" w14:textId="77777777" w:rsidTr="00246681">
        <w:trPr>
          <w:trHeight w:val="144"/>
        </w:trPr>
        <w:tc>
          <w:tcPr>
            <w:tcW w:w="5000" w:type="pct"/>
            <w:gridSpan w:val="2"/>
            <w:tcBorders>
              <w:top w:val="single" w:sz="4" w:space="0" w:color="auto"/>
              <w:left w:val="nil"/>
              <w:right w:val="nil"/>
            </w:tcBorders>
            <w:shd w:val="clear" w:color="auto" w:fill="auto"/>
            <w:tcMar>
              <w:top w:w="72" w:type="dxa"/>
              <w:left w:w="144" w:type="dxa"/>
              <w:bottom w:w="72" w:type="dxa"/>
              <w:right w:w="144" w:type="dxa"/>
            </w:tcMar>
          </w:tcPr>
          <w:p w14:paraId="483E7171" w14:textId="77777777" w:rsidR="00FD2BE2" w:rsidRPr="005F43FA" w:rsidRDefault="00FD2BE2" w:rsidP="00246681">
            <w:pPr>
              <w:spacing w:after="160" w:line="360" w:lineRule="auto"/>
              <w:rPr>
                <w:rFonts w:asciiTheme="majorBidi" w:hAnsiTheme="majorBidi" w:cstheme="majorBidi"/>
                <w:sz w:val="22"/>
                <w:szCs w:val="22"/>
              </w:rPr>
            </w:pPr>
            <w:r w:rsidRPr="005F43FA">
              <w:rPr>
                <w:rFonts w:asciiTheme="majorBidi" w:hAnsiTheme="majorBidi" w:cstheme="majorBidi"/>
                <w:sz w:val="22"/>
                <w:szCs w:val="22"/>
              </w:rPr>
              <w:t xml:space="preserve">Abbreviations: </w:t>
            </w:r>
            <w:proofErr w:type="spellStart"/>
            <w:r w:rsidRPr="005F43FA">
              <w:rPr>
                <w:rFonts w:asciiTheme="majorBidi" w:hAnsiTheme="majorBidi" w:cstheme="majorBidi"/>
                <w:sz w:val="22"/>
                <w:szCs w:val="22"/>
              </w:rPr>
              <w:t>CrI</w:t>
            </w:r>
            <w:proofErr w:type="spellEnd"/>
            <w:r w:rsidRPr="005F43FA">
              <w:rPr>
                <w:rFonts w:asciiTheme="majorBidi" w:hAnsiTheme="majorBidi" w:cstheme="majorBidi"/>
                <w:sz w:val="22"/>
                <w:szCs w:val="22"/>
              </w:rPr>
              <w:t>, Credible Intervals.</w:t>
            </w:r>
          </w:p>
        </w:tc>
      </w:tr>
    </w:tbl>
    <w:p w14:paraId="046063C5" w14:textId="77777777" w:rsidR="00FD2BE2" w:rsidRPr="003F10AA" w:rsidRDefault="00FD2BE2" w:rsidP="00FD2BE2">
      <w:pPr>
        <w:rPr>
          <w:rFonts w:asciiTheme="majorBidi" w:hAnsiTheme="majorBidi" w:cstheme="majorBidi"/>
        </w:rPr>
      </w:pPr>
    </w:p>
    <w:p w14:paraId="00E02123" w14:textId="77777777" w:rsidR="00FD2BE2" w:rsidRDefault="00FD2BE2" w:rsidP="00FD2BE2">
      <w:pPr>
        <w:rPr>
          <w:rFonts w:asciiTheme="majorBidi" w:hAnsiTheme="majorBidi" w:cstheme="majorBidi"/>
        </w:rPr>
      </w:pPr>
    </w:p>
    <w:p w14:paraId="117277E2" w14:textId="5B61A827" w:rsidR="009E2C40" w:rsidRDefault="009E2C40"/>
    <w:sectPr w:rsidR="009E2C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2B6"/>
    <w:rsid w:val="0008323A"/>
    <w:rsid w:val="000C7564"/>
    <w:rsid w:val="0028765B"/>
    <w:rsid w:val="0042097C"/>
    <w:rsid w:val="004A4C63"/>
    <w:rsid w:val="005137C7"/>
    <w:rsid w:val="005800B8"/>
    <w:rsid w:val="007E0B58"/>
    <w:rsid w:val="007F78B7"/>
    <w:rsid w:val="008017D0"/>
    <w:rsid w:val="00825ED3"/>
    <w:rsid w:val="008836B9"/>
    <w:rsid w:val="008E6BE2"/>
    <w:rsid w:val="009E2C40"/>
    <w:rsid w:val="00AF72E2"/>
    <w:rsid w:val="00B54D4F"/>
    <w:rsid w:val="00B712B6"/>
    <w:rsid w:val="00C26BBA"/>
    <w:rsid w:val="00D469DA"/>
    <w:rsid w:val="00D6095C"/>
    <w:rsid w:val="00DC5351"/>
    <w:rsid w:val="00E30258"/>
    <w:rsid w:val="00FD2BE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0C565"/>
  <w15:chartTrackingRefBased/>
  <w15:docId w15:val="{A23E1641-A806-49E0-B9C5-50DDDD07A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712B6"/>
    <w:pPr>
      <w:spacing w:after="0" w:line="480" w:lineRule="auto"/>
    </w:pPr>
    <w:rPr>
      <w:rFonts w:ascii="Times New Roman" w:eastAsiaTheme="minorHAnsi"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12B6"/>
    <w:pPr>
      <w:spacing w:line="240" w:lineRule="auto"/>
    </w:pPr>
    <w:rPr>
      <w:rFonts w:ascii="Segoe UI" w:eastAsiaTheme="minorEastAsia" w:hAnsi="Segoe UI" w:cs="Segoe UI"/>
      <w:sz w:val="18"/>
      <w:szCs w:val="18"/>
      <w:lang w:eastAsia="zh-CN"/>
    </w:rPr>
  </w:style>
  <w:style w:type="character" w:customStyle="1" w:styleId="BalloonTextChar">
    <w:name w:val="Balloon Text Char"/>
    <w:basedOn w:val="DefaultParagraphFont"/>
    <w:link w:val="BalloonText"/>
    <w:uiPriority w:val="99"/>
    <w:semiHidden/>
    <w:rsid w:val="00B712B6"/>
    <w:rPr>
      <w:rFonts w:ascii="Segoe UI" w:hAnsi="Segoe UI" w:cs="Segoe UI"/>
      <w:sz w:val="18"/>
      <w:szCs w:val="18"/>
    </w:rPr>
  </w:style>
  <w:style w:type="character" w:styleId="Hyperlink">
    <w:name w:val="Hyperlink"/>
    <w:basedOn w:val="DefaultParagraphFont"/>
    <w:uiPriority w:val="99"/>
    <w:unhideWhenUsed/>
    <w:rsid w:val="00B712B6"/>
    <w:rPr>
      <w:color w:val="0563C1" w:themeColor="hyperlink"/>
      <w:u w:val="single"/>
    </w:rPr>
  </w:style>
  <w:style w:type="table" w:styleId="TableGrid">
    <w:name w:val="Table Grid"/>
    <w:basedOn w:val="TableNormal"/>
    <w:uiPriority w:val="39"/>
    <w:rsid w:val="00FD2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fraserbj@utas.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1552</Words>
  <Characters>8847</Characters>
  <Application>Microsoft Office Word</Application>
  <DocSecurity>0</DocSecurity>
  <Lines>73</Lines>
  <Paragraphs>20</Paragraphs>
  <ScaleCrop>false</ScaleCrop>
  <Company/>
  <LinksUpToDate>false</LinksUpToDate>
  <CharactersWithSpaces>10379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Brooklyn Fraser</dc:creator>
  <cp:keywords/>
  <dc:description/>
  <cp:lastModifiedBy>Brooklyn Fraser</cp:lastModifiedBy>
  <cp:revision>4</cp:revision>
  <dcterms:created xsi:type="dcterms:W3CDTF">2020-05-21T05:18:00Z</dcterms:created>
  <dcterms:modified xsi:type="dcterms:W3CDTF">2020-06-01T01:01:00Z</dcterms:modified>
</cp:coreProperties>
</file>