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529B0" w14:textId="601885B9" w:rsidR="002369F5" w:rsidRPr="00DB66BC" w:rsidRDefault="00733D4E" w:rsidP="0076517B">
      <w:pPr>
        <w:spacing w:line="480" w:lineRule="auto"/>
        <w:jc w:val="center"/>
        <w:rPr>
          <w:rFonts w:ascii="Times New Roman" w:hAnsi="Times New Roman" w:cs="Times New Roman"/>
          <w:b/>
          <w:bCs/>
          <w:sz w:val="24"/>
          <w:lang w:val="en-US"/>
        </w:rPr>
      </w:pPr>
      <w:r w:rsidRPr="00DB66BC">
        <w:rPr>
          <w:rFonts w:ascii="Times New Roman" w:hAnsi="Times New Roman" w:cs="Times New Roman"/>
          <w:b/>
          <w:bCs/>
          <w:sz w:val="24"/>
          <w:lang w:val="en-US"/>
        </w:rPr>
        <w:t>ā</w:t>
      </w:r>
      <w:r w:rsidR="002369F5" w:rsidRPr="00DB66BC">
        <w:rPr>
          <w:rFonts w:ascii="Times New Roman" w:hAnsi="Times New Roman" w:cs="Times New Roman"/>
          <w:b/>
          <w:bCs/>
          <w:sz w:val="24"/>
          <w:lang w:val="en-US"/>
        </w:rPr>
        <w:t xml:space="preserve">Supplementary Material </w:t>
      </w:r>
    </w:p>
    <w:p w14:paraId="39218198" w14:textId="77777777" w:rsidR="002369F5" w:rsidRPr="00DB66BC" w:rsidRDefault="002369F5" w:rsidP="002369F5">
      <w:pPr>
        <w:spacing w:after="0" w:line="360" w:lineRule="auto"/>
        <w:rPr>
          <w:rFonts w:ascii="Times New Roman" w:hAnsi="Times New Roman" w:cs="Times New Roman"/>
          <w:b/>
          <w:bCs/>
          <w:sz w:val="24"/>
        </w:rPr>
      </w:pPr>
      <w:r w:rsidRPr="00DB66BC">
        <w:rPr>
          <w:rFonts w:ascii="Times New Roman" w:hAnsi="Times New Roman" w:cs="Times New Roman"/>
          <w:b/>
          <w:bCs/>
          <w:sz w:val="24"/>
        </w:rPr>
        <w:t>Effects of the FIFA 11+ Program on Physical Fitness in Youth and Adult Soccer Players: A Systematic Review and Meta-Analysis</w:t>
      </w:r>
    </w:p>
    <w:p w14:paraId="34E95305" w14:textId="69D55152" w:rsidR="002369F5" w:rsidRPr="00DB66BC" w:rsidRDefault="002369F5" w:rsidP="002369F5">
      <w:pPr>
        <w:spacing w:after="0" w:line="360" w:lineRule="auto"/>
        <w:rPr>
          <w:rFonts w:ascii="Times New Roman" w:hAnsi="Times New Roman" w:cs="Times New Roman"/>
          <w:b/>
          <w:bCs/>
          <w:sz w:val="28"/>
        </w:rPr>
      </w:pPr>
      <w:r w:rsidRPr="00DB66BC">
        <w:rPr>
          <w:rFonts w:ascii="Times New Roman" w:hAnsi="Times New Roman" w:cs="Times New Roman"/>
          <w:b/>
          <w:bCs/>
          <w:iCs/>
          <w:sz w:val="24"/>
          <w:lang w:val="en-GB"/>
        </w:rPr>
        <w:t>Short title:</w:t>
      </w:r>
      <w:r w:rsidRPr="00DB66BC">
        <w:rPr>
          <w:rFonts w:ascii="Times New Roman" w:hAnsi="Times New Roman" w:cs="Times New Roman"/>
          <w:iCs/>
          <w:sz w:val="24"/>
          <w:lang w:val="en-GB"/>
        </w:rPr>
        <w:t xml:space="preserve"> </w:t>
      </w:r>
      <w:r w:rsidRPr="00DB66BC">
        <w:rPr>
          <w:rFonts w:ascii="Times New Roman" w:hAnsi="Times New Roman" w:cs="Times New Roman"/>
          <w:sz w:val="24"/>
        </w:rPr>
        <w:t>FIFA 11+ and Physical Fitness in Soccer Players: A Meta-Analysis</w:t>
      </w:r>
    </w:p>
    <w:p w14:paraId="5DD67C4C" w14:textId="77777777" w:rsidR="002369F5" w:rsidRPr="00DB66BC" w:rsidRDefault="002369F5" w:rsidP="0076517B">
      <w:pPr>
        <w:spacing w:line="240" w:lineRule="auto"/>
        <w:rPr>
          <w:rFonts w:asciiTheme="majorBidi" w:hAnsiTheme="majorBidi" w:cstheme="majorBidi"/>
          <w:b/>
          <w:bCs/>
          <w:sz w:val="24"/>
          <w:szCs w:val="24"/>
        </w:rPr>
      </w:pPr>
    </w:p>
    <w:p w14:paraId="557580D4" w14:textId="37B2CABE" w:rsidR="002369F5" w:rsidRPr="00DB66BC" w:rsidRDefault="002369F5" w:rsidP="0076517B">
      <w:pPr>
        <w:spacing w:line="240" w:lineRule="auto"/>
        <w:jc w:val="center"/>
        <w:rPr>
          <w:rFonts w:asciiTheme="majorBidi" w:hAnsiTheme="majorBidi" w:cstheme="majorBidi"/>
          <w:b/>
          <w:bCs/>
          <w:sz w:val="24"/>
          <w:szCs w:val="24"/>
          <w:vertAlign w:val="superscript"/>
        </w:rPr>
      </w:pPr>
      <w:proofErr w:type="spellStart"/>
      <w:r w:rsidRPr="00DB66BC">
        <w:rPr>
          <w:rFonts w:ascii="Times New Roman" w:hAnsi="Times New Roman" w:cs="Times New Roman"/>
          <w:bCs/>
          <w:sz w:val="24"/>
          <w:szCs w:val="24"/>
        </w:rPr>
        <w:t>Ibnu</w:t>
      </w:r>
      <w:proofErr w:type="spellEnd"/>
      <w:r w:rsidRPr="00DB66BC">
        <w:rPr>
          <w:rFonts w:ascii="Times New Roman" w:hAnsi="Times New Roman" w:cs="Times New Roman"/>
          <w:bCs/>
          <w:sz w:val="24"/>
          <w:szCs w:val="24"/>
        </w:rPr>
        <w:t xml:space="preserve"> </w:t>
      </w:r>
      <w:proofErr w:type="spellStart"/>
      <w:r w:rsidRPr="00DB66BC">
        <w:rPr>
          <w:rFonts w:ascii="Times New Roman" w:hAnsi="Times New Roman" w:cs="Times New Roman"/>
          <w:bCs/>
          <w:sz w:val="24"/>
          <w:szCs w:val="24"/>
        </w:rPr>
        <w:t>Noufal</w:t>
      </w:r>
      <w:proofErr w:type="spellEnd"/>
      <w:r w:rsidRPr="00DB66BC">
        <w:rPr>
          <w:rFonts w:ascii="Times New Roman" w:hAnsi="Times New Roman" w:cs="Times New Roman"/>
          <w:bCs/>
          <w:sz w:val="24"/>
          <w:szCs w:val="24"/>
        </w:rPr>
        <w:t xml:space="preserve"> </w:t>
      </w:r>
      <w:proofErr w:type="spellStart"/>
      <w:r w:rsidRPr="00DB66BC">
        <w:rPr>
          <w:rFonts w:ascii="Times New Roman" w:hAnsi="Times New Roman" w:cs="Times New Roman"/>
          <w:bCs/>
          <w:sz w:val="24"/>
          <w:szCs w:val="24"/>
        </w:rPr>
        <w:t>Kambitta</w:t>
      </w:r>
      <w:proofErr w:type="spellEnd"/>
      <w:r w:rsidRPr="00DB66BC">
        <w:rPr>
          <w:rFonts w:ascii="Times New Roman" w:hAnsi="Times New Roman" w:cs="Times New Roman"/>
          <w:bCs/>
          <w:sz w:val="24"/>
          <w:szCs w:val="24"/>
        </w:rPr>
        <w:t xml:space="preserve"> Valappil</w:t>
      </w:r>
      <w:r w:rsidRPr="00DB66BC">
        <w:rPr>
          <w:rFonts w:ascii="Times New Roman" w:hAnsi="Times New Roman" w:cs="Times New Roman"/>
          <w:bCs/>
          <w:sz w:val="24"/>
          <w:szCs w:val="24"/>
          <w:vertAlign w:val="superscript"/>
        </w:rPr>
        <w:t>1</w:t>
      </w:r>
      <w:r w:rsidRPr="00DB66BC">
        <w:rPr>
          <w:rFonts w:ascii="Times New Roman" w:hAnsi="Times New Roman" w:cs="Times New Roman"/>
          <w:bCs/>
          <w:sz w:val="24"/>
          <w:szCs w:val="24"/>
        </w:rPr>
        <w:t>;</w:t>
      </w:r>
      <w:r w:rsidRPr="00DB66BC">
        <w:rPr>
          <w:rFonts w:ascii="Times New Roman" w:hAnsi="Times New Roman" w:cs="Times New Roman"/>
          <w:sz w:val="24"/>
          <w:szCs w:val="24"/>
        </w:rPr>
        <w:t xml:space="preserve"> </w:t>
      </w:r>
      <w:proofErr w:type="spellStart"/>
      <w:r w:rsidRPr="00DB66BC">
        <w:rPr>
          <w:rFonts w:ascii="Times New Roman" w:hAnsi="Times New Roman" w:cs="Times New Roman"/>
          <w:bCs/>
          <w:sz w:val="24"/>
          <w:szCs w:val="24"/>
        </w:rPr>
        <w:t>Karuppasamy</w:t>
      </w:r>
      <w:proofErr w:type="spellEnd"/>
      <w:r w:rsidRPr="00DB66BC">
        <w:rPr>
          <w:rFonts w:ascii="Times New Roman" w:hAnsi="Times New Roman" w:cs="Times New Roman"/>
          <w:bCs/>
          <w:sz w:val="24"/>
          <w:szCs w:val="24"/>
        </w:rPr>
        <w:t xml:space="preserve"> Govindasamy</w:t>
      </w:r>
      <w:r w:rsidRPr="00DB66BC">
        <w:rPr>
          <w:rFonts w:ascii="Times New Roman" w:hAnsi="Times New Roman" w:cs="Times New Roman"/>
          <w:bCs/>
          <w:sz w:val="24"/>
          <w:szCs w:val="24"/>
          <w:vertAlign w:val="superscript"/>
        </w:rPr>
        <w:t>2</w:t>
      </w:r>
      <w:r w:rsidRPr="00DB66BC">
        <w:rPr>
          <w:rFonts w:ascii="Times New Roman" w:hAnsi="Times New Roman" w:cs="Times New Roman"/>
          <w:bCs/>
          <w:sz w:val="24"/>
          <w:szCs w:val="24"/>
        </w:rPr>
        <w:t xml:space="preserve">; </w:t>
      </w:r>
      <w:proofErr w:type="spellStart"/>
      <w:r w:rsidRPr="00DB66BC">
        <w:rPr>
          <w:rFonts w:ascii="Times New Roman" w:hAnsi="Times New Roman" w:cs="Times New Roman"/>
          <w:bCs/>
          <w:sz w:val="24"/>
          <w:szCs w:val="24"/>
        </w:rPr>
        <w:t>Gavoutamane</w:t>
      </w:r>
      <w:proofErr w:type="spellEnd"/>
      <w:r w:rsidRPr="00DB66BC">
        <w:rPr>
          <w:rFonts w:ascii="Times New Roman" w:hAnsi="Times New Roman" w:cs="Times New Roman"/>
          <w:bCs/>
          <w:sz w:val="24"/>
          <w:szCs w:val="24"/>
        </w:rPr>
        <w:t xml:space="preserve"> Vasanthi</w:t>
      </w:r>
      <w:r w:rsidRPr="00DB66BC">
        <w:rPr>
          <w:rFonts w:ascii="Times New Roman" w:hAnsi="Times New Roman" w:cs="Times New Roman"/>
          <w:bCs/>
          <w:sz w:val="24"/>
          <w:szCs w:val="24"/>
          <w:vertAlign w:val="superscript"/>
        </w:rPr>
        <w:t>1</w:t>
      </w:r>
      <w:r w:rsidRPr="00DB66BC">
        <w:rPr>
          <w:rFonts w:ascii="Times New Roman" w:hAnsi="Times New Roman" w:cs="Times New Roman"/>
          <w:bCs/>
          <w:sz w:val="24"/>
          <w:szCs w:val="24"/>
        </w:rPr>
        <w:t xml:space="preserve">; </w:t>
      </w:r>
      <w:proofErr w:type="spellStart"/>
      <w:r w:rsidRPr="00DB66BC">
        <w:rPr>
          <w:rFonts w:ascii="Times New Roman" w:hAnsi="Times New Roman" w:cs="Times New Roman"/>
          <w:bCs/>
          <w:sz w:val="24"/>
          <w:szCs w:val="24"/>
        </w:rPr>
        <w:t>Masilamani</w:t>
      </w:r>
      <w:proofErr w:type="spellEnd"/>
      <w:r w:rsidRPr="00DB66BC">
        <w:rPr>
          <w:rFonts w:ascii="Times New Roman" w:hAnsi="Times New Roman" w:cs="Times New Roman"/>
          <w:bCs/>
          <w:sz w:val="24"/>
          <w:szCs w:val="24"/>
        </w:rPr>
        <w:t xml:space="preserve"> Elayaraja</w:t>
      </w:r>
      <w:r w:rsidRPr="00DB66BC">
        <w:rPr>
          <w:rFonts w:ascii="Times New Roman" w:hAnsi="Times New Roman" w:cs="Times New Roman"/>
          <w:bCs/>
          <w:sz w:val="24"/>
          <w:szCs w:val="24"/>
          <w:vertAlign w:val="superscript"/>
        </w:rPr>
        <w:t>1</w:t>
      </w:r>
      <w:r w:rsidRPr="00DB66BC">
        <w:rPr>
          <w:rFonts w:ascii="Times New Roman" w:hAnsi="Times New Roman" w:cs="Times New Roman"/>
          <w:bCs/>
          <w:sz w:val="24"/>
          <w:szCs w:val="24"/>
        </w:rPr>
        <w:t>; Cain C.T.Clark</w:t>
      </w:r>
      <w:r w:rsidRPr="00DB66BC">
        <w:rPr>
          <w:rFonts w:ascii="Times New Roman" w:hAnsi="Times New Roman" w:cs="Times New Roman"/>
          <w:bCs/>
          <w:sz w:val="24"/>
          <w:szCs w:val="24"/>
          <w:vertAlign w:val="superscript"/>
        </w:rPr>
        <w:t>3</w:t>
      </w:r>
      <w:r w:rsidRPr="00DB66BC">
        <w:rPr>
          <w:rFonts w:ascii="Times New Roman" w:hAnsi="Times New Roman" w:cs="Times New Roman"/>
          <w:bCs/>
          <w:sz w:val="24"/>
          <w:szCs w:val="24"/>
        </w:rPr>
        <w:t>;</w:t>
      </w:r>
      <w:r w:rsidRPr="00DB66BC">
        <w:rPr>
          <w:rFonts w:ascii="Times New Roman" w:hAnsi="Times New Roman" w:cs="Times New Roman"/>
          <w:bCs/>
          <w:color w:val="4F5671"/>
          <w:sz w:val="24"/>
          <w:szCs w:val="24"/>
          <w:shd w:val="clear" w:color="auto" w:fill="FFFFFF"/>
        </w:rPr>
        <w:t xml:space="preserve"> </w:t>
      </w:r>
      <w:proofErr w:type="spellStart"/>
      <w:r w:rsidRPr="00DB66BC">
        <w:rPr>
          <w:rFonts w:ascii="Times New Roman" w:hAnsi="Times New Roman" w:cs="Times New Roman"/>
          <w:bCs/>
          <w:sz w:val="24"/>
          <w:szCs w:val="24"/>
        </w:rPr>
        <w:t>Koulla</w:t>
      </w:r>
      <w:proofErr w:type="spellEnd"/>
      <w:r w:rsidRPr="00DB66BC">
        <w:rPr>
          <w:rFonts w:ascii="Times New Roman" w:hAnsi="Times New Roman" w:cs="Times New Roman"/>
          <w:bCs/>
          <w:sz w:val="24"/>
          <w:szCs w:val="24"/>
        </w:rPr>
        <w:t xml:space="preserve"> Parpa</w:t>
      </w:r>
      <w:r w:rsidRPr="00DB66BC">
        <w:rPr>
          <w:rFonts w:ascii="Times New Roman" w:hAnsi="Times New Roman" w:cs="Times New Roman"/>
          <w:bCs/>
          <w:sz w:val="24"/>
          <w:szCs w:val="24"/>
          <w:vertAlign w:val="superscript"/>
        </w:rPr>
        <w:t>4</w:t>
      </w:r>
      <w:r w:rsidRPr="00DB66BC">
        <w:rPr>
          <w:rFonts w:ascii="Times New Roman" w:hAnsi="Times New Roman" w:cs="Times New Roman"/>
          <w:bCs/>
          <w:sz w:val="24"/>
          <w:szCs w:val="24"/>
        </w:rPr>
        <w:t>;</w:t>
      </w:r>
      <w:r w:rsidRPr="00DB66BC">
        <w:rPr>
          <w:rFonts w:ascii="Times New Roman" w:hAnsi="Times New Roman" w:cs="Times New Roman"/>
          <w:bCs/>
          <w:color w:val="4F5671"/>
          <w:sz w:val="24"/>
          <w:szCs w:val="24"/>
          <w:shd w:val="clear" w:color="auto" w:fill="FFFFFF"/>
        </w:rPr>
        <w:t xml:space="preserve"> </w:t>
      </w:r>
      <w:proofErr w:type="spellStart"/>
      <w:r w:rsidRPr="00DB66BC">
        <w:rPr>
          <w:rFonts w:ascii="Times New Roman" w:eastAsia="Wingdings" w:hAnsi="Times New Roman" w:cs="Times New Roman"/>
          <w:bCs/>
          <w:sz w:val="24"/>
          <w:szCs w:val="24"/>
        </w:rPr>
        <w:t>Borko</w:t>
      </w:r>
      <w:proofErr w:type="spellEnd"/>
      <w:r w:rsidRPr="00DB66BC">
        <w:rPr>
          <w:rFonts w:ascii="Times New Roman" w:eastAsia="Wingdings" w:hAnsi="Times New Roman" w:cs="Times New Roman"/>
          <w:bCs/>
          <w:sz w:val="24"/>
          <w:szCs w:val="24"/>
        </w:rPr>
        <w:t xml:space="preserve"> Katanic</w:t>
      </w:r>
      <w:r w:rsidRPr="00DB66BC">
        <w:rPr>
          <w:rFonts w:ascii="Times New Roman" w:eastAsia="Wingdings" w:hAnsi="Times New Roman" w:cs="Times New Roman"/>
          <w:bCs/>
          <w:sz w:val="24"/>
          <w:szCs w:val="24"/>
          <w:vertAlign w:val="superscript"/>
        </w:rPr>
        <w:t>5</w:t>
      </w:r>
      <w:r w:rsidRPr="00DB66BC">
        <w:rPr>
          <w:rFonts w:ascii="Times New Roman" w:hAnsi="Times New Roman" w:cs="Times New Roman"/>
          <w:bCs/>
          <w:sz w:val="24"/>
          <w:szCs w:val="24"/>
        </w:rPr>
        <w:t xml:space="preserve">; </w:t>
      </w:r>
      <w:proofErr w:type="spellStart"/>
      <w:r w:rsidRPr="00DB66BC">
        <w:rPr>
          <w:rFonts w:ascii="Times New Roman" w:eastAsia="Wingdings" w:hAnsi="Times New Roman" w:cs="Times New Roman"/>
          <w:bCs/>
          <w:sz w:val="24"/>
          <w:szCs w:val="24"/>
        </w:rPr>
        <w:t>Hüseyin</w:t>
      </w:r>
      <w:proofErr w:type="spellEnd"/>
      <w:r w:rsidRPr="00DB66BC">
        <w:rPr>
          <w:rFonts w:ascii="Times New Roman" w:eastAsia="Wingdings" w:hAnsi="Times New Roman" w:cs="Times New Roman"/>
          <w:bCs/>
          <w:sz w:val="24"/>
          <w:szCs w:val="24"/>
        </w:rPr>
        <w:t xml:space="preserve"> </w:t>
      </w:r>
      <w:proofErr w:type="spellStart"/>
      <w:r w:rsidRPr="00DB66BC">
        <w:rPr>
          <w:rFonts w:ascii="Times New Roman" w:eastAsia="Wingdings" w:hAnsi="Times New Roman" w:cs="Times New Roman"/>
          <w:bCs/>
          <w:sz w:val="24"/>
          <w:szCs w:val="24"/>
        </w:rPr>
        <w:t>Şahin</w:t>
      </w:r>
      <w:proofErr w:type="spellEnd"/>
      <w:r w:rsidRPr="00DB66BC">
        <w:rPr>
          <w:rFonts w:ascii="Times New Roman" w:eastAsia="Wingdings" w:hAnsi="Times New Roman" w:cs="Times New Roman"/>
          <w:bCs/>
          <w:sz w:val="24"/>
          <w:szCs w:val="24"/>
        </w:rPr>
        <w:t xml:space="preserve"> Uysal</w:t>
      </w:r>
      <w:r w:rsidRPr="00DB66BC">
        <w:rPr>
          <w:rFonts w:ascii="Times New Roman" w:eastAsia="Wingdings" w:hAnsi="Times New Roman" w:cs="Times New Roman"/>
          <w:bCs/>
          <w:sz w:val="24"/>
          <w:szCs w:val="24"/>
          <w:vertAlign w:val="superscript"/>
        </w:rPr>
        <w:t>6</w:t>
      </w:r>
      <w:r w:rsidRPr="00DB66BC">
        <w:rPr>
          <w:rFonts w:ascii="Times New Roman" w:hAnsi="Times New Roman" w:cs="Times New Roman"/>
          <w:bCs/>
          <w:sz w:val="24"/>
          <w:szCs w:val="24"/>
        </w:rPr>
        <w:t xml:space="preserve">; </w:t>
      </w:r>
      <w:hyperlink r:id="rId6" w:anchor="auth-Hassane-Zouhal-Aff8-Aff9" w:history="1">
        <w:proofErr w:type="spellStart"/>
        <w:r w:rsidRPr="00DB66BC">
          <w:rPr>
            <w:rFonts w:ascii="Times New Roman" w:hAnsi="Times New Roman" w:cs="Times New Roman"/>
            <w:bCs/>
            <w:sz w:val="24"/>
            <w:szCs w:val="24"/>
          </w:rPr>
          <w:t>Hassane</w:t>
        </w:r>
        <w:proofErr w:type="spellEnd"/>
        <w:r w:rsidRPr="00DB66BC">
          <w:rPr>
            <w:rFonts w:ascii="Times New Roman" w:hAnsi="Times New Roman" w:cs="Times New Roman"/>
            <w:bCs/>
            <w:sz w:val="24"/>
            <w:szCs w:val="24"/>
          </w:rPr>
          <w:t xml:space="preserve"> Zouhal</w:t>
        </w:r>
      </w:hyperlink>
      <w:r w:rsidRPr="00DB66BC">
        <w:rPr>
          <w:rFonts w:ascii="Times New Roman" w:hAnsi="Times New Roman" w:cs="Times New Roman"/>
          <w:bCs/>
          <w:sz w:val="24"/>
          <w:szCs w:val="24"/>
          <w:vertAlign w:val="superscript"/>
        </w:rPr>
        <w:t>7</w:t>
      </w:r>
      <w:r w:rsidR="00771C47" w:rsidRPr="00DB66BC">
        <w:rPr>
          <w:rFonts w:ascii="Times New Roman" w:hAnsi="Times New Roman" w:cs="Times New Roman"/>
          <w:bCs/>
          <w:sz w:val="24"/>
          <w:szCs w:val="24"/>
          <w:vertAlign w:val="superscript"/>
        </w:rPr>
        <w:t>,8</w:t>
      </w:r>
      <w:r w:rsidRPr="00DB66BC">
        <w:rPr>
          <w:rFonts w:ascii="Times New Roman" w:hAnsi="Times New Roman" w:cs="Times New Roman"/>
          <w:bCs/>
          <w:sz w:val="24"/>
          <w:szCs w:val="24"/>
        </w:rPr>
        <w:t xml:space="preserve">; </w:t>
      </w:r>
      <w:proofErr w:type="spellStart"/>
      <w:r w:rsidRPr="00DB66BC">
        <w:rPr>
          <w:rFonts w:ascii="Times New Roman" w:hAnsi="Times New Roman" w:cs="Times New Roman"/>
          <w:bCs/>
          <w:sz w:val="24"/>
          <w:szCs w:val="24"/>
        </w:rPr>
        <w:t>Urs</w:t>
      </w:r>
      <w:proofErr w:type="spellEnd"/>
      <w:r w:rsidRPr="00DB66BC">
        <w:rPr>
          <w:rFonts w:ascii="Times New Roman" w:hAnsi="Times New Roman" w:cs="Times New Roman"/>
          <w:bCs/>
          <w:sz w:val="24"/>
          <w:szCs w:val="24"/>
        </w:rPr>
        <w:t xml:space="preserve"> Granacher</w:t>
      </w:r>
      <w:r w:rsidR="00771C47" w:rsidRPr="00DB66BC">
        <w:rPr>
          <w:rFonts w:ascii="Times New Roman" w:hAnsi="Times New Roman" w:cs="Times New Roman"/>
          <w:bCs/>
          <w:sz w:val="24"/>
          <w:szCs w:val="24"/>
          <w:vertAlign w:val="superscript"/>
        </w:rPr>
        <w:t>9</w:t>
      </w:r>
      <w:r w:rsidRPr="00DB66BC">
        <w:rPr>
          <w:rFonts w:asciiTheme="majorBidi" w:hAnsiTheme="majorBidi" w:cstheme="majorBidi"/>
          <w:b/>
          <w:bCs/>
          <w:sz w:val="24"/>
          <w:szCs w:val="24"/>
          <w:vertAlign w:val="superscript"/>
        </w:rPr>
        <w:t>*</w:t>
      </w:r>
    </w:p>
    <w:p w14:paraId="3EB1143A" w14:textId="77777777" w:rsidR="002369F5" w:rsidRPr="00DB66BC" w:rsidRDefault="002369F5" w:rsidP="002369F5">
      <w:pPr>
        <w:spacing w:line="240" w:lineRule="auto"/>
        <w:rPr>
          <w:rFonts w:asciiTheme="majorBidi" w:hAnsiTheme="majorBidi" w:cstheme="majorBidi"/>
          <w:b/>
          <w:bCs/>
          <w:sz w:val="24"/>
          <w:szCs w:val="24"/>
          <w:vertAlign w:val="superscript"/>
        </w:rPr>
      </w:pPr>
    </w:p>
    <w:p w14:paraId="17DC3257" w14:textId="1F595FB1" w:rsidR="002369F5" w:rsidRPr="00DB66BC" w:rsidRDefault="002369F5" w:rsidP="002369F5">
      <w:pPr>
        <w:pStyle w:val="ListParagraph"/>
        <w:numPr>
          <w:ilvl w:val="0"/>
          <w:numId w:val="1"/>
        </w:numPr>
        <w:spacing w:after="0" w:line="360" w:lineRule="auto"/>
        <w:rPr>
          <w:rFonts w:ascii="Times New Roman" w:hAnsi="Times New Roman" w:cs="Times New Roman"/>
          <w:kern w:val="0"/>
          <w:sz w:val="24"/>
          <w:szCs w:val="24"/>
          <w:vertAlign w:val="superscript"/>
          <w14:ligatures w14:val="none"/>
        </w:rPr>
      </w:pPr>
      <w:r w:rsidRPr="00DB66BC">
        <w:rPr>
          <w:rFonts w:asciiTheme="majorBidi" w:hAnsiTheme="majorBidi" w:cstheme="majorBidi"/>
          <w:sz w:val="24"/>
          <w:szCs w:val="24"/>
        </w:rPr>
        <w:t>Department of Physical Education and Sports, Pondicherry University, 605014 Puducherry, India</w:t>
      </w:r>
    </w:p>
    <w:p w14:paraId="2C785FD2" w14:textId="77777777" w:rsidR="002369F5" w:rsidRPr="00DB66BC" w:rsidRDefault="002369F5" w:rsidP="002369F5">
      <w:pPr>
        <w:pStyle w:val="ListParagraph"/>
        <w:numPr>
          <w:ilvl w:val="0"/>
          <w:numId w:val="1"/>
        </w:numPr>
        <w:spacing w:after="0" w:line="360" w:lineRule="auto"/>
        <w:rPr>
          <w:rFonts w:asciiTheme="majorBidi" w:hAnsiTheme="majorBidi" w:cstheme="majorBidi"/>
          <w:sz w:val="24"/>
          <w:szCs w:val="24"/>
        </w:rPr>
      </w:pPr>
      <w:r w:rsidRPr="00DB66BC">
        <w:rPr>
          <w:rFonts w:ascii="Times New Roman" w:hAnsi="Times New Roman" w:cs="Times New Roman"/>
          <w:kern w:val="0"/>
          <w:sz w:val="24"/>
          <w:szCs w:val="24"/>
          <w14:ligatures w14:val="none"/>
        </w:rPr>
        <w:t xml:space="preserve">Department of Sports, Recreation and Wellness, Symbiosis International (Deemed University), Hyderabad Campus, </w:t>
      </w:r>
      <w:proofErr w:type="spellStart"/>
      <w:r w:rsidRPr="00DB66BC">
        <w:rPr>
          <w:rFonts w:ascii="Times New Roman" w:hAnsi="Times New Roman" w:cs="Times New Roman"/>
          <w:kern w:val="0"/>
          <w:sz w:val="24"/>
          <w:szCs w:val="24"/>
          <w14:ligatures w14:val="none"/>
        </w:rPr>
        <w:t>Modallaguda</w:t>
      </w:r>
      <w:proofErr w:type="spellEnd"/>
      <w:r w:rsidRPr="00DB66BC">
        <w:rPr>
          <w:rFonts w:ascii="Times New Roman" w:hAnsi="Times New Roman" w:cs="Times New Roman"/>
          <w:kern w:val="0"/>
          <w:sz w:val="24"/>
          <w:szCs w:val="24"/>
          <w14:ligatures w14:val="none"/>
        </w:rPr>
        <w:t xml:space="preserve"> (V), </w:t>
      </w:r>
      <w:proofErr w:type="spellStart"/>
      <w:r w:rsidRPr="00DB66BC">
        <w:rPr>
          <w:rFonts w:ascii="Times New Roman" w:hAnsi="Times New Roman" w:cs="Times New Roman"/>
          <w:kern w:val="0"/>
          <w:sz w:val="24"/>
          <w:szCs w:val="24"/>
          <w14:ligatures w14:val="none"/>
        </w:rPr>
        <w:t>Nandigama</w:t>
      </w:r>
      <w:proofErr w:type="spellEnd"/>
      <w:r w:rsidRPr="00DB66BC">
        <w:rPr>
          <w:rFonts w:ascii="Times New Roman" w:hAnsi="Times New Roman" w:cs="Times New Roman"/>
          <w:kern w:val="0"/>
          <w:sz w:val="24"/>
          <w:szCs w:val="24"/>
          <w14:ligatures w14:val="none"/>
        </w:rPr>
        <w:t xml:space="preserve"> (M), </w:t>
      </w:r>
      <w:proofErr w:type="spellStart"/>
      <w:r w:rsidRPr="00DB66BC">
        <w:rPr>
          <w:rFonts w:ascii="Times New Roman" w:hAnsi="Times New Roman" w:cs="Times New Roman"/>
          <w:kern w:val="0"/>
          <w:sz w:val="24"/>
          <w:szCs w:val="24"/>
          <w14:ligatures w14:val="none"/>
        </w:rPr>
        <w:t>Rangareddy</w:t>
      </w:r>
      <w:proofErr w:type="spellEnd"/>
      <w:r w:rsidRPr="00DB66BC">
        <w:rPr>
          <w:rFonts w:ascii="Times New Roman" w:hAnsi="Times New Roman" w:cs="Times New Roman"/>
          <w:kern w:val="0"/>
          <w:sz w:val="24"/>
          <w:szCs w:val="24"/>
          <w14:ligatures w14:val="none"/>
        </w:rPr>
        <w:t>, 509217 Telangana, India</w:t>
      </w:r>
    </w:p>
    <w:p w14:paraId="41C6A50F" w14:textId="77777777" w:rsidR="002369F5" w:rsidRPr="00DB66BC" w:rsidRDefault="002369F5" w:rsidP="002369F5">
      <w:pPr>
        <w:pStyle w:val="ListParagraph"/>
        <w:numPr>
          <w:ilvl w:val="0"/>
          <w:numId w:val="1"/>
        </w:numPr>
        <w:spacing w:after="0" w:line="360" w:lineRule="auto"/>
        <w:rPr>
          <w:rFonts w:asciiTheme="majorBidi" w:hAnsiTheme="majorBidi" w:cstheme="majorBidi"/>
          <w:sz w:val="24"/>
          <w:szCs w:val="24"/>
        </w:rPr>
      </w:pPr>
      <w:r w:rsidRPr="00DB66BC">
        <w:rPr>
          <w:rFonts w:asciiTheme="majorBidi" w:hAnsiTheme="majorBidi" w:cstheme="majorBidi"/>
          <w:sz w:val="24"/>
          <w:szCs w:val="24"/>
        </w:rPr>
        <w:t>College of Life Sciences, Birmingham City University, B15 3TN, U.K.</w:t>
      </w:r>
    </w:p>
    <w:p w14:paraId="71984F71" w14:textId="77777777" w:rsidR="002369F5" w:rsidRPr="00DB66BC" w:rsidRDefault="002369F5" w:rsidP="002369F5">
      <w:pPr>
        <w:pStyle w:val="ListParagraph"/>
        <w:numPr>
          <w:ilvl w:val="0"/>
          <w:numId w:val="1"/>
        </w:numPr>
        <w:spacing w:after="0" w:line="360" w:lineRule="auto"/>
        <w:rPr>
          <w:rFonts w:asciiTheme="majorBidi" w:hAnsiTheme="majorBidi" w:cstheme="majorBidi"/>
          <w:sz w:val="24"/>
          <w:szCs w:val="24"/>
        </w:rPr>
      </w:pPr>
      <w:r w:rsidRPr="00DB66BC">
        <w:rPr>
          <w:rFonts w:ascii="Times New Roman" w:hAnsi="Times New Roman" w:cs="Times New Roman"/>
          <w:kern w:val="0"/>
          <w:sz w:val="24"/>
          <w:szCs w:val="24"/>
          <w14:ligatures w14:val="none"/>
        </w:rPr>
        <w:t xml:space="preserve">Faculty of Sport and Exercise Science, </w:t>
      </w:r>
      <w:proofErr w:type="spellStart"/>
      <w:r w:rsidRPr="00DB66BC">
        <w:rPr>
          <w:rFonts w:ascii="Times New Roman" w:hAnsi="Times New Roman" w:cs="Times New Roman"/>
          <w:kern w:val="0"/>
          <w:sz w:val="24"/>
          <w:szCs w:val="24"/>
          <w14:ligatures w14:val="none"/>
        </w:rPr>
        <w:t>UCLan</w:t>
      </w:r>
      <w:proofErr w:type="spellEnd"/>
      <w:r w:rsidRPr="00DB66BC">
        <w:rPr>
          <w:rFonts w:ascii="Times New Roman" w:hAnsi="Times New Roman" w:cs="Times New Roman"/>
          <w:kern w:val="0"/>
          <w:sz w:val="24"/>
          <w:szCs w:val="24"/>
          <w14:ligatures w14:val="none"/>
        </w:rPr>
        <w:t xml:space="preserve"> University of Cyprus, </w:t>
      </w:r>
      <w:proofErr w:type="spellStart"/>
      <w:r w:rsidRPr="00DB66BC">
        <w:rPr>
          <w:rFonts w:ascii="Times New Roman" w:hAnsi="Times New Roman" w:cs="Times New Roman"/>
          <w:kern w:val="0"/>
          <w:sz w:val="24"/>
          <w:szCs w:val="24"/>
          <w14:ligatures w14:val="none"/>
        </w:rPr>
        <w:t>Pyla</w:t>
      </w:r>
      <w:proofErr w:type="spellEnd"/>
      <w:r w:rsidRPr="00DB66BC">
        <w:rPr>
          <w:rFonts w:ascii="Times New Roman" w:hAnsi="Times New Roman" w:cs="Times New Roman"/>
          <w:kern w:val="0"/>
          <w:sz w:val="24"/>
          <w:szCs w:val="24"/>
          <w14:ligatures w14:val="none"/>
        </w:rPr>
        <w:t xml:space="preserve"> 7080, Cyprus</w:t>
      </w:r>
    </w:p>
    <w:p w14:paraId="7261C032" w14:textId="77777777" w:rsidR="002369F5" w:rsidRPr="00DB66BC" w:rsidRDefault="002369F5" w:rsidP="002369F5">
      <w:pPr>
        <w:pStyle w:val="ListParagraph"/>
        <w:numPr>
          <w:ilvl w:val="0"/>
          <w:numId w:val="1"/>
        </w:numPr>
        <w:spacing w:after="0" w:line="360" w:lineRule="auto"/>
        <w:rPr>
          <w:rFonts w:asciiTheme="majorBidi" w:hAnsiTheme="majorBidi" w:cstheme="majorBidi"/>
          <w:sz w:val="24"/>
          <w:szCs w:val="24"/>
        </w:rPr>
      </w:pPr>
      <w:proofErr w:type="spellStart"/>
      <w:r w:rsidRPr="00DB66BC">
        <w:rPr>
          <w:rFonts w:ascii="Times New Roman" w:hAnsi="Times New Roman" w:cs="Times New Roman"/>
          <w:kern w:val="0"/>
          <w:sz w:val="24"/>
          <w:szCs w:val="24"/>
          <w14:ligatures w14:val="none"/>
        </w:rPr>
        <w:t>Montenergin</w:t>
      </w:r>
      <w:proofErr w:type="spellEnd"/>
      <w:r w:rsidRPr="00DB66BC">
        <w:rPr>
          <w:rFonts w:ascii="Times New Roman" w:hAnsi="Times New Roman" w:cs="Times New Roman"/>
          <w:kern w:val="0"/>
          <w:sz w:val="24"/>
          <w:szCs w:val="24"/>
          <w14:ligatures w14:val="none"/>
        </w:rPr>
        <w:t xml:space="preserve"> Sports Academy, Podgorica, Montenegro</w:t>
      </w:r>
    </w:p>
    <w:p w14:paraId="49841D70" w14:textId="77777777" w:rsidR="002369F5" w:rsidRPr="00DB66BC" w:rsidRDefault="002369F5" w:rsidP="002369F5">
      <w:pPr>
        <w:pStyle w:val="ListParagraph"/>
        <w:numPr>
          <w:ilvl w:val="0"/>
          <w:numId w:val="1"/>
        </w:numPr>
        <w:spacing w:after="0" w:line="360" w:lineRule="auto"/>
        <w:rPr>
          <w:rFonts w:asciiTheme="majorBidi" w:hAnsiTheme="majorBidi" w:cstheme="majorBidi"/>
          <w:sz w:val="24"/>
          <w:szCs w:val="24"/>
        </w:rPr>
      </w:pPr>
      <w:r w:rsidRPr="00DB66BC">
        <w:rPr>
          <w:rFonts w:ascii="Times New Roman" w:hAnsi="Times New Roman" w:cs="Times New Roman"/>
          <w:kern w:val="0"/>
          <w:sz w:val="24"/>
          <w:szCs w:val="24"/>
          <w14:ligatures w14:val="none"/>
        </w:rPr>
        <w:t>Department of Physical Education and Sport, Faculty of Sport Sciences, Burdur Mehmet Akif Ersoy University, Burdur 15030, Turkey</w:t>
      </w:r>
    </w:p>
    <w:p w14:paraId="20558BC4" w14:textId="77777777" w:rsidR="002369F5" w:rsidRPr="00DB66BC" w:rsidRDefault="002369F5" w:rsidP="002369F5">
      <w:pPr>
        <w:pStyle w:val="ListParagraph"/>
        <w:numPr>
          <w:ilvl w:val="0"/>
          <w:numId w:val="1"/>
        </w:numPr>
        <w:spacing w:after="0" w:line="360" w:lineRule="auto"/>
        <w:rPr>
          <w:rFonts w:asciiTheme="majorBidi" w:hAnsiTheme="majorBidi" w:cstheme="majorBidi"/>
          <w:sz w:val="24"/>
          <w:szCs w:val="24"/>
        </w:rPr>
      </w:pPr>
      <w:r w:rsidRPr="00DB66BC">
        <w:rPr>
          <w:rFonts w:ascii="Times New Roman" w:hAnsi="Times New Roman" w:cs="Times New Roman"/>
          <w:kern w:val="0"/>
          <w:sz w:val="24"/>
          <w:szCs w:val="24"/>
          <w14:ligatures w14:val="none"/>
        </w:rPr>
        <w:t>M2S (</w:t>
      </w:r>
      <w:proofErr w:type="spellStart"/>
      <w:r w:rsidRPr="00DB66BC">
        <w:rPr>
          <w:rFonts w:ascii="Times New Roman" w:hAnsi="Times New Roman" w:cs="Times New Roman"/>
          <w:kern w:val="0"/>
          <w:sz w:val="24"/>
          <w:szCs w:val="24"/>
          <w14:ligatures w14:val="none"/>
        </w:rPr>
        <w:t>Laboratoire</w:t>
      </w:r>
      <w:proofErr w:type="spellEnd"/>
      <w:r w:rsidRPr="00DB66BC">
        <w:rPr>
          <w:rFonts w:ascii="Times New Roman" w:hAnsi="Times New Roman" w:cs="Times New Roman"/>
          <w:kern w:val="0"/>
          <w:sz w:val="24"/>
          <w:szCs w:val="24"/>
          <w14:ligatures w14:val="none"/>
        </w:rPr>
        <w:t xml:space="preserve"> </w:t>
      </w:r>
      <w:proofErr w:type="spellStart"/>
      <w:r w:rsidRPr="00DB66BC">
        <w:rPr>
          <w:rFonts w:ascii="Times New Roman" w:hAnsi="Times New Roman" w:cs="Times New Roman"/>
          <w:kern w:val="0"/>
          <w:sz w:val="24"/>
          <w:szCs w:val="24"/>
          <w14:ligatures w14:val="none"/>
        </w:rPr>
        <w:t>Mouvement</w:t>
      </w:r>
      <w:proofErr w:type="spellEnd"/>
      <w:r w:rsidRPr="00DB66BC">
        <w:rPr>
          <w:rFonts w:ascii="Times New Roman" w:hAnsi="Times New Roman" w:cs="Times New Roman"/>
          <w:kern w:val="0"/>
          <w:sz w:val="24"/>
          <w:szCs w:val="24"/>
          <w14:ligatures w14:val="none"/>
        </w:rPr>
        <w:t>, Sport, Santé), Université Rennes, Rennes, France</w:t>
      </w:r>
    </w:p>
    <w:p w14:paraId="04D5A907" w14:textId="77777777" w:rsidR="002369F5" w:rsidRPr="00DB66BC" w:rsidRDefault="002369F5" w:rsidP="002369F5">
      <w:pPr>
        <w:pStyle w:val="ListParagraph"/>
        <w:numPr>
          <w:ilvl w:val="0"/>
          <w:numId w:val="1"/>
        </w:numPr>
        <w:spacing w:after="0" w:line="360" w:lineRule="auto"/>
        <w:rPr>
          <w:rFonts w:asciiTheme="majorBidi" w:hAnsiTheme="majorBidi" w:cstheme="majorBidi"/>
          <w:sz w:val="24"/>
          <w:szCs w:val="24"/>
        </w:rPr>
      </w:pPr>
      <w:r w:rsidRPr="00DB66BC">
        <w:rPr>
          <w:rFonts w:ascii="Times New Roman" w:hAnsi="Times New Roman" w:cs="Times New Roman"/>
          <w:kern w:val="0"/>
          <w:sz w:val="24"/>
          <w:szCs w:val="24"/>
          <w14:ligatures w14:val="none"/>
        </w:rPr>
        <w:t xml:space="preserve">Institut International des Sciences du Sport (2I2S), 35850, </w:t>
      </w:r>
      <w:proofErr w:type="spellStart"/>
      <w:r w:rsidRPr="00DB66BC">
        <w:rPr>
          <w:rFonts w:ascii="Times New Roman" w:hAnsi="Times New Roman" w:cs="Times New Roman"/>
          <w:kern w:val="0"/>
          <w:sz w:val="24"/>
          <w:szCs w:val="24"/>
          <w14:ligatures w14:val="none"/>
        </w:rPr>
        <w:t>Irodouer</w:t>
      </w:r>
      <w:proofErr w:type="spellEnd"/>
      <w:r w:rsidRPr="00DB66BC">
        <w:rPr>
          <w:rFonts w:ascii="Times New Roman" w:hAnsi="Times New Roman" w:cs="Times New Roman"/>
          <w:kern w:val="0"/>
          <w:sz w:val="24"/>
          <w:szCs w:val="24"/>
          <w14:ligatures w14:val="none"/>
        </w:rPr>
        <w:t>, France</w:t>
      </w:r>
    </w:p>
    <w:p w14:paraId="698A73FE" w14:textId="1AF621F6" w:rsidR="002369F5" w:rsidRPr="00DB66BC" w:rsidRDefault="002369F5" w:rsidP="0076517B">
      <w:pPr>
        <w:pStyle w:val="ListParagraph"/>
        <w:numPr>
          <w:ilvl w:val="0"/>
          <w:numId w:val="1"/>
        </w:numPr>
        <w:spacing w:after="0" w:line="360" w:lineRule="auto"/>
        <w:rPr>
          <w:rFonts w:asciiTheme="majorBidi" w:hAnsiTheme="majorBidi" w:cstheme="majorBidi"/>
          <w:sz w:val="24"/>
          <w:szCs w:val="24"/>
        </w:rPr>
      </w:pPr>
      <w:r w:rsidRPr="00DB66BC">
        <w:rPr>
          <w:rFonts w:asciiTheme="majorBidi" w:hAnsiTheme="majorBidi" w:cstheme="majorBidi"/>
          <w:sz w:val="24"/>
          <w:szCs w:val="24"/>
        </w:rPr>
        <w:t>Department of Sport and Sport Science, Exercise and Human Movement Science, University of Freiburg, 79102 Freiburg, Germany</w:t>
      </w:r>
    </w:p>
    <w:p w14:paraId="6146A24F" w14:textId="77777777" w:rsidR="0076517B" w:rsidRPr="00DB66BC" w:rsidRDefault="0076517B" w:rsidP="00327854">
      <w:pPr>
        <w:pStyle w:val="Header"/>
        <w:tabs>
          <w:tab w:val="left" w:pos="720"/>
        </w:tabs>
        <w:spacing w:line="360" w:lineRule="auto"/>
        <w:rPr>
          <w:rFonts w:ascii="Times New Roman" w:hAnsi="Times New Roman" w:cs="Times New Roman"/>
          <w:b/>
          <w:bCs/>
          <w:caps/>
        </w:rPr>
      </w:pPr>
    </w:p>
    <w:p w14:paraId="7F90C1BE" w14:textId="57E0AC80" w:rsidR="002369F5" w:rsidRPr="00DB66BC" w:rsidRDefault="002369F5" w:rsidP="00327854">
      <w:pPr>
        <w:pStyle w:val="Header"/>
        <w:tabs>
          <w:tab w:val="left" w:pos="720"/>
        </w:tabs>
        <w:spacing w:line="360" w:lineRule="auto"/>
        <w:rPr>
          <w:rFonts w:ascii="Times New Roman" w:hAnsi="Times New Roman" w:cs="Times New Roman"/>
          <w:b/>
          <w:bCs/>
          <w:caps/>
        </w:rPr>
      </w:pPr>
      <w:r w:rsidRPr="00DB66BC">
        <w:rPr>
          <w:rFonts w:ascii="Times New Roman" w:hAnsi="Times New Roman" w:cs="Times New Roman"/>
          <w:b/>
          <w:bCs/>
          <w:caps/>
        </w:rPr>
        <w:t>Correspondence</w:t>
      </w:r>
    </w:p>
    <w:p w14:paraId="6F659A7E" w14:textId="5D1412C3" w:rsidR="002369F5" w:rsidRPr="00DB66BC" w:rsidRDefault="002369F5" w:rsidP="002369F5">
      <w:pPr>
        <w:spacing w:line="276" w:lineRule="auto"/>
        <w:rPr>
          <w:rFonts w:asciiTheme="majorBidi" w:hAnsiTheme="majorBidi" w:cstheme="majorBidi"/>
          <w:bCs/>
          <w:sz w:val="24"/>
          <w:szCs w:val="24"/>
        </w:rPr>
      </w:pPr>
      <w:r w:rsidRPr="00DB66BC">
        <w:rPr>
          <w:rFonts w:asciiTheme="majorBidi" w:hAnsiTheme="majorBidi" w:cstheme="majorBidi"/>
          <w:bCs/>
          <w:sz w:val="24"/>
          <w:szCs w:val="24"/>
        </w:rPr>
        <w:t>Name: Prof. Urs Granacher</w:t>
      </w:r>
    </w:p>
    <w:p w14:paraId="27E4D95F" w14:textId="0C7DCD02" w:rsidR="002369F5" w:rsidRPr="00DB66BC" w:rsidRDefault="002369F5" w:rsidP="002369F5">
      <w:pPr>
        <w:spacing w:after="0" w:line="276" w:lineRule="auto"/>
        <w:rPr>
          <w:rFonts w:asciiTheme="majorBidi" w:hAnsiTheme="majorBidi" w:cstheme="majorBidi"/>
          <w:sz w:val="24"/>
          <w:szCs w:val="24"/>
        </w:rPr>
      </w:pPr>
      <w:r w:rsidRPr="00DB66BC">
        <w:rPr>
          <w:rFonts w:ascii="Times New Roman" w:hAnsi="Times New Roman" w:cs="Times New Roman"/>
        </w:rPr>
        <w:t xml:space="preserve">Address: </w:t>
      </w:r>
      <w:r w:rsidRPr="00DB66BC">
        <w:rPr>
          <w:rFonts w:asciiTheme="majorBidi" w:hAnsiTheme="majorBidi" w:cstheme="majorBidi"/>
          <w:sz w:val="24"/>
          <w:szCs w:val="24"/>
        </w:rPr>
        <w:t>Department of Sport and Sport Science, Exercise and Human Movement Science, University of Freiburg, 79102 Freiburg, Germany</w:t>
      </w:r>
    </w:p>
    <w:p w14:paraId="1173E642" w14:textId="156D5BFF" w:rsidR="002369F5" w:rsidRPr="00DB66BC" w:rsidRDefault="002369F5" w:rsidP="002369F5">
      <w:pPr>
        <w:spacing w:after="0" w:line="360" w:lineRule="auto"/>
        <w:rPr>
          <w:rFonts w:asciiTheme="majorBidi" w:hAnsiTheme="majorBidi" w:cstheme="majorBidi"/>
          <w:sz w:val="24"/>
          <w:szCs w:val="24"/>
        </w:rPr>
      </w:pPr>
      <w:r w:rsidRPr="00DB66BC">
        <w:rPr>
          <w:rFonts w:ascii="Times New Roman" w:hAnsi="Times New Roman" w:cs="Times New Roman"/>
          <w:sz w:val="24"/>
        </w:rPr>
        <w:t xml:space="preserve">Email: </w:t>
      </w:r>
      <w:hyperlink r:id="rId7" w:history="1">
        <w:r w:rsidRPr="00DB66BC">
          <w:rPr>
            <w:rStyle w:val="Hyperlink"/>
            <w:rFonts w:asciiTheme="majorBidi" w:hAnsiTheme="majorBidi" w:cstheme="majorBidi"/>
            <w:sz w:val="24"/>
            <w:szCs w:val="24"/>
          </w:rPr>
          <w:t>Urs.Granacher@sport.uni-freiburg.de</w:t>
        </w:r>
      </w:hyperlink>
      <w:r w:rsidRPr="00DB66BC">
        <w:rPr>
          <w:rFonts w:asciiTheme="majorBidi" w:hAnsiTheme="majorBidi" w:cstheme="majorBidi"/>
          <w:sz w:val="24"/>
          <w:szCs w:val="24"/>
        </w:rPr>
        <w:t xml:space="preserve"> </w:t>
      </w:r>
    </w:p>
    <w:p w14:paraId="2655362A" w14:textId="77777777" w:rsidR="002369F5" w:rsidRPr="00DB66BC" w:rsidRDefault="00C662DE" w:rsidP="002369F5">
      <w:pPr>
        <w:spacing w:after="0" w:line="360" w:lineRule="auto"/>
        <w:rPr>
          <w:rFonts w:asciiTheme="majorBidi" w:hAnsiTheme="majorBidi" w:cstheme="majorBidi"/>
          <w:sz w:val="24"/>
          <w:szCs w:val="24"/>
        </w:rPr>
      </w:pPr>
      <w:hyperlink r:id="rId8" w:history="1">
        <w:r w:rsidR="002369F5" w:rsidRPr="00DB66BC">
          <w:rPr>
            <w:rStyle w:val="Hyperlink"/>
            <w:rFonts w:asciiTheme="majorBidi" w:hAnsiTheme="majorBidi" w:cstheme="majorBidi"/>
            <w:sz w:val="24"/>
            <w:szCs w:val="24"/>
          </w:rPr>
          <w:t>https://orcid.org/0000-0002-7095-813X</w:t>
        </w:r>
      </w:hyperlink>
      <w:r w:rsidR="002369F5" w:rsidRPr="00DB66BC">
        <w:rPr>
          <w:rFonts w:asciiTheme="majorBidi" w:hAnsiTheme="majorBidi" w:cstheme="majorBidi"/>
          <w:sz w:val="24"/>
          <w:szCs w:val="24"/>
        </w:rPr>
        <w:t xml:space="preserve"> </w:t>
      </w:r>
    </w:p>
    <w:p w14:paraId="7316B9CD" w14:textId="77777777" w:rsidR="0076517B" w:rsidRPr="00DB66BC" w:rsidRDefault="0076517B" w:rsidP="00964975">
      <w:pPr>
        <w:jc w:val="both"/>
        <w:rPr>
          <w:rFonts w:ascii="Times New Roman" w:hAnsi="Times New Roman" w:cs="Times New Roman"/>
          <w:b/>
          <w:bCs/>
        </w:rPr>
      </w:pPr>
    </w:p>
    <w:p w14:paraId="4D055204" w14:textId="77777777" w:rsidR="0076517B" w:rsidRPr="00DB66BC" w:rsidRDefault="0076517B" w:rsidP="00964975">
      <w:pPr>
        <w:jc w:val="both"/>
        <w:rPr>
          <w:rFonts w:ascii="Times New Roman" w:hAnsi="Times New Roman" w:cs="Times New Roman"/>
          <w:b/>
          <w:bCs/>
        </w:rPr>
        <w:sectPr w:rsidR="0076517B" w:rsidRPr="00DB66BC" w:rsidSect="0076517B">
          <w:pgSz w:w="11906" w:h="16838"/>
          <w:pgMar w:top="1440" w:right="1440" w:bottom="1440" w:left="1440" w:header="709" w:footer="709" w:gutter="0"/>
          <w:cols w:space="708"/>
          <w:docGrid w:linePitch="360"/>
        </w:sectPr>
      </w:pPr>
    </w:p>
    <w:p w14:paraId="40E49F28" w14:textId="18779940" w:rsidR="000B3CF9" w:rsidRPr="00DB66BC" w:rsidRDefault="000B3CF9" w:rsidP="000B3CF9">
      <w:pPr>
        <w:jc w:val="center"/>
        <w:rPr>
          <w:rFonts w:ascii="Times New Roman" w:hAnsi="Times New Roman" w:cs="Times New Roman"/>
          <w:b/>
          <w:bCs/>
          <w:color w:val="FF0000"/>
        </w:rPr>
      </w:pPr>
      <w:r w:rsidRPr="00DB66BC">
        <w:rPr>
          <w:rFonts w:ascii="Times New Roman" w:hAnsi="Times New Roman" w:cs="Times New Roman"/>
          <w:b/>
          <w:bCs/>
          <w:color w:val="000000" w:themeColor="text1"/>
        </w:rPr>
        <w:lastRenderedPageBreak/>
        <w:t>Sports Medicine</w:t>
      </w:r>
    </w:p>
    <w:p w14:paraId="54873375" w14:textId="56561EB3" w:rsidR="00315D97" w:rsidRPr="00DB66BC" w:rsidRDefault="00F50AEE" w:rsidP="00964975">
      <w:pPr>
        <w:jc w:val="both"/>
        <w:rPr>
          <w:rFonts w:ascii="Times New Roman" w:hAnsi="Times New Roman" w:cs="Times New Roman"/>
          <w:b/>
          <w:bCs/>
        </w:rPr>
      </w:pPr>
      <w:r w:rsidRPr="00DB66BC">
        <w:rPr>
          <w:rFonts w:ascii="Times New Roman" w:hAnsi="Times New Roman" w:cs="Times New Roman"/>
          <w:b/>
          <w:bCs/>
        </w:rPr>
        <w:t xml:space="preserve">Supplementary </w:t>
      </w:r>
      <w:r w:rsidR="00315D97" w:rsidRPr="00DB66BC">
        <w:rPr>
          <w:rFonts w:ascii="Times New Roman" w:hAnsi="Times New Roman" w:cs="Times New Roman"/>
          <w:b/>
          <w:bCs/>
        </w:rPr>
        <w:t>Material 1</w:t>
      </w:r>
    </w:p>
    <w:p w14:paraId="0869061A" w14:textId="391502E2" w:rsidR="001E0478" w:rsidRPr="00DB66BC" w:rsidRDefault="00CC477E" w:rsidP="00964975">
      <w:pPr>
        <w:jc w:val="both"/>
        <w:rPr>
          <w:rFonts w:ascii="Times New Roman" w:hAnsi="Times New Roman" w:cs="Times New Roman"/>
          <w:b/>
          <w:bCs/>
        </w:rPr>
      </w:pPr>
      <w:r w:rsidRPr="00DB66BC">
        <w:rPr>
          <w:rFonts w:ascii="Times New Roman" w:hAnsi="Times New Roman" w:cs="Times New Roman"/>
        </w:rPr>
        <w:t>Additional data from the included studies</w:t>
      </w:r>
      <w:r w:rsidR="00F50AEE" w:rsidRPr="00DB66BC">
        <w:rPr>
          <w:rFonts w:ascii="Times New Roman" w:hAnsi="Times New Roman" w:cs="Times New Roman"/>
        </w:rPr>
        <w:t xml:space="preserve"> data (n=</w:t>
      </w:r>
      <w:r w:rsidR="00F50AEE" w:rsidRPr="00DB66BC">
        <w:rPr>
          <w:rFonts w:ascii="Times New Roman" w:hAnsi="Times New Roman" w:cs="Times New Roman"/>
          <w:color w:val="000000" w:themeColor="text1"/>
        </w:rPr>
        <w:t>1</w:t>
      </w:r>
      <w:r w:rsidR="00CB111E" w:rsidRPr="00DB66BC">
        <w:rPr>
          <w:rFonts w:ascii="Times New Roman" w:hAnsi="Times New Roman" w:cs="Times New Roman"/>
          <w:color w:val="000000" w:themeColor="text1"/>
        </w:rPr>
        <w:t>7</w:t>
      </w:r>
      <w:r w:rsidR="00F50AEE" w:rsidRPr="00DB66BC">
        <w:rPr>
          <w:rFonts w:ascii="Times New Roman" w:hAnsi="Times New Roman" w:cs="Times New Roman"/>
          <w:color w:val="000000" w:themeColor="text1"/>
        </w:rPr>
        <w:t>)</w:t>
      </w:r>
    </w:p>
    <w:tbl>
      <w:tblPr>
        <w:tblStyle w:val="TableGrid"/>
        <w:tblW w:w="14933" w:type="dxa"/>
        <w:tblLook w:val="04A0" w:firstRow="1" w:lastRow="0" w:firstColumn="1" w:lastColumn="0" w:noHBand="0" w:noVBand="1"/>
      </w:tblPr>
      <w:tblGrid>
        <w:gridCol w:w="2972"/>
        <w:gridCol w:w="1985"/>
        <w:gridCol w:w="2126"/>
        <w:gridCol w:w="1559"/>
        <w:gridCol w:w="1559"/>
        <w:gridCol w:w="851"/>
        <w:gridCol w:w="1559"/>
        <w:gridCol w:w="1418"/>
        <w:gridCol w:w="904"/>
      </w:tblGrid>
      <w:tr w:rsidR="001E0478" w:rsidRPr="00DB66BC" w14:paraId="1E7AD212" w14:textId="77777777" w:rsidTr="0004185B">
        <w:trPr>
          <w:trHeight w:val="263"/>
        </w:trPr>
        <w:tc>
          <w:tcPr>
            <w:tcW w:w="2972" w:type="dxa"/>
            <w:vMerge w:val="restart"/>
          </w:tcPr>
          <w:p w14:paraId="401BBF6E" w14:textId="77777777" w:rsidR="001E0478" w:rsidRPr="00DB66BC" w:rsidRDefault="001E0478" w:rsidP="0004185B">
            <w:pPr>
              <w:rPr>
                <w:rFonts w:ascii="Times New Roman" w:hAnsi="Times New Roman" w:cs="Times New Roman"/>
                <w:b/>
                <w:bCs/>
                <w:sz w:val="16"/>
                <w:szCs w:val="16"/>
              </w:rPr>
            </w:pPr>
            <w:r w:rsidRPr="00DB66BC">
              <w:rPr>
                <w:rFonts w:ascii="Times New Roman" w:hAnsi="Times New Roman" w:cs="Times New Roman"/>
                <w:b/>
                <w:bCs/>
                <w:sz w:val="16"/>
                <w:szCs w:val="16"/>
              </w:rPr>
              <w:t xml:space="preserve">Studies </w:t>
            </w:r>
          </w:p>
        </w:tc>
        <w:tc>
          <w:tcPr>
            <w:tcW w:w="1985" w:type="dxa"/>
            <w:vMerge w:val="restart"/>
          </w:tcPr>
          <w:p w14:paraId="038BAA58" w14:textId="77777777" w:rsidR="001E0478" w:rsidRPr="00DB66BC" w:rsidRDefault="001E0478" w:rsidP="0004185B">
            <w:pPr>
              <w:rPr>
                <w:rFonts w:ascii="Times New Roman" w:hAnsi="Times New Roman" w:cs="Times New Roman"/>
                <w:b/>
                <w:bCs/>
                <w:sz w:val="16"/>
                <w:szCs w:val="16"/>
              </w:rPr>
            </w:pPr>
            <w:r w:rsidRPr="00DB66BC">
              <w:rPr>
                <w:rFonts w:ascii="Times New Roman" w:hAnsi="Times New Roman" w:cs="Times New Roman"/>
                <w:b/>
                <w:bCs/>
                <w:sz w:val="16"/>
                <w:szCs w:val="16"/>
              </w:rPr>
              <w:t>Outcome measures</w:t>
            </w:r>
          </w:p>
        </w:tc>
        <w:tc>
          <w:tcPr>
            <w:tcW w:w="2126" w:type="dxa"/>
            <w:vMerge w:val="restart"/>
          </w:tcPr>
          <w:p w14:paraId="20129B1B" w14:textId="77777777" w:rsidR="001E0478" w:rsidRPr="00DB66BC" w:rsidRDefault="001E0478" w:rsidP="0004185B">
            <w:pPr>
              <w:rPr>
                <w:rFonts w:ascii="Times New Roman" w:hAnsi="Times New Roman" w:cs="Times New Roman"/>
                <w:b/>
                <w:bCs/>
                <w:sz w:val="16"/>
                <w:szCs w:val="16"/>
              </w:rPr>
            </w:pPr>
            <w:r w:rsidRPr="00DB66BC">
              <w:rPr>
                <w:rFonts w:ascii="Times New Roman" w:hAnsi="Times New Roman" w:cs="Times New Roman"/>
                <w:b/>
                <w:bCs/>
                <w:sz w:val="16"/>
                <w:szCs w:val="16"/>
              </w:rPr>
              <w:t>Tests</w:t>
            </w:r>
          </w:p>
        </w:tc>
        <w:tc>
          <w:tcPr>
            <w:tcW w:w="3118" w:type="dxa"/>
            <w:gridSpan w:val="2"/>
          </w:tcPr>
          <w:p w14:paraId="04D529F0" w14:textId="77777777"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FIFA 11+</w:t>
            </w:r>
          </w:p>
        </w:tc>
        <w:tc>
          <w:tcPr>
            <w:tcW w:w="851" w:type="dxa"/>
            <w:vMerge w:val="restart"/>
          </w:tcPr>
          <w:p w14:paraId="00B68879" w14:textId="77777777"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n</w:t>
            </w:r>
          </w:p>
        </w:tc>
        <w:tc>
          <w:tcPr>
            <w:tcW w:w="2977" w:type="dxa"/>
            <w:gridSpan w:val="2"/>
          </w:tcPr>
          <w:p w14:paraId="759E4AD8" w14:textId="77777777"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Control</w:t>
            </w:r>
          </w:p>
        </w:tc>
        <w:tc>
          <w:tcPr>
            <w:tcW w:w="904" w:type="dxa"/>
            <w:vMerge w:val="restart"/>
          </w:tcPr>
          <w:p w14:paraId="54AA25D9" w14:textId="77777777"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n</w:t>
            </w:r>
          </w:p>
        </w:tc>
      </w:tr>
      <w:tr w:rsidR="001E0478" w:rsidRPr="00DB66BC" w14:paraId="18ADDC95" w14:textId="77777777" w:rsidTr="0004185B">
        <w:trPr>
          <w:trHeight w:val="263"/>
        </w:trPr>
        <w:tc>
          <w:tcPr>
            <w:tcW w:w="2972" w:type="dxa"/>
            <w:vMerge/>
          </w:tcPr>
          <w:p w14:paraId="68D9C704" w14:textId="77777777" w:rsidR="001E0478" w:rsidRPr="00DB66BC" w:rsidRDefault="001E0478" w:rsidP="0004185B">
            <w:pPr>
              <w:rPr>
                <w:rFonts w:ascii="Times New Roman" w:hAnsi="Times New Roman" w:cs="Times New Roman"/>
                <w:sz w:val="16"/>
                <w:szCs w:val="16"/>
              </w:rPr>
            </w:pPr>
          </w:p>
        </w:tc>
        <w:tc>
          <w:tcPr>
            <w:tcW w:w="1985" w:type="dxa"/>
            <w:vMerge/>
          </w:tcPr>
          <w:p w14:paraId="05B4D36D" w14:textId="77777777" w:rsidR="001E0478" w:rsidRPr="00DB66BC" w:rsidRDefault="001E0478" w:rsidP="0004185B">
            <w:pPr>
              <w:rPr>
                <w:rFonts w:ascii="Times New Roman" w:hAnsi="Times New Roman" w:cs="Times New Roman"/>
                <w:sz w:val="16"/>
                <w:szCs w:val="16"/>
              </w:rPr>
            </w:pPr>
          </w:p>
        </w:tc>
        <w:tc>
          <w:tcPr>
            <w:tcW w:w="2126" w:type="dxa"/>
            <w:vMerge/>
          </w:tcPr>
          <w:p w14:paraId="051FB074" w14:textId="77777777" w:rsidR="001E0478" w:rsidRPr="00DB66BC" w:rsidRDefault="001E0478" w:rsidP="0004185B">
            <w:pPr>
              <w:rPr>
                <w:rFonts w:ascii="Times New Roman" w:hAnsi="Times New Roman" w:cs="Times New Roman"/>
                <w:sz w:val="16"/>
                <w:szCs w:val="16"/>
              </w:rPr>
            </w:pPr>
          </w:p>
        </w:tc>
        <w:tc>
          <w:tcPr>
            <w:tcW w:w="1559" w:type="dxa"/>
          </w:tcPr>
          <w:p w14:paraId="2BC0F9EE" w14:textId="401E2C5C"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Pre</w:t>
            </w:r>
            <w:r w:rsidR="000B3CF9" w:rsidRPr="00DB66BC">
              <w:rPr>
                <w:rFonts w:ascii="Times New Roman" w:hAnsi="Times New Roman" w:cs="Times New Roman"/>
                <w:b/>
                <w:bCs/>
                <w:sz w:val="16"/>
                <w:szCs w:val="16"/>
              </w:rPr>
              <w:t xml:space="preserve"> ± SD</w:t>
            </w:r>
          </w:p>
        </w:tc>
        <w:tc>
          <w:tcPr>
            <w:tcW w:w="1559" w:type="dxa"/>
          </w:tcPr>
          <w:p w14:paraId="2540E43F" w14:textId="13E677DB"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Post</w:t>
            </w:r>
            <w:r w:rsidR="000B3CF9" w:rsidRPr="00DB66BC">
              <w:rPr>
                <w:rFonts w:ascii="Times New Roman" w:hAnsi="Times New Roman" w:cs="Times New Roman"/>
                <w:b/>
                <w:bCs/>
                <w:sz w:val="16"/>
                <w:szCs w:val="16"/>
              </w:rPr>
              <w:t xml:space="preserve"> ± SD</w:t>
            </w:r>
          </w:p>
        </w:tc>
        <w:tc>
          <w:tcPr>
            <w:tcW w:w="851" w:type="dxa"/>
            <w:vMerge/>
          </w:tcPr>
          <w:p w14:paraId="458114FC" w14:textId="77777777" w:rsidR="001E0478" w:rsidRPr="00DB66BC" w:rsidRDefault="001E0478" w:rsidP="004655AD">
            <w:pPr>
              <w:jc w:val="center"/>
              <w:rPr>
                <w:rFonts w:ascii="Times New Roman" w:hAnsi="Times New Roman" w:cs="Times New Roman"/>
                <w:b/>
                <w:bCs/>
                <w:sz w:val="16"/>
                <w:szCs w:val="16"/>
              </w:rPr>
            </w:pPr>
          </w:p>
        </w:tc>
        <w:tc>
          <w:tcPr>
            <w:tcW w:w="1559" w:type="dxa"/>
          </w:tcPr>
          <w:p w14:paraId="040EE80F" w14:textId="4F347C20"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Pre</w:t>
            </w:r>
            <w:r w:rsidR="000B3CF9" w:rsidRPr="00DB66BC">
              <w:rPr>
                <w:rFonts w:ascii="Times New Roman" w:hAnsi="Times New Roman" w:cs="Times New Roman"/>
                <w:b/>
                <w:bCs/>
                <w:sz w:val="16"/>
                <w:szCs w:val="16"/>
              </w:rPr>
              <w:t xml:space="preserve"> ± SD</w:t>
            </w:r>
          </w:p>
        </w:tc>
        <w:tc>
          <w:tcPr>
            <w:tcW w:w="1418" w:type="dxa"/>
          </w:tcPr>
          <w:p w14:paraId="4AE93920" w14:textId="035C6D2E" w:rsidR="001E0478" w:rsidRPr="00DB66BC" w:rsidRDefault="001E0478" w:rsidP="004655AD">
            <w:pPr>
              <w:jc w:val="center"/>
              <w:rPr>
                <w:rFonts w:ascii="Times New Roman" w:hAnsi="Times New Roman" w:cs="Times New Roman"/>
                <w:b/>
                <w:bCs/>
                <w:sz w:val="16"/>
                <w:szCs w:val="16"/>
              </w:rPr>
            </w:pPr>
            <w:r w:rsidRPr="00DB66BC">
              <w:rPr>
                <w:rFonts w:ascii="Times New Roman" w:hAnsi="Times New Roman" w:cs="Times New Roman"/>
                <w:b/>
                <w:bCs/>
                <w:sz w:val="16"/>
                <w:szCs w:val="16"/>
              </w:rPr>
              <w:t>Post</w:t>
            </w:r>
            <w:r w:rsidR="000B3CF9" w:rsidRPr="00DB66BC">
              <w:rPr>
                <w:rFonts w:ascii="Times New Roman" w:hAnsi="Times New Roman" w:cs="Times New Roman"/>
                <w:b/>
                <w:bCs/>
                <w:sz w:val="16"/>
                <w:szCs w:val="16"/>
              </w:rPr>
              <w:t xml:space="preserve"> ± SD</w:t>
            </w:r>
          </w:p>
        </w:tc>
        <w:tc>
          <w:tcPr>
            <w:tcW w:w="904" w:type="dxa"/>
            <w:vMerge/>
          </w:tcPr>
          <w:p w14:paraId="70416ADF" w14:textId="77777777" w:rsidR="001E0478" w:rsidRPr="00DB66BC" w:rsidRDefault="001E0478" w:rsidP="004655AD">
            <w:pPr>
              <w:jc w:val="center"/>
              <w:rPr>
                <w:rFonts w:ascii="Times New Roman" w:hAnsi="Times New Roman" w:cs="Times New Roman"/>
                <w:sz w:val="16"/>
                <w:szCs w:val="16"/>
              </w:rPr>
            </w:pPr>
          </w:p>
        </w:tc>
      </w:tr>
      <w:tr w:rsidR="0004185B" w:rsidRPr="00DB66BC" w14:paraId="69C24006" w14:textId="77777777" w:rsidTr="0004185B">
        <w:trPr>
          <w:trHeight w:val="263"/>
        </w:trPr>
        <w:tc>
          <w:tcPr>
            <w:tcW w:w="2972" w:type="dxa"/>
          </w:tcPr>
          <w:p w14:paraId="60F40570" w14:textId="5ED456E0" w:rsidR="0004185B" w:rsidRPr="00DB66BC" w:rsidRDefault="0004185B" w:rsidP="0004185B">
            <w:pPr>
              <w:rPr>
                <w:rFonts w:ascii="Times New Roman" w:hAnsi="Times New Roman" w:cs="Times New Roman"/>
                <w:color w:val="000000"/>
                <w:sz w:val="16"/>
                <w:szCs w:val="16"/>
              </w:rPr>
            </w:pPr>
            <w:r w:rsidRPr="00DB66BC">
              <w:rPr>
                <w:rFonts w:ascii="Times New Roman" w:hAnsi="Times New Roman" w:cs="Times New Roman"/>
                <w:sz w:val="16"/>
                <w:szCs w:val="16"/>
              </w:rPr>
              <w:t xml:space="preserve">Akbari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10.26773/mjssm.180903","author":[{"dropping-particle":"","family":"Akbari","given":"H","non-dropping-particle":"","parse-names":false,"suffix":""},{"dropping-particle":"","family":"Sahebozamani","given":"M","non-dropping-particle":"","parse-names":false,"suffix":""},{"dropping-particle":"","family":"Daneshjoo","given":"A","non-dropping-particle":"","parse-names":false,"suffix":""},{"dropping-particle":"","family":"Amiri-Khorasani","given":"M","non-dropping-particle":"","parse-names":false,"suffix":""}],"container-title":"Montenegrin Journal of Sports Science and Medicine","id":"ITEM-1","issue":"2","issued":{"date-parts":[["2018"]]},"note":"Export Date: 29 December 2024; Cited By: 15","page":"17-22","title":"Effect of the FIFA 11+ programme on vertical jump performance in elite male youth soccer players","type":"article-journal","volume":"7"},"uris":["http://www.mendeley.com/documents/?uuid=b296a43c-c2ad-4d73-aa73-f749ad3164c8"]}],"mendeley":{"formattedCitation":"[1]","plainTextFormattedCitation":"[1]","previouslyFormattedCitation":"[1]"},"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[1]</w:t>
            </w:r>
            <w:r w:rsidR="00FC383C" w:rsidRPr="00DB66BC">
              <w:rPr>
                <w:rFonts w:ascii="Times New Roman" w:hAnsi="Times New Roman" w:cs="Times New Roman"/>
                <w:sz w:val="16"/>
                <w:szCs w:val="16"/>
              </w:rPr>
              <w:fldChar w:fldCharType="end"/>
            </w:r>
          </w:p>
        </w:tc>
        <w:tc>
          <w:tcPr>
            <w:tcW w:w="1985" w:type="dxa"/>
          </w:tcPr>
          <w:p w14:paraId="0C817434" w14:textId="483EA2FB" w:rsidR="0004185B" w:rsidRPr="00DB66BC" w:rsidRDefault="00172060" w:rsidP="0004185B">
            <w:pPr>
              <w:rPr>
                <w:rFonts w:ascii="Times New Roman" w:hAnsi="Times New Roman" w:cs="Times New Roman"/>
                <w:sz w:val="16"/>
                <w:szCs w:val="16"/>
              </w:rPr>
            </w:pPr>
            <w:r w:rsidRPr="00DB66BC">
              <w:rPr>
                <w:rFonts w:ascii="Times New Roman" w:hAnsi="Times New Roman" w:cs="Times New Roman"/>
                <w:sz w:val="16"/>
                <w:szCs w:val="16"/>
              </w:rPr>
              <w:t>Vertical j</w:t>
            </w:r>
            <w:r w:rsidR="0004185B" w:rsidRPr="00DB66BC">
              <w:rPr>
                <w:rFonts w:ascii="Times New Roman" w:hAnsi="Times New Roman" w:cs="Times New Roman"/>
                <w:sz w:val="16"/>
                <w:szCs w:val="16"/>
              </w:rPr>
              <w:t xml:space="preserve">ump </w:t>
            </w:r>
          </w:p>
        </w:tc>
        <w:tc>
          <w:tcPr>
            <w:tcW w:w="2126" w:type="dxa"/>
          </w:tcPr>
          <w:p w14:paraId="5D53B28D" w14:textId="76A03DC5"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6EF5A5E2" w14:textId="394E3131"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45.33 ± 5.06</w:t>
            </w:r>
          </w:p>
        </w:tc>
        <w:tc>
          <w:tcPr>
            <w:tcW w:w="1559" w:type="dxa"/>
          </w:tcPr>
          <w:p w14:paraId="60E9C70F" w14:textId="39891D49"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sz w:val="16"/>
                <w:szCs w:val="16"/>
              </w:rPr>
              <w:t>51 ± 4.95</w:t>
            </w:r>
          </w:p>
        </w:tc>
        <w:tc>
          <w:tcPr>
            <w:tcW w:w="851" w:type="dxa"/>
          </w:tcPr>
          <w:p w14:paraId="03868350" w14:textId="01452AB5"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12</w:t>
            </w:r>
          </w:p>
        </w:tc>
        <w:tc>
          <w:tcPr>
            <w:tcW w:w="1559" w:type="dxa"/>
          </w:tcPr>
          <w:p w14:paraId="5A684703" w14:textId="45915CBB"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44.25 ± 4.78</w:t>
            </w:r>
          </w:p>
        </w:tc>
        <w:tc>
          <w:tcPr>
            <w:tcW w:w="1418" w:type="dxa"/>
          </w:tcPr>
          <w:p w14:paraId="6D792BB5" w14:textId="1CC36CC5"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sz w:val="16"/>
                <w:szCs w:val="16"/>
              </w:rPr>
              <w:t>44.58 ± 3.75</w:t>
            </w:r>
          </w:p>
        </w:tc>
        <w:tc>
          <w:tcPr>
            <w:tcW w:w="904" w:type="dxa"/>
          </w:tcPr>
          <w:p w14:paraId="5C8EB4FD" w14:textId="306E1CFE" w:rsidR="0004185B" w:rsidRPr="00DB66BC" w:rsidRDefault="0004185B" w:rsidP="0004185B">
            <w:pPr>
              <w:jc w:val="center"/>
              <w:rPr>
                <w:rFonts w:ascii="Times New Roman" w:hAnsi="Times New Roman" w:cs="Times New Roman"/>
                <w:b/>
                <w:bCs/>
                <w:sz w:val="16"/>
                <w:szCs w:val="16"/>
              </w:rPr>
            </w:pPr>
            <w:r w:rsidRPr="00DB66BC">
              <w:rPr>
                <w:rFonts w:ascii="Times New Roman" w:hAnsi="Times New Roman" w:cs="Times New Roman"/>
                <w:sz w:val="16"/>
                <w:szCs w:val="16"/>
              </w:rPr>
              <w:t>12</w:t>
            </w:r>
          </w:p>
        </w:tc>
      </w:tr>
      <w:tr w:rsidR="0004185B" w:rsidRPr="00DB66BC" w14:paraId="7FFD7E93" w14:textId="77777777" w:rsidTr="0004185B">
        <w:trPr>
          <w:trHeight w:val="263"/>
        </w:trPr>
        <w:tc>
          <w:tcPr>
            <w:tcW w:w="2972" w:type="dxa"/>
          </w:tcPr>
          <w:p w14:paraId="5C1F1885" w14:textId="29C31885" w:rsidR="0004185B" w:rsidRPr="00DB66BC" w:rsidRDefault="0004185B" w:rsidP="0004185B">
            <w:pPr>
              <w:rPr>
                <w:rFonts w:ascii="Times New Roman" w:hAnsi="Times New Roman" w:cs="Times New Roman"/>
                <w:sz w:val="16"/>
                <w:szCs w:val="16"/>
              </w:rPr>
            </w:pPr>
            <w:proofErr w:type="spellStart"/>
            <w:r w:rsidRPr="00DB66BC">
              <w:rPr>
                <w:rFonts w:ascii="Times New Roman" w:hAnsi="Times New Roman" w:cs="Times New Roman"/>
                <w:sz w:val="16"/>
                <w:szCs w:val="16"/>
              </w:rPr>
              <w:t>Arede</w:t>
            </w:r>
            <w:proofErr w:type="spellEnd"/>
            <w:r w:rsidRPr="00DB66BC">
              <w:rPr>
                <w:rFonts w:ascii="Times New Roman" w:hAnsi="Times New Roman" w:cs="Times New Roman"/>
                <w:sz w:val="16"/>
                <w:szCs w:val="16"/>
              </w:rPr>
              <w:t xml:space="preserve">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10.1016/j.ish.2024.12.004","ISSN":"30505445","author":[{"dropping-particle":"","family":"Arede","given":"Jorge","non-dropping-particle":"","parse-names":false,"suffix":""},{"dropping-particle":"","family":"Shang","given":"Ximing","non-dropping-particle":"","parse-names":false,"suffix":""},{"dropping-particle":"","family":"Moran","given":"Jason","non-dropping-particle":"","parse-names":false,"suffix":""},{"dropping-particle":"","family":"Calleja-González","given":"Julio","non-dropping-particle":"","parse-names":false,"suffix":""},{"dropping-particle":"","family":"Travassos","given":"Bruno","non-dropping-particle":"","parse-names":false,"suffix":""},{"dropping-particle":"","family":"Madruga-Parera","given":"Marc","non-dropping-particle":"","parse-names":false,"suffix":""},{"dropping-particle":"","family":"Leite","given":"Nuno","non-dropping-particle":"","parse-names":false,"suffix":""}],"container-title":"Intelligent Sports and Health","id":"ITEM-1","issue":"1","issued":{"date-parts":[["2025","1"]]},"page":"22-29","publisher":"Elsevier","title":"Does the FIFA 11 + warm-up program positively shape both the physical and small-sided game performance of youth football players?","type":"article-journal","volume":"1"},"uris":["http://www.mendeley.com/documents/?uuid=383880dc-f42a-4026-abaa-a40ffd11eba2"]}],"mendeley":{"formattedCitation":"[2]","plainTextFormattedCitation":"[2]","previouslyFormattedCitation":"[2]"},"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[2]</w:t>
            </w:r>
            <w:r w:rsidR="00FC383C" w:rsidRPr="00DB66BC">
              <w:rPr>
                <w:rFonts w:ascii="Times New Roman" w:hAnsi="Times New Roman" w:cs="Times New Roman"/>
                <w:sz w:val="16"/>
                <w:szCs w:val="16"/>
              </w:rPr>
              <w:fldChar w:fldCharType="end"/>
            </w:r>
          </w:p>
        </w:tc>
        <w:tc>
          <w:tcPr>
            <w:tcW w:w="1985" w:type="dxa"/>
          </w:tcPr>
          <w:p w14:paraId="2FFC8733" w14:textId="63A2717E"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05DB840D" w14:textId="24872823"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YBT-R</w:t>
            </w:r>
          </w:p>
        </w:tc>
        <w:tc>
          <w:tcPr>
            <w:tcW w:w="1559" w:type="dxa"/>
          </w:tcPr>
          <w:p w14:paraId="51659600" w14:textId="6C7E5531"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 xml:space="preserve">92.42± 9.02 </w:t>
            </w:r>
          </w:p>
        </w:tc>
        <w:tc>
          <w:tcPr>
            <w:tcW w:w="1559" w:type="dxa"/>
          </w:tcPr>
          <w:p w14:paraId="41386F71" w14:textId="50D26264"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sz w:val="16"/>
                <w:szCs w:val="16"/>
              </w:rPr>
              <w:t>99.55± 9.33</w:t>
            </w:r>
          </w:p>
        </w:tc>
        <w:tc>
          <w:tcPr>
            <w:tcW w:w="851" w:type="dxa"/>
            <w:vAlign w:val="bottom"/>
          </w:tcPr>
          <w:p w14:paraId="2D181C0B" w14:textId="7DF276F8"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c>
          <w:tcPr>
            <w:tcW w:w="1559" w:type="dxa"/>
          </w:tcPr>
          <w:p w14:paraId="10F88B3F" w14:textId="59F3A0D8"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 xml:space="preserve">91.94± 7.58 </w:t>
            </w:r>
          </w:p>
        </w:tc>
        <w:tc>
          <w:tcPr>
            <w:tcW w:w="1418" w:type="dxa"/>
          </w:tcPr>
          <w:p w14:paraId="2A029AAC" w14:textId="11499D54"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sz w:val="16"/>
                <w:szCs w:val="16"/>
              </w:rPr>
              <w:t xml:space="preserve">97.53± 4.17 </w:t>
            </w:r>
          </w:p>
        </w:tc>
        <w:tc>
          <w:tcPr>
            <w:tcW w:w="904" w:type="dxa"/>
            <w:vAlign w:val="bottom"/>
          </w:tcPr>
          <w:p w14:paraId="40F48776" w14:textId="423B73F7" w:rsidR="0004185B" w:rsidRPr="00DB66BC" w:rsidRDefault="0004185B" w:rsidP="0004185B">
            <w:pPr>
              <w:jc w:val="center"/>
              <w:rPr>
                <w:rFonts w:ascii="Times New Roman" w:hAnsi="Times New Roman" w:cs="Times New Roman"/>
                <w:b/>
                <w:bCs/>
                <w:sz w:val="16"/>
                <w:szCs w:val="16"/>
              </w:rPr>
            </w:pPr>
            <w:r w:rsidRPr="00DB66BC">
              <w:rPr>
                <w:rFonts w:ascii="Times New Roman" w:hAnsi="Times New Roman" w:cs="Times New Roman"/>
                <w:color w:val="000000"/>
                <w:sz w:val="16"/>
                <w:szCs w:val="16"/>
              </w:rPr>
              <w:t>15</w:t>
            </w:r>
          </w:p>
        </w:tc>
      </w:tr>
      <w:tr w:rsidR="0004185B" w:rsidRPr="00DB66BC" w14:paraId="76C1A357" w14:textId="77777777" w:rsidTr="0004185B">
        <w:trPr>
          <w:trHeight w:val="263"/>
        </w:trPr>
        <w:tc>
          <w:tcPr>
            <w:tcW w:w="2972" w:type="dxa"/>
          </w:tcPr>
          <w:p w14:paraId="3AEDBCE5" w14:textId="77777777" w:rsidR="0004185B" w:rsidRPr="00DB66BC" w:rsidRDefault="0004185B" w:rsidP="0004185B">
            <w:pPr>
              <w:rPr>
                <w:rFonts w:ascii="Times New Roman" w:hAnsi="Times New Roman" w:cs="Times New Roman"/>
                <w:sz w:val="16"/>
                <w:szCs w:val="16"/>
              </w:rPr>
            </w:pPr>
          </w:p>
        </w:tc>
        <w:tc>
          <w:tcPr>
            <w:tcW w:w="1985" w:type="dxa"/>
          </w:tcPr>
          <w:p w14:paraId="4D7481D2" w14:textId="129CDDFE"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09A52CF5" w14:textId="56C1DDB2"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YBT-L</w:t>
            </w:r>
          </w:p>
        </w:tc>
        <w:tc>
          <w:tcPr>
            <w:tcW w:w="1559" w:type="dxa"/>
            <w:vAlign w:val="bottom"/>
          </w:tcPr>
          <w:p w14:paraId="20BA7A6A" w14:textId="77691D69"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color w:val="000000"/>
                <w:sz w:val="16"/>
                <w:szCs w:val="16"/>
              </w:rPr>
              <w:t xml:space="preserve">95.40 ± 8.08 </w:t>
            </w:r>
          </w:p>
        </w:tc>
        <w:tc>
          <w:tcPr>
            <w:tcW w:w="1559" w:type="dxa"/>
            <w:vAlign w:val="bottom"/>
          </w:tcPr>
          <w:p w14:paraId="2CF6EBF5" w14:textId="3899AB1D"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101.31 ± 8.66</w:t>
            </w:r>
          </w:p>
        </w:tc>
        <w:tc>
          <w:tcPr>
            <w:tcW w:w="851" w:type="dxa"/>
            <w:vAlign w:val="bottom"/>
          </w:tcPr>
          <w:p w14:paraId="17C6D95E" w14:textId="74315E20"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c>
          <w:tcPr>
            <w:tcW w:w="1559" w:type="dxa"/>
            <w:vAlign w:val="bottom"/>
          </w:tcPr>
          <w:p w14:paraId="428DA9F0" w14:textId="6261759C"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color w:val="000000"/>
                <w:sz w:val="16"/>
                <w:szCs w:val="16"/>
              </w:rPr>
              <w:t xml:space="preserve">92.96 ± 8.02 </w:t>
            </w:r>
          </w:p>
        </w:tc>
        <w:tc>
          <w:tcPr>
            <w:tcW w:w="1418" w:type="dxa"/>
            <w:vAlign w:val="bottom"/>
          </w:tcPr>
          <w:p w14:paraId="4FBD3E45" w14:textId="54C2C2A6"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97.69 ± 5.54</w:t>
            </w:r>
          </w:p>
        </w:tc>
        <w:tc>
          <w:tcPr>
            <w:tcW w:w="904" w:type="dxa"/>
            <w:vAlign w:val="bottom"/>
          </w:tcPr>
          <w:p w14:paraId="2A0AADFE" w14:textId="27504C8D"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r>
      <w:tr w:rsidR="0004185B" w:rsidRPr="00DB66BC" w14:paraId="2146E6A6" w14:textId="77777777" w:rsidTr="0004185B">
        <w:trPr>
          <w:trHeight w:val="263"/>
        </w:trPr>
        <w:tc>
          <w:tcPr>
            <w:tcW w:w="2972" w:type="dxa"/>
          </w:tcPr>
          <w:p w14:paraId="7DA4380A" w14:textId="77777777" w:rsidR="0004185B" w:rsidRPr="00DB66BC" w:rsidRDefault="0004185B" w:rsidP="0004185B">
            <w:pPr>
              <w:rPr>
                <w:rFonts w:ascii="Times New Roman" w:hAnsi="Times New Roman" w:cs="Times New Roman"/>
                <w:sz w:val="16"/>
                <w:szCs w:val="16"/>
              </w:rPr>
            </w:pPr>
          </w:p>
        </w:tc>
        <w:tc>
          <w:tcPr>
            <w:tcW w:w="1985" w:type="dxa"/>
          </w:tcPr>
          <w:p w14:paraId="2006C628" w14:textId="5B49F890"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3EEC9D03" w14:textId="644AF561"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T-TEST (s)</w:t>
            </w:r>
          </w:p>
        </w:tc>
        <w:tc>
          <w:tcPr>
            <w:tcW w:w="1559" w:type="dxa"/>
          </w:tcPr>
          <w:p w14:paraId="16504393" w14:textId="6AE24636"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 xml:space="preserve">12.72 ± 1.41 </w:t>
            </w:r>
          </w:p>
        </w:tc>
        <w:tc>
          <w:tcPr>
            <w:tcW w:w="1559" w:type="dxa"/>
          </w:tcPr>
          <w:p w14:paraId="203D1CD2" w14:textId="45F2C27B"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sz w:val="16"/>
                <w:szCs w:val="16"/>
              </w:rPr>
              <w:t>12.52 ± 2.22</w:t>
            </w:r>
          </w:p>
        </w:tc>
        <w:tc>
          <w:tcPr>
            <w:tcW w:w="851" w:type="dxa"/>
          </w:tcPr>
          <w:p w14:paraId="63876387" w14:textId="7FBCE0EC"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c>
          <w:tcPr>
            <w:tcW w:w="1559" w:type="dxa"/>
          </w:tcPr>
          <w:p w14:paraId="5C021792" w14:textId="0592D97E"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 xml:space="preserve">12.00 ± 0.67 </w:t>
            </w:r>
          </w:p>
        </w:tc>
        <w:tc>
          <w:tcPr>
            <w:tcW w:w="1418" w:type="dxa"/>
          </w:tcPr>
          <w:p w14:paraId="574F1A99" w14:textId="590EF553"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12.13 ± 0.95</w:t>
            </w:r>
          </w:p>
        </w:tc>
        <w:tc>
          <w:tcPr>
            <w:tcW w:w="904" w:type="dxa"/>
          </w:tcPr>
          <w:p w14:paraId="10BC4244" w14:textId="77228094"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r>
      <w:tr w:rsidR="0004185B" w:rsidRPr="00DB66BC" w14:paraId="62945F65" w14:textId="77777777" w:rsidTr="0004185B">
        <w:trPr>
          <w:trHeight w:val="263"/>
        </w:trPr>
        <w:tc>
          <w:tcPr>
            <w:tcW w:w="2972" w:type="dxa"/>
          </w:tcPr>
          <w:p w14:paraId="380B2DC5" w14:textId="01ABB577" w:rsidR="0004185B" w:rsidRPr="00DB66BC" w:rsidRDefault="0004185B" w:rsidP="0004185B">
            <w:pPr>
              <w:rPr>
                <w:rFonts w:ascii="Times New Roman" w:hAnsi="Times New Roman" w:cs="Times New Roman"/>
                <w:sz w:val="16"/>
                <w:szCs w:val="16"/>
              </w:rPr>
            </w:pPr>
          </w:p>
        </w:tc>
        <w:tc>
          <w:tcPr>
            <w:tcW w:w="1985" w:type="dxa"/>
          </w:tcPr>
          <w:p w14:paraId="1FE7B2A3" w14:textId="1C9C7989"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16BCE96A" w14:textId="290F0791" w:rsidR="0004185B" w:rsidRPr="00DB66BC" w:rsidRDefault="0004185B" w:rsidP="0004185B">
            <w:pPr>
              <w:rPr>
                <w:rFonts w:ascii="Times New Roman" w:hAnsi="Times New Roman" w:cs="Times New Roman"/>
                <w:sz w:val="16"/>
                <w:szCs w:val="16"/>
              </w:rPr>
            </w:pPr>
            <w:r w:rsidRPr="00DB66BC">
              <w:rPr>
                <w:rFonts w:ascii="Times New Roman" w:hAnsi="Times New Roman" w:cs="Times New Roman"/>
                <w:sz w:val="16"/>
                <w:szCs w:val="16"/>
              </w:rPr>
              <w:t>20m (s)</w:t>
            </w:r>
          </w:p>
        </w:tc>
        <w:tc>
          <w:tcPr>
            <w:tcW w:w="1559" w:type="dxa"/>
          </w:tcPr>
          <w:p w14:paraId="685344F2" w14:textId="25CE0611"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 xml:space="preserve">3.56 ± 0.41 </w:t>
            </w:r>
          </w:p>
        </w:tc>
        <w:tc>
          <w:tcPr>
            <w:tcW w:w="1559" w:type="dxa"/>
          </w:tcPr>
          <w:p w14:paraId="5D88F604" w14:textId="7B001A5F"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3.32 ± 0.46</w:t>
            </w:r>
          </w:p>
        </w:tc>
        <w:tc>
          <w:tcPr>
            <w:tcW w:w="851" w:type="dxa"/>
          </w:tcPr>
          <w:p w14:paraId="6A52EC30" w14:textId="0D29DDFD"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15</w:t>
            </w:r>
          </w:p>
        </w:tc>
        <w:tc>
          <w:tcPr>
            <w:tcW w:w="1559" w:type="dxa"/>
          </w:tcPr>
          <w:p w14:paraId="0A3BED7E" w14:textId="1F10E9F1"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 xml:space="preserve">3.44 ± 0.22 </w:t>
            </w:r>
          </w:p>
        </w:tc>
        <w:tc>
          <w:tcPr>
            <w:tcW w:w="1418" w:type="dxa"/>
          </w:tcPr>
          <w:p w14:paraId="3812BE82" w14:textId="7703E3B2" w:rsidR="0004185B" w:rsidRPr="00DB66BC" w:rsidRDefault="0004185B" w:rsidP="0004185B">
            <w:pPr>
              <w:jc w:val="center"/>
              <w:rPr>
                <w:rFonts w:ascii="Times New Roman" w:hAnsi="Times New Roman" w:cs="Times New Roman"/>
                <w:sz w:val="16"/>
                <w:szCs w:val="16"/>
              </w:rPr>
            </w:pPr>
            <w:r w:rsidRPr="00DB66BC">
              <w:rPr>
                <w:rFonts w:ascii="Times New Roman" w:hAnsi="Times New Roman" w:cs="Times New Roman"/>
                <w:sz w:val="16"/>
                <w:szCs w:val="16"/>
              </w:rPr>
              <w:t>3.42 ± 0.2</w:t>
            </w:r>
          </w:p>
        </w:tc>
        <w:tc>
          <w:tcPr>
            <w:tcW w:w="904" w:type="dxa"/>
          </w:tcPr>
          <w:p w14:paraId="422362DC" w14:textId="0A05EA80" w:rsidR="0004185B" w:rsidRPr="00DB66BC" w:rsidRDefault="0004185B" w:rsidP="0004185B">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15</w:t>
            </w:r>
          </w:p>
        </w:tc>
      </w:tr>
      <w:tr w:rsidR="00172060" w:rsidRPr="00DB66BC" w14:paraId="4594D8D4" w14:textId="77777777" w:rsidTr="0004185B">
        <w:trPr>
          <w:trHeight w:val="263"/>
        </w:trPr>
        <w:tc>
          <w:tcPr>
            <w:tcW w:w="2972" w:type="dxa"/>
          </w:tcPr>
          <w:p w14:paraId="711C9ED9" w14:textId="77777777" w:rsidR="00172060" w:rsidRPr="00DB66BC" w:rsidRDefault="00172060" w:rsidP="00172060">
            <w:pPr>
              <w:rPr>
                <w:rFonts w:ascii="Times New Roman" w:hAnsi="Times New Roman" w:cs="Times New Roman"/>
                <w:sz w:val="16"/>
                <w:szCs w:val="16"/>
              </w:rPr>
            </w:pPr>
          </w:p>
        </w:tc>
        <w:tc>
          <w:tcPr>
            <w:tcW w:w="1985" w:type="dxa"/>
          </w:tcPr>
          <w:p w14:paraId="7206E004" w14:textId="2ECE7C1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0CCCFCF5" w14:textId="497D3352"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CMJ (cm)</w:t>
            </w:r>
          </w:p>
        </w:tc>
        <w:tc>
          <w:tcPr>
            <w:tcW w:w="1559" w:type="dxa"/>
          </w:tcPr>
          <w:p w14:paraId="2F10EE17" w14:textId="5BF1453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27.89 ± 8.01 </w:t>
            </w:r>
          </w:p>
        </w:tc>
        <w:tc>
          <w:tcPr>
            <w:tcW w:w="1559" w:type="dxa"/>
          </w:tcPr>
          <w:p w14:paraId="378AACD7" w14:textId="7695FDF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27.17 ± 7.37</w:t>
            </w:r>
          </w:p>
        </w:tc>
        <w:tc>
          <w:tcPr>
            <w:tcW w:w="851" w:type="dxa"/>
          </w:tcPr>
          <w:p w14:paraId="5E158EB1" w14:textId="1329A87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c>
          <w:tcPr>
            <w:tcW w:w="1559" w:type="dxa"/>
          </w:tcPr>
          <w:p w14:paraId="7C100D4A" w14:textId="3E77FB8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23.85 ± 3.69 </w:t>
            </w:r>
          </w:p>
        </w:tc>
        <w:tc>
          <w:tcPr>
            <w:tcW w:w="1418" w:type="dxa"/>
          </w:tcPr>
          <w:p w14:paraId="0EDACCCB" w14:textId="4091F61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22.57 ± 5.08</w:t>
            </w:r>
          </w:p>
        </w:tc>
        <w:tc>
          <w:tcPr>
            <w:tcW w:w="904" w:type="dxa"/>
          </w:tcPr>
          <w:p w14:paraId="7AEF336D" w14:textId="733F74C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r>
      <w:tr w:rsidR="00172060" w:rsidRPr="00DB66BC" w14:paraId="1935F778" w14:textId="77777777" w:rsidTr="0004185B">
        <w:trPr>
          <w:trHeight w:val="263"/>
        </w:trPr>
        <w:tc>
          <w:tcPr>
            <w:tcW w:w="2972" w:type="dxa"/>
          </w:tcPr>
          <w:p w14:paraId="7A4F1D25" w14:textId="77777777" w:rsidR="00172060" w:rsidRPr="00DB66BC" w:rsidRDefault="00172060" w:rsidP="00172060">
            <w:pPr>
              <w:rPr>
                <w:rFonts w:ascii="Times New Roman" w:hAnsi="Times New Roman" w:cs="Times New Roman"/>
                <w:sz w:val="16"/>
                <w:szCs w:val="16"/>
              </w:rPr>
            </w:pPr>
          </w:p>
        </w:tc>
        <w:tc>
          <w:tcPr>
            <w:tcW w:w="1985" w:type="dxa"/>
          </w:tcPr>
          <w:p w14:paraId="481E165E" w14:textId="709FC855"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454CECCA" w14:textId="5232ACF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3324D6A7" w14:textId="3FBB2B6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33.73 ± 8.07 </w:t>
            </w:r>
          </w:p>
        </w:tc>
        <w:tc>
          <w:tcPr>
            <w:tcW w:w="1559" w:type="dxa"/>
          </w:tcPr>
          <w:p w14:paraId="274B9345" w14:textId="6BC326E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32.20 ± 8.30</w:t>
            </w:r>
          </w:p>
        </w:tc>
        <w:tc>
          <w:tcPr>
            <w:tcW w:w="851" w:type="dxa"/>
          </w:tcPr>
          <w:p w14:paraId="195D864D" w14:textId="29D04FE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c>
          <w:tcPr>
            <w:tcW w:w="1559" w:type="dxa"/>
          </w:tcPr>
          <w:p w14:paraId="33F5EF59" w14:textId="25891E2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26.27 ± 8.05 </w:t>
            </w:r>
          </w:p>
        </w:tc>
        <w:tc>
          <w:tcPr>
            <w:tcW w:w="1418" w:type="dxa"/>
          </w:tcPr>
          <w:p w14:paraId="7CEBE5B9" w14:textId="4FA498C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26.53 ± 4.53</w:t>
            </w:r>
          </w:p>
        </w:tc>
        <w:tc>
          <w:tcPr>
            <w:tcW w:w="904" w:type="dxa"/>
          </w:tcPr>
          <w:p w14:paraId="00D8D37C" w14:textId="4B89821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15</w:t>
            </w:r>
          </w:p>
        </w:tc>
      </w:tr>
      <w:tr w:rsidR="00172060" w:rsidRPr="00DB66BC" w14:paraId="1A56B630" w14:textId="77777777" w:rsidTr="0004185B">
        <w:trPr>
          <w:trHeight w:val="263"/>
        </w:trPr>
        <w:tc>
          <w:tcPr>
            <w:tcW w:w="2972" w:type="dxa"/>
          </w:tcPr>
          <w:p w14:paraId="46636BA5" w14:textId="2C566345"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Asgari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{"citationItems":[{"id":"ITEM-1","itemData":{"DOI":"10.1371/journal.pone.0275545","ISBN":"1111111111","ISSN":"19326203","PMID":"36264894","abstract":"Introduction The effects of the FIFA11+ programme (the 11+) on ankle and groin injuries and performance have remained questionable. The latter, particularly, has potentially reduced the implementation rate and applicability of the programme. This study aimed to evaluate the mid-to-long-term effects of the 11+ and a modified programme including football-specific exercises on injury prevention and performance improvement. Materials and methods Three teams of the Iranian Youth League (division two) volunteered to participate in this study and were randomly assigned to two intervention groups (F11+; n = 29, M11+; n = 31) and a control group (n = 30). The F11+ followed the FIFA 11+ programme, whereas the M11+ performed modified exercises three times weekly as a warm-up protocol before training and competition through a football season. The control group carried out its routine warm-ups, including joggings, basic football drills, and static stretches, while having no injury prevention approaches. Lower extremity injuries, as well as exposure time for each player, were recorded. The football-specific performance was assessed using the Illinois Agility and Slalom Dribbling tests. ANOVA, Fisher Freeman Halton, and chi-square tests were used to analyze the data. Results Injury incidences differed significantly between groups (p = 0.02, C = 0.40), with M11+ reporting the lowest incidence. Significant differences between the pre- and posttest as well as differences between the groups for development over time were revealed for the Illinois agility and dribbling speed (p≤0.01). Both performance tests demonstrated a large time effect, as the effect sizes for time in agility and dribbling speed were 0.74 (CI = [0.66; 0.79]) and 0.86 (CI = [0.79; 0.87]), respectively. The effect size for the interaction can be categorized as medium, with 0.38 (CI = [0.25; 0.49]) for agility and 0.52 (CI = [0.40; 0.61]) for dribbling speed. M11+ showed the largest improvement in both. Discussion Mid-to-long-term application of a structured dynamic warm-up that integrates injury prevention and performance approaches may lower injury incidences and improve youth subelite players’ performance. Although additional studies with larger samples are needed to prove the results of the current study, the amateur clubs/teams could integrate such twofold dynamic warm up into their routine training plan and benefit its advantages on injury prevention and performance improvement.","author":[{"dropping-particle":"","family":"Asgari","given":"Mojtaba","non-dropping-particle":"","parse-names":false,"suffix":""},{"dropping-particle":"","family":"Alizadeh","given":"Mohammad Hossein","non-dropping-particle":"","parse-names":false,"suffix":""},{"dropping-particle":"","family":"Shahrbanian","given":"Shahnaz","non-dropping-particle":"","parse-names":false,"suffix":""},{"dropping-particle":"","family":"Nolte","given":"Kevin","non-dropping-particle":"","parse-names":false,"suffix":""},{"dropping-particle":"","family":"Jaitner","given":"Thomas","non-dropping-particle":"","parse-names":false,"suffix":""}],"container-title":"PLoS ONE","id":"ITEM-1","issue":"10 October","issued":{"date-parts":[["2022"]]},"page":"1-11","title":"Effects of the FIFA 11+ and a modified warmup programme on injury prevention and performance improvement among youth male football players","type":"article-journal","volume":"17"},"uris":["http://www.mendeley.com/documents/?uuid=40fee200-2c1c-4f2c-a6dc-1b9d9391ac15"]}],"mendeley":{"formattedCitation":"[3]","plainTextFormattedCitation":"[3]","previouslyFormattedCitation":"[3]"},"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[3]</w:t>
            </w:r>
            <w:r w:rsidR="00FC383C" w:rsidRPr="00DB66BC">
              <w:rPr>
                <w:rFonts w:ascii="Times New Roman" w:hAnsi="Times New Roman" w:cs="Times New Roman"/>
                <w:sz w:val="16"/>
                <w:szCs w:val="16"/>
              </w:rPr>
              <w:fldChar w:fldCharType="end"/>
            </w:r>
          </w:p>
        </w:tc>
        <w:tc>
          <w:tcPr>
            <w:tcW w:w="1985" w:type="dxa"/>
          </w:tcPr>
          <w:p w14:paraId="6F256EFE" w14:textId="526718C1"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0A200AE6" w14:textId="63B05209"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IAT (s)</w:t>
            </w:r>
          </w:p>
        </w:tc>
        <w:tc>
          <w:tcPr>
            <w:tcW w:w="1559" w:type="dxa"/>
          </w:tcPr>
          <w:p w14:paraId="0A4EE084" w14:textId="2E1306D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17.27 ± 0.55</w:t>
            </w:r>
          </w:p>
        </w:tc>
        <w:tc>
          <w:tcPr>
            <w:tcW w:w="1559" w:type="dxa"/>
          </w:tcPr>
          <w:p w14:paraId="0F07DBF5" w14:textId="430B28C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16.7 ± 0.77</w:t>
            </w:r>
          </w:p>
        </w:tc>
        <w:tc>
          <w:tcPr>
            <w:tcW w:w="851" w:type="dxa"/>
          </w:tcPr>
          <w:p w14:paraId="3B8DFBBA" w14:textId="6E5AAE6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29</w:t>
            </w:r>
          </w:p>
        </w:tc>
        <w:tc>
          <w:tcPr>
            <w:tcW w:w="1559" w:type="dxa"/>
          </w:tcPr>
          <w:p w14:paraId="50FEF17A" w14:textId="2AF42C2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17.27 ± 0.58</w:t>
            </w:r>
          </w:p>
        </w:tc>
        <w:tc>
          <w:tcPr>
            <w:tcW w:w="1418" w:type="dxa"/>
          </w:tcPr>
          <w:p w14:paraId="5F82A62B" w14:textId="2374C90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16.92 ± 0.54</w:t>
            </w:r>
          </w:p>
        </w:tc>
        <w:tc>
          <w:tcPr>
            <w:tcW w:w="904" w:type="dxa"/>
          </w:tcPr>
          <w:p w14:paraId="322D9916" w14:textId="6A6A56E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30</w:t>
            </w:r>
          </w:p>
        </w:tc>
      </w:tr>
      <w:tr w:rsidR="00172060" w:rsidRPr="00DB66BC" w14:paraId="33E2DD06" w14:textId="77777777" w:rsidTr="0004185B">
        <w:trPr>
          <w:trHeight w:val="263"/>
        </w:trPr>
        <w:tc>
          <w:tcPr>
            <w:tcW w:w="2972" w:type="dxa"/>
          </w:tcPr>
          <w:p w14:paraId="0B981713" w14:textId="6342E0E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Ayala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{"citationItems":[{"id":"ITEM-1","itemData":{"DOI":"10.1055/s-0042-121260","ISSN":"14393964","PMID":"28192831","abstract":"The main purpose of this study was to analyse the training effects of the FIFA 11+ and Harmoknee on several parameters of physical performance measures in youth amateur football players. 41 adolescent players were randomised within each team into 2 groups (team 1: control vs. FIFA 11+; team 2: control vs. Harmoknee). The FIFA 11+ and Harmoknee groups performed the program 3 times a week for 4 weeks; the control groups completed their usual warm-up routines. 13 physical performance measures (joint range of motion, dynamic postural control, single legged hop limb symmetry, sprint time, jumping height and agility) were assessed. All physical performance parameters were compared via a magnitude-based inference analysis. Significant between-group differences (in favour of the FIFA 11+ players) were found for dynamic postural control (anterior [2.5%] and posteromedial [7.2%] distances), single legged hop limb symmetry (side-to-side symmetry during a triple hop test [8.3%]), 10 (8.4%) and 20 (1.8%) m sprint times and jumping height (9.1%) neuromuscular outcomes. For the Harmoknee, significant differences (in comparison to its paired control group) were found only for 10 (2.7%) and 20 (2.9%) m sprint times and jumping height (9.7%). Therefore, the main findings of this study suggest exchanging traditional warm-up programmes for the FIFA 11+ in male youth soccer players based on its superior effects on some neuromuscular parameters (sprinting, jumping and stability) of physical performance.","author":[{"dropping-particle":"","family":"Ayala","given":"Francisco","non-dropping-particle":"","parse-names":false,"suffix":""},{"dropping-particle":"","family":"Pomares-Noguera","given":"Carlos","non-dropping-particle":"","parse-names":false,"suffix":""},{"dropping-particle":"","family":"Robles-Palazón","given":"Francisco Javier","non-dropping-particle":"","parse-names":false,"suffix":""},{"dropping-particle":"","family":"Pilar García-Vaquero","given":"Maria","non-dropping-particle":"Del","parse-names":false,"suffix":""},{"dropping-particle":"","family":"Ruiz-Pérez","given":"Ignacio","non-dropping-particle":"","parse-names":false,"suffix":""},{"dropping-particle":"","family":"Hernández-Sánchez","given":"Sergio","non-dropping-particle":"","parse-names":false,"suffix":""},{"dropping-particle":"","family":"Ste Croix","given":"Mark","non-dropping-particle":"De","parse-names":false,"suffix":""}],"container-title":"International Journal of Sports Medicine","id":"ITEM-1","issue":"4","issued":{"date-parts":[["2017"]]},"page":"278-289","title":"Training Effects of the FIFA 11+ and Harmoknee on Several Neuromuscular Parameters of Physical Performance Measures","type":"article-journal","volume":"38"},"uris":["http://www.mendeley.com/documents/?uuid=253a27ca-9b40-4413-9e76-52be72480d96"]}],"mendeley":{"formattedCitation":"[4]","plainTextFormattedCitation":"[4]","previouslyFormattedCitation":"[4]"},"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[4]</w:t>
            </w:r>
            <w:r w:rsidR="00FC383C" w:rsidRPr="00DB66BC">
              <w:rPr>
                <w:rFonts w:ascii="Times New Roman" w:hAnsi="Times New Roman" w:cs="Times New Roman"/>
                <w:sz w:val="16"/>
                <w:szCs w:val="16"/>
              </w:rPr>
              <w:fldChar w:fldCharType="end"/>
            </w:r>
          </w:p>
        </w:tc>
        <w:tc>
          <w:tcPr>
            <w:tcW w:w="1985" w:type="dxa"/>
          </w:tcPr>
          <w:p w14:paraId="64B9D9E4" w14:textId="0E3E1177"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48E8DD30" w14:textId="2D223927"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YBT-A (% of L L)</w:t>
            </w:r>
          </w:p>
        </w:tc>
        <w:tc>
          <w:tcPr>
            <w:tcW w:w="1559" w:type="dxa"/>
          </w:tcPr>
          <w:p w14:paraId="287A60B7" w14:textId="6FCAA55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67.5 ± 6.1</w:t>
            </w:r>
          </w:p>
        </w:tc>
        <w:tc>
          <w:tcPr>
            <w:tcW w:w="1559" w:type="dxa"/>
          </w:tcPr>
          <w:p w14:paraId="79DD23FE" w14:textId="3DBE22E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67.3 ± 6.3</w:t>
            </w:r>
          </w:p>
        </w:tc>
        <w:tc>
          <w:tcPr>
            <w:tcW w:w="851" w:type="dxa"/>
          </w:tcPr>
          <w:p w14:paraId="33BACD79" w14:textId="5365BFF4"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10</w:t>
            </w:r>
          </w:p>
        </w:tc>
        <w:tc>
          <w:tcPr>
            <w:tcW w:w="1559" w:type="dxa"/>
          </w:tcPr>
          <w:p w14:paraId="20695AB9" w14:textId="6F6C2E8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70.5 ± 5.3</w:t>
            </w:r>
          </w:p>
        </w:tc>
        <w:tc>
          <w:tcPr>
            <w:tcW w:w="1418" w:type="dxa"/>
          </w:tcPr>
          <w:p w14:paraId="04CA34CA" w14:textId="2A4B15A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64.8 ± </w:t>
            </w:r>
            <w:r w:rsidRPr="00DB66BC">
              <w:rPr>
                <w:rFonts w:ascii="Times New Roman" w:hAnsi="Times New Roman" w:cs="Times New Roman"/>
                <w:color w:val="000000"/>
                <w:sz w:val="16"/>
                <w:szCs w:val="16"/>
              </w:rPr>
              <w:t>5.2</w:t>
            </w:r>
          </w:p>
        </w:tc>
        <w:tc>
          <w:tcPr>
            <w:tcW w:w="904" w:type="dxa"/>
          </w:tcPr>
          <w:p w14:paraId="5C57EB18" w14:textId="6C9BB91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0BC6CDD6" w14:textId="77777777" w:rsidTr="0004185B">
        <w:trPr>
          <w:trHeight w:val="263"/>
        </w:trPr>
        <w:tc>
          <w:tcPr>
            <w:tcW w:w="2972" w:type="dxa"/>
          </w:tcPr>
          <w:p w14:paraId="2145F8D6" w14:textId="77777777" w:rsidR="00172060" w:rsidRPr="00DB66BC" w:rsidRDefault="00172060" w:rsidP="00172060">
            <w:pPr>
              <w:rPr>
                <w:rFonts w:ascii="Times New Roman" w:hAnsi="Times New Roman" w:cs="Times New Roman"/>
                <w:sz w:val="16"/>
                <w:szCs w:val="16"/>
              </w:rPr>
            </w:pPr>
          </w:p>
        </w:tc>
        <w:tc>
          <w:tcPr>
            <w:tcW w:w="1985" w:type="dxa"/>
          </w:tcPr>
          <w:p w14:paraId="1467F26D" w14:textId="02852206"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72CBFA6A" w14:textId="14437EA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YBT-PM (% of L L)</w:t>
            </w:r>
          </w:p>
        </w:tc>
        <w:tc>
          <w:tcPr>
            <w:tcW w:w="1559" w:type="dxa"/>
          </w:tcPr>
          <w:p w14:paraId="1652A4E7" w14:textId="693D3F0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112.9 ± 4.8</w:t>
            </w:r>
          </w:p>
        </w:tc>
        <w:tc>
          <w:tcPr>
            <w:tcW w:w="1559" w:type="dxa"/>
          </w:tcPr>
          <w:p w14:paraId="7B8CF713" w14:textId="720C649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115.3 ±2.8</w:t>
            </w:r>
          </w:p>
        </w:tc>
        <w:tc>
          <w:tcPr>
            <w:tcW w:w="851" w:type="dxa"/>
          </w:tcPr>
          <w:p w14:paraId="69EF86D7" w14:textId="7F52408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2514D886" w14:textId="4FD9D59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112 ± 7.8</w:t>
            </w:r>
          </w:p>
        </w:tc>
        <w:tc>
          <w:tcPr>
            <w:tcW w:w="1418" w:type="dxa"/>
          </w:tcPr>
          <w:p w14:paraId="2BC34E2B" w14:textId="3FFC352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109.2 ± 6.3</w:t>
            </w:r>
          </w:p>
        </w:tc>
        <w:tc>
          <w:tcPr>
            <w:tcW w:w="904" w:type="dxa"/>
          </w:tcPr>
          <w:p w14:paraId="7E9A9804" w14:textId="3D09AB0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6D2AE1CE" w14:textId="77777777" w:rsidTr="0004185B">
        <w:trPr>
          <w:trHeight w:val="263"/>
        </w:trPr>
        <w:tc>
          <w:tcPr>
            <w:tcW w:w="2972" w:type="dxa"/>
          </w:tcPr>
          <w:p w14:paraId="64D3524C" w14:textId="36F42003" w:rsidR="00172060" w:rsidRPr="00DB66BC" w:rsidRDefault="00172060" w:rsidP="00172060">
            <w:pPr>
              <w:rPr>
                <w:rFonts w:ascii="Times New Roman" w:hAnsi="Times New Roman" w:cs="Times New Roman"/>
                <w:sz w:val="16"/>
                <w:szCs w:val="16"/>
              </w:rPr>
            </w:pPr>
          </w:p>
        </w:tc>
        <w:tc>
          <w:tcPr>
            <w:tcW w:w="1985" w:type="dxa"/>
          </w:tcPr>
          <w:p w14:paraId="1A09195C" w14:textId="293B5C67"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6A1E998A" w14:textId="7B0B758E"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YBT-PL (% of L L)</w:t>
            </w:r>
          </w:p>
        </w:tc>
        <w:tc>
          <w:tcPr>
            <w:tcW w:w="1559" w:type="dxa"/>
          </w:tcPr>
          <w:p w14:paraId="32F52909" w14:textId="6797759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109.2 ± 5.3</w:t>
            </w:r>
          </w:p>
        </w:tc>
        <w:tc>
          <w:tcPr>
            <w:tcW w:w="1559" w:type="dxa"/>
          </w:tcPr>
          <w:p w14:paraId="02341950" w14:textId="1BD4A3B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109.5 ± 4.9</w:t>
            </w:r>
          </w:p>
        </w:tc>
        <w:tc>
          <w:tcPr>
            <w:tcW w:w="851" w:type="dxa"/>
          </w:tcPr>
          <w:p w14:paraId="23BBB9C7" w14:textId="6286F135"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10</w:t>
            </w:r>
          </w:p>
        </w:tc>
        <w:tc>
          <w:tcPr>
            <w:tcW w:w="1559" w:type="dxa"/>
          </w:tcPr>
          <w:p w14:paraId="73D2C51C" w14:textId="5386580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108.3 ± 8.5</w:t>
            </w:r>
          </w:p>
        </w:tc>
        <w:tc>
          <w:tcPr>
            <w:tcW w:w="1418" w:type="dxa"/>
          </w:tcPr>
          <w:p w14:paraId="77E0AE64" w14:textId="0408840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106.5 ± 5.7</w:t>
            </w:r>
          </w:p>
        </w:tc>
        <w:tc>
          <w:tcPr>
            <w:tcW w:w="904" w:type="dxa"/>
          </w:tcPr>
          <w:p w14:paraId="018F2FD6" w14:textId="759CAC2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41A82270" w14:textId="77777777" w:rsidTr="0004185B">
        <w:trPr>
          <w:trHeight w:val="263"/>
        </w:trPr>
        <w:tc>
          <w:tcPr>
            <w:tcW w:w="2972" w:type="dxa"/>
          </w:tcPr>
          <w:p w14:paraId="21259D77" w14:textId="77777777" w:rsidR="00172060" w:rsidRPr="00DB66BC" w:rsidRDefault="00172060" w:rsidP="00172060">
            <w:pPr>
              <w:rPr>
                <w:rFonts w:ascii="Times New Roman" w:hAnsi="Times New Roman" w:cs="Times New Roman"/>
                <w:sz w:val="16"/>
                <w:szCs w:val="16"/>
              </w:rPr>
            </w:pPr>
          </w:p>
        </w:tc>
        <w:tc>
          <w:tcPr>
            <w:tcW w:w="1985" w:type="dxa"/>
          </w:tcPr>
          <w:p w14:paraId="3B16A663" w14:textId="02395F1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6EF9FABB" w14:textId="7515422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IAT (s)</w:t>
            </w:r>
          </w:p>
        </w:tc>
        <w:tc>
          <w:tcPr>
            <w:tcW w:w="1559" w:type="dxa"/>
          </w:tcPr>
          <w:p w14:paraId="0714BED0" w14:textId="29A828E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16.66 ± 1.16</w:t>
            </w:r>
          </w:p>
        </w:tc>
        <w:tc>
          <w:tcPr>
            <w:tcW w:w="1559" w:type="dxa"/>
          </w:tcPr>
          <w:p w14:paraId="41E8F42D" w14:textId="2B4ACC4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16.26 ± 0.83</w:t>
            </w:r>
          </w:p>
        </w:tc>
        <w:tc>
          <w:tcPr>
            <w:tcW w:w="851" w:type="dxa"/>
          </w:tcPr>
          <w:p w14:paraId="20EC282F" w14:textId="7744B77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1ECE51A4" w14:textId="5FEF540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16.57 ± 0.98</w:t>
            </w:r>
          </w:p>
        </w:tc>
        <w:tc>
          <w:tcPr>
            <w:tcW w:w="1418" w:type="dxa"/>
          </w:tcPr>
          <w:p w14:paraId="6C1ECDC0" w14:textId="2EAC299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16.4 ± 1.37</w:t>
            </w:r>
          </w:p>
        </w:tc>
        <w:tc>
          <w:tcPr>
            <w:tcW w:w="904" w:type="dxa"/>
          </w:tcPr>
          <w:p w14:paraId="74C84265" w14:textId="2FCC657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31B00AB2" w14:textId="77777777" w:rsidTr="0004185B">
        <w:trPr>
          <w:trHeight w:val="263"/>
        </w:trPr>
        <w:tc>
          <w:tcPr>
            <w:tcW w:w="2972" w:type="dxa"/>
          </w:tcPr>
          <w:p w14:paraId="6A3E055E" w14:textId="77777777" w:rsidR="00172060" w:rsidRPr="00DB66BC" w:rsidRDefault="00172060" w:rsidP="00172060">
            <w:pPr>
              <w:rPr>
                <w:rFonts w:ascii="Times New Roman" w:hAnsi="Times New Roman" w:cs="Times New Roman"/>
                <w:sz w:val="16"/>
                <w:szCs w:val="16"/>
              </w:rPr>
            </w:pPr>
          </w:p>
        </w:tc>
        <w:tc>
          <w:tcPr>
            <w:tcW w:w="1985" w:type="dxa"/>
          </w:tcPr>
          <w:p w14:paraId="6860C974" w14:textId="355EEB85"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641D4CF7" w14:textId="21F64F1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10m (s)</w:t>
            </w:r>
          </w:p>
        </w:tc>
        <w:tc>
          <w:tcPr>
            <w:tcW w:w="1559" w:type="dxa"/>
          </w:tcPr>
          <w:p w14:paraId="531E9A2A" w14:textId="7A4B002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1.93 ± 0.13</w:t>
            </w:r>
          </w:p>
        </w:tc>
        <w:tc>
          <w:tcPr>
            <w:tcW w:w="1559" w:type="dxa"/>
          </w:tcPr>
          <w:p w14:paraId="580D0F74" w14:textId="1F93610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2.3 ± 0.23</w:t>
            </w:r>
          </w:p>
        </w:tc>
        <w:tc>
          <w:tcPr>
            <w:tcW w:w="851" w:type="dxa"/>
          </w:tcPr>
          <w:p w14:paraId="0816B8F3" w14:textId="2492D29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6AC1F3A7" w14:textId="79DB780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1.82 ± 0.28</w:t>
            </w:r>
          </w:p>
        </w:tc>
        <w:tc>
          <w:tcPr>
            <w:tcW w:w="1418" w:type="dxa"/>
          </w:tcPr>
          <w:p w14:paraId="2DAD4268" w14:textId="6A8F317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2.9 ± 0.33</w:t>
            </w:r>
          </w:p>
        </w:tc>
        <w:tc>
          <w:tcPr>
            <w:tcW w:w="904" w:type="dxa"/>
          </w:tcPr>
          <w:p w14:paraId="6AD96978" w14:textId="1A80D24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0DF6D1B3" w14:textId="77777777" w:rsidTr="0004185B">
        <w:trPr>
          <w:trHeight w:val="263"/>
        </w:trPr>
        <w:tc>
          <w:tcPr>
            <w:tcW w:w="2972" w:type="dxa"/>
          </w:tcPr>
          <w:p w14:paraId="499709EF" w14:textId="77777777" w:rsidR="00172060" w:rsidRPr="00DB66BC" w:rsidRDefault="00172060" w:rsidP="00172060">
            <w:pPr>
              <w:rPr>
                <w:rFonts w:ascii="Times New Roman" w:hAnsi="Times New Roman" w:cs="Times New Roman"/>
                <w:sz w:val="16"/>
                <w:szCs w:val="16"/>
              </w:rPr>
            </w:pPr>
          </w:p>
        </w:tc>
        <w:tc>
          <w:tcPr>
            <w:tcW w:w="1985" w:type="dxa"/>
          </w:tcPr>
          <w:p w14:paraId="4264E34D" w14:textId="21D8F318"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3370D3C5" w14:textId="67B22F1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20m (s)</w:t>
            </w:r>
          </w:p>
        </w:tc>
        <w:tc>
          <w:tcPr>
            <w:tcW w:w="1559" w:type="dxa"/>
          </w:tcPr>
          <w:p w14:paraId="0A78FB65" w14:textId="5001F7B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3.3 ± 0.18</w:t>
            </w:r>
          </w:p>
        </w:tc>
        <w:tc>
          <w:tcPr>
            <w:tcW w:w="1559" w:type="dxa"/>
          </w:tcPr>
          <w:p w14:paraId="5E510876" w14:textId="29FAA0A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3.24 ± 0.15</w:t>
            </w:r>
          </w:p>
        </w:tc>
        <w:tc>
          <w:tcPr>
            <w:tcW w:w="851" w:type="dxa"/>
          </w:tcPr>
          <w:p w14:paraId="65BE8E9A" w14:textId="1DF4F5A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5A718DD3" w14:textId="26B8710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3.28 ± 0.15</w:t>
            </w:r>
          </w:p>
        </w:tc>
        <w:tc>
          <w:tcPr>
            <w:tcW w:w="1418" w:type="dxa"/>
          </w:tcPr>
          <w:p w14:paraId="515AB65C" w14:textId="55C2446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3.31 ± 0.23</w:t>
            </w:r>
          </w:p>
        </w:tc>
        <w:tc>
          <w:tcPr>
            <w:tcW w:w="904" w:type="dxa"/>
          </w:tcPr>
          <w:p w14:paraId="2012D80B" w14:textId="4813C9D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32882BD8" w14:textId="77777777" w:rsidTr="0004185B">
        <w:trPr>
          <w:trHeight w:val="263"/>
        </w:trPr>
        <w:tc>
          <w:tcPr>
            <w:tcW w:w="2972" w:type="dxa"/>
          </w:tcPr>
          <w:p w14:paraId="50D7803D" w14:textId="77777777" w:rsidR="00172060" w:rsidRPr="00DB66BC" w:rsidRDefault="00172060" w:rsidP="00172060">
            <w:pPr>
              <w:rPr>
                <w:rFonts w:ascii="Times New Roman" w:hAnsi="Times New Roman" w:cs="Times New Roman"/>
                <w:sz w:val="16"/>
                <w:szCs w:val="16"/>
              </w:rPr>
            </w:pPr>
          </w:p>
        </w:tc>
        <w:tc>
          <w:tcPr>
            <w:tcW w:w="1985" w:type="dxa"/>
          </w:tcPr>
          <w:p w14:paraId="765F978C" w14:textId="2F7AAFDE"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4C45CB92" w14:textId="06BAEC58"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DJ (cm)</w:t>
            </w:r>
          </w:p>
        </w:tc>
        <w:tc>
          <w:tcPr>
            <w:tcW w:w="1559" w:type="dxa"/>
          </w:tcPr>
          <w:p w14:paraId="2C9F87AB" w14:textId="295BDCE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26.7 ± 2.2</w:t>
            </w:r>
          </w:p>
        </w:tc>
        <w:tc>
          <w:tcPr>
            <w:tcW w:w="1559" w:type="dxa"/>
          </w:tcPr>
          <w:p w14:paraId="7F24669C" w14:textId="6A4C5D8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26.6 ± 3.5</w:t>
            </w:r>
          </w:p>
        </w:tc>
        <w:tc>
          <w:tcPr>
            <w:tcW w:w="851" w:type="dxa"/>
          </w:tcPr>
          <w:p w14:paraId="3281776B" w14:textId="7D96F1F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2BCF0A61" w14:textId="722D55F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24.1 ± 2.2</w:t>
            </w:r>
          </w:p>
        </w:tc>
        <w:tc>
          <w:tcPr>
            <w:tcW w:w="1418" w:type="dxa"/>
          </w:tcPr>
          <w:p w14:paraId="40CE0228" w14:textId="0EBCC1E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22.4 ± 5.5</w:t>
            </w:r>
          </w:p>
        </w:tc>
        <w:tc>
          <w:tcPr>
            <w:tcW w:w="904" w:type="dxa"/>
          </w:tcPr>
          <w:p w14:paraId="3A3586FB" w14:textId="4676C65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01849004" w14:textId="77777777" w:rsidTr="0004185B">
        <w:trPr>
          <w:trHeight w:val="263"/>
        </w:trPr>
        <w:tc>
          <w:tcPr>
            <w:tcW w:w="2972" w:type="dxa"/>
          </w:tcPr>
          <w:p w14:paraId="2D06BD16" w14:textId="1123D23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Costa Silva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{"citationItems":[{"id":"ITEM-1","itemData":{"DOI":"10.5007/1980-0037.2015v17n6p733","ISSN":"1980-0037","abstract":"Abstract The aim of this study was to evaluate the effect of 9 weeks of the “FIFA 11+” warm-up program on vertical jump performance in soccer players. The study included 20 athletes of the Under-20 category from a Brazilian championship serie A team (age: 18.3±1.6 years; years of training: 8.2±1.3; body weight: 74.0±7.1 kg, height: 177.8±6.5 cm, and fat percentage: 10.7±1.9%), divided into an intervention group (G11+; n=10) and a control group (CG; n=10). The athletes were evaluated before and after the intervention regarding countermovement jump (CMJ) and squat jump (SJ) performed on a force platform. The maximum jump height was considered for data analysis. A mixed-model ANOVA was used to verify the main time vs. group effects. Both groups underwent the same training routine (physical, technical, and tactical) and only differed in terms of the proposed warm-up, which was performed three times per week in G11+. No significant difference in jump performance was observed in CG, while G11+ showed significant improvement in both types of jumps (CMJ: F=26.23, p&lt;0.01; %change=11.3; SJ: F=23.16, p&lt;0.01, %change=9.8). In conclusion, 9 weeks of intervention with the “FIFA 11+” warm-up program during routine training promoted significant improvement in jump performance.","author":[{"dropping-particle":"","family":"Costa Silva","given":"José Raphael Leandro","non-dropping-particle":"","parse-names":false,"suffix":""},{"dropping-particle":"","family":"Silva","given":"Juliano Fernandes","non-dropping-particle":"","parse-names":false,"suffix":""},{"dropping-particle":"","family":"Salvador","given":"Paulo Cesar do Nascimento","non-dropping-particle":"","parse-names":false,"suffix":""},{"dropping-particle":"","family":"Freitas","given":"Cintia De la Rocha","non-dropping-particle":"","parse-names":false,"suffix":""}],"container-title":"Revista Brasileira de Cineantropometria e Desempenho Humano","id":"ITEM-1","issue":"6","issued":{"date-parts":[["2015","12","30"]]},"page":"733","title":"O efeito do “FIFA 11+” na performance de saltos verticais em atletas de futebol","type":"article-journal","volume":"17"},"uris":["http://www.mendeley.com/documents/?uuid=a1c1b2e3-74c5-4dc7-a421-4a963b5a72b3"]}],"mendeley":{"formattedCitation":"[5]","plainTextFormattedCitation":"[5]","previouslyFormattedCitation":"[5]"},"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[5]</w:t>
            </w:r>
            <w:r w:rsidR="00FC383C" w:rsidRPr="00DB66BC">
              <w:rPr>
                <w:rFonts w:ascii="Times New Roman" w:hAnsi="Times New Roman" w:cs="Times New Roman"/>
                <w:sz w:val="16"/>
                <w:szCs w:val="16"/>
              </w:rPr>
              <w:fldChar w:fldCharType="end"/>
            </w:r>
          </w:p>
        </w:tc>
        <w:tc>
          <w:tcPr>
            <w:tcW w:w="1985" w:type="dxa"/>
          </w:tcPr>
          <w:p w14:paraId="7690B0A2" w14:textId="3EE9397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27D5272C" w14:textId="4D7EDD51"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CMJ (cm)</w:t>
            </w:r>
          </w:p>
        </w:tc>
        <w:tc>
          <w:tcPr>
            <w:tcW w:w="1559" w:type="dxa"/>
          </w:tcPr>
          <w:p w14:paraId="374C8140" w14:textId="10B38B6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45.84 ± 3.91</w:t>
            </w:r>
          </w:p>
        </w:tc>
        <w:tc>
          <w:tcPr>
            <w:tcW w:w="1559" w:type="dxa"/>
          </w:tcPr>
          <w:p w14:paraId="0D074BEB" w14:textId="715254E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51.04 ± 2.88</w:t>
            </w:r>
          </w:p>
        </w:tc>
        <w:tc>
          <w:tcPr>
            <w:tcW w:w="851" w:type="dxa"/>
          </w:tcPr>
          <w:p w14:paraId="6BF83DC7" w14:textId="0DE6B14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2D66D91B" w14:textId="353266C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43.56 ± 4.41</w:t>
            </w:r>
          </w:p>
        </w:tc>
        <w:tc>
          <w:tcPr>
            <w:tcW w:w="1418" w:type="dxa"/>
          </w:tcPr>
          <w:p w14:paraId="5DA3A42B" w14:textId="3EE99B6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44.66 ± 3.91</w:t>
            </w:r>
          </w:p>
        </w:tc>
        <w:tc>
          <w:tcPr>
            <w:tcW w:w="904" w:type="dxa"/>
          </w:tcPr>
          <w:p w14:paraId="69DDEAC6" w14:textId="403422F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r>
      <w:tr w:rsidR="00172060" w:rsidRPr="00DB66BC" w14:paraId="7E12175B" w14:textId="77777777" w:rsidTr="0004185B">
        <w:trPr>
          <w:trHeight w:val="263"/>
        </w:trPr>
        <w:tc>
          <w:tcPr>
            <w:tcW w:w="2972" w:type="dxa"/>
          </w:tcPr>
          <w:p w14:paraId="55959403" w14:textId="77777777" w:rsidR="00172060" w:rsidRPr="00DB66BC" w:rsidRDefault="00172060" w:rsidP="00172060">
            <w:pPr>
              <w:rPr>
                <w:rFonts w:ascii="Times New Roman" w:hAnsi="Times New Roman" w:cs="Times New Roman"/>
                <w:sz w:val="16"/>
                <w:szCs w:val="16"/>
              </w:rPr>
            </w:pPr>
          </w:p>
        </w:tc>
        <w:tc>
          <w:tcPr>
            <w:tcW w:w="1985" w:type="dxa"/>
          </w:tcPr>
          <w:p w14:paraId="665C1786" w14:textId="72FBEC0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75FF4C37" w14:textId="6AA34B2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SJ (cm)</w:t>
            </w:r>
          </w:p>
        </w:tc>
        <w:tc>
          <w:tcPr>
            <w:tcW w:w="1559" w:type="dxa"/>
          </w:tcPr>
          <w:p w14:paraId="5E1BC055" w14:textId="27D2E04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41.33 ± 2.7</w:t>
            </w:r>
          </w:p>
        </w:tc>
        <w:tc>
          <w:tcPr>
            <w:tcW w:w="1559" w:type="dxa"/>
          </w:tcPr>
          <w:p w14:paraId="69AE5B83" w14:textId="681DD93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46.67 ± 2.71</w:t>
            </w:r>
          </w:p>
        </w:tc>
        <w:tc>
          <w:tcPr>
            <w:tcW w:w="851" w:type="dxa"/>
          </w:tcPr>
          <w:p w14:paraId="60F99A3D" w14:textId="2B2D171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629EF458" w14:textId="3F603F7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40.15 ± 3.61</w:t>
            </w:r>
          </w:p>
        </w:tc>
        <w:tc>
          <w:tcPr>
            <w:tcW w:w="1418" w:type="dxa"/>
          </w:tcPr>
          <w:p w14:paraId="0710BA2D" w14:textId="4CAF710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40.66 ± 3.57</w:t>
            </w:r>
          </w:p>
        </w:tc>
        <w:tc>
          <w:tcPr>
            <w:tcW w:w="904" w:type="dxa"/>
          </w:tcPr>
          <w:p w14:paraId="27C2FA89" w14:textId="798FCB0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r>
      <w:tr w:rsidR="00172060" w:rsidRPr="00DB66BC" w14:paraId="58F979F4" w14:textId="77777777" w:rsidTr="0004185B">
        <w:trPr>
          <w:trHeight w:val="263"/>
        </w:trPr>
        <w:tc>
          <w:tcPr>
            <w:tcW w:w="2972" w:type="dxa"/>
          </w:tcPr>
          <w:p w14:paraId="17170A1A" w14:textId="57BE104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Daneshjoo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{"citationItems":[{"id":"ITEM-1","itemData":{"DOI":"10.1371/journal.pone.0051568","ISSN":"1932-6203","PMID":"23251579","abstract":"Purpose: The study investigated the effects of FIFA 11+ and HarmoKnee, both being popular warm-up programs, on proprioception, and on the static and dynamic balance of professional male soccer players. Methods: Under 21 year-old soccer players (n = 36) were divided randomly into 11+, HarmoKnee and control groups. The programs were performed for 2 months (24 sessions). Proprioception was measured bilaterally at 30°, 45° and 60° knee flexion using the Biodex Isokinetic Dynamometer. Static and dynamic balances were evaluated using the stork stand test and Star Excursion Balance Test (SEBT), respectively. Results: The proprioception error of dominant leg significantly decreased from pre- to post-test by 2.8% and 1.7% in the 11+ group at 45° and 60° knee flexion, compared to 3% and 2.1% in the HarmoKnee group. The largest joint positioning error was in the non-dominant leg at 30° knee flexion (mean error value = 5.047), (p&lt;0.05). The static balance with the eyes opened increased in the 11+ by 10.9% and in the HarmoKnee by 6.1% (p&lt;0.05). The static balance with eyes closed significantly increased in the 11+ by 12.4% and in the HarmoKnee by 17.6%. The results indicated that static balance was significantly higher in eyes opened compared to eyes closed (p = 0.000). Significant improvements in SEBT in the 11+ (12.4%) and HarmoKnee (17.6%) groups were also found. Conclusion: Both the 11+ and HarmoKnee programs were proven to be useful warm-up protocols in improving proprioception at 45° and 60° knee flexion as well as static and dynamic balance in professional male soccer players. Data from this research may be helpful in encouraging coaches or trainers to implement the two warm-up programs in their soccer teams. © 2012 Daneshjoo et al.","author":[{"dropping-particle":"","family":"Daneshjoo","given":"Abdolhamid","non-dropping-particle":"","parse-names":false,"suffix":""},{"dropping-particle":"","family":"Mokhtar","given":"Abdul Halim","non-dropping-particle":"","parse-names":false,"suffix":""},{"dropping-particle":"","family":"Rahnama","given":"Nader","non-dropping-particle":"","parse-names":false,"suffix":""},{"dropping-particle":"","family":"Yusof","given":"Ashril","non-dropping-particle":"","parse-names":false,"suffix":""}],"container-title":"PLoS ONE","editor":[{"dropping-particle":"","family":"Lucia","given":"Alejandro","non-dropping-particle":"","parse-names":false,"suffix":""}],"id":"ITEM-1","issue":"12","issued":{"date-parts":[["2012","12","12"]]},"page":"e51568","title":"The Effects of Comprehensive Warm-Up Programs on Proprioception, Static and Dynamic Balance on Male Soccer Players","type":"article-journal","volume":"7"},"uris":["http://www.mendeley.com/documents/?uuid=36275009-b3da-4f0f-b056-da3fb626ac17"]}],"mendeley":{"formattedCitation":"[6]","plainTextFormattedCitation":"[6]","previouslyFormattedCitation":"[6]"},"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[6]</w:t>
            </w:r>
            <w:r w:rsidR="00FC383C" w:rsidRPr="00DB66BC">
              <w:rPr>
                <w:rFonts w:ascii="Times New Roman" w:hAnsi="Times New Roman" w:cs="Times New Roman"/>
                <w:sz w:val="16"/>
                <w:szCs w:val="16"/>
              </w:rPr>
              <w:fldChar w:fldCharType="end"/>
            </w:r>
          </w:p>
        </w:tc>
        <w:tc>
          <w:tcPr>
            <w:tcW w:w="1985" w:type="dxa"/>
          </w:tcPr>
          <w:p w14:paraId="69EB4DA7" w14:textId="230365B8"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030EE114" w14:textId="515C084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SEBT (% of L L)</w:t>
            </w:r>
          </w:p>
        </w:tc>
        <w:tc>
          <w:tcPr>
            <w:tcW w:w="1559" w:type="dxa"/>
          </w:tcPr>
          <w:p w14:paraId="6CDD74D6" w14:textId="4F50F89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97.2 ± 9.4</w:t>
            </w:r>
          </w:p>
        </w:tc>
        <w:tc>
          <w:tcPr>
            <w:tcW w:w="1559" w:type="dxa"/>
          </w:tcPr>
          <w:p w14:paraId="06D814E8" w14:textId="5005718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103.9 ± 5.6</w:t>
            </w:r>
          </w:p>
        </w:tc>
        <w:tc>
          <w:tcPr>
            <w:tcW w:w="851" w:type="dxa"/>
          </w:tcPr>
          <w:p w14:paraId="2AA6C6B3" w14:textId="792ACA8C"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sz w:val="16"/>
                <w:szCs w:val="16"/>
              </w:rPr>
              <w:t>12</w:t>
            </w:r>
          </w:p>
        </w:tc>
        <w:tc>
          <w:tcPr>
            <w:tcW w:w="1559" w:type="dxa"/>
          </w:tcPr>
          <w:p w14:paraId="5B218044" w14:textId="71A8FD7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97.7 ± 5.9</w:t>
            </w:r>
          </w:p>
        </w:tc>
        <w:tc>
          <w:tcPr>
            <w:tcW w:w="1418" w:type="dxa"/>
          </w:tcPr>
          <w:p w14:paraId="2F42963B" w14:textId="38D15B9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98.4 ± 3.9</w:t>
            </w:r>
          </w:p>
        </w:tc>
        <w:tc>
          <w:tcPr>
            <w:tcW w:w="904" w:type="dxa"/>
          </w:tcPr>
          <w:p w14:paraId="288A33FF" w14:textId="722B93E7"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sz w:val="16"/>
                <w:szCs w:val="16"/>
              </w:rPr>
              <w:t>12</w:t>
            </w:r>
          </w:p>
        </w:tc>
      </w:tr>
      <w:tr w:rsidR="00172060" w:rsidRPr="00DB66BC" w14:paraId="6249AA1E" w14:textId="77777777" w:rsidTr="0004185B">
        <w:trPr>
          <w:trHeight w:val="263"/>
        </w:trPr>
        <w:tc>
          <w:tcPr>
            <w:tcW w:w="2972" w:type="dxa"/>
          </w:tcPr>
          <w:p w14:paraId="75C867F2" w14:textId="189BF956"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color w:val="000000"/>
                <w:sz w:val="16"/>
                <w:szCs w:val="16"/>
              </w:rPr>
              <w:t xml:space="preserve">Daneshjoo et al. </w:t>
            </w:r>
            <w:r w:rsidR="00FC383C" w:rsidRPr="00DB66BC">
              <w:rPr>
                <w:rFonts w:ascii="Times New Roman" w:hAnsi="Times New Roman" w:cs="Times New Roman"/>
                <w:color w:val="000000"/>
                <w:sz w:val="16"/>
                <w:szCs w:val="16"/>
              </w:rPr>
              <w:fldChar w:fldCharType="begin" w:fldLock="1"/>
            </w:r>
            <w:r w:rsidR="00FC383C" w:rsidRPr="00DB66BC">
              <w:rPr>
                <w:rFonts w:ascii="Times New Roman" w:hAnsi="Times New Roman" w:cs="Times New Roman"/>
                <w:color w:val="000000"/>
                <w:sz w:val="16"/>
                <w:szCs w:val="16"/>
              </w:rPr>
              <w:instrText>ADDIN CSL_CITATION {"citationItems":[{"id":"ITEM-1","itemData":{"ISSN":"13032968","PMID":"24149156","abstract":"The purpose of this study was to examine the effects of the 11+ and HarmoKnee warm-up programs on performance measures in professional soccer players. Thirty-six male professional soccer players (age: 18.9 ± 1.4 years) were divided into 3 groups, the 11+, HarmoKnee and control group (n = 12 per group). The experimental groups performed the programs 3 times per week for 2 months (24 sessions), whereas the control group only performed their regular soccer training. The performance tests carried out were: 10m speed tests with and without a ball, 20m single sprint, vertical jump, Wall-Volley and Illinois agility tests. The 11+ group demonstrated significant increases from pre-to-post time points in the vertical jump (3.7%), Wall-Volley (5.4%) and Illinois agility tests (1.7%), while the HarmoKnee group showed a significant increase in Wall-Volley test, with a 5.2% increase. The repeated measures analysis revealed differences between the groups (large effect size) in the 11+ and HarmoKnee groups, compared to the control group, in 10m speed tests with and without a ball, 20m single sprint and Illinois agility tests (p &lt; 0.05). Thus 8-weeks performing the 11+ warm-up program can enhance jump height, agility and soccer skill while the HarmoKnee program generally only improves soccer skill in young professional male soccer players. © Journal of Sports Science and Medicine (2013).","author":[{"dropping-particle":"","family":"Daneshjoo","given":"Abdolhamid","non-dropping-particle":"","parse-names":false,"suffix":""},{"dropping-particle":"","family":"Mokhtar","given":"Abdul Halim","non-dropping-particle":"","parse-names":false,"suffix":""},{"dropping-particle":"","family":"Rahnama","given":"Nader","non-dropping-particle":"","parse-names":false,"suffix":""},{"dropping-particle":"","family":"Yusof","given":"Ashril","non-dropping-particle":"","parse-names":false,"suffix":""}],"container-title":"Journal of Sports Science and Medicine","id":"ITEM-1","issue":"3","issued":{"date-parts":[["2013"]]},"page":"489-496","title":"Effects of the 11+ and Harmoknee warm-up programs on physical performance measures in professional soccer players","type":"article-journal","volume":"12"},"uris":["http://www.mendeley.com/documents/?uuid=424a09f6-0eee-4b6d-98c3-10ff2e8e227b"]}],"mendeley":{"formattedCitation":"[7]","plainTextFormattedCitation":"[7]","previouslyFormattedCitation":"[7]"},"properties":{"noteIndex":0},"schema":"https://github.com/citation-style-language/schema/raw/master/csl-citation.json"}</w:instrText>
            </w:r>
            <w:r w:rsidR="00FC383C" w:rsidRPr="00DB66BC">
              <w:rPr>
                <w:rFonts w:ascii="Times New Roman" w:hAnsi="Times New Roman" w:cs="Times New Roman"/>
                <w:color w:val="000000"/>
                <w:sz w:val="16"/>
                <w:szCs w:val="16"/>
              </w:rPr>
              <w:fldChar w:fldCharType="separate"/>
            </w:r>
            <w:r w:rsidR="00FC383C" w:rsidRPr="00DB66BC">
              <w:rPr>
                <w:rFonts w:ascii="Times New Roman" w:hAnsi="Times New Roman" w:cs="Times New Roman"/>
                <w:noProof/>
                <w:color w:val="000000"/>
                <w:sz w:val="16"/>
                <w:szCs w:val="16"/>
              </w:rPr>
              <w:t>[7]</w:t>
            </w:r>
            <w:r w:rsidR="00FC383C" w:rsidRPr="00DB66BC">
              <w:rPr>
                <w:rFonts w:ascii="Times New Roman" w:hAnsi="Times New Roman" w:cs="Times New Roman"/>
                <w:color w:val="000000"/>
                <w:sz w:val="16"/>
                <w:szCs w:val="16"/>
              </w:rPr>
              <w:fldChar w:fldCharType="end"/>
            </w:r>
          </w:p>
        </w:tc>
        <w:tc>
          <w:tcPr>
            <w:tcW w:w="1985" w:type="dxa"/>
          </w:tcPr>
          <w:p w14:paraId="244894BE" w14:textId="78EC6CF1"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0F7F112C" w14:textId="57CE914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IAT (s)</w:t>
            </w:r>
          </w:p>
        </w:tc>
        <w:tc>
          <w:tcPr>
            <w:tcW w:w="1559" w:type="dxa"/>
          </w:tcPr>
          <w:p w14:paraId="18C277CA" w14:textId="3DC6F0B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16.2 ± 0.3</w:t>
            </w:r>
          </w:p>
        </w:tc>
        <w:tc>
          <w:tcPr>
            <w:tcW w:w="1559" w:type="dxa"/>
          </w:tcPr>
          <w:p w14:paraId="777A39B3" w14:textId="441EC2E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14.4 ± 0.3</w:t>
            </w:r>
          </w:p>
        </w:tc>
        <w:tc>
          <w:tcPr>
            <w:tcW w:w="851" w:type="dxa"/>
          </w:tcPr>
          <w:p w14:paraId="27048682" w14:textId="1A46F47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c>
          <w:tcPr>
            <w:tcW w:w="1559" w:type="dxa"/>
          </w:tcPr>
          <w:p w14:paraId="73A8F414" w14:textId="19F91B4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16.5 ± 1.2</w:t>
            </w:r>
          </w:p>
        </w:tc>
        <w:tc>
          <w:tcPr>
            <w:tcW w:w="1418" w:type="dxa"/>
          </w:tcPr>
          <w:p w14:paraId="33A88EB7" w14:textId="70B5884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16.9 ± 1.2</w:t>
            </w:r>
          </w:p>
        </w:tc>
        <w:tc>
          <w:tcPr>
            <w:tcW w:w="904" w:type="dxa"/>
          </w:tcPr>
          <w:p w14:paraId="6477C83D" w14:textId="539C98E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r>
      <w:tr w:rsidR="00172060" w:rsidRPr="00DB66BC" w14:paraId="0C874055" w14:textId="77777777" w:rsidTr="0004185B">
        <w:trPr>
          <w:trHeight w:val="263"/>
        </w:trPr>
        <w:tc>
          <w:tcPr>
            <w:tcW w:w="2972" w:type="dxa"/>
          </w:tcPr>
          <w:p w14:paraId="3F10388F" w14:textId="77777777" w:rsidR="00172060" w:rsidRPr="00DB66BC" w:rsidRDefault="00172060" w:rsidP="00172060">
            <w:pPr>
              <w:rPr>
                <w:rFonts w:ascii="Times New Roman" w:hAnsi="Times New Roman" w:cs="Times New Roman"/>
                <w:sz w:val="16"/>
                <w:szCs w:val="16"/>
              </w:rPr>
            </w:pPr>
          </w:p>
        </w:tc>
        <w:tc>
          <w:tcPr>
            <w:tcW w:w="1985" w:type="dxa"/>
          </w:tcPr>
          <w:p w14:paraId="6C56A2DC" w14:textId="511B481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52B2B4C0" w14:textId="149159D8"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10m (s)</w:t>
            </w:r>
          </w:p>
        </w:tc>
        <w:tc>
          <w:tcPr>
            <w:tcW w:w="1559" w:type="dxa"/>
          </w:tcPr>
          <w:p w14:paraId="2CCD1A12" w14:textId="0790DC1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5.6 ± 0.4</w:t>
            </w:r>
          </w:p>
        </w:tc>
        <w:tc>
          <w:tcPr>
            <w:tcW w:w="1559" w:type="dxa"/>
          </w:tcPr>
          <w:p w14:paraId="536DE2BB" w14:textId="5B4C7A1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5.3 ± 0.4</w:t>
            </w:r>
          </w:p>
        </w:tc>
        <w:tc>
          <w:tcPr>
            <w:tcW w:w="851" w:type="dxa"/>
          </w:tcPr>
          <w:p w14:paraId="399FF0A2" w14:textId="026C239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c>
          <w:tcPr>
            <w:tcW w:w="1559" w:type="dxa"/>
          </w:tcPr>
          <w:p w14:paraId="47DF4261" w14:textId="3D3A7AC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5.7 ± 0.6</w:t>
            </w:r>
          </w:p>
        </w:tc>
        <w:tc>
          <w:tcPr>
            <w:tcW w:w="1418" w:type="dxa"/>
          </w:tcPr>
          <w:p w14:paraId="5B0260AC" w14:textId="3504B8B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6.1 ± 0.5</w:t>
            </w:r>
          </w:p>
        </w:tc>
        <w:tc>
          <w:tcPr>
            <w:tcW w:w="904" w:type="dxa"/>
          </w:tcPr>
          <w:p w14:paraId="054393BC" w14:textId="3FE5B33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r>
      <w:tr w:rsidR="00172060" w:rsidRPr="00DB66BC" w14:paraId="500F9C58" w14:textId="77777777" w:rsidTr="0004185B">
        <w:trPr>
          <w:trHeight w:val="263"/>
        </w:trPr>
        <w:tc>
          <w:tcPr>
            <w:tcW w:w="2972" w:type="dxa"/>
          </w:tcPr>
          <w:p w14:paraId="3BBBB6B9" w14:textId="77777777" w:rsidR="00172060" w:rsidRPr="00DB66BC" w:rsidRDefault="00172060" w:rsidP="00172060">
            <w:pPr>
              <w:rPr>
                <w:rFonts w:ascii="Times New Roman" w:hAnsi="Times New Roman" w:cs="Times New Roman"/>
                <w:sz w:val="16"/>
                <w:szCs w:val="16"/>
              </w:rPr>
            </w:pPr>
          </w:p>
        </w:tc>
        <w:tc>
          <w:tcPr>
            <w:tcW w:w="1985" w:type="dxa"/>
          </w:tcPr>
          <w:p w14:paraId="2B5DB9BD" w14:textId="0B4BA5F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45AB5C08" w14:textId="1853F5F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20m (s)</w:t>
            </w:r>
          </w:p>
        </w:tc>
        <w:tc>
          <w:tcPr>
            <w:tcW w:w="1559" w:type="dxa"/>
          </w:tcPr>
          <w:p w14:paraId="59F6669D" w14:textId="5F8AD9C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3.1 ± 0.4</w:t>
            </w:r>
          </w:p>
        </w:tc>
        <w:tc>
          <w:tcPr>
            <w:tcW w:w="1559" w:type="dxa"/>
          </w:tcPr>
          <w:p w14:paraId="5CCB685B" w14:textId="53D1387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2.7 ± 0.3</w:t>
            </w:r>
          </w:p>
        </w:tc>
        <w:tc>
          <w:tcPr>
            <w:tcW w:w="851" w:type="dxa"/>
          </w:tcPr>
          <w:p w14:paraId="026F444D" w14:textId="1DD2793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c>
          <w:tcPr>
            <w:tcW w:w="1559" w:type="dxa"/>
          </w:tcPr>
          <w:p w14:paraId="019BFE44" w14:textId="0784DA2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3.1 ± 0.1</w:t>
            </w:r>
          </w:p>
        </w:tc>
        <w:tc>
          <w:tcPr>
            <w:tcW w:w="1418" w:type="dxa"/>
          </w:tcPr>
          <w:p w14:paraId="58762456" w14:textId="65DEE42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 ± 0.1</w:t>
            </w:r>
          </w:p>
        </w:tc>
        <w:tc>
          <w:tcPr>
            <w:tcW w:w="904" w:type="dxa"/>
          </w:tcPr>
          <w:p w14:paraId="475CD978" w14:textId="4B56DEA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r>
      <w:tr w:rsidR="00172060" w:rsidRPr="00DB66BC" w14:paraId="6CECA1A0" w14:textId="77777777" w:rsidTr="0004185B">
        <w:trPr>
          <w:trHeight w:val="263"/>
        </w:trPr>
        <w:tc>
          <w:tcPr>
            <w:tcW w:w="2972" w:type="dxa"/>
          </w:tcPr>
          <w:p w14:paraId="01EDCE50" w14:textId="5EA9AC39" w:rsidR="00172060" w:rsidRPr="00DB66BC" w:rsidRDefault="00172060" w:rsidP="00172060">
            <w:pPr>
              <w:rPr>
                <w:rFonts w:ascii="Times New Roman" w:hAnsi="Times New Roman" w:cs="Times New Roman"/>
                <w:sz w:val="16"/>
                <w:szCs w:val="16"/>
              </w:rPr>
            </w:pPr>
          </w:p>
        </w:tc>
        <w:tc>
          <w:tcPr>
            <w:tcW w:w="1985" w:type="dxa"/>
          </w:tcPr>
          <w:p w14:paraId="1B108D96" w14:textId="624E014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651461A6" w14:textId="762A434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59F309F3" w14:textId="7EDA288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47 ± 6.3</w:t>
            </w:r>
          </w:p>
        </w:tc>
        <w:tc>
          <w:tcPr>
            <w:tcW w:w="1559" w:type="dxa"/>
          </w:tcPr>
          <w:p w14:paraId="5BD197A7" w14:textId="13C2A79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50.7 ± 7.9</w:t>
            </w:r>
          </w:p>
        </w:tc>
        <w:tc>
          <w:tcPr>
            <w:tcW w:w="851" w:type="dxa"/>
          </w:tcPr>
          <w:p w14:paraId="12B3BC7C" w14:textId="1EB146C1"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sz w:val="16"/>
                <w:szCs w:val="16"/>
              </w:rPr>
              <w:t>12</w:t>
            </w:r>
          </w:p>
        </w:tc>
        <w:tc>
          <w:tcPr>
            <w:tcW w:w="1559" w:type="dxa"/>
          </w:tcPr>
          <w:p w14:paraId="14529A38" w14:textId="5CE4F29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46.6 ± 5.4</w:t>
            </w:r>
          </w:p>
        </w:tc>
        <w:tc>
          <w:tcPr>
            <w:tcW w:w="1418" w:type="dxa"/>
          </w:tcPr>
          <w:p w14:paraId="3FF32086" w14:textId="1E8CEEB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48.9 ± 7.6</w:t>
            </w:r>
          </w:p>
        </w:tc>
        <w:tc>
          <w:tcPr>
            <w:tcW w:w="904" w:type="dxa"/>
          </w:tcPr>
          <w:p w14:paraId="6D3387C6" w14:textId="5F01DEBD"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sz w:val="16"/>
                <w:szCs w:val="16"/>
              </w:rPr>
              <w:t>12</w:t>
            </w:r>
          </w:p>
        </w:tc>
      </w:tr>
      <w:tr w:rsidR="00172060" w:rsidRPr="00DB66BC" w14:paraId="6EDDDAC2" w14:textId="77777777" w:rsidTr="0004185B">
        <w:trPr>
          <w:trHeight w:val="263"/>
        </w:trPr>
        <w:tc>
          <w:tcPr>
            <w:tcW w:w="2972" w:type="dxa"/>
          </w:tcPr>
          <w:p w14:paraId="4D016A24" w14:textId="20EA919B" w:rsidR="00172060" w:rsidRPr="00DB66BC" w:rsidRDefault="00172060" w:rsidP="00172060">
            <w:pPr>
              <w:rPr>
                <w:rFonts w:ascii="Times New Roman" w:hAnsi="Times New Roman" w:cs="Times New Roman"/>
                <w:sz w:val="16"/>
                <w:szCs w:val="16"/>
              </w:rPr>
            </w:pPr>
            <w:proofErr w:type="spellStart"/>
            <w:r w:rsidRPr="00DB66BC">
              <w:rPr>
                <w:rFonts w:ascii="Times New Roman" w:hAnsi="Times New Roman" w:cs="Times New Roman"/>
                <w:sz w:val="16"/>
                <w:szCs w:val="16"/>
              </w:rPr>
              <w:t>Foqha</w:t>
            </w:r>
            <w:proofErr w:type="spellEnd"/>
            <w:r w:rsidRPr="00DB66BC">
              <w:rPr>
                <w:rFonts w:ascii="Times New Roman" w:hAnsi="Times New Roman" w:cs="Times New Roman"/>
                <w:sz w:val="16"/>
                <w:szCs w:val="16"/>
              </w:rPr>
              <w:t xml:space="preserve">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{"citationItems":[{"id":"ITEM-1","itemData":{"DOI":"10.3389/fphys.2023.1236223","ISSN":"1664042X","abstract":"Objective: The primary objective of this study was to assess the effects of 10 weeks of FIFA 11+ training on the physical performance of elite seven-a-side soccer players. Methods: Twenty-five seven-a-side soccer players were recruited from two senior national teams. The players completed the following protocols during 10 weeks of training: a) FIFA 11+: The FIFA group (n = 13) underwent the FIFA 11+ program combined with regular soccer training; b) Dynamic conventional warm-up: The control group (n = 12) underwent regular soccer training. Their ability was validated using a pre-test followed by a post-test to measure the sprint performance (5-, 10-, and 20-m sprints), a modified agility T-test (MAT), and a five-jump test (FJT). Results: A comparison of pre- and post-tests for physical performance in each group demonstrated that the FIFA 11+ warm-up significantly improved the 10-m sprinting performance (p = 0.034; F = 5.04; ηp2 = 0.17) and reduced the time spent to perform the MAT (p = 0.000; F = 23.16; ηp2 = 0.52) in the FIFA group compared with the control group; however, no significant changes were observed in the 5- and 20-m sprints and FJT. Conclusion: The main findings of this research showed that the 10-week FIFA 11+ program led to significant improvements in the 10-m sprint and MAT compared to regular training among elite seven-a-side soccer players. Given these positive outcomes, further studies on the practical implementation and optimization of the FIFA 11+ program are warranted to provide valuable guidance for coaches and athletes, seeking to maximize its benefits in real-world settings.","author":[{"dropping-particle":"","family":"Foqha","given":"Batool Mohammed","non-dropping-particle":"","parse-names":false,"suffix":""},{"dropping-particle":"","family":"Schwesig","given":"René","non-dropping-particle":"","parse-names":false,"suffix":""},{"dropping-particle":"","family":"Ltifi","given":"Mohamed Amine","non-dropping-particle":"","parse-names":false,"suffix":""},{"dropping-particle":"","family":"Bartels","given":"Thomas","non-dropping-particle":"","parse-names":false,"suffix":""},{"dropping-particle":"","family":"Hermassi","given":"Souhail","non-dropping-particle":"","parse-names":false,"suffix":""},{"dropping-particle":"","family":"Aouadi","given":"Ridha","non-dropping-particle":"","parse-names":false,"suffix":""}],"container-title":"Frontiers in Physiology","id":"ITEM-1","issue":"November","issued":{"date-parts":[["2023"]]},"page":"1-11","title":"A 10-week FIFA 11+ program improves the short-sprint and modified agility T-test performance in elite seven-a-side soccer players","type":"article-journal","volume":"14"},"uris":["http://www.mendeley.com/documents/?uuid=bf509c3b-a5d1-4e98-ae3d-e4e251633486"]}],"mendeley":{"formattedCitation":"[8]","plainTextFormattedCitation":"[8]","previouslyFormattedCitation":"[8]"},"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[8]</w:t>
            </w:r>
            <w:r w:rsidR="00FC383C" w:rsidRPr="00DB66BC">
              <w:rPr>
                <w:rFonts w:ascii="Times New Roman" w:hAnsi="Times New Roman" w:cs="Times New Roman"/>
                <w:sz w:val="16"/>
                <w:szCs w:val="16"/>
              </w:rPr>
              <w:fldChar w:fldCharType="end"/>
            </w:r>
          </w:p>
        </w:tc>
        <w:tc>
          <w:tcPr>
            <w:tcW w:w="1985" w:type="dxa"/>
          </w:tcPr>
          <w:p w14:paraId="4A51BA06" w14:textId="43FDD517"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3C5A54F1" w14:textId="0FF1BC09"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MAT (s)</w:t>
            </w:r>
          </w:p>
        </w:tc>
        <w:tc>
          <w:tcPr>
            <w:tcW w:w="1559" w:type="dxa"/>
          </w:tcPr>
          <w:p w14:paraId="70797671" w14:textId="47AF918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6.43 ± 0.13</w:t>
            </w:r>
          </w:p>
        </w:tc>
        <w:tc>
          <w:tcPr>
            <w:tcW w:w="1559" w:type="dxa"/>
          </w:tcPr>
          <w:p w14:paraId="7EC1C588" w14:textId="6C15343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5.51 ± 0.08</w:t>
            </w:r>
          </w:p>
        </w:tc>
        <w:tc>
          <w:tcPr>
            <w:tcW w:w="851" w:type="dxa"/>
          </w:tcPr>
          <w:p w14:paraId="6AC3F59A" w14:textId="7F9AF2D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13</w:t>
            </w:r>
          </w:p>
        </w:tc>
        <w:tc>
          <w:tcPr>
            <w:tcW w:w="1559" w:type="dxa"/>
          </w:tcPr>
          <w:p w14:paraId="7AB2173E" w14:textId="0398BFF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6.57 ± 0.07</w:t>
            </w:r>
          </w:p>
        </w:tc>
        <w:tc>
          <w:tcPr>
            <w:tcW w:w="1418" w:type="dxa"/>
          </w:tcPr>
          <w:p w14:paraId="1D32A0DC" w14:textId="028227B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6.22 ± 0.13</w:t>
            </w:r>
          </w:p>
        </w:tc>
        <w:tc>
          <w:tcPr>
            <w:tcW w:w="904" w:type="dxa"/>
          </w:tcPr>
          <w:p w14:paraId="3A51CACD" w14:textId="0809441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r>
      <w:tr w:rsidR="00172060" w:rsidRPr="00DB66BC" w14:paraId="2858168F" w14:textId="77777777" w:rsidTr="0004185B">
        <w:trPr>
          <w:trHeight w:val="263"/>
        </w:trPr>
        <w:tc>
          <w:tcPr>
            <w:tcW w:w="2972" w:type="dxa"/>
          </w:tcPr>
          <w:p w14:paraId="501E3ED5" w14:textId="77777777" w:rsidR="00172060" w:rsidRPr="00DB66BC" w:rsidRDefault="00172060" w:rsidP="00172060">
            <w:pPr>
              <w:rPr>
                <w:rFonts w:ascii="Times New Roman" w:hAnsi="Times New Roman" w:cs="Times New Roman"/>
                <w:sz w:val="16"/>
                <w:szCs w:val="16"/>
              </w:rPr>
            </w:pPr>
          </w:p>
        </w:tc>
        <w:tc>
          <w:tcPr>
            <w:tcW w:w="1985" w:type="dxa"/>
          </w:tcPr>
          <w:p w14:paraId="335D630C" w14:textId="0FB6023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20AD8BE4" w14:textId="32A77D08"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10m (s)</w:t>
            </w:r>
          </w:p>
        </w:tc>
        <w:tc>
          <w:tcPr>
            <w:tcW w:w="1559" w:type="dxa"/>
          </w:tcPr>
          <w:p w14:paraId="3CDC7D13" w14:textId="355D0BF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1.95 ± 0.18</w:t>
            </w:r>
          </w:p>
        </w:tc>
        <w:tc>
          <w:tcPr>
            <w:tcW w:w="1559" w:type="dxa"/>
          </w:tcPr>
          <w:p w14:paraId="71B7142C" w14:textId="45E079D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1.88 ± 0.07</w:t>
            </w:r>
          </w:p>
        </w:tc>
        <w:tc>
          <w:tcPr>
            <w:tcW w:w="851" w:type="dxa"/>
          </w:tcPr>
          <w:p w14:paraId="178DC6C3" w14:textId="273D836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13</w:t>
            </w:r>
          </w:p>
        </w:tc>
        <w:tc>
          <w:tcPr>
            <w:tcW w:w="1559" w:type="dxa"/>
          </w:tcPr>
          <w:p w14:paraId="350ED42C" w14:textId="4834867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1.81 ± 0.03</w:t>
            </w:r>
          </w:p>
        </w:tc>
        <w:tc>
          <w:tcPr>
            <w:tcW w:w="1418" w:type="dxa"/>
          </w:tcPr>
          <w:p w14:paraId="14EE71B5" w14:textId="6DB7A52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1.87 ± 0.02</w:t>
            </w:r>
          </w:p>
        </w:tc>
        <w:tc>
          <w:tcPr>
            <w:tcW w:w="904" w:type="dxa"/>
          </w:tcPr>
          <w:p w14:paraId="1A8CD871" w14:textId="0C79132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r>
      <w:tr w:rsidR="00172060" w:rsidRPr="00DB66BC" w14:paraId="3E4769B2" w14:textId="77777777" w:rsidTr="0004185B">
        <w:trPr>
          <w:trHeight w:val="263"/>
        </w:trPr>
        <w:tc>
          <w:tcPr>
            <w:tcW w:w="2972" w:type="dxa"/>
          </w:tcPr>
          <w:p w14:paraId="56662591" w14:textId="77777777" w:rsidR="00172060" w:rsidRPr="00DB66BC" w:rsidRDefault="00172060" w:rsidP="00172060">
            <w:pPr>
              <w:rPr>
                <w:rFonts w:ascii="Times New Roman" w:hAnsi="Times New Roman" w:cs="Times New Roman"/>
                <w:sz w:val="16"/>
                <w:szCs w:val="16"/>
              </w:rPr>
            </w:pPr>
          </w:p>
        </w:tc>
        <w:tc>
          <w:tcPr>
            <w:tcW w:w="1985" w:type="dxa"/>
          </w:tcPr>
          <w:p w14:paraId="27BC1FAB" w14:textId="0837082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77179D7D" w14:textId="6B90E18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20m (s)</w:t>
            </w:r>
          </w:p>
        </w:tc>
        <w:tc>
          <w:tcPr>
            <w:tcW w:w="1559" w:type="dxa"/>
          </w:tcPr>
          <w:p w14:paraId="6001B15B" w14:textId="3D4D135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1.81 ± 0.03</w:t>
            </w:r>
          </w:p>
        </w:tc>
        <w:tc>
          <w:tcPr>
            <w:tcW w:w="1559" w:type="dxa"/>
          </w:tcPr>
          <w:p w14:paraId="3BFDCE18" w14:textId="0149630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3.24 ± 0.03</w:t>
            </w:r>
          </w:p>
        </w:tc>
        <w:tc>
          <w:tcPr>
            <w:tcW w:w="851" w:type="dxa"/>
          </w:tcPr>
          <w:p w14:paraId="12D846FD" w14:textId="6FE9F95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13</w:t>
            </w:r>
          </w:p>
        </w:tc>
        <w:tc>
          <w:tcPr>
            <w:tcW w:w="1559" w:type="dxa"/>
          </w:tcPr>
          <w:p w14:paraId="0E280A57" w14:textId="4851ED2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3.13 ± 0.03</w:t>
            </w:r>
          </w:p>
        </w:tc>
        <w:tc>
          <w:tcPr>
            <w:tcW w:w="1418" w:type="dxa"/>
          </w:tcPr>
          <w:p w14:paraId="31216873" w14:textId="711F8F5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3.18 ± 0.03</w:t>
            </w:r>
          </w:p>
        </w:tc>
        <w:tc>
          <w:tcPr>
            <w:tcW w:w="904" w:type="dxa"/>
          </w:tcPr>
          <w:p w14:paraId="69B0CA22" w14:textId="110C12D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w:t>
            </w:r>
          </w:p>
        </w:tc>
      </w:tr>
      <w:tr w:rsidR="00172060" w:rsidRPr="00DB66BC" w14:paraId="3BA945DF" w14:textId="77777777" w:rsidTr="0004185B">
        <w:trPr>
          <w:trHeight w:val="263"/>
        </w:trPr>
        <w:tc>
          <w:tcPr>
            <w:tcW w:w="2972" w:type="dxa"/>
          </w:tcPr>
          <w:p w14:paraId="7867E585" w14:textId="4DA8A81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Hwang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10.15857/ksep.2019.28.2.141","author":[{"dropping-particle":"","family":"Hwang","given":"J","non-dropping-particle":"","parse-names":false,"suffix":""},{"dropping-particle":"","family":"Kim","given":"J","non-dropping-particle":"","parse-names":false,"suffix":""}],"container-title":"Exercise Science","id":"ITEM-1","issue":"2","issued":{"date-parts":[["2019"]]},"note":"Export Date: 29 December 2024; Cited By: 10","page":"141-149","title":"Effect of fifa 11+ training program on soccer-specific physical performance and functional movement in collegiate male soccer players: A randomized controlled trial","type":"article-journal","volume":"28"},"uris":["http://www.mendeley.com/documents/?uuid=1374f6c4-9489-4d45-a827-0bd567aab3d4"]}],"mendeley":{"formattedCitation":"[9]","plainTextFormattedCitation":"[9]","previouslyFormattedCitation":"[9]"},"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[9]</w:t>
            </w:r>
            <w:r w:rsidR="00FC383C" w:rsidRPr="00DB66BC">
              <w:rPr>
                <w:rFonts w:ascii="Times New Roman" w:hAnsi="Times New Roman" w:cs="Times New Roman"/>
                <w:sz w:val="16"/>
                <w:szCs w:val="16"/>
              </w:rPr>
              <w:fldChar w:fldCharType="end"/>
            </w:r>
          </w:p>
        </w:tc>
        <w:tc>
          <w:tcPr>
            <w:tcW w:w="1985" w:type="dxa"/>
          </w:tcPr>
          <w:p w14:paraId="44DD2643" w14:textId="3FDF7677"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vAlign w:val="bottom"/>
          </w:tcPr>
          <w:p w14:paraId="7311B76C" w14:textId="2B2E7AD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color w:val="000000"/>
                <w:sz w:val="16"/>
                <w:szCs w:val="16"/>
              </w:rPr>
              <w:t>AAT-R (s)</w:t>
            </w:r>
          </w:p>
        </w:tc>
        <w:tc>
          <w:tcPr>
            <w:tcW w:w="1559" w:type="dxa"/>
          </w:tcPr>
          <w:p w14:paraId="09B69755" w14:textId="550B2E6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9.0 ± 0.2</w:t>
            </w:r>
          </w:p>
        </w:tc>
        <w:tc>
          <w:tcPr>
            <w:tcW w:w="1559" w:type="dxa"/>
          </w:tcPr>
          <w:p w14:paraId="3CD85D57" w14:textId="6C163D4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8.8 ± 0.3</w:t>
            </w:r>
          </w:p>
        </w:tc>
        <w:tc>
          <w:tcPr>
            <w:tcW w:w="851" w:type="dxa"/>
          </w:tcPr>
          <w:p w14:paraId="538194B1" w14:textId="56F4E17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2D322C15" w14:textId="7EB4146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9.0 ± 0.2</w:t>
            </w:r>
          </w:p>
        </w:tc>
        <w:tc>
          <w:tcPr>
            <w:tcW w:w="1418" w:type="dxa"/>
          </w:tcPr>
          <w:p w14:paraId="78D1FD0A" w14:textId="0C14134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 ± 0.2</w:t>
            </w:r>
          </w:p>
        </w:tc>
        <w:tc>
          <w:tcPr>
            <w:tcW w:w="904" w:type="dxa"/>
          </w:tcPr>
          <w:p w14:paraId="2AE5598D" w14:textId="7FA8934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r>
      <w:tr w:rsidR="00172060" w:rsidRPr="00DB66BC" w14:paraId="42DB0794" w14:textId="77777777" w:rsidTr="0004185B">
        <w:trPr>
          <w:trHeight w:val="263"/>
        </w:trPr>
        <w:tc>
          <w:tcPr>
            <w:tcW w:w="2972" w:type="dxa"/>
          </w:tcPr>
          <w:p w14:paraId="67EA5912" w14:textId="77777777" w:rsidR="00172060" w:rsidRPr="00DB66BC" w:rsidRDefault="00172060" w:rsidP="00172060">
            <w:pPr>
              <w:rPr>
                <w:rFonts w:ascii="Times New Roman" w:hAnsi="Times New Roman" w:cs="Times New Roman"/>
                <w:sz w:val="16"/>
                <w:szCs w:val="16"/>
              </w:rPr>
            </w:pPr>
          </w:p>
        </w:tc>
        <w:tc>
          <w:tcPr>
            <w:tcW w:w="1985" w:type="dxa"/>
          </w:tcPr>
          <w:p w14:paraId="2467F84F" w14:textId="7FCA597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vAlign w:val="bottom"/>
          </w:tcPr>
          <w:p w14:paraId="43ADB056" w14:textId="00347D5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color w:val="000000"/>
                <w:sz w:val="16"/>
                <w:szCs w:val="16"/>
              </w:rPr>
              <w:t>AAT-L (s)</w:t>
            </w:r>
          </w:p>
        </w:tc>
        <w:tc>
          <w:tcPr>
            <w:tcW w:w="1559" w:type="dxa"/>
          </w:tcPr>
          <w:p w14:paraId="7952B193" w14:textId="61ABE0F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9.0 ± 0.2</w:t>
            </w:r>
          </w:p>
        </w:tc>
        <w:tc>
          <w:tcPr>
            <w:tcW w:w="1559" w:type="dxa"/>
          </w:tcPr>
          <w:p w14:paraId="7473488A" w14:textId="077A92D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8.6 ± 0.3</w:t>
            </w:r>
          </w:p>
        </w:tc>
        <w:tc>
          <w:tcPr>
            <w:tcW w:w="851" w:type="dxa"/>
          </w:tcPr>
          <w:p w14:paraId="05B2C4F5" w14:textId="70ECE05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363A90FE" w14:textId="6EA019B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8.9 ± 0.4</w:t>
            </w:r>
          </w:p>
        </w:tc>
        <w:tc>
          <w:tcPr>
            <w:tcW w:w="1418" w:type="dxa"/>
          </w:tcPr>
          <w:p w14:paraId="7FD93DA1" w14:textId="3511374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 ± 0.3</w:t>
            </w:r>
          </w:p>
        </w:tc>
        <w:tc>
          <w:tcPr>
            <w:tcW w:w="904" w:type="dxa"/>
          </w:tcPr>
          <w:p w14:paraId="4C1E5621" w14:textId="0655BEF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r>
      <w:tr w:rsidR="00172060" w:rsidRPr="00DB66BC" w14:paraId="45162341" w14:textId="77777777" w:rsidTr="0004185B">
        <w:trPr>
          <w:trHeight w:val="263"/>
        </w:trPr>
        <w:tc>
          <w:tcPr>
            <w:tcW w:w="2972" w:type="dxa"/>
          </w:tcPr>
          <w:p w14:paraId="67BE9F91" w14:textId="228AB469" w:rsidR="00172060" w:rsidRPr="00DB66BC" w:rsidRDefault="00172060" w:rsidP="00172060">
            <w:pPr>
              <w:rPr>
                <w:rFonts w:ascii="Times New Roman" w:hAnsi="Times New Roman" w:cs="Times New Roman"/>
                <w:sz w:val="16"/>
                <w:szCs w:val="16"/>
              </w:rPr>
            </w:pPr>
          </w:p>
        </w:tc>
        <w:tc>
          <w:tcPr>
            <w:tcW w:w="1985" w:type="dxa"/>
          </w:tcPr>
          <w:p w14:paraId="16FC5F9C" w14:textId="03BD72E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6AECA6A8" w14:textId="464CFFF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10m (s)</w:t>
            </w:r>
          </w:p>
        </w:tc>
        <w:tc>
          <w:tcPr>
            <w:tcW w:w="1559" w:type="dxa"/>
          </w:tcPr>
          <w:p w14:paraId="13C263B6" w14:textId="0547F09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 ± 0.0</w:t>
            </w:r>
          </w:p>
        </w:tc>
        <w:tc>
          <w:tcPr>
            <w:tcW w:w="1559" w:type="dxa"/>
          </w:tcPr>
          <w:p w14:paraId="2377E727" w14:textId="6F92313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 ± 0.01</w:t>
            </w:r>
          </w:p>
        </w:tc>
        <w:tc>
          <w:tcPr>
            <w:tcW w:w="851" w:type="dxa"/>
          </w:tcPr>
          <w:p w14:paraId="49EB992F" w14:textId="402E80DF"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10</w:t>
            </w:r>
          </w:p>
        </w:tc>
        <w:tc>
          <w:tcPr>
            <w:tcW w:w="1559" w:type="dxa"/>
          </w:tcPr>
          <w:p w14:paraId="6E608DFE" w14:textId="10BAE08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 ± 0.0</w:t>
            </w:r>
          </w:p>
        </w:tc>
        <w:tc>
          <w:tcPr>
            <w:tcW w:w="1418" w:type="dxa"/>
          </w:tcPr>
          <w:p w14:paraId="09343506" w14:textId="07F17B5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 ± 0.01</w:t>
            </w:r>
          </w:p>
        </w:tc>
        <w:tc>
          <w:tcPr>
            <w:tcW w:w="904" w:type="dxa"/>
          </w:tcPr>
          <w:p w14:paraId="32E2E273" w14:textId="7C258B0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r>
      <w:tr w:rsidR="00172060" w:rsidRPr="00DB66BC" w14:paraId="34087EFC" w14:textId="77777777" w:rsidTr="0004185B">
        <w:trPr>
          <w:trHeight w:val="263"/>
        </w:trPr>
        <w:tc>
          <w:tcPr>
            <w:tcW w:w="2972" w:type="dxa"/>
          </w:tcPr>
          <w:p w14:paraId="7D534768" w14:textId="4752F8BC" w:rsidR="00172060" w:rsidRPr="00DB66BC" w:rsidRDefault="00172060" w:rsidP="00172060">
            <w:pPr>
              <w:rPr>
                <w:rFonts w:ascii="Times New Roman" w:hAnsi="Times New Roman" w:cs="Times New Roman"/>
                <w:sz w:val="16"/>
                <w:szCs w:val="16"/>
              </w:rPr>
            </w:pPr>
          </w:p>
        </w:tc>
        <w:tc>
          <w:tcPr>
            <w:tcW w:w="1985" w:type="dxa"/>
          </w:tcPr>
          <w:p w14:paraId="7EE755F7" w14:textId="5B759B3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0BD9E83C" w14:textId="6EBCF4D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30m (s)</w:t>
            </w:r>
          </w:p>
        </w:tc>
        <w:tc>
          <w:tcPr>
            <w:tcW w:w="1559" w:type="dxa"/>
          </w:tcPr>
          <w:p w14:paraId="41AEF0E2" w14:textId="4E1F71D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4.2 ± 0.1</w:t>
            </w:r>
          </w:p>
        </w:tc>
        <w:tc>
          <w:tcPr>
            <w:tcW w:w="1559" w:type="dxa"/>
          </w:tcPr>
          <w:p w14:paraId="6F5BD295" w14:textId="7F42B70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4.1 ± 0.01</w:t>
            </w:r>
          </w:p>
        </w:tc>
        <w:tc>
          <w:tcPr>
            <w:tcW w:w="851" w:type="dxa"/>
          </w:tcPr>
          <w:p w14:paraId="30AA9F15" w14:textId="28EA671F"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10</w:t>
            </w:r>
          </w:p>
        </w:tc>
        <w:tc>
          <w:tcPr>
            <w:tcW w:w="1559" w:type="dxa"/>
          </w:tcPr>
          <w:p w14:paraId="1CA5B356" w14:textId="0FC35FF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4.2 ± 0.1</w:t>
            </w:r>
          </w:p>
        </w:tc>
        <w:tc>
          <w:tcPr>
            <w:tcW w:w="1418" w:type="dxa"/>
          </w:tcPr>
          <w:p w14:paraId="1BDDA164" w14:textId="6B41835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4.2 ± 0.1</w:t>
            </w:r>
          </w:p>
        </w:tc>
        <w:tc>
          <w:tcPr>
            <w:tcW w:w="904" w:type="dxa"/>
          </w:tcPr>
          <w:p w14:paraId="2085472E" w14:textId="3BF9ED2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r>
    </w:tbl>
    <w:p w14:paraId="263546C2" w14:textId="77777777" w:rsidR="0076517B" w:rsidRPr="00DB66BC" w:rsidRDefault="0076517B"/>
    <w:tbl>
      <w:tblPr>
        <w:tblStyle w:val="TableGrid"/>
        <w:tblW w:w="14933" w:type="dxa"/>
        <w:tblLook w:val="04A0" w:firstRow="1" w:lastRow="0" w:firstColumn="1" w:lastColumn="0" w:noHBand="0" w:noVBand="1"/>
      </w:tblPr>
      <w:tblGrid>
        <w:gridCol w:w="2972"/>
        <w:gridCol w:w="1985"/>
        <w:gridCol w:w="2126"/>
        <w:gridCol w:w="1559"/>
        <w:gridCol w:w="1559"/>
        <w:gridCol w:w="851"/>
        <w:gridCol w:w="1559"/>
        <w:gridCol w:w="1418"/>
        <w:gridCol w:w="904"/>
      </w:tblGrid>
      <w:tr w:rsidR="0076517B" w:rsidRPr="00DB66BC" w14:paraId="240D1D99" w14:textId="77777777" w:rsidTr="0076517B">
        <w:trPr>
          <w:trHeight w:val="263"/>
        </w:trPr>
        <w:tc>
          <w:tcPr>
            <w:tcW w:w="14933" w:type="dxa"/>
            <w:gridSpan w:val="9"/>
            <w:tcBorders>
              <w:top w:val="nil"/>
              <w:left w:val="nil"/>
              <w:bottom w:val="single" w:sz="4" w:space="0" w:color="auto"/>
              <w:right w:val="nil"/>
            </w:tcBorders>
          </w:tcPr>
          <w:p w14:paraId="0BFA7FFF" w14:textId="01E1F456" w:rsidR="0076517B" w:rsidRPr="00DB66BC" w:rsidRDefault="0076517B" w:rsidP="00172060">
            <w:pPr>
              <w:jc w:val="center"/>
              <w:rPr>
                <w:rFonts w:ascii="Times New Roman" w:hAnsi="Times New Roman" w:cs="Times New Roman"/>
                <w:color w:val="000000"/>
                <w:sz w:val="16"/>
                <w:szCs w:val="16"/>
              </w:rPr>
            </w:pPr>
            <w:r w:rsidRPr="00DB66BC">
              <w:rPr>
                <w:rFonts w:ascii="Times New Roman" w:hAnsi="Times New Roman" w:cs="Times New Roman"/>
                <w:b/>
                <w:bCs/>
              </w:rPr>
              <w:t xml:space="preserve">Supplementary Material 1. </w:t>
            </w:r>
            <w:r w:rsidRPr="00DB66BC">
              <w:rPr>
                <w:rFonts w:ascii="Times New Roman" w:hAnsi="Times New Roman" w:cs="Times New Roman"/>
              </w:rPr>
              <w:t>Continue</w:t>
            </w:r>
            <w:r w:rsidR="00CC477E" w:rsidRPr="00DB66BC">
              <w:rPr>
                <w:rFonts w:ascii="Times New Roman" w:hAnsi="Times New Roman" w:cs="Times New Roman"/>
              </w:rPr>
              <w:t>d</w:t>
            </w:r>
            <w:r w:rsidRPr="00DB66BC">
              <w:rPr>
                <w:rFonts w:ascii="Times New Roman" w:hAnsi="Times New Roman" w:cs="Times New Roman"/>
              </w:rPr>
              <w:t>.</w:t>
            </w:r>
          </w:p>
        </w:tc>
      </w:tr>
      <w:tr w:rsidR="00172060" w:rsidRPr="00DB66BC" w14:paraId="2E2486CE" w14:textId="77777777" w:rsidTr="0076517B">
        <w:trPr>
          <w:trHeight w:val="263"/>
        </w:trPr>
        <w:tc>
          <w:tcPr>
            <w:tcW w:w="2972" w:type="dxa"/>
            <w:tcBorders>
              <w:top w:val="single" w:sz="4" w:space="0" w:color="auto"/>
            </w:tcBorders>
          </w:tcPr>
          <w:p w14:paraId="44FC6A21" w14:textId="52E5A89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Impellizzeri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{"citationItems":[{"id":"ITEM-1","itemData":{"DOI":"10.1080/02640414.2013.802926","author":[{"dropping-particle":"","family":"Impellizzeri","given":"F M","non-dropping-particle":"","parse-names":false,"suffix":""},{"dropping-particle":"","family":"Bizzini","given":"M","non-dropping-particle":"","parse-names":false,"suffix":""},{"dropping-particle":"","family":"Dvorak","given":"J","non-dropping-particle":"","parse-names":false,"suffix":""},{"dropping-particle":"","family":"Pellegrini","given":"B","non-dropping-particle":"","parse-names":false,"suffix":""},{"dropping-particle":"","family":"Schena","given":"F","non-dropping-particle":"","parse-names":false,"suffix":""},{"dropping-particle":"","family":"Junge","given":"A","non-dropping-particle":"","parse-names":false,"suffix":""}],"container-title":"Journal of Sports Sciences","id":"ITEM-1","issue":"13","issued":{"date-parts":[["2013"]]},"note":"Export Date: 29 December 2024; Cited By: 117","page":"1491-1502","title":"Physiological and performance responses to the FIFA 11+ (part 2): A randomised controlled trial on the training effects","type":"article-journal","volume":"31"},"uris":["http://www.mendeley.com/documents/?uuid=2d4ac6ca-fe1d-4c72-aae2-8342c971075e"]}],"mendeley":{"formattedCitation":"[10]","plainTextFormattedCitation":"[10]","previouslyFormattedCitation":"[10]"},"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[10]</w:t>
            </w:r>
            <w:r w:rsidR="00FC383C" w:rsidRPr="00DB66BC">
              <w:rPr>
                <w:rFonts w:ascii="Times New Roman" w:hAnsi="Times New Roman" w:cs="Times New Roman"/>
                <w:sz w:val="16"/>
                <w:szCs w:val="16"/>
              </w:rPr>
              <w:fldChar w:fldCharType="end"/>
            </w:r>
          </w:p>
        </w:tc>
        <w:tc>
          <w:tcPr>
            <w:tcW w:w="1985" w:type="dxa"/>
            <w:tcBorders>
              <w:top w:val="single" w:sz="4" w:space="0" w:color="auto"/>
            </w:tcBorders>
          </w:tcPr>
          <w:p w14:paraId="22805300" w14:textId="67F0BD77"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Borders>
              <w:top w:val="single" w:sz="4" w:space="0" w:color="auto"/>
            </w:tcBorders>
          </w:tcPr>
          <w:p w14:paraId="2FFCE6C4" w14:textId="6018210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SEBT (% of L L)</w:t>
            </w:r>
          </w:p>
        </w:tc>
        <w:tc>
          <w:tcPr>
            <w:tcW w:w="1559" w:type="dxa"/>
            <w:tcBorders>
              <w:top w:val="single" w:sz="4" w:space="0" w:color="auto"/>
            </w:tcBorders>
          </w:tcPr>
          <w:p w14:paraId="142DB6C9" w14:textId="0691CE8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90 ± 5.9</w:t>
            </w:r>
          </w:p>
        </w:tc>
        <w:tc>
          <w:tcPr>
            <w:tcW w:w="1559" w:type="dxa"/>
            <w:tcBorders>
              <w:top w:val="single" w:sz="4" w:space="0" w:color="auto"/>
            </w:tcBorders>
          </w:tcPr>
          <w:p w14:paraId="38C9FEBB" w14:textId="6686980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91.7 ± 6.1</w:t>
            </w:r>
          </w:p>
        </w:tc>
        <w:tc>
          <w:tcPr>
            <w:tcW w:w="851" w:type="dxa"/>
            <w:tcBorders>
              <w:top w:val="single" w:sz="4" w:space="0" w:color="auto"/>
            </w:tcBorders>
          </w:tcPr>
          <w:p w14:paraId="383E313D" w14:textId="3C35CEB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42</w:t>
            </w:r>
          </w:p>
        </w:tc>
        <w:tc>
          <w:tcPr>
            <w:tcW w:w="1559" w:type="dxa"/>
            <w:tcBorders>
              <w:top w:val="single" w:sz="4" w:space="0" w:color="auto"/>
            </w:tcBorders>
          </w:tcPr>
          <w:p w14:paraId="44F3BAD1" w14:textId="40C4C14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89.9 ± 6.2</w:t>
            </w:r>
          </w:p>
        </w:tc>
        <w:tc>
          <w:tcPr>
            <w:tcW w:w="1418" w:type="dxa"/>
            <w:tcBorders>
              <w:top w:val="single" w:sz="4" w:space="0" w:color="auto"/>
            </w:tcBorders>
          </w:tcPr>
          <w:p w14:paraId="5552AC9B" w14:textId="2E19F89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90.6 ± 6.5</w:t>
            </w:r>
          </w:p>
        </w:tc>
        <w:tc>
          <w:tcPr>
            <w:tcW w:w="904" w:type="dxa"/>
            <w:tcBorders>
              <w:top w:val="single" w:sz="4" w:space="0" w:color="auto"/>
            </w:tcBorders>
          </w:tcPr>
          <w:p w14:paraId="5FB4977D" w14:textId="111586F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39</w:t>
            </w:r>
          </w:p>
        </w:tc>
      </w:tr>
      <w:tr w:rsidR="00172060" w:rsidRPr="00DB66BC" w14:paraId="1BF2CF60" w14:textId="77777777" w:rsidTr="0004185B">
        <w:trPr>
          <w:trHeight w:val="263"/>
        </w:trPr>
        <w:tc>
          <w:tcPr>
            <w:tcW w:w="2972" w:type="dxa"/>
          </w:tcPr>
          <w:p w14:paraId="4A5451FF" w14:textId="77777777" w:rsidR="00172060" w:rsidRPr="00DB66BC" w:rsidRDefault="00172060" w:rsidP="00172060">
            <w:pPr>
              <w:rPr>
                <w:rFonts w:ascii="Times New Roman" w:hAnsi="Times New Roman" w:cs="Times New Roman"/>
                <w:sz w:val="16"/>
                <w:szCs w:val="16"/>
              </w:rPr>
            </w:pPr>
          </w:p>
        </w:tc>
        <w:tc>
          <w:tcPr>
            <w:tcW w:w="1985" w:type="dxa"/>
          </w:tcPr>
          <w:p w14:paraId="1FDA7037" w14:textId="27055E3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1A0FB9E3" w14:textId="378756B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T-test (s)</w:t>
            </w:r>
          </w:p>
        </w:tc>
        <w:tc>
          <w:tcPr>
            <w:tcW w:w="1559" w:type="dxa"/>
          </w:tcPr>
          <w:p w14:paraId="685AED03" w14:textId="0F7A77C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10.7 ± 0.3</w:t>
            </w:r>
          </w:p>
        </w:tc>
        <w:tc>
          <w:tcPr>
            <w:tcW w:w="1559" w:type="dxa"/>
          </w:tcPr>
          <w:p w14:paraId="03438B19" w14:textId="36D2971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10.4 ± 0.5</w:t>
            </w:r>
          </w:p>
        </w:tc>
        <w:tc>
          <w:tcPr>
            <w:tcW w:w="851" w:type="dxa"/>
          </w:tcPr>
          <w:p w14:paraId="513BECFD" w14:textId="3059D6D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42</w:t>
            </w:r>
          </w:p>
        </w:tc>
        <w:tc>
          <w:tcPr>
            <w:tcW w:w="1559" w:type="dxa"/>
          </w:tcPr>
          <w:p w14:paraId="02FF7484" w14:textId="21C5043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10.6 ± 0.4</w:t>
            </w:r>
          </w:p>
        </w:tc>
        <w:tc>
          <w:tcPr>
            <w:tcW w:w="1418" w:type="dxa"/>
          </w:tcPr>
          <w:p w14:paraId="1D25A4D3" w14:textId="33BF6FC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10.5 ± 0.5</w:t>
            </w:r>
          </w:p>
        </w:tc>
        <w:tc>
          <w:tcPr>
            <w:tcW w:w="904" w:type="dxa"/>
          </w:tcPr>
          <w:p w14:paraId="48310753" w14:textId="3FDD1EF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39</w:t>
            </w:r>
          </w:p>
        </w:tc>
      </w:tr>
      <w:tr w:rsidR="00172060" w:rsidRPr="00DB66BC" w14:paraId="602EAD8E" w14:textId="77777777" w:rsidTr="0004185B">
        <w:trPr>
          <w:trHeight w:val="263"/>
        </w:trPr>
        <w:tc>
          <w:tcPr>
            <w:tcW w:w="2972" w:type="dxa"/>
          </w:tcPr>
          <w:p w14:paraId="4D0A4FA5" w14:textId="77777777" w:rsidR="00172060" w:rsidRPr="00DB66BC" w:rsidRDefault="00172060" w:rsidP="00172060">
            <w:pPr>
              <w:rPr>
                <w:rFonts w:ascii="Times New Roman" w:hAnsi="Times New Roman" w:cs="Times New Roman"/>
                <w:sz w:val="16"/>
                <w:szCs w:val="16"/>
              </w:rPr>
            </w:pPr>
          </w:p>
        </w:tc>
        <w:tc>
          <w:tcPr>
            <w:tcW w:w="1985" w:type="dxa"/>
          </w:tcPr>
          <w:p w14:paraId="1F9E4882" w14:textId="30E34CB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1650555B" w14:textId="68835F3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20m (s)</w:t>
            </w:r>
          </w:p>
        </w:tc>
        <w:tc>
          <w:tcPr>
            <w:tcW w:w="1559" w:type="dxa"/>
          </w:tcPr>
          <w:p w14:paraId="22E74B64" w14:textId="26A724E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3.31 ± 0.12</w:t>
            </w:r>
          </w:p>
        </w:tc>
        <w:tc>
          <w:tcPr>
            <w:tcW w:w="1559" w:type="dxa"/>
          </w:tcPr>
          <w:p w14:paraId="1E44122C" w14:textId="1DCDF21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3.22 ± 0.12</w:t>
            </w:r>
          </w:p>
        </w:tc>
        <w:tc>
          <w:tcPr>
            <w:tcW w:w="851" w:type="dxa"/>
          </w:tcPr>
          <w:p w14:paraId="3479E978" w14:textId="614DACA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42</w:t>
            </w:r>
          </w:p>
        </w:tc>
        <w:tc>
          <w:tcPr>
            <w:tcW w:w="1559" w:type="dxa"/>
          </w:tcPr>
          <w:p w14:paraId="43FE5F02" w14:textId="2DFA4C3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3.29 ± 0.14</w:t>
            </w:r>
          </w:p>
        </w:tc>
        <w:tc>
          <w:tcPr>
            <w:tcW w:w="1418" w:type="dxa"/>
          </w:tcPr>
          <w:p w14:paraId="108FB555" w14:textId="488BBB4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3.24 ± 0.12</w:t>
            </w:r>
          </w:p>
        </w:tc>
        <w:tc>
          <w:tcPr>
            <w:tcW w:w="904" w:type="dxa"/>
          </w:tcPr>
          <w:p w14:paraId="742C3D0A" w14:textId="19C8866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39</w:t>
            </w:r>
          </w:p>
        </w:tc>
      </w:tr>
      <w:tr w:rsidR="00172060" w:rsidRPr="00DB66BC" w14:paraId="569386CB" w14:textId="77777777" w:rsidTr="0004185B">
        <w:trPr>
          <w:trHeight w:val="263"/>
        </w:trPr>
        <w:tc>
          <w:tcPr>
            <w:tcW w:w="2972" w:type="dxa"/>
          </w:tcPr>
          <w:p w14:paraId="79C5036A" w14:textId="77777777" w:rsidR="00172060" w:rsidRPr="00DB66BC" w:rsidRDefault="00172060" w:rsidP="00172060">
            <w:pPr>
              <w:rPr>
                <w:rFonts w:ascii="Times New Roman" w:hAnsi="Times New Roman" w:cs="Times New Roman"/>
                <w:sz w:val="16"/>
                <w:szCs w:val="16"/>
              </w:rPr>
            </w:pPr>
          </w:p>
        </w:tc>
        <w:tc>
          <w:tcPr>
            <w:tcW w:w="1985" w:type="dxa"/>
          </w:tcPr>
          <w:p w14:paraId="1620E9C1" w14:textId="1637D815"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07B4487D" w14:textId="4E555A8C"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2A4D9FCE" w14:textId="25905C0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46.7 ± 6.7</w:t>
            </w:r>
          </w:p>
        </w:tc>
        <w:tc>
          <w:tcPr>
            <w:tcW w:w="1559" w:type="dxa"/>
          </w:tcPr>
          <w:p w14:paraId="7EF864BE" w14:textId="1CF9268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47.4 ± 7</w:t>
            </w:r>
          </w:p>
        </w:tc>
        <w:tc>
          <w:tcPr>
            <w:tcW w:w="851" w:type="dxa"/>
          </w:tcPr>
          <w:p w14:paraId="1A3DD519" w14:textId="3D3E4B7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42</w:t>
            </w:r>
          </w:p>
        </w:tc>
        <w:tc>
          <w:tcPr>
            <w:tcW w:w="1559" w:type="dxa"/>
          </w:tcPr>
          <w:p w14:paraId="5124CE2A" w14:textId="7E0ED49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45.3 ± 6.9</w:t>
            </w:r>
          </w:p>
        </w:tc>
        <w:tc>
          <w:tcPr>
            <w:tcW w:w="1418" w:type="dxa"/>
          </w:tcPr>
          <w:p w14:paraId="0C05EFF0" w14:textId="087CDFE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45.2 ± 7.5</w:t>
            </w:r>
          </w:p>
        </w:tc>
        <w:tc>
          <w:tcPr>
            <w:tcW w:w="904" w:type="dxa"/>
          </w:tcPr>
          <w:p w14:paraId="5AD27306" w14:textId="61E8EF4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39</w:t>
            </w:r>
          </w:p>
        </w:tc>
      </w:tr>
      <w:tr w:rsidR="00172060" w:rsidRPr="00DB66BC" w14:paraId="4D7070F4" w14:textId="77777777" w:rsidTr="0004185B">
        <w:trPr>
          <w:trHeight w:val="263"/>
        </w:trPr>
        <w:tc>
          <w:tcPr>
            <w:tcW w:w="2972" w:type="dxa"/>
          </w:tcPr>
          <w:p w14:paraId="74A6FCE0" w14:textId="5BDAC0F8" w:rsidR="00172060" w:rsidRPr="00DB66BC" w:rsidRDefault="00172060" w:rsidP="00172060">
            <w:pPr>
              <w:rPr>
                <w:rFonts w:ascii="Times New Roman" w:hAnsi="Times New Roman" w:cs="Times New Roman"/>
                <w:sz w:val="16"/>
                <w:szCs w:val="16"/>
              </w:rPr>
            </w:pPr>
            <w:proofErr w:type="spellStart"/>
            <w:r w:rsidRPr="00DB66BC">
              <w:rPr>
                <w:rFonts w:ascii="Times New Roman" w:hAnsi="Times New Roman" w:cs="Times New Roman"/>
                <w:sz w:val="16"/>
                <w:szCs w:val="16"/>
              </w:rPr>
              <w:t>Nawed</w:t>
            </w:r>
            <w:proofErr w:type="spellEnd"/>
            <w:r w:rsidRPr="00DB66BC">
              <w:rPr>
                <w:rFonts w:ascii="Times New Roman" w:hAnsi="Times New Roman" w:cs="Times New Roman"/>
                <w:sz w:val="16"/>
                <w:szCs w:val="16"/>
              </w:rPr>
              <w:t xml:space="preserve">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{"citationItems":[{"id":"ITEM-1","itemData":{"DOI":"10.3233/BMR-171034","ISSN":"18786324","PMID":"29889058","abstract":"BACKGROUND: The FIFA-Medical and Assessment Research Centre developed FIFA 11+ program as a warm-up program for soccer players. Although the FIFA 11+ program is a well-established warm-up protocol for injury prevention among soccer players, the program's performance enhancement aspect is not frequently discussed in the literature. OBJECTIVE: To investigate the effects of the FIFA 11+ training program on functional performance in amateur male soccer players. METHODS: The study included 57 amateur male soccer players from Jamia Hamdard University, who were randomly placed in an experimental group (n= 29) or a control group (n= 28). The experimental group underwent the FIFA 11+ training program for 12 weeks (five times per week) and the control group continued their regular training. The study adopted a pretest-posttest design. The outcome measurements included the following tests: vertical jump, 20-yard sprint run, Illinois agility run test, and t-tests. RESULTS: Vertical jump and sprint speed were significantly improved in the FIFA 11+ program group compared to the control group (p&lt; 0.05). No statistically significant difference in agility parameters (p&gt; 0.05) was found between the groups. CONCLUSION: The results show that the FIFA 11+ program may improve the performance of young amateur soccer players. This study may serve as the foundation for further studies with larger participant numbers.","author":[{"dropping-particle":"","family":"Nawed","given":"Alvina","non-dropping-particle":"","parse-names":false,"suffix":""},{"dropping-particle":"","family":"Khan","given":"Inab A.","non-dropping-particle":"","parse-names":false,"suffix":""},{"dropping-particle":"","family":"Jalwan","given":"Jyoti","non-dropping-particle":"","parse-names":false,"suffix":""},{"dropping-particle":"","family":"Nuhmani","given":"Shibili","non-dropping-particle":"","parse-names":false,"suffix":""},{"dropping-particle":"","family":"Muaidi","given":"Qassim I.","non-dropping-particle":"","parse-names":false,"suffix":""}],"container-title":"Journal of Back and Musculoskeletal Rehabilitation","id":"ITEM-1","issue":"5","issued":{"date-parts":[["2018"]]},"page":"867-870","title":"Efficacy of FIFA 11 + training program on functional performance in amateur male soccer players","type":"article-journal","volume":"31"},"uris":["http://www.mendeley.com/documents/?uuid=04f66202-1c02-454c-a074-46d316047972"]}],"mendeley":{"formattedCitation":"[11]","plainTextFormattedCitation":"[11]","previouslyFormattedCitation":"[11]"},"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[11]</w:t>
            </w:r>
            <w:r w:rsidR="00FC383C" w:rsidRPr="00DB66BC">
              <w:rPr>
                <w:rFonts w:ascii="Times New Roman" w:hAnsi="Times New Roman" w:cs="Times New Roman"/>
                <w:sz w:val="16"/>
                <w:szCs w:val="16"/>
              </w:rPr>
              <w:fldChar w:fldCharType="end"/>
            </w:r>
          </w:p>
        </w:tc>
        <w:tc>
          <w:tcPr>
            <w:tcW w:w="1985" w:type="dxa"/>
          </w:tcPr>
          <w:p w14:paraId="45400321" w14:textId="093CA4E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43C4D63D" w14:textId="4DB35AD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T-test (s)</w:t>
            </w:r>
          </w:p>
        </w:tc>
        <w:tc>
          <w:tcPr>
            <w:tcW w:w="1559" w:type="dxa"/>
          </w:tcPr>
          <w:p w14:paraId="715BC669" w14:textId="24A2FDB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12.10 ± 1.15</w:t>
            </w:r>
          </w:p>
        </w:tc>
        <w:tc>
          <w:tcPr>
            <w:tcW w:w="1559" w:type="dxa"/>
          </w:tcPr>
          <w:p w14:paraId="68D7ABB2" w14:textId="599C32D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11.64 ± 1.6</w:t>
            </w:r>
          </w:p>
        </w:tc>
        <w:tc>
          <w:tcPr>
            <w:tcW w:w="851" w:type="dxa"/>
          </w:tcPr>
          <w:p w14:paraId="34E2A7C0" w14:textId="1053BA0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29</w:t>
            </w:r>
          </w:p>
        </w:tc>
        <w:tc>
          <w:tcPr>
            <w:tcW w:w="1559" w:type="dxa"/>
          </w:tcPr>
          <w:p w14:paraId="764A53A7" w14:textId="0361D67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13.07 ± 0.89</w:t>
            </w:r>
          </w:p>
        </w:tc>
        <w:tc>
          <w:tcPr>
            <w:tcW w:w="1418" w:type="dxa"/>
          </w:tcPr>
          <w:p w14:paraId="1C7824E2" w14:textId="2079DF5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13.37 ± 0.89</w:t>
            </w:r>
          </w:p>
        </w:tc>
        <w:tc>
          <w:tcPr>
            <w:tcW w:w="904" w:type="dxa"/>
          </w:tcPr>
          <w:p w14:paraId="482BA547" w14:textId="43F8569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28</w:t>
            </w:r>
          </w:p>
        </w:tc>
      </w:tr>
      <w:tr w:rsidR="00172060" w:rsidRPr="00DB66BC" w14:paraId="162C387A" w14:textId="77777777" w:rsidTr="0004185B">
        <w:trPr>
          <w:trHeight w:val="263"/>
        </w:trPr>
        <w:tc>
          <w:tcPr>
            <w:tcW w:w="2972" w:type="dxa"/>
          </w:tcPr>
          <w:p w14:paraId="6DAA2A83" w14:textId="77777777" w:rsidR="00172060" w:rsidRPr="00DB66BC" w:rsidRDefault="00172060" w:rsidP="00172060">
            <w:pPr>
              <w:rPr>
                <w:rFonts w:ascii="Times New Roman" w:hAnsi="Times New Roman" w:cs="Times New Roman"/>
                <w:sz w:val="16"/>
                <w:szCs w:val="16"/>
              </w:rPr>
            </w:pPr>
          </w:p>
        </w:tc>
        <w:tc>
          <w:tcPr>
            <w:tcW w:w="1985" w:type="dxa"/>
          </w:tcPr>
          <w:p w14:paraId="342DD6AE" w14:textId="3C66D15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5D91AB0C" w14:textId="777648F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IAT (s)</w:t>
            </w:r>
          </w:p>
        </w:tc>
        <w:tc>
          <w:tcPr>
            <w:tcW w:w="1559" w:type="dxa"/>
          </w:tcPr>
          <w:p w14:paraId="385BE365" w14:textId="6AFDD07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17.78 ± 0.51</w:t>
            </w:r>
          </w:p>
        </w:tc>
        <w:tc>
          <w:tcPr>
            <w:tcW w:w="1559" w:type="dxa"/>
          </w:tcPr>
          <w:p w14:paraId="382F7315" w14:textId="75EA84B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17.19 ± 1.16</w:t>
            </w:r>
          </w:p>
        </w:tc>
        <w:tc>
          <w:tcPr>
            <w:tcW w:w="851" w:type="dxa"/>
          </w:tcPr>
          <w:p w14:paraId="0F5EBADB" w14:textId="50BE74E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29</w:t>
            </w:r>
          </w:p>
        </w:tc>
        <w:tc>
          <w:tcPr>
            <w:tcW w:w="1559" w:type="dxa"/>
          </w:tcPr>
          <w:p w14:paraId="40332F50" w14:textId="3528581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16.99 ± 2.26</w:t>
            </w:r>
          </w:p>
        </w:tc>
        <w:tc>
          <w:tcPr>
            <w:tcW w:w="1418" w:type="dxa"/>
          </w:tcPr>
          <w:p w14:paraId="06AADC0B" w14:textId="0F7318B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16.73 ± 2.42</w:t>
            </w:r>
          </w:p>
        </w:tc>
        <w:tc>
          <w:tcPr>
            <w:tcW w:w="904" w:type="dxa"/>
          </w:tcPr>
          <w:p w14:paraId="63C84C83" w14:textId="5BC5A66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28</w:t>
            </w:r>
          </w:p>
        </w:tc>
      </w:tr>
      <w:tr w:rsidR="00172060" w:rsidRPr="00DB66BC" w14:paraId="61BAA4AA" w14:textId="77777777" w:rsidTr="0004185B">
        <w:trPr>
          <w:trHeight w:val="263"/>
        </w:trPr>
        <w:tc>
          <w:tcPr>
            <w:tcW w:w="2972" w:type="dxa"/>
          </w:tcPr>
          <w:p w14:paraId="397F4F9A" w14:textId="488CE2E8" w:rsidR="00172060" w:rsidRPr="00DB66BC" w:rsidRDefault="00172060" w:rsidP="00172060">
            <w:pPr>
              <w:rPr>
                <w:rFonts w:ascii="Times New Roman" w:hAnsi="Times New Roman" w:cs="Times New Roman"/>
                <w:sz w:val="16"/>
                <w:szCs w:val="16"/>
              </w:rPr>
            </w:pPr>
          </w:p>
        </w:tc>
        <w:tc>
          <w:tcPr>
            <w:tcW w:w="1985" w:type="dxa"/>
          </w:tcPr>
          <w:p w14:paraId="641D9206" w14:textId="21DC6AD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5D77CA2B" w14:textId="3ABF6069"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20m (s)</w:t>
            </w:r>
          </w:p>
        </w:tc>
        <w:tc>
          <w:tcPr>
            <w:tcW w:w="1559" w:type="dxa"/>
          </w:tcPr>
          <w:p w14:paraId="5793B33A" w14:textId="39BBB9E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3.47 ± 0.16</w:t>
            </w:r>
          </w:p>
        </w:tc>
        <w:tc>
          <w:tcPr>
            <w:tcW w:w="1559" w:type="dxa"/>
          </w:tcPr>
          <w:p w14:paraId="584FAF94" w14:textId="0933F19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3.09 ± 0.14</w:t>
            </w:r>
          </w:p>
        </w:tc>
        <w:tc>
          <w:tcPr>
            <w:tcW w:w="851" w:type="dxa"/>
          </w:tcPr>
          <w:p w14:paraId="040FB61B" w14:textId="6EB01D1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29</w:t>
            </w:r>
          </w:p>
        </w:tc>
        <w:tc>
          <w:tcPr>
            <w:tcW w:w="1559" w:type="dxa"/>
          </w:tcPr>
          <w:p w14:paraId="69C9EE84" w14:textId="1E06306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3.48 ± 0.10</w:t>
            </w:r>
          </w:p>
        </w:tc>
        <w:tc>
          <w:tcPr>
            <w:tcW w:w="1418" w:type="dxa"/>
          </w:tcPr>
          <w:p w14:paraId="02D02D73" w14:textId="74E4674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3.5 ± 0.14</w:t>
            </w:r>
          </w:p>
        </w:tc>
        <w:tc>
          <w:tcPr>
            <w:tcW w:w="904" w:type="dxa"/>
          </w:tcPr>
          <w:p w14:paraId="076C530C" w14:textId="25DC50D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28</w:t>
            </w:r>
          </w:p>
        </w:tc>
      </w:tr>
      <w:tr w:rsidR="00172060" w:rsidRPr="00DB66BC" w14:paraId="222BEE8F" w14:textId="77777777" w:rsidTr="0004185B">
        <w:trPr>
          <w:trHeight w:val="263"/>
        </w:trPr>
        <w:tc>
          <w:tcPr>
            <w:tcW w:w="2972" w:type="dxa"/>
          </w:tcPr>
          <w:p w14:paraId="504BEC28" w14:textId="1016A4EC" w:rsidR="00172060" w:rsidRPr="00DB66BC" w:rsidRDefault="00172060" w:rsidP="00172060">
            <w:pPr>
              <w:rPr>
                <w:rFonts w:ascii="Times New Roman" w:hAnsi="Times New Roman" w:cs="Times New Roman"/>
                <w:sz w:val="16"/>
                <w:szCs w:val="16"/>
              </w:rPr>
            </w:pPr>
          </w:p>
        </w:tc>
        <w:tc>
          <w:tcPr>
            <w:tcW w:w="1985" w:type="dxa"/>
          </w:tcPr>
          <w:p w14:paraId="0BAFA65B" w14:textId="63972056"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6C8DB325" w14:textId="538CF446"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131E743A" w14:textId="1DFB06D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37.44 ± 14.86</w:t>
            </w:r>
          </w:p>
        </w:tc>
        <w:tc>
          <w:tcPr>
            <w:tcW w:w="1559" w:type="dxa"/>
          </w:tcPr>
          <w:p w14:paraId="125D8A33" w14:textId="2E0D643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42.11 ± 14.67</w:t>
            </w:r>
          </w:p>
        </w:tc>
        <w:tc>
          <w:tcPr>
            <w:tcW w:w="851" w:type="dxa"/>
          </w:tcPr>
          <w:p w14:paraId="298B71B0" w14:textId="483BABD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29</w:t>
            </w:r>
          </w:p>
        </w:tc>
        <w:tc>
          <w:tcPr>
            <w:tcW w:w="1559" w:type="dxa"/>
          </w:tcPr>
          <w:p w14:paraId="65953863" w14:textId="75A40D0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37.70 ± 6.42</w:t>
            </w:r>
          </w:p>
        </w:tc>
        <w:tc>
          <w:tcPr>
            <w:tcW w:w="1418" w:type="dxa"/>
          </w:tcPr>
          <w:p w14:paraId="28A12ACC" w14:textId="620389E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37.3 ± 6.11</w:t>
            </w:r>
          </w:p>
        </w:tc>
        <w:tc>
          <w:tcPr>
            <w:tcW w:w="904" w:type="dxa"/>
          </w:tcPr>
          <w:p w14:paraId="49F39F1D" w14:textId="42C35CF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28</w:t>
            </w:r>
          </w:p>
        </w:tc>
      </w:tr>
      <w:tr w:rsidR="00172060" w:rsidRPr="00DB66BC" w14:paraId="6A9AD58B" w14:textId="77777777" w:rsidTr="0004185B">
        <w:trPr>
          <w:trHeight w:val="263"/>
        </w:trPr>
        <w:tc>
          <w:tcPr>
            <w:tcW w:w="2972" w:type="dxa"/>
          </w:tcPr>
          <w:p w14:paraId="0A6BA152" w14:textId="433D149D" w:rsidR="00172060" w:rsidRPr="00DB66BC" w:rsidRDefault="00172060" w:rsidP="00172060">
            <w:pPr>
              <w:rPr>
                <w:rFonts w:ascii="Times New Roman" w:hAnsi="Times New Roman" w:cs="Times New Roman"/>
                <w:sz w:val="16"/>
                <w:szCs w:val="16"/>
              </w:rPr>
            </w:pPr>
            <w:proofErr w:type="spellStart"/>
            <w:r w:rsidRPr="00DB66BC">
              <w:rPr>
                <w:rFonts w:ascii="Times New Roman" w:hAnsi="Times New Roman" w:cs="Times New Roman"/>
                <w:sz w:val="16"/>
                <w:szCs w:val="16"/>
              </w:rPr>
              <w:t>Pardos</w:t>
            </w:r>
            <w:proofErr w:type="spellEnd"/>
            <w:r w:rsidRPr="00DB66BC">
              <w:rPr>
                <w:rFonts w:ascii="Times New Roman" w:hAnsi="Times New Roman" w:cs="Times New Roman"/>
                <w:sz w:val="16"/>
                <w:szCs w:val="16"/>
              </w:rPr>
              <w:t xml:space="preserve">-Mainer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{"citationItems":[{"id":"ITEM-1","itemData":{"DOI":"10.5114/biolsport.2019.85453","author":[{"dropping-particle":"","family":"Pardos-Mainer","given":"E","non-dropping-particle":"","parse-names":false,"suffix":""},{"dropping-particle":"","family":"Casajús","given":"J A","non-dropping-particle":"","parse-names":false,"suffix":""},{"dropping-particle":"","family":"Gonzalo-Skok","given":"O","non-dropping-particle":"","parse-names":false,"suffix":""}],"container-title":"Biology of Sport","id":"ITEM-1","issue":"3","issued":{"date-parts":[["2019"]]},"note":"Export Date: 29 December 2024; Cited By: 50","page":"199-207","title":"Adolescent female soccer players’ soccer-specific warm-up effects on performance and inter-limb asymmetries","type":"article-journal","volume":"36"},"uris":["http://www.mendeley.com/documents/?uuid=8bb3a166-d164-4d82-86e8-ec1869f5e779"]}],"mendeley":{"formattedCitation":"[12]","plainTextFormattedCitation":"[12]","previouslyFormattedCitation":"[12]"},"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[12]</w:t>
            </w:r>
            <w:r w:rsidR="00FC383C" w:rsidRPr="00DB66BC">
              <w:rPr>
                <w:rFonts w:ascii="Times New Roman" w:hAnsi="Times New Roman" w:cs="Times New Roman"/>
                <w:sz w:val="16"/>
                <w:szCs w:val="16"/>
              </w:rPr>
              <w:fldChar w:fldCharType="end"/>
            </w:r>
          </w:p>
        </w:tc>
        <w:tc>
          <w:tcPr>
            <w:tcW w:w="1985" w:type="dxa"/>
          </w:tcPr>
          <w:p w14:paraId="5E187132" w14:textId="7E2CDCF9"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6ABB8405" w14:textId="460C2712"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YBT-A (% of L L)</w:t>
            </w:r>
          </w:p>
        </w:tc>
        <w:tc>
          <w:tcPr>
            <w:tcW w:w="1559" w:type="dxa"/>
          </w:tcPr>
          <w:p w14:paraId="36C4B37F" w14:textId="52C7546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95.3 ± 4.65</w:t>
            </w:r>
          </w:p>
        </w:tc>
        <w:tc>
          <w:tcPr>
            <w:tcW w:w="1559" w:type="dxa"/>
          </w:tcPr>
          <w:p w14:paraId="3326D665" w14:textId="0CEBBD0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94.6± 5.12</w:t>
            </w:r>
          </w:p>
        </w:tc>
        <w:tc>
          <w:tcPr>
            <w:tcW w:w="851" w:type="dxa"/>
          </w:tcPr>
          <w:p w14:paraId="73FBB090" w14:textId="1A1BA69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19</w:t>
            </w:r>
          </w:p>
        </w:tc>
        <w:tc>
          <w:tcPr>
            <w:tcW w:w="1559" w:type="dxa"/>
          </w:tcPr>
          <w:p w14:paraId="19B17648" w14:textId="66711A7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96.1 ± 3.03</w:t>
            </w:r>
          </w:p>
        </w:tc>
        <w:tc>
          <w:tcPr>
            <w:tcW w:w="1418" w:type="dxa"/>
          </w:tcPr>
          <w:p w14:paraId="48136646" w14:textId="3D5B562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94.6± 3.29</w:t>
            </w:r>
          </w:p>
        </w:tc>
        <w:tc>
          <w:tcPr>
            <w:tcW w:w="904" w:type="dxa"/>
          </w:tcPr>
          <w:p w14:paraId="2B475529" w14:textId="17067C8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w:t>
            </w:r>
          </w:p>
        </w:tc>
      </w:tr>
      <w:tr w:rsidR="00172060" w:rsidRPr="00DB66BC" w14:paraId="00E419FC" w14:textId="77777777" w:rsidTr="0004185B">
        <w:trPr>
          <w:trHeight w:val="263"/>
        </w:trPr>
        <w:tc>
          <w:tcPr>
            <w:tcW w:w="2972" w:type="dxa"/>
          </w:tcPr>
          <w:p w14:paraId="50FF128E" w14:textId="77777777" w:rsidR="00172060" w:rsidRPr="00DB66BC" w:rsidRDefault="00172060" w:rsidP="00172060">
            <w:pPr>
              <w:rPr>
                <w:rFonts w:ascii="Times New Roman" w:hAnsi="Times New Roman" w:cs="Times New Roman"/>
                <w:sz w:val="16"/>
                <w:szCs w:val="16"/>
              </w:rPr>
            </w:pPr>
          </w:p>
        </w:tc>
        <w:tc>
          <w:tcPr>
            <w:tcW w:w="1985" w:type="dxa"/>
          </w:tcPr>
          <w:p w14:paraId="6477C25A" w14:textId="57714B0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6167DEB2" w14:textId="6595C888"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YBT-PM (% of L L)</w:t>
            </w:r>
          </w:p>
        </w:tc>
        <w:tc>
          <w:tcPr>
            <w:tcW w:w="1559" w:type="dxa"/>
          </w:tcPr>
          <w:p w14:paraId="68D730FF" w14:textId="7637E20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92.3 ± 7.48</w:t>
            </w:r>
          </w:p>
        </w:tc>
        <w:tc>
          <w:tcPr>
            <w:tcW w:w="1559" w:type="dxa"/>
          </w:tcPr>
          <w:p w14:paraId="227F9AC7" w14:textId="280AE8D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93.6 ± 3.5</w:t>
            </w:r>
          </w:p>
        </w:tc>
        <w:tc>
          <w:tcPr>
            <w:tcW w:w="851" w:type="dxa"/>
          </w:tcPr>
          <w:p w14:paraId="14618C9A" w14:textId="138E953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19</w:t>
            </w:r>
          </w:p>
        </w:tc>
        <w:tc>
          <w:tcPr>
            <w:tcW w:w="1559" w:type="dxa"/>
          </w:tcPr>
          <w:p w14:paraId="7D5BAE48" w14:textId="3B2B09F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89.8 ± 8.44</w:t>
            </w:r>
          </w:p>
        </w:tc>
        <w:tc>
          <w:tcPr>
            <w:tcW w:w="1418" w:type="dxa"/>
          </w:tcPr>
          <w:p w14:paraId="413A0527" w14:textId="3B19D11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90.3 ± 8.37</w:t>
            </w:r>
          </w:p>
        </w:tc>
        <w:tc>
          <w:tcPr>
            <w:tcW w:w="904" w:type="dxa"/>
          </w:tcPr>
          <w:p w14:paraId="69E492E4" w14:textId="685A7DD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w:t>
            </w:r>
          </w:p>
        </w:tc>
      </w:tr>
      <w:tr w:rsidR="00172060" w:rsidRPr="00DB66BC" w14:paraId="25BBF16F" w14:textId="77777777" w:rsidTr="0004185B">
        <w:trPr>
          <w:trHeight w:val="263"/>
        </w:trPr>
        <w:tc>
          <w:tcPr>
            <w:tcW w:w="2972" w:type="dxa"/>
          </w:tcPr>
          <w:p w14:paraId="49C59444" w14:textId="729B8A7B" w:rsidR="00172060" w:rsidRPr="00DB66BC" w:rsidRDefault="00172060" w:rsidP="00172060">
            <w:pPr>
              <w:rPr>
                <w:rFonts w:ascii="Times New Roman" w:hAnsi="Times New Roman" w:cs="Times New Roman"/>
                <w:sz w:val="16"/>
                <w:szCs w:val="16"/>
              </w:rPr>
            </w:pPr>
          </w:p>
        </w:tc>
        <w:tc>
          <w:tcPr>
            <w:tcW w:w="1985" w:type="dxa"/>
          </w:tcPr>
          <w:p w14:paraId="3BD5C5A1" w14:textId="673CC2C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130B7706" w14:textId="109FB14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YBT-PL (% of L L)</w:t>
            </w:r>
          </w:p>
        </w:tc>
        <w:tc>
          <w:tcPr>
            <w:tcW w:w="1559" w:type="dxa"/>
          </w:tcPr>
          <w:p w14:paraId="39E1EA3C" w14:textId="0389885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93.1 ± 5.53</w:t>
            </w:r>
          </w:p>
        </w:tc>
        <w:tc>
          <w:tcPr>
            <w:tcW w:w="1559" w:type="dxa"/>
          </w:tcPr>
          <w:p w14:paraId="2AE3DD75" w14:textId="3E4EDA4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95.4 ± 4.34</w:t>
            </w:r>
          </w:p>
        </w:tc>
        <w:tc>
          <w:tcPr>
            <w:tcW w:w="851" w:type="dxa"/>
          </w:tcPr>
          <w:p w14:paraId="02B3AD4C" w14:textId="1E0137F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19</w:t>
            </w:r>
          </w:p>
        </w:tc>
        <w:tc>
          <w:tcPr>
            <w:tcW w:w="1559" w:type="dxa"/>
          </w:tcPr>
          <w:p w14:paraId="420BDD47" w14:textId="46EC529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90.4 ± 6.13</w:t>
            </w:r>
          </w:p>
        </w:tc>
        <w:tc>
          <w:tcPr>
            <w:tcW w:w="1418" w:type="dxa"/>
          </w:tcPr>
          <w:p w14:paraId="5C34CE20" w14:textId="2CA8B68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92.2 ± 6.39</w:t>
            </w:r>
          </w:p>
        </w:tc>
        <w:tc>
          <w:tcPr>
            <w:tcW w:w="904" w:type="dxa"/>
          </w:tcPr>
          <w:p w14:paraId="70D49097" w14:textId="4051B23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w:t>
            </w:r>
          </w:p>
        </w:tc>
      </w:tr>
      <w:tr w:rsidR="00172060" w:rsidRPr="00DB66BC" w14:paraId="5A732405" w14:textId="77777777" w:rsidTr="0004185B">
        <w:trPr>
          <w:trHeight w:val="263"/>
        </w:trPr>
        <w:tc>
          <w:tcPr>
            <w:tcW w:w="2972" w:type="dxa"/>
          </w:tcPr>
          <w:p w14:paraId="3629FD7A" w14:textId="192F6D1C" w:rsidR="00172060" w:rsidRPr="00DB66BC" w:rsidRDefault="00172060" w:rsidP="00172060">
            <w:pPr>
              <w:rPr>
                <w:rFonts w:ascii="Times New Roman" w:hAnsi="Times New Roman" w:cs="Times New Roman"/>
                <w:sz w:val="16"/>
                <w:szCs w:val="16"/>
              </w:rPr>
            </w:pPr>
          </w:p>
        </w:tc>
        <w:tc>
          <w:tcPr>
            <w:tcW w:w="1985" w:type="dxa"/>
          </w:tcPr>
          <w:p w14:paraId="03EDF61C" w14:textId="0F1656D1"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5B0739E8" w14:textId="02FF36AC"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V-CUT (s)</w:t>
            </w:r>
          </w:p>
        </w:tc>
        <w:tc>
          <w:tcPr>
            <w:tcW w:w="1559" w:type="dxa"/>
          </w:tcPr>
          <w:p w14:paraId="3F4559CA" w14:textId="3C4476D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7.89 ± 0.33</w:t>
            </w:r>
          </w:p>
        </w:tc>
        <w:tc>
          <w:tcPr>
            <w:tcW w:w="1559" w:type="dxa"/>
          </w:tcPr>
          <w:p w14:paraId="6292726C" w14:textId="18FC57A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8.09 ± 0.33</w:t>
            </w:r>
          </w:p>
        </w:tc>
        <w:tc>
          <w:tcPr>
            <w:tcW w:w="851" w:type="dxa"/>
          </w:tcPr>
          <w:p w14:paraId="273C837C" w14:textId="46841A4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19</w:t>
            </w:r>
          </w:p>
        </w:tc>
        <w:tc>
          <w:tcPr>
            <w:tcW w:w="1559" w:type="dxa"/>
          </w:tcPr>
          <w:p w14:paraId="578CF540" w14:textId="1E5E6B7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7.85 ± 0.39</w:t>
            </w:r>
          </w:p>
        </w:tc>
        <w:tc>
          <w:tcPr>
            <w:tcW w:w="1418" w:type="dxa"/>
          </w:tcPr>
          <w:p w14:paraId="55A983D9" w14:textId="751F641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8.16 ± 0.31</w:t>
            </w:r>
          </w:p>
        </w:tc>
        <w:tc>
          <w:tcPr>
            <w:tcW w:w="904" w:type="dxa"/>
          </w:tcPr>
          <w:p w14:paraId="6333EF60" w14:textId="463E2F8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17</w:t>
            </w:r>
          </w:p>
        </w:tc>
      </w:tr>
      <w:tr w:rsidR="00172060" w:rsidRPr="00DB66BC" w14:paraId="52C2AA8F" w14:textId="77777777" w:rsidTr="0004185B">
        <w:trPr>
          <w:trHeight w:val="263"/>
        </w:trPr>
        <w:tc>
          <w:tcPr>
            <w:tcW w:w="2972" w:type="dxa"/>
          </w:tcPr>
          <w:p w14:paraId="0E39AE1C" w14:textId="5AB1F0CF" w:rsidR="00172060" w:rsidRPr="00DB66BC" w:rsidRDefault="00172060" w:rsidP="00172060">
            <w:pPr>
              <w:rPr>
                <w:rFonts w:ascii="Calibri" w:hAnsi="Calibri" w:cs="Calibri"/>
                <w:color w:val="000000"/>
                <w:sz w:val="16"/>
                <w:szCs w:val="16"/>
              </w:rPr>
            </w:pPr>
          </w:p>
        </w:tc>
        <w:tc>
          <w:tcPr>
            <w:tcW w:w="1985" w:type="dxa"/>
          </w:tcPr>
          <w:p w14:paraId="55D916ED" w14:textId="07028AD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04516921" w14:textId="6F4E33BC"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DJ (cm)</w:t>
            </w:r>
          </w:p>
        </w:tc>
        <w:tc>
          <w:tcPr>
            <w:tcW w:w="1559" w:type="dxa"/>
          </w:tcPr>
          <w:p w14:paraId="423AC119" w14:textId="3E0F7C4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21.2 ± 3.44</w:t>
            </w:r>
          </w:p>
        </w:tc>
        <w:tc>
          <w:tcPr>
            <w:tcW w:w="1559" w:type="dxa"/>
          </w:tcPr>
          <w:p w14:paraId="630EB911" w14:textId="11A9B3D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23.3 ± 3.5</w:t>
            </w:r>
          </w:p>
        </w:tc>
        <w:tc>
          <w:tcPr>
            <w:tcW w:w="851" w:type="dxa"/>
          </w:tcPr>
          <w:p w14:paraId="46DEAAF9" w14:textId="7817B21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19</w:t>
            </w:r>
          </w:p>
        </w:tc>
        <w:tc>
          <w:tcPr>
            <w:tcW w:w="1559" w:type="dxa"/>
          </w:tcPr>
          <w:p w14:paraId="6751FE94" w14:textId="068884D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23.3 ± 4.86</w:t>
            </w:r>
          </w:p>
        </w:tc>
        <w:tc>
          <w:tcPr>
            <w:tcW w:w="1418" w:type="dxa"/>
          </w:tcPr>
          <w:p w14:paraId="4FA051BA" w14:textId="37A511D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24.7 ± 4.55</w:t>
            </w:r>
          </w:p>
        </w:tc>
        <w:tc>
          <w:tcPr>
            <w:tcW w:w="904" w:type="dxa"/>
          </w:tcPr>
          <w:p w14:paraId="546C1DDE" w14:textId="7AC7661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17</w:t>
            </w:r>
          </w:p>
        </w:tc>
      </w:tr>
      <w:tr w:rsidR="00172060" w:rsidRPr="00DB66BC" w14:paraId="2E8A9C99" w14:textId="77777777" w:rsidTr="0004185B">
        <w:trPr>
          <w:trHeight w:val="263"/>
        </w:trPr>
        <w:tc>
          <w:tcPr>
            <w:tcW w:w="2972" w:type="dxa"/>
          </w:tcPr>
          <w:p w14:paraId="111612C8" w14:textId="77777777" w:rsidR="00172060" w:rsidRPr="00DB66BC" w:rsidRDefault="00172060" w:rsidP="00172060">
            <w:pPr>
              <w:rPr>
                <w:rFonts w:ascii="Times New Roman" w:hAnsi="Times New Roman" w:cs="Times New Roman"/>
                <w:sz w:val="16"/>
                <w:szCs w:val="16"/>
              </w:rPr>
            </w:pPr>
          </w:p>
        </w:tc>
        <w:tc>
          <w:tcPr>
            <w:tcW w:w="1985" w:type="dxa"/>
          </w:tcPr>
          <w:p w14:paraId="16DB4C8A" w14:textId="6A28AEC1"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7614015A" w14:textId="112F71B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CMJ (cm)</w:t>
            </w:r>
          </w:p>
        </w:tc>
        <w:tc>
          <w:tcPr>
            <w:tcW w:w="1559" w:type="dxa"/>
          </w:tcPr>
          <w:p w14:paraId="7884D4E0" w14:textId="58F9111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20 ± 3.68</w:t>
            </w:r>
          </w:p>
        </w:tc>
        <w:tc>
          <w:tcPr>
            <w:tcW w:w="1559" w:type="dxa"/>
          </w:tcPr>
          <w:p w14:paraId="1AE786E5" w14:textId="3C4E247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22.1 ± 3.39</w:t>
            </w:r>
          </w:p>
        </w:tc>
        <w:tc>
          <w:tcPr>
            <w:tcW w:w="851" w:type="dxa"/>
          </w:tcPr>
          <w:p w14:paraId="3F2EB9DC" w14:textId="0030717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19</w:t>
            </w:r>
          </w:p>
        </w:tc>
        <w:tc>
          <w:tcPr>
            <w:tcW w:w="1559" w:type="dxa"/>
          </w:tcPr>
          <w:p w14:paraId="7E9D0F60" w14:textId="2041EBA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22.8 ± 3.12</w:t>
            </w:r>
          </w:p>
        </w:tc>
        <w:tc>
          <w:tcPr>
            <w:tcW w:w="1418" w:type="dxa"/>
          </w:tcPr>
          <w:p w14:paraId="6A63C9A3" w14:textId="557DC09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23.1 ± 6.28</w:t>
            </w:r>
          </w:p>
        </w:tc>
        <w:tc>
          <w:tcPr>
            <w:tcW w:w="904" w:type="dxa"/>
          </w:tcPr>
          <w:p w14:paraId="113B647C" w14:textId="5A10FFC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17</w:t>
            </w:r>
          </w:p>
        </w:tc>
      </w:tr>
      <w:tr w:rsidR="00172060" w:rsidRPr="00DB66BC" w14:paraId="389273A2" w14:textId="77777777" w:rsidTr="0004185B">
        <w:trPr>
          <w:trHeight w:val="263"/>
        </w:trPr>
        <w:tc>
          <w:tcPr>
            <w:tcW w:w="2972" w:type="dxa"/>
          </w:tcPr>
          <w:p w14:paraId="6E36FEDD" w14:textId="24C0EB50" w:rsidR="00172060" w:rsidRPr="00DB66BC" w:rsidRDefault="00172060" w:rsidP="00172060">
            <w:pPr>
              <w:rPr>
                <w:rFonts w:ascii="Calibri" w:hAnsi="Calibri" w:cs="Calibri"/>
                <w:color w:val="000000"/>
                <w:sz w:val="16"/>
                <w:szCs w:val="16"/>
              </w:rPr>
            </w:pPr>
            <w:r w:rsidRPr="00DB66BC">
              <w:rPr>
                <w:rFonts w:ascii="Times New Roman" w:hAnsi="Times New Roman" w:cs="Times New Roman"/>
                <w:color w:val="000000"/>
                <w:sz w:val="16"/>
                <w:szCs w:val="16"/>
              </w:rPr>
              <w:t xml:space="preserve">Parsons et al. </w:t>
            </w:r>
            <w:r w:rsidR="00FC383C" w:rsidRPr="00DB66BC">
              <w:rPr>
                <w:rFonts w:ascii="Times New Roman" w:hAnsi="Times New Roman" w:cs="Times New Roman"/>
                <w:color w:val="000000"/>
                <w:sz w:val="16"/>
                <w:szCs w:val="16"/>
              </w:rPr>
              <w:fldChar w:fldCharType="begin" w:fldLock="1"/>
            </w:r>
            <w:r w:rsidR="00FC383C" w:rsidRPr="00DB66BC">
              <w:rPr>
                <w:rFonts w:ascii="Times New Roman" w:hAnsi="Times New Roman" w:cs="Times New Roman"/>
                <w:color w:val="000000"/>
                <w:sz w:val="16"/>
                <w:szCs w:val="16"/>
              </w:rPr>
              <w:instrText>ADDIN CSL_CITATION {"citationItems":[{"id":"ITEM-1","itemData":{"DOI":"10.26603/ijspt20190740","ISSN":"21592896","PMID":"31598412","abstract":"Background: Strong evidence supports the use of the FIFA 11+ injury risk reduction warm-up program among soccer players, but few studies have investigated its impact on physical performance and movement control in athletes younger than 12 years of age, or the athletes’ opinions of participating in the program. Purpose: The primary purpose of this study was to measure the impact of the FIFA 11+ program on movement control [Landing Error Scoring System (LESS) and Y-Balance test (YBT)], agility, vertical jump (VJ) height, and trunk muscle endurance compared to a standard warm-up in pre-teen female athletes over one indoor soccer season. A secondary purpose was to assess the athletes’ tolerance and enjoyment of the program. Study Design: Cluster randomized controlled trial. Methods: All six teams in the U10 and U11 female divisions of a developmental-level soccer club were cluster randomized to the FIFA 11+ program intervention group or the control group. Participants in the control group continued with a coach-determined warm-up for the duration of a five-month indoor soccer season. Pre-and post-season participants underwent physical testing using the agility T-test, Belt Mat vertical jump (VJ), and static plank tests; and two measures of neuromuscular control (LESS, YBT). Following the soccer season, the athletes in the intervention group also completed a bespoke Tolerance and Enjoyment questionnaire. Results: The 11+ group (n=25) increased their mean static plank hold time by 26.1 ± 38.5 seconds compared to the control group (n=18), who only increased by 2.1 ± 37.1 seconds (p=0.047). For all athletes, there were improvements in mean LESS score (0.6 ± 1.3, p=0.003), and T-test time (0.4 ± 0.7, p=0.001); however, YBT scores worsened by approximately 2% from pre-to postseason. No differences were found for VJ. Athletes tolerated the program well, but the majority described the enjoyment of completing the program as moderately low. Conclusion: This study suggests that the 11+ program may improve some aspects of physical performance in 9-11 year-old female soccer players, but the low enthusiasm for the program could have longer term adherence implications.","author":[{"dropping-particle":"","family":"Parsons","given":"Joanne L.","non-dropping-particle":"","parse-names":false,"suffix":""},{"dropping-particle":"","family":"Carswell","given":"Joanne","non-dropping-particle":"","parse-names":false,"suffix":""},{"dropping-particle":"","family":"Nwoba","given":"Izuchukwu Michael","non-dropping-particle":"","parse-names":false,"suffix":""},{"dropping-particle":"","family":"Stenberg","given":"Haley","non-dropping-particle":"","parse-names":false,"suffix":""}],"container-title":"International Journal of Sports Physical Therapy","id":"ITEM-1","issue":"5","issued":{"date-parts":[["2019"]]},"page":"740-752","title":"Athlete Perceptions and Physical Performance Effects of the Fifa 11+ Program in 9-11 Year-Old Female Soccer Players: a Cluster Randomized Trial","type":"article-journal","volume":"14"},"uris":["http://www.mendeley.com/documents/?uuid=583a9900-3295-49c4-93ec-766801386bc4"]}],"mendeley":{"formattedCitation":"[13]","plainTextFormattedCitation":"[13]","previouslyFormattedCitation":"[13]"},"properties":{"noteIndex":0},"schema":"https://github.com/citation-style-language/schema/raw/master/csl-citation.json"}</w:instrText>
            </w:r>
            <w:r w:rsidR="00FC383C" w:rsidRPr="00DB66BC">
              <w:rPr>
                <w:rFonts w:ascii="Times New Roman" w:hAnsi="Times New Roman" w:cs="Times New Roman"/>
                <w:color w:val="000000"/>
                <w:sz w:val="16"/>
                <w:szCs w:val="16"/>
              </w:rPr>
              <w:fldChar w:fldCharType="separate"/>
            </w:r>
            <w:r w:rsidR="00FC383C" w:rsidRPr="00DB66BC">
              <w:rPr>
                <w:rFonts w:ascii="Times New Roman" w:hAnsi="Times New Roman" w:cs="Times New Roman"/>
                <w:noProof/>
                <w:color w:val="000000"/>
                <w:sz w:val="16"/>
                <w:szCs w:val="16"/>
              </w:rPr>
              <w:t>[13]</w:t>
            </w:r>
            <w:r w:rsidR="00FC383C" w:rsidRPr="00DB66BC">
              <w:rPr>
                <w:rFonts w:ascii="Times New Roman" w:hAnsi="Times New Roman" w:cs="Times New Roman"/>
                <w:color w:val="000000"/>
                <w:sz w:val="16"/>
                <w:szCs w:val="16"/>
              </w:rPr>
              <w:fldChar w:fldCharType="end"/>
            </w:r>
          </w:p>
        </w:tc>
        <w:tc>
          <w:tcPr>
            <w:tcW w:w="1985" w:type="dxa"/>
          </w:tcPr>
          <w:p w14:paraId="4EDC5E45" w14:textId="01BB26E2"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77194BD0" w14:textId="47334FB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YBT-R (% of L L)</w:t>
            </w:r>
          </w:p>
        </w:tc>
        <w:tc>
          <w:tcPr>
            <w:tcW w:w="1559" w:type="dxa"/>
          </w:tcPr>
          <w:p w14:paraId="207E6718" w14:textId="048D432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94.8 ± 7</w:t>
            </w:r>
          </w:p>
        </w:tc>
        <w:tc>
          <w:tcPr>
            <w:tcW w:w="1559" w:type="dxa"/>
          </w:tcPr>
          <w:p w14:paraId="2C45D95D" w14:textId="35CC42F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94.2 ± 6.8</w:t>
            </w:r>
          </w:p>
        </w:tc>
        <w:tc>
          <w:tcPr>
            <w:tcW w:w="851" w:type="dxa"/>
            <w:vAlign w:val="bottom"/>
          </w:tcPr>
          <w:p w14:paraId="0EB08FDE" w14:textId="316BC58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c>
          <w:tcPr>
            <w:tcW w:w="1559" w:type="dxa"/>
          </w:tcPr>
          <w:p w14:paraId="268BEB47" w14:textId="553D529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97.2 ± 7.5</w:t>
            </w:r>
          </w:p>
        </w:tc>
        <w:tc>
          <w:tcPr>
            <w:tcW w:w="1418" w:type="dxa"/>
          </w:tcPr>
          <w:p w14:paraId="60CDBC09" w14:textId="23F194F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93.4 ± 8.1</w:t>
            </w:r>
          </w:p>
        </w:tc>
        <w:tc>
          <w:tcPr>
            <w:tcW w:w="904" w:type="dxa"/>
            <w:vAlign w:val="bottom"/>
          </w:tcPr>
          <w:p w14:paraId="4FB39CC8" w14:textId="5EB7D57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r>
      <w:tr w:rsidR="00172060" w:rsidRPr="00DB66BC" w14:paraId="55BF2767" w14:textId="77777777" w:rsidTr="0004185B">
        <w:trPr>
          <w:trHeight w:val="263"/>
        </w:trPr>
        <w:tc>
          <w:tcPr>
            <w:tcW w:w="2972" w:type="dxa"/>
          </w:tcPr>
          <w:p w14:paraId="656AD28F" w14:textId="77777777" w:rsidR="00172060" w:rsidRPr="00DB66BC" w:rsidRDefault="00172060" w:rsidP="00172060">
            <w:pPr>
              <w:rPr>
                <w:rFonts w:ascii="Times New Roman" w:hAnsi="Times New Roman" w:cs="Times New Roman"/>
                <w:sz w:val="16"/>
                <w:szCs w:val="16"/>
              </w:rPr>
            </w:pPr>
          </w:p>
        </w:tc>
        <w:tc>
          <w:tcPr>
            <w:tcW w:w="1985" w:type="dxa"/>
          </w:tcPr>
          <w:p w14:paraId="4E1CA771" w14:textId="1250F83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3C507EAE" w14:textId="6EAC707C"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YBT-L (% of L L)</w:t>
            </w:r>
          </w:p>
        </w:tc>
        <w:tc>
          <w:tcPr>
            <w:tcW w:w="1559" w:type="dxa"/>
          </w:tcPr>
          <w:p w14:paraId="7718B0E0" w14:textId="69543EE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96.4 ± 6.4</w:t>
            </w:r>
          </w:p>
        </w:tc>
        <w:tc>
          <w:tcPr>
            <w:tcW w:w="1559" w:type="dxa"/>
          </w:tcPr>
          <w:p w14:paraId="09466F26" w14:textId="3AEF180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94.5 ± 6.7</w:t>
            </w:r>
          </w:p>
        </w:tc>
        <w:tc>
          <w:tcPr>
            <w:tcW w:w="851" w:type="dxa"/>
            <w:vAlign w:val="bottom"/>
          </w:tcPr>
          <w:p w14:paraId="6E22BC53" w14:textId="3DFDFA2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c>
          <w:tcPr>
            <w:tcW w:w="1559" w:type="dxa"/>
          </w:tcPr>
          <w:p w14:paraId="459FACD8" w14:textId="1249BC3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97.2 ± 6.9</w:t>
            </w:r>
          </w:p>
        </w:tc>
        <w:tc>
          <w:tcPr>
            <w:tcW w:w="1418" w:type="dxa"/>
          </w:tcPr>
          <w:p w14:paraId="19B6BB81" w14:textId="07C3F9E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94.6 ± 7.1</w:t>
            </w:r>
          </w:p>
        </w:tc>
        <w:tc>
          <w:tcPr>
            <w:tcW w:w="904" w:type="dxa"/>
            <w:vAlign w:val="bottom"/>
          </w:tcPr>
          <w:p w14:paraId="1243FFF5" w14:textId="3DB9140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r>
      <w:tr w:rsidR="00172060" w:rsidRPr="00DB66BC" w14:paraId="4B39DF69" w14:textId="77777777" w:rsidTr="0004185B">
        <w:trPr>
          <w:trHeight w:val="263"/>
        </w:trPr>
        <w:tc>
          <w:tcPr>
            <w:tcW w:w="2972" w:type="dxa"/>
          </w:tcPr>
          <w:p w14:paraId="21578C9C" w14:textId="77777777" w:rsidR="00172060" w:rsidRPr="00DB66BC" w:rsidRDefault="00172060" w:rsidP="00172060">
            <w:pPr>
              <w:rPr>
                <w:rFonts w:ascii="Times New Roman" w:hAnsi="Times New Roman" w:cs="Times New Roman"/>
                <w:sz w:val="16"/>
                <w:szCs w:val="16"/>
              </w:rPr>
            </w:pPr>
          </w:p>
        </w:tc>
        <w:tc>
          <w:tcPr>
            <w:tcW w:w="1985" w:type="dxa"/>
          </w:tcPr>
          <w:p w14:paraId="36BA0F9E" w14:textId="67601CD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1AF5FD2A" w14:textId="22D5901C"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T-test (s)</w:t>
            </w:r>
          </w:p>
        </w:tc>
        <w:tc>
          <w:tcPr>
            <w:tcW w:w="1559" w:type="dxa"/>
          </w:tcPr>
          <w:p w14:paraId="69FDE2C9" w14:textId="6BCE3EB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14.2 ± 1.1</w:t>
            </w:r>
          </w:p>
        </w:tc>
        <w:tc>
          <w:tcPr>
            <w:tcW w:w="1559" w:type="dxa"/>
          </w:tcPr>
          <w:p w14:paraId="4BF23181" w14:textId="327C499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13.9 ±</w:t>
            </w:r>
            <w:r w:rsidRPr="00DB66BC">
              <w:rPr>
                <w:rFonts w:ascii="Times New Roman" w:hAnsi="Times New Roman" w:cs="Times New Roman"/>
                <w:sz w:val="16"/>
                <w:szCs w:val="16"/>
              </w:rPr>
              <w:t xml:space="preserve"> </w:t>
            </w:r>
            <w:r w:rsidRPr="00DB66BC">
              <w:rPr>
                <w:rFonts w:ascii="Times New Roman" w:hAnsi="Times New Roman" w:cs="Times New Roman"/>
                <w:color w:val="000000"/>
                <w:sz w:val="16"/>
                <w:szCs w:val="16"/>
              </w:rPr>
              <w:t>0.8</w:t>
            </w:r>
          </w:p>
        </w:tc>
        <w:tc>
          <w:tcPr>
            <w:tcW w:w="851" w:type="dxa"/>
          </w:tcPr>
          <w:p w14:paraId="2561FEB4" w14:textId="0396283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c>
          <w:tcPr>
            <w:tcW w:w="1559" w:type="dxa"/>
          </w:tcPr>
          <w:p w14:paraId="3B74F4E4" w14:textId="682B102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14.2 ± 1.2</w:t>
            </w:r>
          </w:p>
        </w:tc>
        <w:tc>
          <w:tcPr>
            <w:tcW w:w="1418" w:type="dxa"/>
          </w:tcPr>
          <w:p w14:paraId="10E39CD5" w14:textId="27B5E0C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13.8 ± 1.2</w:t>
            </w:r>
          </w:p>
        </w:tc>
        <w:tc>
          <w:tcPr>
            <w:tcW w:w="904" w:type="dxa"/>
          </w:tcPr>
          <w:p w14:paraId="07044E3B" w14:textId="002B594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r>
      <w:tr w:rsidR="00172060" w:rsidRPr="00DB66BC" w14:paraId="3132C148" w14:textId="77777777" w:rsidTr="0004185B">
        <w:trPr>
          <w:trHeight w:val="263"/>
        </w:trPr>
        <w:tc>
          <w:tcPr>
            <w:tcW w:w="2972" w:type="dxa"/>
          </w:tcPr>
          <w:p w14:paraId="063C9EE8" w14:textId="77777777" w:rsidR="00172060" w:rsidRPr="00DB66BC" w:rsidRDefault="00172060" w:rsidP="00172060">
            <w:pPr>
              <w:rPr>
                <w:rFonts w:ascii="Times New Roman" w:hAnsi="Times New Roman" w:cs="Times New Roman"/>
                <w:sz w:val="16"/>
                <w:szCs w:val="16"/>
              </w:rPr>
            </w:pPr>
          </w:p>
        </w:tc>
        <w:tc>
          <w:tcPr>
            <w:tcW w:w="1985" w:type="dxa"/>
          </w:tcPr>
          <w:p w14:paraId="5EA8E300" w14:textId="25651948"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10196419" w14:textId="301ACE0D"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3921D88B" w14:textId="5FC1A47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36.9 ± 5.2</w:t>
            </w:r>
          </w:p>
        </w:tc>
        <w:tc>
          <w:tcPr>
            <w:tcW w:w="1559" w:type="dxa"/>
          </w:tcPr>
          <w:p w14:paraId="627D0E95" w14:textId="74AB8F3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37.2 ± 4.1</w:t>
            </w:r>
          </w:p>
        </w:tc>
        <w:tc>
          <w:tcPr>
            <w:tcW w:w="851" w:type="dxa"/>
          </w:tcPr>
          <w:p w14:paraId="72A54BE8" w14:textId="218180C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c>
          <w:tcPr>
            <w:tcW w:w="1559" w:type="dxa"/>
          </w:tcPr>
          <w:p w14:paraId="4A5E050F" w14:textId="36F7C0A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36.4 ± 5.1</w:t>
            </w:r>
          </w:p>
        </w:tc>
        <w:tc>
          <w:tcPr>
            <w:tcW w:w="1418" w:type="dxa"/>
          </w:tcPr>
          <w:p w14:paraId="13F4DB02" w14:textId="7A542CE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36.1 ± 6.1</w:t>
            </w:r>
          </w:p>
        </w:tc>
        <w:tc>
          <w:tcPr>
            <w:tcW w:w="904" w:type="dxa"/>
          </w:tcPr>
          <w:p w14:paraId="338284F0" w14:textId="6B8D5CD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25</w:t>
            </w:r>
          </w:p>
        </w:tc>
      </w:tr>
      <w:tr w:rsidR="00172060" w:rsidRPr="00DB66BC" w14:paraId="3BF04FDF" w14:textId="77777777" w:rsidTr="0004185B">
        <w:trPr>
          <w:trHeight w:val="263"/>
        </w:trPr>
        <w:tc>
          <w:tcPr>
            <w:tcW w:w="2972" w:type="dxa"/>
          </w:tcPr>
          <w:p w14:paraId="032DB5AF" w14:textId="28E57B26"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color w:val="000000"/>
                <w:sz w:val="16"/>
                <w:szCs w:val="16"/>
              </w:rPr>
              <w:t>Robles-</w:t>
            </w:r>
            <w:proofErr w:type="spellStart"/>
            <w:r w:rsidRPr="00DB66BC">
              <w:rPr>
                <w:rFonts w:ascii="Times New Roman" w:hAnsi="Times New Roman" w:cs="Times New Roman"/>
                <w:color w:val="000000"/>
                <w:sz w:val="16"/>
                <w:szCs w:val="16"/>
              </w:rPr>
              <w:t>Palazón</w:t>
            </w:r>
            <w:proofErr w:type="spellEnd"/>
            <w:r w:rsidRPr="00DB66BC">
              <w:rPr>
                <w:rFonts w:ascii="Times New Roman" w:hAnsi="Times New Roman" w:cs="Times New Roman"/>
                <w:color w:val="000000"/>
                <w:sz w:val="16"/>
                <w:szCs w:val="16"/>
              </w:rPr>
              <w:t xml:space="preserve"> et al. </w:t>
            </w:r>
            <w:r w:rsidR="00FC383C" w:rsidRPr="00DB66BC">
              <w:rPr>
                <w:rFonts w:ascii="Times New Roman" w:hAnsi="Times New Roman" w:cs="Times New Roman"/>
                <w:color w:val="000000"/>
                <w:sz w:val="16"/>
                <w:szCs w:val="16"/>
              </w:rPr>
              <w:fldChar w:fldCharType="begin" w:fldLock="1"/>
            </w:r>
            <w:r w:rsidR="00FC383C" w:rsidRPr="00DB66BC">
              <w:rPr>
                <w:rFonts w:ascii="Times New Roman" w:hAnsi="Times New Roman" w:cs="Times New Roman"/>
                <w:color w:val="000000"/>
                <w:sz w:val="16"/>
                <w:szCs w:val="16"/>
              </w:rPr>
              <w:instrText>ADDIN CSL_CITATION {"citationItems":[{"id":"ITEM-1","itemData":{"abstract":"The purpose of this study was to analyse the acute and chronic effects of the FIFA 11+ on several physical performance measures. A total of 41 youth amateur men football players completed this study. Participants were allocated into two different sub-studies: a) sub-study 1 (acute effects) and b) sub-study 2 (chronic effects). While in the sub-study 1, participants completed the FIFA 11+ and their regular warm-up routine in a randomized order on separate days; in the sub-study 2, participants performed the FIFA 11+ 3 times a week for 4 weeks or completed their usual warm-up routines (control). In both sub-studies, 10 physical performance measures grouped in 4 blocks (joint range of motion, dynamic postural control, sprinting and jumping) were assessed. The results of both sub-studies reported no meaningful differences between FIFA 11+ and regular warm-up for any physical performance measure analysed. Therefore, the findings of the current study report that the FIFA 11+ might be considered an appropriate warm-up inducing improvements in physical performance comparable with those obtained with other warm-up routines in football players. In addition, the training stimuli provided by the implementation of the FIFA 11+ three times per week for 4 weeks appear to be not enough to elicit chronic positive effects on physical performance measures.","author":[{"dropping-particle":"","family":"Robles-Palazón","given":"Francisco Javier","non-dropping-particle":"","parse-names":false,"suffix":""},{"dropping-particle":"","family":"Pomares-Noguera","given":"Carlos","non-dropping-particle":"","parse-names":false,"suffix":""},{"dropping-particle":"","family":"Ayala","given":"Francisco","non-dropping-particle":"","parse-names":false,"suffix":""},{"dropping-particle":"","family":"Hernández-Sánchez","given":"Sergio","non-dropping-particle":"","parse-names":false,"suffix":""},{"dropping-particle":"","family":"Martínez-Romero","given":"María Teresa","non-dropping-particle":"","parse-names":false,"suffix":""},{"dropping-particle":"","family":"Baranda","given":"Sainz Pilar","non-dropping-particle":"De","parse-names":false,"suffix":""},{"dropping-particle":"","family":"Wesolek","given":"Irene","non-dropping-particle":"","parse-names":false,"suffix":""}],"container-title":"European Journal of Human Movement","id":"ITEM-1","issued":{"date-parts":[["2016"]]},"page":"116-136","title":"Acute and Chronic Effects of the Fifa 11+ on Several Physical Performance Measures in Adolescent Football Players","type":"article-journal","volume":"36"},"uris":["http://www.mendeley.com/documents/?uuid=d0d54e68-89f8-46bc-b454-df78f4800646"]}],"mendeley":{"formattedCitation":"[14]","plainTextFormattedCitation":"[14]","previouslyFormattedCitation":"[14]"},"properties":{"noteIndex":0},"schema":"https://github.com/citation-style-language/schema/raw/master/csl-citation.json"}</w:instrText>
            </w:r>
            <w:r w:rsidR="00FC383C" w:rsidRPr="00DB66BC">
              <w:rPr>
                <w:rFonts w:ascii="Times New Roman" w:hAnsi="Times New Roman" w:cs="Times New Roman"/>
                <w:color w:val="000000"/>
                <w:sz w:val="16"/>
                <w:szCs w:val="16"/>
              </w:rPr>
              <w:fldChar w:fldCharType="separate"/>
            </w:r>
            <w:r w:rsidR="00FC383C" w:rsidRPr="00DB66BC">
              <w:rPr>
                <w:rFonts w:ascii="Times New Roman" w:hAnsi="Times New Roman" w:cs="Times New Roman"/>
                <w:noProof/>
                <w:color w:val="000000"/>
                <w:sz w:val="16"/>
                <w:szCs w:val="16"/>
              </w:rPr>
              <w:t>[14]</w:t>
            </w:r>
            <w:r w:rsidR="00FC383C" w:rsidRPr="00DB66BC">
              <w:rPr>
                <w:rFonts w:ascii="Times New Roman" w:hAnsi="Times New Roman" w:cs="Times New Roman"/>
                <w:color w:val="000000"/>
                <w:sz w:val="16"/>
                <w:szCs w:val="16"/>
              </w:rPr>
              <w:fldChar w:fldCharType="end"/>
            </w:r>
          </w:p>
        </w:tc>
        <w:tc>
          <w:tcPr>
            <w:tcW w:w="1985" w:type="dxa"/>
          </w:tcPr>
          <w:p w14:paraId="0B9FBBD7" w14:textId="0F57B311"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09F5E29B" w14:textId="0EA6FCD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YBT-A (% of L L)</w:t>
            </w:r>
          </w:p>
        </w:tc>
        <w:tc>
          <w:tcPr>
            <w:tcW w:w="1559" w:type="dxa"/>
          </w:tcPr>
          <w:p w14:paraId="390300F5" w14:textId="6427A5F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  68.1 ± 6.9</w:t>
            </w:r>
          </w:p>
        </w:tc>
        <w:tc>
          <w:tcPr>
            <w:tcW w:w="1559" w:type="dxa"/>
          </w:tcPr>
          <w:p w14:paraId="43488B7A" w14:textId="4FF4E69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  67.8 ± 6.2</w:t>
            </w:r>
          </w:p>
        </w:tc>
        <w:tc>
          <w:tcPr>
            <w:tcW w:w="851" w:type="dxa"/>
          </w:tcPr>
          <w:p w14:paraId="511B9D6A" w14:textId="582C566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2B72BA09" w14:textId="63456C4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69.7 ± 4.9</w:t>
            </w:r>
          </w:p>
        </w:tc>
        <w:tc>
          <w:tcPr>
            <w:tcW w:w="1418" w:type="dxa"/>
          </w:tcPr>
          <w:p w14:paraId="6B57AC88" w14:textId="47707E9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65.8 ± 5.2</w:t>
            </w:r>
          </w:p>
        </w:tc>
        <w:tc>
          <w:tcPr>
            <w:tcW w:w="904" w:type="dxa"/>
          </w:tcPr>
          <w:p w14:paraId="1D82BF44" w14:textId="736B6FE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6E557B6A" w14:textId="77777777" w:rsidTr="0004185B">
        <w:trPr>
          <w:trHeight w:val="263"/>
        </w:trPr>
        <w:tc>
          <w:tcPr>
            <w:tcW w:w="2972" w:type="dxa"/>
          </w:tcPr>
          <w:p w14:paraId="0D34F262" w14:textId="77777777" w:rsidR="00172060" w:rsidRPr="00DB66BC" w:rsidRDefault="00172060" w:rsidP="00172060">
            <w:pPr>
              <w:rPr>
                <w:rFonts w:ascii="Times New Roman" w:hAnsi="Times New Roman" w:cs="Times New Roman"/>
                <w:sz w:val="16"/>
                <w:szCs w:val="16"/>
              </w:rPr>
            </w:pPr>
          </w:p>
        </w:tc>
        <w:tc>
          <w:tcPr>
            <w:tcW w:w="1985" w:type="dxa"/>
          </w:tcPr>
          <w:p w14:paraId="4343614F" w14:textId="73BC92C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0AF8E706" w14:textId="4479FA4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YBT-PM (% of L L)</w:t>
            </w:r>
          </w:p>
        </w:tc>
        <w:tc>
          <w:tcPr>
            <w:tcW w:w="1559" w:type="dxa"/>
          </w:tcPr>
          <w:p w14:paraId="09C3840F" w14:textId="75B30CB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113.7 ± 5.3</w:t>
            </w:r>
          </w:p>
        </w:tc>
        <w:tc>
          <w:tcPr>
            <w:tcW w:w="1559" w:type="dxa"/>
          </w:tcPr>
          <w:p w14:paraId="2CADF3BD" w14:textId="29993CE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115.3 ± 2.8</w:t>
            </w:r>
          </w:p>
        </w:tc>
        <w:tc>
          <w:tcPr>
            <w:tcW w:w="851" w:type="dxa"/>
          </w:tcPr>
          <w:p w14:paraId="286C6DA8" w14:textId="369A3FF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62B79142" w14:textId="23DA70A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110.4 ± 6.1</w:t>
            </w:r>
          </w:p>
        </w:tc>
        <w:tc>
          <w:tcPr>
            <w:tcW w:w="1418" w:type="dxa"/>
          </w:tcPr>
          <w:p w14:paraId="374C78E7" w14:textId="02A211B3"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109.3 ± 6.4</w:t>
            </w:r>
          </w:p>
        </w:tc>
        <w:tc>
          <w:tcPr>
            <w:tcW w:w="904" w:type="dxa"/>
          </w:tcPr>
          <w:p w14:paraId="0BC70D4A" w14:textId="3E1DA2A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51662A26" w14:textId="77777777" w:rsidTr="0004185B">
        <w:trPr>
          <w:trHeight w:val="263"/>
        </w:trPr>
        <w:tc>
          <w:tcPr>
            <w:tcW w:w="2972" w:type="dxa"/>
          </w:tcPr>
          <w:p w14:paraId="765F408A" w14:textId="77777777" w:rsidR="00172060" w:rsidRPr="00DB66BC" w:rsidRDefault="00172060" w:rsidP="00172060">
            <w:pPr>
              <w:rPr>
                <w:rFonts w:ascii="Times New Roman" w:hAnsi="Times New Roman" w:cs="Times New Roman"/>
                <w:sz w:val="16"/>
                <w:szCs w:val="16"/>
              </w:rPr>
            </w:pPr>
          </w:p>
        </w:tc>
        <w:tc>
          <w:tcPr>
            <w:tcW w:w="1985" w:type="dxa"/>
          </w:tcPr>
          <w:p w14:paraId="3F3BDCF4" w14:textId="3AFE4E7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Dynamic balance</w:t>
            </w:r>
          </w:p>
        </w:tc>
        <w:tc>
          <w:tcPr>
            <w:tcW w:w="2126" w:type="dxa"/>
          </w:tcPr>
          <w:p w14:paraId="769848FD" w14:textId="2F1E01D2"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YBT-PL (% of L L)</w:t>
            </w:r>
          </w:p>
        </w:tc>
        <w:tc>
          <w:tcPr>
            <w:tcW w:w="1559" w:type="dxa"/>
          </w:tcPr>
          <w:p w14:paraId="4B3515A2" w14:textId="733BAFC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109.9 ± 4.6</w:t>
            </w:r>
          </w:p>
        </w:tc>
        <w:tc>
          <w:tcPr>
            <w:tcW w:w="1559" w:type="dxa"/>
          </w:tcPr>
          <w:p w14:paraId="4E8BCE47" w14:textId="141A0A2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109.5 ± 4.9</w:t>
            </w:r>
          </w:p>
        </w:tc>
        <w:tc>
          <w:tcPr>
            <w:tcW w:w="851" w:type="dxa"/>
          </w:tcPr>
          <w:p w14:paraId="64755F3E" w14:textId="1E99006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05D3CB7B" w14:textId="7EA235C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106.5 ± 5.7</w:t>
            </w:r>
          </w:p>
        </w:tc>
        <w:tc>
          <w:tcPr>
            <w:tcW w:w="1418" w:type="dxa"/>
          </w:tcPr>
          <w:p w14:paraId="2931EE20" w14:textId="05A0253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106.6 ± 5.7</w:t>
            </w:r>
          </w:p>
        </w:tc>
        <w:tc>
          <w:tcPr>
            <w:tcW w:w="904" w:type="dxa"/>
          </w:tcPr>
          <w:p w14:paraId="7B88FD31" w14:textId="79D7219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326A7553" w14:textId="77777777" w:rsidTr="0004185B">
        <w:trPr>
          <w:trHeight w:val="263"/>
        </w:trPr>
        <w:tc>
          <w:tcPr>
            <w:tcW w:w="2972" w:type="dxa"/>
          </w:tcPr>
          <w:p w14:paraId="576BDCA1" w14:textId="77777777" w:rsidR="00172060" w:rsidRPr="00DB66BC" w:rsidRDefault="00172060" w:rsidP="00172060">
            <w:pPr>
              <w:rPr>
                <w:rFonts w:ascii="Times New Roman" w:hAnsi="Times New Roman" w:cs="Times New Roman"/>
                <w:sz w:val="16"/>
                <w:szCs w:val="16"/>
              </w:rPr>
            </w:pPr>
          </w:p>
        </w:tc>
        <w:tc>
          <w:tcPr>
            <w:tcW w:w="1985" w:type="dxa"/>
          </w:tcPr>
          <w:p w14:paraId="5FFBEABF" w14:textId="0A782D8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5E698E8E" w14:textId="34C745B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10m (s)</w:t>
            </w:r>
          </w:p>
        </w:tc>
        <w:tc>
          <w:tcPr>
            <w:tcW w:w="1559" w:type="dxa"/>
          </w:tcPr>
          <w:p w14:paraId="128ED061" w14:textId="26AE70D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1.89 ± 0.1</w:t>
            </w:r>
          </w:p>
        </w:tc>
        <w:tc>
          <w:tcPr>
            <w:tcW w:w="1559" w:type="dxa"/>
          </w:tcPr>
          <w:p w14:paraId="0BDCD735" w14:textId="664B699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2.03 ± 0.23</w:t>
            </w:r>
          </w:p>
        </w:tc>
        <w:tc>
          <w:tcPr>
            <w:tcW w:w="851" w:type="dxa"/>
          </w:tcPr>
          <w:p w14:paraId="3238C80C" w14:textId="0F82659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475F4C40" w14:textId="1C6BF34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1.81 ± 0.29</w:t>
            </w:r>
          </w:p>
        </w:tc>
        <w:tc>
          <w:tcPr>
            <w:tcW w:w="1418" w:type="dxa"/>
          </w:tcPr>
          <w:p w14:paraId="2DFD0F90" w14:textId="20163516"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1.99 ± 0.33</w:t>
            </w:r>
          </w:p>
        </w:tc>
        <w:tc>
          <w:tcPr>
            <w:tcW w:w="904" w:type="dxa"/>
          </w:tcPr>
          <w:p w14:paraId="604AD8C2" w14:textId="7421ED3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411F5675" w14:textId="77777777" w:rsidTr="0004185B">
        <w:trPr>
          <w:trHeight w:val="263"/>
        </w:trPr>
        <w:tc>
          <w:tcPr>
            <w:tcW w:w="2972" w:type="dxa"/>
          </w:tcPr>
          <w:p w14:paraId="3923CBBE" w14:textId="77777777" w:rsidR="00172060" w:rsidRPr="00DB66BC" w:rsidRDefault="00172060" w:rsidP="00172060">
            <w:pPr>
              <w:rPr>
                <w:rFonts w:ascii="Times New Roman" w:hAnsi="Times New Roman" w:cs="Times New Roman"/>
                <w:sz w:val="16"/>
                <w:szCs w:val="16"/>
              </w:rPr>
            </w:pPr>
          </w:p>
        </w:tc>
        <w:tc>
          <w:tcPr>
            <w:tcW w:w="1985" w:type="dxa"/>
          </w:tcPr>
          <w:p w14:paraId="2D4C02A7" w14:textId="005CF04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580E9736" w14:textId="0DE9FEC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20m (s)</w:t>
            </w:r>
          </w:p>
        </w:tc>
        <w:tc>
          <w:tcPr>
            <w:tcW w:w="1559" w:type="dxa"/>
          </w:tcPr>
          <w:p w14:paraId="42CBC497" w14:textId="0DBD66BF"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3.27 ± 0.15</w:t>
            </w:r>
          </w:p>
        </w:tc>
        <w:tc>
          <w:tcPr>
            <w:tcW w:w="1559" w:type="dxa"/>
          </w:tcPr>
          <w:p w14:paraId="1E41A3C2" w14:textId="54CCDF8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3.24 ± 0.15</w:t>
            </w:r>
          </w:p>
        </w:tc>
        <w:tc>
          <w:tcPr>
            <w:tcW w:w="851" w:type="dxa"/>
          </w:tcPr>
          <w:p w14:paraId="57340737" w14:textId="1D6591A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0205BC99" w14:textId="6DC81EB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3.27 ± 0.16</w:t>
            </w:r>
          </w:p>
        </w:tc>
        <w:tc>
          <w:tcPr>
            <w:tcW w:w="1418" w:type="dxa"/>
          </w:tcPr>
          <w:p w14:paraId="3120F779" w14:textId="4D5A1BC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3.31 ± 0.23</w:t>
            </w:r>
          </w:p>
        </w:tc>
        <w:tc>
          <w:tcPr>
            <w:tcW w:w="904" w:type="dxa"/>
          </w:tcPr>
          <w:p w14:paraId="58C2B825" w14:textId="294948F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79C149B5" w14:textId="77777777" w:rsidTr="0004185B">
        <w:trPr>
          <w:trHeight w:val="263"/>
        </w:trPr>
        <w:tc>
          <w:tcPr>
            <w:tcW w:w="2972" w:type="dxa"/>
          </w:tcPr>
          <w:p w14:paraId="5E1B912F" w14:textId="77777777" w:rsidR="00172060" w:rsidRPr="00DB66BC" w:rsidRDefault="00172060" w:rsidP="00172060">
            <w:pPr>
              <w:rPr>
                <w:rFonts w:ascii="Times New Roman" w:hAnsi="Times New Roman" w:cs="Times New Roman"/>
                <w:sz w:val="16"/>
                <w:szCs w:val="16"/>
              </w:rPr>
            </w:pPr>
          </w:p>
        </w:tc>
        <w:tc>
          <w:tcPr>
            <w:tcW w:w="1985" w:type="dxa"/>
          </w:tcPr>
          <w:p w14:paraId="629D9E20" w14:textId="33CB2102"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53C81A99" w14:textId="2DAD57D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3EB14BC7" w14:textId="6E103ED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  26.9 ± 3.5</w:t>
            </w:r>
          </w:p>
        </w:tc>
        <w:tc>
          <w:tcPr>
            <w:tcW w:w="1559" w:type="dxa"/>
          </w:tcPr>
          <w:p w14:paraId="32B4F639" w14:textId="004735C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26.6 ± 3.5</w:t>
            </w:r>
          </w:p>
        </w:tc>
        <w:tc>
          <w:tcPr>
            <w:tcW w:w="851" w:type="dxa"/>
          </w:tcPr>
          <w:p w14:paraId="6356B5E2" w14:textId="46E75A1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c>
          <w:tcPr>
            <w:tcW w:w="1559" w:type="dxa"/>
          </w:tcPr>
          <w:p w14:paraId="108C7C64" w14:textId="347786F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24.3 ± 2.4</w:t>
            </w:r>
          </w:p>
        </w:tc>
        <w:tc>
          <w:tcPr>
            <w:tcW w:w="1418" w:type="dxa"/>
          </w:tcPr>
          <w:p w14:paraId="788CC145" w14:textId="688251F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22.1 ± 5.5</w:t>
            </w:r>
          </w:p>
        </w:tc>
        <w:tc>
          <w:tcPr>
            <w:tcW w:w="904" w:type="dxa"/>
          </w:tcPr>
          <w:p w14:paraId="4ADF7611" w14:textId="6A8FDB4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11</w:t>
            </w:r>
          </w:p>
        </w:tc>
      </w:tr>
      <w:tr w:rsidR="00172060" w:rsidRPr="00DB66BC" w14:paraId="3054AB02" w14:textId="77777777" w:rsidTr="0004185B">
        <w:trPr>
          <w:trHeight w:val="263"/>
        </w:trPr>
        <w:tc>
          <w:tcPr>
            <w:tcW w:w="2972" w:type="dxa"/>
          </w:tcPr>
          <w:p w14:paraId="58783F78" w14:textId="20C0A879" w:rsidR="00172060" w:rsidRPr="00DB66BC" w:rsidRDefault="00172060" w:rsidP="00172060">
            <w:pPr>
              <w:rPr>
                <w:rFonts w:ascii="Times New Roman" w:hAnsi="Times New Roman" w:cs="Times New Roman"/>
                <w:sz w:val="16"/>
                <w:szCs w:val="16"/>
              </w:rPr>
            </w:pPr>
            <w:proofErr w:type="spellStart"/>
            <w:r w:rsidRPr="00DB66BC">
              <w:rPr>
                <w:rFonts w:ascii="Times New Roman" w:hAnsi="Times New Roman" w:cs="Times New Roman"/>
                <w:sz w:val="16"/>
                <w:szCs w:val="16"/>
              </w:rPr>
              <w:t>Sharifatpour</w:t>
            </w:r>
            <w:proofErr w:type="spellEnd"/>
            <w:r w:rsidRPr="00DB66BC">
              <w:rPr>
                <w:rFonts w:ascii="Times New Roman" w:hAnsi="Times New Roman" w:cs="Times New Roman"/>
                <w:sz w:val="16"/>
                <w:szCs w:val="16"/>
              </w:rPr>
              <w:t xml:space="preserve">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{"citationItems":[{"id":"ITEM-1","itemData":{"DOI":"10.6018/cpd.584601","ISSN":"19895879","abstract":"The purpose of the study was to investigate the effect of modified FIFA 11+ training on functional factors of beach soccer players. The study is an RCT. Forty subjects divided to two control and exercise groups. functional factors was collected by the Bosco jump test on the force plate. repeated measures ANOVA was used to compare, between groups and the intervention group, as well as the effect of intervention. Statistical analyses were performed using SPSS at the significant level of 0.05. The result showed that Bosco index (F1, 38 = 42.85, p &lt;0.001), power index (F1, 38 = 12.33, p = 0.001) and equilibrium index (F1, 38 = 127.11, p = 0.001) were increased after intervention. The time × group interaction for the Bosco-index was significant. The modified FIFA 11+ which performed in the sand had an effect on functional factors. these exercises are recommended for beach soccer players to improve their performance.","author":[{"dropping-particle":"","family":"Sharifatpour","given":"Reza","non-dropping-particle":"","parse-names":false,"suffix":""},{"dropping-particle":"","family":"Abbasi","given":"Hamid","non-dropping-particle":"","parse-names":false,"suffix":""},{"dropping-particle":"","family":"Alizadeh","given":"Mohammad Hossein","non-dropping-particle":"","parse-names":false,"suffix":""},{"dropping-particle":"","family":"Abedinzadeh","given":"Saeed","non-dropping-particle":"","parse-names":false,"suffix":""},{"dropping-particle":"","family":"Machado","given":"Sergio","non-dropping-particle":"","parse-names":false,"suffix":""}],"container-title":"Cuadernos de Psicologia del Deporte","id":"ITEM-1","issue":"3","issued":{"date-parts":[["2024"]]},"page":"265-280","title":"Effect of 12 weeks of modified FIFA 11+ training on functional factors of male beach soccer players: A Randomized Controlled Trial study","type":"article-journal","volume":"24"},"uris":["http://www.mendeley.com/documents/?uuid=2bd8d0a6-4ba0-47fb-88c7-a6f6fc6acfb7"]}],"mendeley":{"formattedCitation":"[15]","plainTextFormattedCitation":"[15]","previouslyFormattedCitation":"[15]"},"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[15]</w:t>
            </w:r>
            <w:r w:rsidR="00FC383C" w:rsidRPr="00DB66BC">
              <w:rPr>
                <w:rFonts w:ascii="Times New Roman" w:hAnsi="Times New Roman" w:cs="Times New Roman"/>
                <w:sz w:val="16"/>
                <w:szCs w:val="16"/>
              </w:rPr>
              <w:fldChar w:fldCharType="end"/>
            </w:r>
          </w:p>
        </w:tc>
        <w:tc>
          <w:tcPr>
            <w:tcW w:w="1985" w:type="dxa"/>
          </w:tcPr>
          <w:p w14:paraId="1827C04E" w14:textId="2025A8D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48091E6B" w14:textId="552FF7E4"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BOSCO I</w:t>
            </w:r>
          </w:p>
        </w:tc>
        <w:tc>
          <w:tcPr>
            <w:tcW w:w="1559" w:type="dxa"/>
          </w:tcPr>
          <w:p w14:paraId="20E0BD8C" w14:textId="2C45C22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89.97 ± 3.63</w:t>
            </w:r>
          </w:p>
        </w:tc>
        <w:tc>
          <w:tcPr>
            <w:tcW w:w="1559" w:type="dxa"/>
          </w:tcPr>
          <w:p w14:paraId="68D4730E" w14:textId="0B35B08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93.28 ± 2.79</w:t>
            </w:r>
          </w:p>
        </w:tc>
        <w:tc>
          <w:tcPr>
            <w:tcW w:w="851" w:type="dxa"/>
          </w:tcPr>
          <w:p w14:paraId="394EE010" w14:textId="25C1EF8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20</w:t>
            </w:r>
          </w:p>
        </w:tc>
        <w:tc>
          <w:tcPr>
            <w:tcW w:w="1559" w:type="dxa"/>
          </w:tcPr>
          <w:p w14:paraId="21F6A8F2" w14:textId="1C0EE8A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88.93 ± 3.82</w:t>
            </w:r>
          </w:p>
        </w:tc>
        <w:tc>
          <w:tcPr>
            <w:tcW w:w="1418" w:type="dxa"/>
          </w:tcPr>
          <w:p w14:paraId="0EBC0B4F" w14:textId="02FF597C"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89.86 ± 2.85</w:t>
            </w:r>
          </w:p>
        </w:tc>
        <w:tc>
          <w:tcPr>
            <w:tcW w:w="904" w:type="dxa"/>
          </w:tcPr>
          <w:p w14:paraId="5F0A7C70" w14:textId="19189A3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20</w:t>
            </w:r>
          </w:p>
        </w:tc>
      </w:tr>
      <w:tr w:rsidR="00172060" w:rsidRPr="00DB66BC" w14:paraId="496E6ADA" w14:textId="77777777" w:rsidTr="0004185B">
        <w:trPr>
          <w:trHeight w:val="263"/>
        </w:trPr>
        <w:tc>
          <w:tcPr>
            <w:tcW w:w="2972" w:type="dxa"/>
          </w:tcPr>
          <w:p w14:paraId="51666076" w14:textId="534D1100"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color w:val="000000"/>
                <w:sz w:val="16"/>
                <w:szCs w:val="16"/>
              </w:rPr>
              <w:t xml:space="preserve">Zarei et al. </w:t>
            </w:r>
            <w:r w:rsidR="00FC383C" w:rsidRPr="00DB66BC">
              <w:rPr>
                <w:rFonts w:ascii="Times New Roman" w:hAnsi="Times New Roman" w:cs="Times New Roman"/>
                <w:color w:val="000000"/>
                <w:sz w:val="16"/>
                <w:szCs w:val="16"/>
              </w:rPr>
              <w:fldChar w:fldCharType="begin" w:fldLock="1"/>
            </w:r>
            <w:r w:rsidR="00FC383C" w:rsidRPr="00DB66BC">
              <w:rPr>
                <w:rFonts w:ascii="Times New Roman" w:hAnsi="Times New Roman" w:cs="Times New Roman"/>
                <w:color w:val="000000"/>
                <w:sz w:val="16"/>
                <w:szCs w:val="16"/>
              </w:rPr>
              <w:instrText>ADDIN CSL_CITATION {"citationItems":[{"id":"ITEM-1","itemData":{"DOI":"10.1080/02640414.2018.1462001","ISSN":"1466447X","PMID":"29638190","abstract":"This study examined the long-term effects of the 11+ on physical performance in adolescent male football (soccer) players. Eighty-two 14- to 16-year-old male football players (11+ = 42 players, control = 40 players) participated. Teams were randomised to control (CON) and intervention (INT) groups. INT applied the 11+ injury prevention programme for 30 weeks at least twice a week as a warm-up. CON performed their standard warm-up. Motor performance tests were conducted 1 week prior and 1 week after the competition season. We used magnitude-based inferences and linear mixed-effects models to analyse performance test results. INT showed superior results compared to CON in the vertical jump height 7.5% (95%-CI 4.4%, 10.7%), the Bosco 15-s-jump test 7.2% (95%-CI 2.2%, 12.4%), and the Illinois agility test −2.6% (95%-CI −4.1%, −1.1%). Possibly beneficial effects in favour of INT were found in the 9.1 m sprint test −3.1% (95%-CI −6.1%, 0.1%). Possibly harmful effects (i.e. in favour of CON) were observed in the dribbling test 2.8% (95%-CI −0.8%, 6.4%). The 11+ warm-up programme can improve different performance measures in football players. Coaches might implement additional dribbling drills next to the 11+ to achieve improvements observed in dribbling ability when using a regular warm-up programme.","author":[{"dropping-particle":"","family":"Zarei","given":"Mostafa","non-dropping-particle":"","parse-names":false,"suffix":""},{"dropping-particle":"","family":"Abbasi","given":"Hamed","non-dropping-particle":"","parse-names":false,"suffix":""},{"dropping-particle":"","family":"Daneshjoo","given":"Abdolhamid","non-dropping-particle":"","parse-names":false,"suffix":""},{"dropping-particle":"","family":"Barghi","given":"Tohid Seif","non-dropping-particle":"","parse-names":false,"suffix":""},{"dropping-particle":"","family":"Rommers","given":"Nikki","non-dropping-particle":"","parse-names":false,"suffix":""},{"dropping-particle":"","family":"Faude","given":"Oliver","non-dropping-particle":"","parse-names":false,"suffix":""},{"dropping-particle":"","family":"Rössler","given":"Roland","non-dropping-particle":"","parse-names":false,"suffix":""}],"container-title":"Journal of Sports Sciences","id":"ITEM-1","issue":"21","issued":{"date-parts":[["2018"]]},"page":"2447-2454","publisher":"Routledge","title":"Long-term effects of the 11+ warm-up injury prevention programme on physical performance in adolescent male football players: a cluster-randomised controlled trial","type":"article-journal","volume":"36"},"uris":["http://www.mendeley.com/documents/?uuid=542f252b-8082-453b-b183-27088b2800ad"]}],"mendeley":{"formattedCitation":"[16]","plainTextFormattedCitation":"[16]","previouslyFormattedCitation":"[16]"},"properties":{"noteIndex":0},"schema":"https://github.com/citation-style-language/schema/raw/master/csl-citation.json"}</w:instrText>
            </w:r>
            <w:r w:rsidR="00FC383C" w:rsidRPr="00DB66BC">
              <w:rPr>
                <w:rFonts w:ascii="Times New Roman" w:hAnsi="Times New Roman" w:cs="Times New Roman"/>
                <w:color w:val="000000"/>
                <w:sz w:val="16"/>
                <w:szCs w:val="16"/>
              </w:rPr>
              <w:fldChar w:fldCharType="separate"/>
            </w:r>
            <w:r w:rsidR="00FC383C" w:rsidRPr="00DB66BC">
              <w:rPr>
                <w:rFonts w:ascii="Times New Roman" w:hAnsi="Times New Roman" w:cs="Times New Roman"/>
                <w:noProof/>
                <w:color w:val="000000"/>
                <w:sz w:val="16"/>
                <w:szCs w:val="16"/>
              </w:rPr>
              <w:t>[16]</w:t>
            </w:r>
            <w:r w:rsidR="00FC383C" w:rsidRPr="00DB66BC">
              <w:rPr>
                <w:rFonts w:ascii="Times New Roman" w:hAnsi="Times New Roman" w:cs="Times New Roman"/>
                <w:color w:val="000000"/>
                <w:sz w:val="16"/>
                <w:szCs w:val="16"/>
              </w:rPr>
              <w:fldChar w:fldCharType="end"/>
            </w:r>
          </w:p>
        </w:tc>
        <w:tc>
          <w:tcPr>
            <w:tcW w:w="1985" w:type="dxa"/>
          </w:tcPr>
          <w:p w14:paraId="5F8F65B5" w14:textId="668523E2"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1B3DBE9A" w14:textId="1CBE9575"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IAT (s)</w:t>
            </w:r>
          </w:p>
        </w:tc>
        <w:tc>
          <w:tcPr>
            <w:tcW w:w="1559" w:type="dxa"/>
          </w:tcPr>
          <w:p w14:paraId="2AC5D85D" w14:textId="567862C0"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 19.1 ± 0.9 </w:t>
            </w:r>
          </w:p>
        </w:tc>
        <w:tc>
          <w:tcPr>
            <w:tcW w:w="1559" w:type="dxa"/>
          </w:tcPr>
          <w:p w14:paraId="030A2707" w14:textId="637130E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18.3 ± 0.8</w:t>
            </w:r>
          </w:p>
        </w:tc>
        <w:tc>
          <w:tcPr>
            <w:tcW w:w="851" w:type="dxa"/>
          </w:tcPr>
          <w:p w14:paraId="3787F6B5" w14:textId="086DB68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34</w:t>
            </w:r>
          </w:p>
        </w:tc>
        <w:tc>
          <w:tcPr>
            <w:tcW w:w="1559" w:type="dxa"/>
          </w:tcPr>
          <w:p w14:paraId="76105C50" w14:textId="7400441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18.4 ± 1.0 </w:t>
            </w:r>
          </w:p>
        </w:tc>
        <w:tc>
          <w:tcPr>
            <w:tcW w:w="1418" w:type="dxa"/>
          </w:tcPr>
          <w:p w14:paraId="6CB262BE" w14:textId="4941FC07"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18.1 ± 0.7</w:t>
            </w:r>
          </w:p>
        </w:tc>
        <w:tc>
          <w:tcPr>
            <w:tcW w:w="904" w:type="dxa"/>
          </w:tcPr>
          <w:p w14:paraId="128312A1" w14:textId="036E7D2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w:t>
            </w:r>
          </w:p>
        </w:tc>
      </w:tr>
      <w:tr w:rsidR="00172060" w:rsidRPr="00DB66BC" w14:paraId="01A89E5B" w14:textId="77777777" w:rsidTr="0004185B">
        <w:trPr>
          <w:trHeight w:val="263"/>
        </w:trPr>
        <w:tc>
          <w:tcPr>
            <w:tcW w:w="2972" w:type="dxa"/>
          </w:tcPr>
          <w:p w14:paraId="76F0FF13" w14:textId="77777777" w:rsidR="00172060" w:rsidRPr="00DB66BC" w:rsidRDefault="00172060" w:rsidP="00172060">
            <w:pPr>
              <w:rPr>
                <w:rFonts w:ascii="Times New Roman" w:hAnsi="Times New Roman" w:cs="Times New Roman"/>
                <w:color w:val="000000"/>
                <w:sz w:val="16"/>
                <w:szCs w:val="16"/>
              </w:rPr>
            </w:pPr>
          </w:p>
        </w:tc>
        <w:tc>
          <w:tcPr>
            <w:tcW w:w="1985" w:type="dxa"/>
          </w:tcPr>
          <w:p w14:paraId="16767E6E" w14:textId="3CCFC71A"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5ADD059F" w14:textId="0A15F336"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9.6m (s)</w:t>
            </w:r>
          </w:p>
        </w:tc>
        <w:tc>
          <w:tcPr>
            <w:tcW w:w="1559" w:type="dxa"/>
          </w:tcPr>
          <w:p w14:paraId="6C2D7F6C" w14:textId="0720177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1.8 ± 0.1 </w:t>
            </w:r>
          </w:p>
        </w:tc>
        <w:tc>
          <w:tcPr>
            <w:tcW w:w="1559" w:type="dxa"/>
          </w:tcPr>
          <w:p w14:paraId="287E4A32" w14:textId="7531EB1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1.8 ± 0.2</w:t>
            </w:r>
          </w:p>
        </w:tc>
        <w:tc>
          <w:tcPr>
            <w:tcW w:w="851" w:type="dxa"/>
          </w:tcPr>
          <w:p w14:paraId="0FF132AA" w14:textId="171441D9"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34</w:t>
            </w:r>
          </w:p>
        </w:tc>
        <w:tc>
          <w:tcPr>
            <w:tcW w:w="1559" w:type="dxa"/>
          </w:tcPr>
          <w:p w14:paraId="333156B6" w14:textId="7F2EE4B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 ± 0.1</w:t>
            </w:r>
          </w:p>
        </w:tc>
        <w:tc>
          <w:tcPr>
            <w:tcW w:w="1418" w:type="dxa"/>
          </w:tcPr>
          <w:p w14:paraId="06D84B61" w14:textId="450A2EB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1.7 ± 0.1</w:t>
            </w:r>
          </w:p>
        </w:tc>
        <w:tc>
          <w:tcPr>
            <w:tcW w:w="904" w:type="dxa"/>
          </w:tcPr>
          <w:p w14:paraId="32D071C0" w14:textId="32AF906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w:t>
            </w:r>
          </w:p>
        </w:tc>
      </w:tr>
      <w:tr w:rsidR="00172060" w:rsidRPr="00DB66BC" w14:paraId="6FB038A6" w14:textId="77777777" w:rsidTr="0004185B">
        <w:trPr>
          <w:trHeight w:val="263"/>
        </w:trPr>
        <w:tc>
          <w:tcPr>
            <w:tcW w:w="2972" w:type="dxa"/>
          </w:tcPr>
          <w:p w14:paraId="537FA18C" w14:textId="77777777" w:rsidR="00172060" w:rsidRPr="00DB66BC" w:rsidRDefault="00172060" w:rsidP="00172060">
            <w:pPr>
              <w:rPr>
                <w:rFonts w:ascii="Times New Roman" w:hAnsi="Times New Roman" w:cs="Times New Roman"/>
                <w:color w:val="000000"/>
                <w:sz w:val="16"/>
                <w:szCs w:val="16"/>
              </w:rPr>
            </w:pPr>
          </w:p>
        </w:tc>
        <w:tc>
          <w:tcPr>
            <w:tcW w:w="1985" w:type="dxa"/>
          </w:tcPr>
          <w:p w14:paraId="6265604F" w14:textId="0A40F39B"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 xml:space="preserve">Vertical jump </w:t>
            </w:r>
          </w:p>
        </w:tc>
        <w:tc>
          <w:tcPr>
            <w:tcW w:w="2126" w:type="dxa"/>
          </w:tcPr>
          <w:p w14:paraId="662C987B" w14:textId="2669EC7F"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VJ (cm)</w:t>
            </w:r>
          </w:p>
        </w:tc>
        <w:tc>
          <w:tcPr>
            <w:tcW w:w="1559" w:type="dxa"/>
          </w:tcPr>
          <w:p w14:paraId="57E28218" w14:textId="48A27C0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 xml:space="preserve">41.1 ± 7.5 </w:t>
            </w:r>
          </w:p>
        </w:tc>
        <w:tc>
          <w:tcPr>
            <w:tcW w:w="1559" w:type="dxa"/>
          </w:tcPr>
          <w:p w14:paraId="27A5C3A3" w14:textId="1C7D2C1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45.0 ± 6.9</w:t>
            </w:r>
          </w:p>
        </w:tc>
        <w:tc>
          <w:tcPr>
            <w:tcW w:w="851" w:type="dxa"/>
          </w:tcPr>
          <w:p w14:paraId="1D4F13CB" w14:textId="0910C7B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34</w:t>
            </w:r>
          </w:p>
        </w:tc>
        <w:tc>
          <w:tcPr>
            <w:tcW w:w="1559" w:type="dxa"/>
          </w:tcPr>
          <w:p w14:paraId="7DB70279" w14:textId="63C9B5A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46.7 ± 4.8</w:t>
            </w:r>
          </w:p>
        </w:tc>
        <w:tc>
          <w:tcPr>
            <w:tcW w:w="1418" w:type="dxa"/>
          </w:tcPr>
          <w:p w14:paraId="70E6D0D8" w14:textId="4C49C3A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47.8 ± 4.7</w:t>
            </w:r>
          </w:p>
        </w:tc>
        <w:tc>
          <w:tcPr>
            <w:tcW w:w="904" w:type="dxa"/>
          </w:tcPr>
          <w:p w14:paraId="61E6D618" w14:textId="44E368D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32</w:t>
            </w:r>
          </w:p>
        </w:tc>
      </w:tr>
      <w:tr w:rsidR="00172060" w:rsidRPr="00DB66BC" w14:paraId="3D5C5D7A" w14:textId="77777777" w:rsidTr="0004185B">
        <w:trPr>
          <w:trHeight w:val="263"/>
        </w:trPr>
        <w:tc>
          <w:tcPr>
            <w:tcW w:w="2972" w:type="dxa"/>
          </w:tcPr>
          <w:p w14:paraId="5FD1C494" w14:textId="06E7A91B" w:rsidR="00172060" w:rsidRPr="00DB66BC" w:rsidRDefault="00172060" w:rsidP="00172060">
            <w:pPr>
              <w:rPr>
                <w:rFonts w:ascii="Times New Roman" w:hAnsi="Times New Roman" w:cs="Times New Roman"/>
                <w:color w:val="000000"/>
                <w:sz w:val="16"/>
                <w:szCs w:val="16"/>
              </w:rPr>
            </w:pPr>
            <w:r w:rsidRPr="00DB66BC">
              <w:rPr>
                <w:rFonts w:ascii="Times New Roman" w:hAnsi="Times New Roman" w:cs="Times New Roman"/>
                <w:sz w:val="16"/>
                <w:szCs w:val="16"/>
              </w:rPr>
              <w:t xml:space="preserve">Zhou et al. </w:t>
            </w:r>
            <w:r w:rsidR="00FC383C" w:rsidRPr="00DB66BC">
              <w:rPr>
                <w:rFonts w:ascii="Times New Roman" w:hAnsi="Times New Roman" w:cs="Times New Roman"/>
                <w:sz w:val="16"/>
                <w:szCs w:val="16"/>
              </w:rPr>
              <w:fldChar w:fldCharType="begin" w:fldLock="1"/>
            </w:r>
            <w:r w:rsidR="00FC383C" w:rsidRPr="00DB66BC">
              <w:rPr>
                <w:rFonts w:ascii="Times New Roman" w:hAnsi="Times New Roman" w:cs="Times New Roman"/>
                <w:sz w:val="16"/>
                <w:szCs w:val="16"/>
              </w:rPr>
              <w:instrText>ADDIN CSL_CITATION {"citationItems":[{"id":"ITEM-1","itemData":{"DOI":"10.3390/ijerph192013186","ISSN":"1660-4601","abstract":"Soccer is the world’s game, and keeping athletes healthy while playing the game has often been a focus of study. There is a high occurrence of musculoskeletal injuries reported in soccer. FIFA 11+ was developed as an intervention to help prevent such injuries. FIFA 11+ has previously been studied for its efficacy as an injury prevention program, but not for its effect on sports performance in an adolescent population. The purpose of this study was to look at the effect of implementing the FIFA 11+ intervention on strength, speed, and agility. Twenty youth soccer players were randomly divided into an intervention group (INT) and a control group (CON). The intervention lasted for eight weeks and performance assessments were completed pre- and post-intervention. Post-test INT knee flexor strength was significantly higher than pre-test scores (p &lt; 0.05). INT also demonstrated significantly higher hamstring to quadriceps strength ratio (H/Q) after the intervention (p &lt; 0.05), while the CON H/Q did not change significantly. 30-m sprint performance of both groups improved from pre- to post-test (p &lt; 0.05). Shuttle run performance was significantly improved in post-test scores for INT players (p &lt; 0.05), but did not change significantly for the CON players. It is suggested that implementing FIFA 11+ before training in young soccer players can lead to performance benefits as well as injury prevention benefits.","author":[{"dropping-particle":"","family":"Zhou","given":"Xin","non-dropping-particle":"","parse-names":false,"suffix":""},{"dropping-particle":"","family":"Luo","given":"Anmin","non-dropping-particle":"","parse-names":false,"suffix":""},{"dropping-particle":"","family":"Wang","given":"Yifei","non-dropping-particle":"","parse-names":false,"suffix":""},{"dropping-particle":"","family":"Zhang","given":"Qingqing","non-dropping-particle":"","parse-names":false,"suffix":""},{"dropping-particle":"","family":"Zha","given":"Yu","non-dropping-particle":"","parse-names":false,"suffix":""},{"dropping-particle":"","family":"Wang","given":"Sicheng","non-dropping-particle":"","parse-names":false,"suffix":""},{"dropping-particle":"","family":"Ashton","given":"Caroline","non-dropping-particle":"","parse-names":false,"suffix":""},{"dropping-particle":"","family":"Andamasaris","given":"John Ethan","non-dropping-particle":"","parse-names":false,"suffix":""},{"dropping-particle":"","family":"Wang","given":"Henry","non-dropping-particle":"","parse-names":false,"suffix":""},{"dropping-particle":"","family":"Wang","given":"Qirong","non-dropping-particle":"","parse-names":false,"suffix":""}],"container-title":"International Journal of Environmental Research and Public Health","id":"ITEM-1","issue":"20","issued":{"date-parts":[["2022","10","13"]]},"note":"Export Date: 29 December 2024; Cited By: 2","page":"13186","title":"The Effect of FIFA 11+ on the Isometric Strength and Running Ability of Young Soccer Players","type":"article-journal","volume":"19"},"uris":["http://www.mendeley.com/documents/?uuid=ae53ed7f-d790-438c-968c-66000933a23e"]}],"mendeley":{"formattedCitation":"[17]","plainTextFormattedCitation":"[17]","previouslyFormattedCitation":"[17]"},"properties":{"noteIndex":0},"schema":"https://github.com/citation-style-language/schema/raw/master/csl-citation.json"}</w:instrText>
            </w:r>
            <w:r w:rsidR="00FC383C" w:rsidRPr="00DB66BC">
              <w:rPr>
                <w:rFonts w:ascii="Times New Roman" w:hAnsi="Times New Roman" w:cs="Times New Roman"/>
                <w:sz w:val="16"/>
                <w:szCs w:val="16"/>
              </w:rPr>
              <w:fldChar w:fldCharType="separate"/>
            </w:r>
            <w:r w:rsidR="00FC383C" w:rsidRPr="00DB66BC">
              <w:rPr>
                <w:rFonts w:ascii="Times New Roman" w:hAnsi="Times New Roman" w:cs="Times New Roman"/>
                <w:noProof/>
                <w:sz w:val="16"/>
                <w:szCs w:val="16"/>
              </w:rPr>
              <w:t>[17]</w:t>
            </w:r>
            <w:r w:rsidR="00FC383C" w:rsidRPr="00DB66BC">
              <w:rPr>
                <w:rFonts w:ascii="Times New Roman" w:hAnsi="Times New Roman" w:cs="Times New Roman"/>
                <w:sz w:val="16"/>
                <w:szCs w:val="16"/>
              </w:rPr>
              <w:fldChar w:fldCharType="end"/>
            </w:r>
          </w:p>
        </w:tc>
        <w:tc>
          <w:tcPr>
            <w:tcW w:w="1985" w:type="dxa"/>
          </w:tcPr>
          <w:p w14:paraId="0D6F4D5E" w14:textId="54A3F9CE"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COD</w:t>
            </w:r>
          </w:p>
        </w:tc>
        <w:tc>
          <w:tcPr>
            <w:tcW w:w="2126" w:type="dxa"/>
          </w:tcPr>
          <w:p w14:paraId="01F7BC56" w14:textId="31B32E9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SR (s)</w:t>
            </w:r>
          </w:p>
        </w:tc>
        <w:tc>
          <w:tcPr>
            <w:tcW w:w="1559" w:type="dxa"/>
          </w:tcPr>
          <w:p w14:paraId="1800D0AA" w14:textId="420E95F8"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36.01 ± 2.52</w:t>
            </w:r>
          </w:p>
        </w:tc>
        <w:tc>
          <w:tcPr>
            <w:tcW w:w="1559" w:type="dxa"/>
          </w:tcPr>
          <w:p w14:paraId="7251BDAF" w14:textId="449C196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33.51 ± 1.55</w:t>
            </w:r>
          </w:p>
        </w:tc>
        <w:tc>
          <w:tcPr>
            <w:tcW w:w="851" w:type="dxa"/>
          </w:tcPr>
          <w:p w14:paraId="44E6CEB2" w14:textId="33870A6A"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color w:val="000000"/>
                <w:sz w:val="16"/>
                <w:szCs w:val="16"/>
              </w:rPr>
              <w:t>10</w:t>
            </w:r>
          </w:p>
        </w:tc>
        <w:tc>
          <w:tcPr>
            <w:tcW w:w="1559" w:type="dxa"/>
          </w:tcPr>
          <w:p w14:paraId="659460B2" w14:textId="5EA74C5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36.69 ± 2.16</w:t>
            </w:r>
          </w:p>
        </w:tc>
        <w:tc>
          <w:tcPr>
            <w:tcW w:w="1418" w:type="dxa"/>
          </w:tcPr>
          <w:p w14:paraId="084E8B4C" w14:textId="53296D0B"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35.25 ± 2.55</w:t>
            </w:r>
          </w:p>
        </w:tc>
        <w:tc>
          <w:tcPr>
            <w:tcW w:w="904" w:type="dxa"/>
          </w:tcPr>
          <w:p w14:paraId="48429509" w14:textId="77490FFE"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r>
      <w:tr w:rsidR="00172060" w:rsidRPr="00DB66BC" w14:paraId="4F29E57F" w14:textId="77777777" w:rsidTr="0004185B">
        <w:trPr>
          <w:trHeight w:val="263"/>
        </w:trPr>
        <w:tc>
          <w:tcPr>
            <w:tcW w:w="2972" w:type="dxa"/>
          </w:tcPr>
          <w:p w14:paraId="539695E2" w14:textId="77777777" w:rsidR="00172060" w:rsidRPr="00DB66BC" w:rsidRDefault="00172060" w:rsidP="00172060">
            <w:pPr>
              <w:rPr>
                <w:rFonts w:ascii="Times New Roman" w:hAnsi="Times New Roman" w:cs="Times New Roman"/>
                <w:sz w:val="16"/>
                <w:szCs w:val="16"/>
              </w:rPr>
            </w:pPr>
          </w:p>
        </w:tc>
        <w:tc>
          <w:tcPr>
            <w:tcW w:w="1985" w:type="dxa"/>
          </w:tcPr>
          <w:p w14:paraId="5300F0D8" w14:textId="15562603"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Speed</w:t>
            </w:r>
          </w:p>
        </w:tc>
        <w:tc>
          <w:tcPr>
            <w:tcW w:w="2126" w:type="dxa"/>
          </w:tcPr>
          <w:p w14:paraId="66245DF7" w14:textId="24FCF1A5" w:rsidR="00172060" w:rsidRPr="00DB66BC" w:rsidRDefault="00172060" w:rsidP="00172060">
            <w:pPr>
              <w:rPr>
                <w:rFonts w:ascii="Times New Roman" w:hAnsi="Times New Roman" w:cs="Times New Roman"/>
                <w:sz w:val="16"/>
                <w:szCs w:val="16"/>
              </w:rPr>
            </w:pPr>
            <w:r w:rsidRPr="00DB66BC">
              <w:rPr>
                <w:rFonts w:ascii="Times New Roman" w:hAnsi="Times New Roman" w:cs="Times New Roman"/>
                <w:sz w:val="16"/>
                <w:szCs w:val="16"/>
              </w:rPr>
              <w:t>30m (s)</w:t>
            </w:r>
          </w:p>
        </w:tc>
        <w:tc>
          <w:tcPr>
            <w:tcW w:w="1559" w:type="dxa"/>
          </w:tcPr>
          <w:p w14:paraId="1C35C238" w14:textId="16CF1565"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4.81 ± 0.26</w:t>
            </w:r>
          </w:p>
        </w:tc>
        <w:tc>
          <w:tcPr>
            <w:tcW w:w="1559" w:type="dxa"/>
          </w:tcPr>
          <w:p w14:paraId="5568B0FD" w14:textId="21747DFD"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4.39 ± 0.26</w:t>
            </w:r>
          </w:p>
        </w:tc>
        <w:tc>
          <w:tcPr>
            <w:tcW w:w="851" w:type="dxa"/>
          </w:tcPr>
          <w:p w14:paraId="2C5AC12A" w14:textId="0D121287" w:rsidR="00172060" w:rsidRPr="00DB66BC" w:rsidRDefault="00172060" w:rsidP="00172060">
            <w:pPr>
              <w:jc w:val="center"/>
              <w:rPr>
                <w:rFonts w:ascii="Times New Roman" w:hAnsi="Times New Roman" w:cs="Times New Roman"/>
                <w:color w:val="000000"/>
                <w:sz w:val="16"/>
                <w:szCs w:val="16"/>
              </w:rPr>
            </w:pPr>
            <w:r w:rsidRPr="00DB66BC">
              <w:rPr>
                <w:rFonts w:ascii="Times New Roman" w:hAnsi="Times New Roman" w:cs="Times New Roman"/>
                <w:color w:val="000000"/>
                <w:sz w:val="16"/>
                <w:szCs w:val="16"/>
              </w:rPr>
              <w:t>10</w:t>
            </w:r>
          </w:p>
        </w:tc>
        <w:tc>
          <w:tcPr>
            <w:tcW w:w="1559" w:type="dxa"/>
          </w:tcPr>
          <w:p w14:paraId="30B12746" w14:textId="095D80B1"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5.11 ± 0.20</w:t>
            </w:r>
          </w:p>
        </w:tc>
        <w:tc>
          <w:tcPr>
            <w:tcW w:w="1418" w:type="dxa"/>
          </w:tcPr>
          <w:p w14:paraId="173C790E" w14:textId="631EA9E4"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4.6 ± 0.17</w:t>
            </w:r>
          </w:p>
        </w:tc>
        <w:tc>
          <w:tcPr>
            <w:tcW w:w="904" w:type="dxa"/>
          </w:tcPr>
          <w:p w14:paraId="05FCD2A6" w14:textId="2A687462" w:rsidR="00172060" w:rsidRPr="00DB66BC" w:rsidRDefault="00172060" w:rsidP="00172060">
            <w:pPr>
              <w:jc w:val="center"/>
              <w:rPr>
                <w:rFonts w:ascii="Times New Roman" w:hAnsi="Times New Roman" w:cs="Times New Roman"/>
                <w:sz w:val="16"/>
                <w:szCs w:val="16"/>
              </w:rPr>
            </w:pPr>
            <w:r w:rsidRPr="00DB66BC">
              <w:rPr>
                <w:rFonts w:ascii="Times New Roman" w:hAnsi="Times New Roman" w:cs="Times New Roman"/>
                <w:sz w:val="16"/>
                <w:szCs w:val="16"/>
              </w:rPr>
              <w:t>10</w:t>
            </w:r>
          </w:p>
        </w:tc>
      </w:tr>
    </w:tbl>
    <w:p w14:paraId="75CC023C" w14:textId="77777777" w:rsidR="00FC383C" w:rsidRPr="00DB66BC" w:rsidRDefault="00964975" w:rsidP="00FC383C">
      <w:pPr>
        <w:rPr>
          <w:rFonts w:ascii="Times New Roman" w:hAnsi="Times New Roman" w:cs="Times New Roman"/>
          <w:i/>
          <w:iCs/>
          <w:color w:val="000000" w:themeColor="text1"/>
          <w:sz w:val="20"/>
          <w:szCs w:val="20"/>
        </w:rPr>
        <w:sectPr w:rsidR="00FC383C" w:rsidRPr="00DB66BC" w:rsidSect="0076517B">
          <w:pgSz w:w="16838" w:h="11906" w:orient="landscape"/>
          <w:pgMar w:top="426" w:right="1440" w:bottom="1440" w:left="1440" w:header="709" w:footer="709" w:gutter="0"/>
          <w:cols w:space="708"/>
          <w:docGrid w:linePitch="360"/>
        </w:sectPr>
      </w:pPr>
      <w:r w:rsidRPr="00DB66BC">
        <w:rPr>
          <w:rFonts w:ascii="Times New Roman" w:hAnsi="Times New Roman" w:cs="Times New Roman"/>
          <w:i/>
          <w:iCs/>
        </w:rPr>
        <w:t xml:space="preserve">YBT-R= Y Balance Test- Right, YBT-L= Y Balance Test- Left, VJ= Vertical jump, MAT= Modified agility test, IAT= Illinois agility test, SR= Shuttle run test, SEBT= Star Excursion Balance Test, </w:t>
      </w:r>
      <w:bookmarkStart w:id="0" w:name="_Hlk187622930"/>
      <w:r w:rsidRPr="00DB66BC">
        <w:rPr>
          <w:rFonts w:ascii="Times New Roman" w:hAnsi="Times New Roman" w:cs="Times New Roman"/>
          <w:i/>
          <w:iCs/>
        </w:rPr>
        <w:t>VDJ= Vertical drop jump</w:t>
      </w:r>
      <w:bookmarkEnd w:id="0"/>
      <w:r w:rsidRPr="00DB66BC">
        <w:rPr>
          <w:rFonts w:ascii="Times New Roman" w:hAnsi="Times New Roman" w:cs="Times New Roman"/>
          <w:i/>
          <w:iCs/>
        </w:rPr>
        <w:t xml:space="preserve">, CMJ= Countermovement jump, AAT= </w:t>
      </w:r>
      <w:bookmarkStart w:id="1" w:name="_Hlk187623037"/>
      <w:r w:rsidRPr="00DB66BC">
        <w:rPr>
          <w:rFonts w:ascii="Times New Roman" w:hAnsi="Times New Roman" w:cs="Times New Roman"/>
          <w:i/>
          <w:iCs/>
        </w:rPr>
        <w:t>Arrow agility test</w:t>
      </w:r>
      <w:bookmarkEnd w:id="1"/>
      <w:r w:rsidRPr="00DB66BC">
        <w:rPr>
          <w:rFonts w:ascii="Times New Roman" w:hAnsi="Times New Roman" w:cs="Times New Roman"/>
          <w:i/>
          <w:iCs/>
        </w:rPr>
        <w:t xml:space="preserve">, SJ= squat jump, COD= Change of </w:t>
      </w:r>
      <w:r w:rsidRPr="00DB66BC">
        <w:rPr>
          <w:rFonts w:ascii="Times New Roman" w:hAnsi="Times New Roman" w:cs="Times New Roman"/>
          <w:i/>
          <w:iCs/>
          <w:color w:val="000000" w:themeColor="text1"/>
        </w:rPr>
        <w:t>direction, % of L L= percentage of leg length</w:t>
      </w:r>
      <w:r w:rsidR="000B3CF9" w:rsidRPr="00DB66BC">
        <w:rPr>
          <w:rFonts w:ascii="Times New Roman" w:hAnsi="Times New Roman" w:cs="Times New Roman"/>
          <w:i/>
          <w:iCs/>
          <w:color w:val="000000" w:themeColor="text1"/>
        </w:rPr>
        <w:t>, n=number of subjects</w:t>
      </w:r>
      <w:r w:rsidR="00CB111E" w:rsidRPr="00DB66BC">
        <w:rPr>
          <w:rFonts w:ascii="Times New Roman" w:hAnsi="Times New Roman" w:cs="Times New Roman"/>
          <w:i/>
          <w:iCs/>
          <w:color w:val="000000" w:themeColor="text1"/>
        </w:rPr>
        <w:t>, SD= Standard deviation, s= Seconds,</w:t>
      </w:r>
      <w:r w:rsidR="00CB111E" w:rsidRPr="00DB66BC">
        <w:rPr>
          <w:rFonts w:ascii="Times New Roman" w:hAnsi="Times New Roman" w:cs="Times New Roman"/>
          <w:color w:val="000000" w:themeColor="text1"/>
          <w:sz w:val="16"/>
          <w:szCs w:val="16"/>
        </w:rPr>
        <w:t xml:space="preserve"> </w:t>
      </w:r>
      <w:r w:rsidR="00CB111E" w:rsidRPr="00DB66BC">
        <w:rPr>
          <w:rFonts w:ascii="Times New Roman" w:hAnsi="Times New Roman" w:cs="Times New Roman"/>
          <w:color w:val="000000" w:themeColor="text1"/>
          <w:sz w:val="18"/>
          <w:szCs w:val="18"/>
        </w:rPr>
        <w:t xml:space="preserve">A= </w:t>
      </w:r>
      <w:r w:rsidR="00CB111E" w:rsidRPr="00DB66BC">
        <w:rPr>
          <w:rFonts w:ascii="Times New Roman" w:hAnsi="Times New Roman" w:cs="Times New Roman"/>
          <w:color w:val="000000" w:themeColor="text1"/>
          <w:sz w:val="20"/>
          <w:szCs w:val="20"/>
        </w:rPr>
        <w:t>Anterior, PM=Posteromedial, PL= Posterolateral, cm= Centimetres</w:t>
      </w:r>
      <w:r w:rsidRPr="00DB66BC">
        <w:rPr>
          <w:rFonts w:ascii="Times New Roman" w:hAnsi="Times New Roman" w:cs="Times New Roman"/>
          <w:i/>
          <w:iCs/>
          <w:color w:val="000000" w:themeColor="text1"/>
          <w:sz w:val="20"/>
          <w:szCs w:val="20"/>
        </w:rPr>
        <w:t>.</w:t>
      </w:r>
      <w:r w:rsidR="00FC383C" w:rsidRPr="00DB66BC">
        <w:rPr>
          <w:rFonts w:ascii="Times New Roman" w:hAnsi="Times New Roman" w:cs="Times New Roman"/>
          <w:i/>
          <w:iCs/>
          <w:color w:val="000000" w:themeColor="text1"/>
          <w:sz w:val="20"/>
          <w:szCs w:val="20"/>
        </w:rPr>
        <w:t xml:space="preserve"> </w:t>
      </w:r>
    </w:p>
    <w:p w14:paraId="661AC75A" w14:textId="77777777" w:rsidR="00FC383C" w:rsidRPr="00DB66BC" w:rsidRDefault="00FC383C" w:rsidP="00964975">
      <w:pPr>
        <w:jc w:val="both"/>
        <w:rPr>
          <w:rFonts w:ascii="Times New Roman" w:hAnsi="Times New Roman" w:cs="Times New Roman"/>
          <w:b/>
          <w:bCs/>
          <w:color w:val="000000" w:themeColor="text1"/>
          <w:sz w:val="20"/>
          <w:szCs w:val="20"/>
        </w:rPr>
      </w:pPr>
      <w:r w:rsidRPr="00DB66BC">
        <w:rPr>
          <w:rFonts w:ascii="Times New Roman" w:hAnsi="Times New Roman" w:cs="Times New Roman"/>
          <w:b/>
          <w:bCs/>
          <w:color w:val="000000" w:themeColor="text1"/>
          <w:sz w:val="20"/>
          <w:szCs w:val="20"/>
        </w:rPr>
        <w:t>References</w:t>
      </w:r>
    </w:p>
    <w:p w14:paraId="78BB559C" w14:textId="5D40A4F8"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b/>
          <w:bCs/>
          <w:color w:val="000000" w:themeColor="text1"/>
          <w:sz w:val="20"/>
          <w:szCs w:val="20"/>
        </w:rPr>
        <w:fldChar w:fldCharType="begin" w:fldLock="1"/>
      </w:r>
      <w:r w:rsidRPr="00DB66BC">
        <w:rPr>
          <w:rFonts w:ascii="Times New Roman" w:hAnsi="Times New Roman" w:cs="Times New Roman"/>
          <w:b/>
          <w:bCs/>
          <w:color w:val="000000" w:themeColor="text1"/>
          <w:sz w:val="20"/>
          <w:szCs w:val="20"/>
        </w:rPr>
        <w:instrText xml:space="preserve">ADDIN Mendeley Bibliography CSL_BIBLIOGRAPHY </w:instrText>
      </w:r>
      <w:r w:rsidRPr="00DB66BC">
        <w:rPr>
          <w:rFonts w:ascii="Times New Roman" w:hAnsi="Times New Roman" w:cs="Times New Roman"/>
          <w:b/>
          <w:bCs/>
          <w:color w:val="000000" w:themeColor="text1"/>
          <w:sz w:val="20"/>
          <w:szCs w:val="20"/>
        </w:rPr>
        <w:fldChar w:fldCharType="separate"/>
      </w:r>
      <w:r w:rsidRPr="00DB66BC">
        <w:rPr>
          <w:rFonts w:ascii="Times New Roman" w:hAnsi="Times New Roman" w:cs="Times New Roman"/>
          <w:noProof/>
          <w:sz w:val="20"/>
          <w:szCs w:val="24"/>
        </w:rPr>
        <w:t>[1]</w:t>
      </w:r>
      <w:r w:rsidRPr="00DB66BC">
        <w:rPr>
          <w:rFonts w:ascii="Times New Roman" w:hAnsi="Times New Roman" w:cs="Times New Roman"/>
          <w:noProof/>
          <w:sz w:val="20"/>
          <w:szCs w:val="24"/>
        </w:rPr>
        <w:tab/>
        <w:t>Akbari H, Sahebozamani M, Daneshjoo A, Amiri-Khorasani M. Effect of the FIFA 11+ programme on vertical jump performance in elite male youth soccer players. Montenegrin J. Sport. Sci. Med.2018;7(2):17–22. https://doi.org/10.26773/mjssm.180903.</w:t>
      </w:r>
    </w:p>
    <w:p w14:paraId="45D02D58"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[2]</w:t>
      </w:r>
      <w:r w:rsidRPr="00DB66BC">
        <w:rPr>
          <w:rFonts w:ascii="Times New Roman" w:hAnsi="Times New Roman" w:cs="Times New Roman"/>
          <w:noProof/>
          <w:sz w:val="20"/>
          <w:szCs w:val="24"/>
        </w:rPr>
        <w:tab/>
        <w:t>Arede J, Shang X, Moran J, Calleja-González J, Travassos B, Madruga-Parera M, Leite N. Does the FIFA 11 + warm-up program positively shape both the physical and small-sided game performance of youth football players?. Intell. Sport. Heal.2025;1(1):22–29. https://doi.org/10.1016/j.ish.2024.12.004.</w:t>
      </w:r>
    </w:p>
    <w:p w14:paraId="5E68638E"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[3]</w:t>
      </w:r>
      <w:r w:rsidRPr="00DB66BC">
        <w:rPr>
          <w:rFonts w:ascii="Times New Roman" w:hAnsi="Times New Roman" w:cs="Times New Roman"/>
          <w:noProof/>
          <w:sz w:val="20"/>
          <w:szCs w:val="24"/>
        </w:rPr>
        <w:tab/>
        <w:t>Asgari M, Alizadeh M H, Shahrbanian S, Nolte K, Jaitner T. Effects of the FIFA 11+ and a modified warmup programme on injury prevention and performance improvement among youth male football players. PLoS One2022;17(10 October):1–11. https://doi.org/10.1371/journal.pone.0275545.</w:t>
      </w:r>
    </w:p>
    <w:p w14:paraId="65C02F93"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[4]</w:t>
      </w:r>
      <w:r w:rsidRPr="00DB66BC">
        <w:rPr>
          <w:rFonts w:ascii="Times New Roman" w:hAnsi="Times New Roman" w:cs="Times New Roman"/>
          <w:noProof/>
          <w:sz w:val="20"/>
          <w:szCs w:val="24"/>
        </w:rPr>
        <w:tab/>
        <w:t>Ayala F, Pomares-Noguera C, Robles-Palazón F J, Del Pilar García-Vaquero M, Ruiz-Pérez I, Hernández-Sánchez S, De Ste Croix M. Training Effects of the FIFA 11+ and Harmoknee on Several Neuromuscular Parameters of Physical Performance Measures. Int. J. Sports Med.2017;38(4):278–89. https://doi.org/10.1055/s-0042-121260.</w:t>
      </w:r>
    </w:p>
    <w:p w14:paraId="18EE174F"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[5]</w:t>
      </w:r>
      <w:r w:rsidRPr="00DB66BC">
        <w:rPr>
          <w:rFonts w:ascii="Times New Roman" w:hAnsi="Times New Roman" w:cs="Times New Roman"/>
          <w:noProof/>
          <w:sz w:val="20"/>
          <w:szCs w:val="24"/>
        </w:rPr>
        <w:tab/>
        <w:t>Costa Silva J R L, Silva J F, Salvador P C do N, Freitas C D la R. O efeito do “FIFA 11+” na performance de saltos verticais em atletas de futebol. Rev. Bras. Cineantropometria e Desempenho Hum.2015;17(6):733. https://doi.org/10.5007/1980-0037.2015v17n6p733.</w:t>
      </w:r>
    </w:p>
    <w:p w14:paraId="010103AD"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[6]</w:t>
      </w:r>
      <w:r w:rsidRPr="00DB66BC">
        <w:rPr>
          <w:rFonts w:ascii="Times New Roman" w:hAnsi="Times New Roman" w:cs="Times New Roman"/>
          <w:noProof/>
          <w:sz w:val="20"/>
          <w:szCs w:val="24"/>
        </w:rPr>
        <w:tab/>
        <w:t>Daneshjoo A, Mokhtar A H, Rahnama N, Yusof A. The Effects of Comprehensive Warm-Up Programs on Proprioception, Static and Dynamic Balance on Male Soccer Players. PLoS One2012;7(12):e51568. https://doi.org/10.1371/journal.pone.0051568.</w:t>
      </w:r>
    </w:p>
    <w:p w14:paraId="1EF6AC63"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[7]</w:t>
      </w:r>
      <w:r w:rsidRPr="00DB66BC">
        <w:rPr>
          <w:rFonts w:ascii="Times New Roman" w:hAnsi="Times New Roman" w:cs="Times New Roman"/>
          <w:noProof/>
          <w:sz w:val="20"/>
          <w:szCs w:val="24"/>
        </w:rPr>
        <w:tab/>
        <w:t>Daneshjoo A, Mokhtar A H, Rahnama N, Yusof A. Effects of the 11+ and Harmoknee warm-up programs on physical performance measures in professional soccer players. J. Sport. Sci. Med.2013;12(3):489–96.</w:t>
      </w:r>
    </w:p>
    <w:p w14:paraId="78400FB4"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[8]</w:t>
      </w:r>
      <w:r w:rsidRPr="00DB66BC">
        <w:rPr>
          <w:rFonts w:ascii="Times New Roman" w:hAnsi="Times New Roman" w:cs="Times New Roman"/>
          <w:noProof/>
          <w:sz w:val="20"/>
          <w:szCs w:val="24"/>
        </w:rPr>
        <w:tab/>
        <w:t>Foqha B M, Schwesig R, Ltifi M A, Bartels T, Hermassi S, Aouadi R. A 10-week FIFA 11+ program improves the short-sprint and modified agility T-test performance in elite seven-a-side soccer players. Front. Physiol.2023;14(November):1–11. https://doi.org/10.3389/fphys.2023.1236223.</w:t>
      </w:r>
    </w:p>
    <w:p w14:paraId="4CA76B82"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[9]</w:t>
      </w:r>
      <w:r w:rsidRPr="00DB66BC">
        <w:rPr>
          <w:rFonts w:ascii="Times New Roman" w:hAnsi="Times New Roman" w:cs="Times New Roman"/>
          <w:noProof/>
          <w:sz w:val="20"/>
          <w:szCs w:val="24"/>
        </w:rPr>
        <w:tab/>
        <w:t>Hwang J, Kim J. Effect of fifa 11+ training program on soccer-specific physical performance and functional movement in collegiate male soccer players: A randomized controlled trial. Exerc. Sci.2019;28(2):141–49. https://doi.org/10.15857/ksep.2019.28.2.141.</w:t>
      </w:r>
    </w:p>
    <w:p w14:paraId="4DD426E1"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[10]</w:t>
      </w:r>
      <w:r w:rsidRPr="00DB66BC">
        <w:rPr>
          <w:rFonts w:ascii="Times New Roman" w:hAnsi="Times New Roman" w:cs="Times New Roman"/>
          <w:noProof/>
          <w:sz w:val="20"/>
          <w:szCs w:val="24"/>
        </w:rPr>
        <w:tab/>
        <w:t>Impellizzeri F M, Bizzini M, Dvorak J, Pellegrini B, Schena F, Junge A. Physiological and performance responses to the FIFA 11+ (part 2): A randomised controlled trial on the training effects. J. Sports Sci.2013;31(13):1491–1502. https://doi.org/10.1080/02640414.2013.802926.</w:t>
      </w:r>
    </w:p>
    <w:p w14:paraId="5EE4589B"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[11]</w:t>
      </w:r>
      <w:r w:rsidRPr="00DB66BC">
        <w:rPr>
          <w:rFonts w:ascii="Times New Roman" w:hAnsi="Times New Roman" w:cs="Times New Roman"/>
          <w:noProof/>
          <w:sz w:val="20"/>
          <w:szCs w:val="24"/>
        </w:rPr>
        <w:tab/>
        <w:t>Nawed A, Khan I A, Jalwan J, Nuhmani S, Muaidi Q I. Efficacy of FIFA 11 + training program on functional performance in amateur male soccer players. J. Back Musculoskelet. Rehabil.2018;31(5):867–70. https://doi.org/10.3233/BMR-171034.</w:t>
      </w:r>
    </w:p>
    <w:p w14:paraId="79282E76"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[12]</w:t>
      </w:r>
      <w:r w:rsidRPr="00DB66BC">
        <w:rPr>
          <w:rFonts w:ascii="Times New Roman" w:hAnsi="Times New Roman" w:cs="Times New Roman"/>
          <w:noProof/>
          <w:sz w:val="20"/>
          <w:szCs w:val="24"/>
        </w:rPr>
        <w:tab/>
        <w:t>Pardos-Mainer E, Casajús J A, Gonzalo-Skok O. Adolescent female soccer players’ soccer-specific warm-up effects on performance and inter-limb asymmetries. Biol. Sport2019;36(3):199–207. https://doi.org/10.5114/biolsport.2019.85453.</w:t>
      </w:r>
    </w:p>
    <w:p w14:paraId="158B6440"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[13]</w:t>
      </w:r>
      <w:r w:rsidRPr="00DB66BC">
        <w:rPr>
          <w:rFonts w:ascii="Times New Roman" w:hAnsi="Times New Roman" w:cs="Times New Roman"/>
          <w:noProof/>
          <w:sz w:val="20"/>
          <w:szCs w:val="24"/>
        </w:rPr>
        <w:tab/>
        <w:t>Parsons J L, Carswell J, Nwoba I M, Stenberg H. Athlete Perceptions and Physical Performance Effects of the Fifa 11+ Program in 9-11 Year-Old Female Soccer Players: a Cluster Randomized Trial. Int. J. Sports Phys. Ther.2019;14(5):740–52. https://doi.org/10.26603/ijspt20190740.</w:t>
      </w:r>
    </w:p>
    <w:p w14:paraId="1F9196A3"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[14]</w:t>
      </w:r>
      <w:r w:rsidRPr="00DB66BC">
        <w:rPr>
          <w:rFonts w:ascii="Times New Roman" w:hAnsi="Times New Roman" w:cs="Times New Roman"/>
          <w:noProof/>
          <w:sz w:val="20"/>
          <w:szCs w:val="24"/>
        </w:rPr>
        <w:tab/>
        <w:t>Robles-Palazón F J, Pomares-Noguera C, Ayala F, Hernández-Sánchez S, Martínez-Romero M T, De Baranda S P, Wesolek I. Acute and Chronic Effects of the Fifa 11+ on Several Physical Performance Measures in Adolescent Football Players. Eur. J. Hum. Mov.2016;36:116–36.</w:t>
      </w:r>
    </w:p>
    <w:p w14:paraId="2F4CA536"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[15]</w:t>
      </w:r>
      <w:r w:rsidRPr="00DB66BC">
        <w:rPr>
          <w:rFonts w:ascii="Times New Roman" w:hAnsi="Times New Roman" w:cs="Times New Roman"/>
          <w:noProof/>
          <w:sz w:val="20"/>
          <w:szCs w:val="24"/>
        </w:rPr>
        <w:tab/>
        <w:t>Sharifatpour R, Abbasi H, Alizadeh M H, Abedinzadeh S, Machado S. Effect of 12 weeks of modified FIFA 11+ training on functional factors of male beach soccer players: A Randomized Controlled Trial study. Cuad. Psicol. del Deport.2024;24(3):265–80. https://doi.org/10.6018/cpd.584601.</w:t>
      </w:r>
    </w:p>
    <w:p w14:paraId="2A6AD2B9"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szCs w:val="24"/>
        </w:rPr>
      </w:pPr>
      <w:r w:rsidRPr="00DB66BC">
        <w:rPr>
          <w:rFonts w:ascii="Times New Roman" w:hAnsi="Times New Roman" w:cs="Times New Roman"/>
          <w:noProof/>
          <w:sz w:val="20"/>
          <w:szCs w:val="24"/>
        </w:rPr>
        <w:t>[16]</w:t>
      </w:r>
      <w:r w:rsidRPr="00DB66BC">
        <w:rPr>
          <w:rFonts w:ascii="Times New Roman" w:hAnsi="Times New Roman" w:cs="Times New Roman"/>
          <w:noProof/>
          <w:sz w:val="20"/>
          <w:szCs w:val="24"/>
        </w:rPr>
        <w:tab/>
        <w:t>Zarei M, Abbasi H, Daneshjoo A, Barghi T S, Rommers N, Faude O, Rössler R. Long-term effects of the 11+ warm-up injury prevention programme on physical performance in adolescent male football players: a cluster-randomised controlled trial. J. Sports Sci.2018;36(21):2447–54. https://doi.org/10.1080/02640414.2018.1462001.</w:t>
      </w:r>
    </w:p>
    <w:p w14:paraId="5F22CF55" w14:textId="77777777" w:rsidR="00FC383C" w:rsidRPr="00DB66BC" w:rsidRDefault="00FC383C" w:rsidP="00FC383C">
      <w:pPr>
        <w:widowControl w:val="0"/>
        <w:autoSpaceDE w:val="0"/>
        <w:autoSpaceDN w:val="0"/>
        <w:adjustRightInd w:val="0"/>
        <w:spacing w:line="240" w:lineRule="auto"/>
        <w:ind w:left="640" w:hanging="640"/>
        <w:rPr>
          <w:rFonts w:ascii="Times New Roman" w:hAnsi="Times New Roman" w:cs="Times New Roman"/>
          <w:noProof/>
          <w:sz w:val="20"/>
        </w:rPr>
      </w:pPr>
      <w:r w:rsidRPr="00DB66BC">
        <w:rPr>
          <w:rFonts w:ascii="Times New Roman" w:hAnsi="Times New Roman" w:cs="Times New Roman"/>
          <w:noProof/>
          <w:sz w:val="20"/>
          <w:szCs w:val="24"/>
        </w:rPr>
        <w:t>[17]</w:t>
      </w:r>
      <w:r w:rsidRPr="00DB66BC">
        <w:rPr>
          <w:rFonts w:ascii="Times New Roman" w:hAnsi="Times New Roman" w:cs="Times New Roman"/>
          <w:noProof/>
          <w:sz w:val="20"/>
          <w:szCs w:val="24"/>
        </w:rPr>
        <w:tab/>
        <w:t>Zhou X, Luo A, Wang Y, Zhang Q, Zha Y, Wang S, Ashton C, Andamasaris J E, Wang H, Wang Q. The Effect of FIFA 11+ on the Isometric Strength and Running Ability of Young Soccer Players. Int. J. Environ. Res. Public Health2022;19(20):13186. https://doi.org/10.3390/ijerph192013186.</w:t>
      </w:r>
    </w:p>
    <w:p w14:paraId="09728B2E" w14:textId="4E6BD4D6" w:rsidR="00FC383C" w:rsidRPr="00CB111E" w:rsidRDefault="00FC383C" w:rsidP="00964975">
      <w:pPr>
        <w:jc w:val="both"/>
        <w:rPr>
          <w:rFonts w:ascii="Times New Roman" w:hAnsi="Times New Roman" w:cs="Times New Roman"/>
          <w:i/>
          <w:iCs/>
          <w:sz w:val="20"/>
          <w:szCs w:val="20"/>
        </w:rPr>
      </w:pPr>
      <w:r w:rsidRPr="00DB66BC">
        <w:rPr>
          <w:rFonts w:ascii="Times New Roman" w:hAnsi="Times New Roman" w:cs="Times New Roman"/>
          <w:b/>
          <w:bCs/>
          <w:color w:val="000000" w:themeColor="text1"/>
          <w:sz w:val="20"/>
          <w:szCs w:val="20"/>
        </w:rPr>
        <w:fldChar w:fldCharType="end"/>
      </w:r>
      <w:bookmarkStart w:id="2" w:name="_GoBack"/>
      <w:bookmarkEnd w:id="2"/>
    </w:p>
    <w:sectPr w:rsidR="00FC383C" w:rsidRPr="00CB111E" w:rsidSect="00FC383C">
      <w:pgSz w:w="11906" w:h="16838"/>
      <w:pgMar w:top="1440" w:right="1440" w:bottom="1440"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B84611"/>
    <w:multiLevelType w:val="hybridMultilevel"/>
    <w:tmpl w:val="676AB9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MDC3NDUzNjG3MDMwMbdU0lEKTi0uzszPAykwNKgFANx4Wa4tAAAA"/>
  </w:docVars>
  <w:rsids>
    <w:rsidRoot w:val="001150AB"/>
    <w:rsid w:val="0004185B"/>
    <w:rsid w:val="000B3CF9"/>
    <w:rsid w:val="00114E0E"/>
    <w:rsid w:val="001150AB"/>
    <w:rsid w:val="00172060"/>
    <w:rsid w:val="001E0478"/>
    <w:rsid w:val="002150CF"/>
    <w:rsid w:val="00217ADF"/>
    <w:rsid w:val="00223157"/>
    <w:rsid w:val="002369F5"/>
    <w:rsid w:val="002958D2"/>
    <w:rsid w:val="002C16EC"/>
    <w:rsid w:val="00315D97"/>
    <w:rsid w:val="00327854"/>
    <w:rsid w:val="003A7D36"/>
    <w:rsid w:val="003D4663"/>
    <w:rsid w:val="00413B17"/>
    <w:rsid w:val="00490B5F"/>
    <w:rsid w:val="004C5B82"/>
    <w:rsid w:val="004C5BD1"/>
    <w:rsid w:val="0055187D"/>
    <w:rsid w:val="005B7F4A"/>
    <w:rsid w:val="005E2F35"/>
    <w:rsid w:val="0064432B"/>
    <w:rsid w:val="00644D68"/>
    <w:rsid w:val="00703E5C"/>
    <w:rsid w:val="00733D4E"/>
    <w:rsid w:val="0076517B"/>
    <w:rsid w:val="00771C47"/>
    <w:rsid w:val="007C2DC3"/>
    <w:rsid w:val="00853C7B"/>
    <w:rsid w:val="00870FDC"/>
    <w:rsid w:val="00871640"/>
    <w:rsid w:val="00953A5F"/>
    <w:rsid w:val="00964975"/>
    <w:rsid w:val="00A17B3B"/>
    <w:rsid w:val="00A7005B"/>
    <w:rsid w:val="00B03CFB"/>
    <w:rsid w:val="00B85DDB"/>
    <w:rsid w:val="00C52A83"/>
    <w:rsid w:val="00C56A67"/>
    <w:rsid w:val="00C662DE"/>
    <w:rsid w:val="00C82A8A"/>
    <w:rsid w:val="00CA31AC"/>
    <w:rsid w:val="00CA5335"/>
    <w:rsid w:val="00CB111E"/>
    <w:rsid w:val="00CC477E"/>
    <w:rsid w:val="00CD00A1"/>
    <w:rsid w:val="00CD103D"/>
    <w:rsid w:val="00D505D4"/>
    <w:rsid w:val="00DB66BC"/>
    <w:rsid w:val="00DC6C82"/>
    <w:rsid w:val="00E27941"/>
    <w:rsid w:val="00EA15AF"/>
    <w:rsid w:val="00EB528B"/>
    <w:rsid w:val="00EC439B"/>
    <w:rsid w:val="00ED1EFC"/>
    <w:rsid w:val="00EF120D"/>
    <w:rsid w:val="00EF424F"/>
    <w:rsid w:val="00F30E38"/>
    <w:rsid w:val="00F337EE"/>
    <w:rsid w:val="00F50AEE"/>
    <w:rsid w:val="00F6629B"/>
    <w:rsid w:val="00F84B2F"/>
    <w:rsid w:val="00FC383C"/>
    <w:rsid w:val="00FD1512"/>
    <w:rsid w:val="00FE55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DE54"/>
  <w15:docId w15:val="{067067FE-79BB-4FD5-84B9-9341EEF2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2A83"/>
    <w:rPr>
      <w:sz w:val="16"/>
      <w:szCs w:val="16"/>
    </w:rPr>
  </w:style>
  <w:style w:type="paragraph" w:styleId="CommentText">
    <w:name w:val="annotation text"/>
    <w:basedOn w:val="Normal"/>
    <w:link w:val="CommentTextChar"/>
    <w:uiPriority w:val="99"/>
    <w:semiHidden/>
    <w:unhideWhenUsed/>
    <w:rsid w:val="00C52A83"/>
    <w:pPr>
      <w:spacing w:line="240" w:lineRule="auto"/>
    </w:pPr>
    <w:rPr>
      <w:sz w:val="20"/>
      <w:szCs w:val="20"/>
    </w:rPr>
  </w:style>
  <w:style w:type="character" w:customStyle="1" w:styleId="CommentTextChar">
    <w:name w:val="Comment Text Char"/>
    <w:basedOn w:val="DefaultParagraphFont"/>
    <w:link w:val="CommentText"/>
    <w:uiPriority w:val="99"/>
    <w:semiHidden/>
    <w:rsid w:val="00C52A83"/>
    <w:rPr>
      <w:sz w:val="20"/>
      <w:szCs w:val="20"/>
    </w:rPr>
  </w:style>
  <w:style w:type="paragraph" w:styleId="CommentSubject">
    <w:name w:val="annotation subject"/>
    <w:basedOn w:val="CommentText"/>
    <w:next w:val="CommentText"/>
    <w:link w:val="CommentSubjectChar"/>
    <w:uiPriority w:val="99"/>
    <w:semiHidden/>
    <w:unhideWhenUsed/>
    <w:rsid w:val="00C52A83"/>
    <w:rPr>
      <w:b/>
      <w:bCs/>
    </w:rPr>
  </w:style>
  <w:style w:type="character" w:customStyle="1" w:styleId="CommentSubjectChar">
    <w:name w:val="Comment Subject Char"/>
    <w:basedOn w:val="CommentTextChar"/>
    <w:link w:val="CommentSubject"/>
    <w:uiPriority w:val="99"/>
    <w:semiHidden/>
    <w:rsid w:val="00C52A83"/>
    <w:rPr>
      <w:b/>
      <w:bCs/>
      <w:sz w:val="20"/>
      <w:szCs w:val="20"/>
    </w:rPr>
  </w:style>
  <w:style w:type="paragraph" w:styleId="BalloonText">
    <w:name w:val="Balloon Text"/>
    <w:basedOn w:val="Normal"/>
    <w:link w:val="BalloonTextChar"/>
    <w:uiPriority w:val="99"/>
    <w:semiHidden/>
    <w:unhideWhenUsed/>
    <w:rsid w:val="00236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9F5"/>
    <w:rPr>
      <w:rFonts w:ascii="Tahoma" w:hAnsi="Tahoma" w:cs="Tahoma"/>
      <w:sz w:val="16"/>
      <w:szCs w:val="16"/>
    </w:rPr>
  </w:style>
  <w:style w:type="character" w:styleId="Hyperlink">
    <w:name w:val="Hyperlink"/>
    <w:basedOn w:val="DefaultParagraphFont"/>
    <w:uiPriority w:val="99"/>
    <w:unhideWhenUsed/>
    <w:rsid w:val="002369F5"/>
    <w:rPr>
      <w:color w:val="0000FF"/>
      <w:u w:val="single"/>
    </w:rPr>
  </w:style>
  <w:style w:type="paragraph" w:styleId="ListParagraph">
    <w:name w:val="List Paragraph"/>
    <w:basedOn w:val="Normal"/>
    <w:uiPriority w:val="34"/>
    <w:qFormat/>
    <w:rsid w:val="002369F5"/>
    <w:pPr>
      <w:ind w:left="720"/>
      <w:contextualSpacing/>
    </w:pPr>
  </w:style>
  <w:style w:type="paragraph" w:styleId="Header">
    <w:name w:val="header"/>
    <w:basedOn w:val="Normal"/>
    <w:link w:val="HeaderChar"/>
    <w:unhideWhenUsed/>
    <w:rsid w:val="002369F5"/>
    <w:pPr>
      <w:tabs>
        <w:tab w:val="center" w:pos="4513"/>
        <w:tab w:val="right" w:pos="9026"/>
      </w:tabs>
      <w:spacing w:after="0" w:line="240" w:lineRule="auto"/>
    </w:pPr>
    <w:rPr>
      <w:kern w:val="0"/>
      <w:sz w:val="24"/>
      <w:szCs w:val="24"/>
      <w:lang w:val="en-GB"/>
      <w14:ligatures w14:val="none"/>
    </w:rPr>
  </w:style>
  <w:style w:type="character" w:customStyle="1" w:styleId="HeaderChar">
    <w:name w:val="Header Char"/>
    <w:basedOn w:val="DefaultParagraphFont"/>
    <w:link w:val="Header"/>
    <w:rsid w:val="002369F5"/>
    <w:rPr>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0842">
      <w:bodyDiv w:val="1"/>
      <w:marLeft w:val="0"/>
      <w:marRight w:val="0"/>
      <w:marTop w:val="0"/>
      <w:marBottom w:val="0"/>
      <w:divBdr>
        <w:top w:val="none" w:sz="0" w:space="0" w:color="auto"/>
        <w:left w:val="none" w:sz="0" w:space="0" w:color="auto"/>
        <w:bottom w:val="none" w:sz="0" w:space="0" w:color="auto"/>
        <w:right w:val="none" w:sz="0" w:space="0" w:color="auto"/>
      </w:divBdr>
    </w:div>
    <w:div w:id="51736511">
      <w:bodyDiv w:val="1"/>
      <w:marLeft w:val="0"/>
      <w:marRight w:val="0"/>
      <w:marTop w:val="0"/>
      <w:marBottom w:val="0"/>
      <w:divBdr>
        <w:top w:val="none" w:sz="0" w:space="0" w:color="auto"/>
        <w:left w:val="none" w:sz="0" w:space="0" w:color="auto"/>
        <w:bottom w:val="none" w:sz="0" w:space="0" w:color="auto"/>
        <w:right w:val="none" w:sz="0" w:space="0" w:color="auto"/>
      </w:divBdr>
    </w:div>
    <w:div w:id="74059704">
      <w:bodyDiv w:val="1"/>
      <w:marLeft w:val="0"/>
      <w:marRight w:val="0"/>
      <w:marTop w:val="0"/>
      <w:marBottom w:val="0"/>
      <w:divBdr>
        <w:top w:val="none" w:sz="0" w:space="0" w:color="auto"/>
        <w:left w:val="none" w:sz="0" w:space="0" w:color="auto"/>
        <w:bottom w:val="none" w:sz="0" w:space="0" w:color="auto"/>
        <w:right w:val="none" w:sz="0" w:space="0" w:color="auto"/>
      </w:divBdr>
    </w:div>
    <w:div w:id="134569636">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60740617">
      <w:bodyDiv w:val="1"/>
      <w:marLeft w:val="0"/>
      <w:marRight w:val="0"/>
      <w:marTop w:val="0"/>
      <w:marBottom w:val="0"/>
      <w:divBdr>
        <w:top w:val="none" w:sz="0" w:space="0" w:color="auto"/>
        <w:left w:val="none" w:sz="0" w:space="0" w:color="auto"/>
        <w:bottom w:val="none" w:sz="0" w:space="0" w:color="auto"/>
        <w:right w:val="none" w:sz="0" w:space="0" w:color="auto"/>
      </w:divBdr>
    </w:div>
    <w:div w:id="390738218">
      <w:bodyDiv w:val="1"/>
      <w:marLeft w:val="0"/>
      <w:marRight w:val="0"/>
      <w:marTop w:val="0"/>
      <w:marBottom w:val="0"/>
      <w:divBdr>
        <w:top w:val="none" w:sz="0" w:space="0" w:color="auto"/>
        <w:left w:val="none" w:sz="0" w:space="0" w:color="auto"/>
        <w:bottom w:val="none" w:sz="0" w:space="0" w:color="auto"/>
        <w:right w:val="none" w:sz="0" w:space="0" w:color="auto"/>
      </w:divBdr>
    </w:div>
    <w:div w:id="422268088">
      <w:bodyDiv w:val="1"/>
      <w:marLeft w:val="0"/>
      <w:marRight w:val="0"/>
      <w:marTop w:val="0"/>
      <w:marBottom w:val="0"/>
      <w:divBdr>
        <w:top w:val="none" w:sz="0" w:space="0" w:color="auto"/>
        <w:left w:val="none" w:sz="0" w:space="0" w:color="auto"/>
        <w:bottom w:val="none" w:sz="0" w:space="0" w:color="auto"/>
        <w:right w:val="none" w:sz="0" w:space="0" w:color="auto"/>
      </w:divBdr>
    </w:div>
    <w:div w:id="430391895">
      <w:bodyDiv w:val="1"/>
      <w:marLeft w:val="0"/>
      <w:marRight w:val="0"/>
      <w:marTop w:val="0"/>
      <w:marBottom w:val="0"/>
      <w:divBdr>
        <w:top w:val="none" w:sz="0" w:space="0" w:color="auto"/>
        <w:left w:val="none" w:sz="0" w:space="0" w:color="auto"/>
        <w:bottom w:val="none" w:sz="0" w:space="0" w:color="auto"/>
        <w:right w:val="none" w:sz="0" w:space="0" w:color="auto"/>
      </w:divBdr>
    </w:div>
    <w:div w:id="535657054">
      <w:bodyDiv w:val="1"/>
      <w:marLeft w:val="0"/>
      <w:marRight w:val="0"/>
      <w:marTop w:val="0"/>
      <w:marBottom w:val="0"/>
      <w:divBdr>
        <w:top w:val="none" w:sz="0" w:space="0" w:color="auto"/>
        <w:left w:val="none" w:sz="0" w:space="0" w:color="auto"/>
        <w:bottom w:val="none" w:sz="0" w:space="0" w:color="auto"/>
        <w:right w:val="none" w:sz="0" w:space="0" w:color="auto"/>
      </w:divBdr>
    </w:div>
    <w:div w:id="814250948">
      <w:bodyDiv w:val="1"/>
      <w:marLeft w:val="0"/>
      <w:marRight w:val="0"/>
      <w:marTop w:val="0"/>
      <w:marBottom w:val="0"/>
      <w:divBdr>
        <w:top w:val="none" w:sz="0" w:space="0" w:color="auto"/>
        <w:left w:val="none" w:sz="0" w:space="0" w:color="auto"/>
        <w:bottom w:val="none" w:sz="0" w:space="0" w:color="auto"/>
        <w:right w:val="none" w:sz="0" w:space="0" w:color="auto"/>
      </w:divBdr>
    </w:div>
    <w:div w:id="828786768">
      <w:bodyDiv w:val="1"/>
      <w:marLeft w:val="0"/>
      <w:marRight w:val="0"/>
      <w:marTop w:val="0"/>
      <w:marBottom w:val="0"/>
      <w:divBdr>
        <w:top w:val="none" w:sz="0" w:space="0" w:color="auto"/>
        <w:left w:val="none" w:sz="0" w:space="0" w:color="auto"/>
        <w:bottom w:val="none" w:sz="0" w:space="0" w:color="auto"/>
        <w:right w:val="none" w:sz="0" w:space="0" w:color="auto"/>
      </w:divBdr>
    </w:div>
    <w:div w:id="871185852">
      <w:bodyDiv w:val="1"/>
      <w:marLeft w:val="0"/>
      <w:marRight w:val="0"/>
      <w:marTop w:val="0"/>
      <w:marBottom w:val="0"/>
      <w:divBdr>
        <w:top w:val="none" w:sz="0" w:space="0" w:color="auto"/>
        <w:left w:val="none" w:sz="0" w:space="0" w:color="auto"/>
        <w:bottom w:val="none" w:sz="0" w:space="0" w:color="auto"/>
        <w:right w:val="none" w:sz="0" w:space="0" w:color="auto"/>
      </w:divBdr>
    </w:div>
    <w:div w:id="872499907">
      <w:bodyDiv w:val="1"/>
      <w:marLeft w:val="0"/>
      <w:marRight w:val="0"/>
      <w:marTop w:val="0"/>
      <w:marBottom w:val="0"/>
      <w:divBdr>
        <w:top w:val="none" w:sz="0" w:space="0" w:color="auto"/>
        <w:left w:val="none" w:sz="0" w:space="0" w:color="auto"/>
        <w:bottom w:val="none" w:sz="0" w:space="0" w:color="auto"/>
        <w:right w:val="none" w:sz="0" w:space="0" w:color="auto"/>
      </w:divBdr>
    </w:div>
    <w:div w:id="913734048">
      <w:bodyDiv w:val="1"/>
      <w:marLeft w:val="0"/>
      <w:marRight w:val="0"/>
      <w:marTop w:val="0"/>
      <w:marBottom w:val="0"/>
      <w:divBdr>
        <w:top w:val="none" w:sz="0" w:space="0" w:color="auto"/>
        <w:left w:val="none" w:sz="0" w:space="0" w:color="auto"/>
        <w:bottom w:val="none" w:sz="0" w:space="0" w:color="auto"/>
        <w:right w:val="none" w:sz="0" w:space="0" w:color="auto"/>
      </w:divBdr>
    </w:div>
    <w:div w:id="922644717">
      <w:bodyDiv w:val="1"/>
      <w:marLeft w:val="0"/>
      <w:marRight w:val="0"/>
      <w:marTop w:val="0"/>
      <w:marBottom w:val="0"/>
      <w:divBdr>
        <w:top w:val="none" w:sz="0" w:space="0" w:color="auto"/>
        <w:left w:val="none" w:sz="0" w:space="0" w:color="auto"/>
        <w:bottom w:val="none" w:sz="0" w:space="0" w:color="auto"/>
        <w:right w:val="none" w:sz="0" w:space="0" w:color="auto"/>
      </w:divBdr>
    </w:div>
    <w:div w:id="984971110">
      <w:bodyDiv w:val="1"/>
      <w:marLeft w:val="0"/>
      <w:marRight w:val="0"/>
      <w:marTop w:val="0"/>
      <w:marBottom w:val="0"/>
      <w:divBdr>
        <w:top w:val="none" w:sz="0" w:space="0" w:color="auto"/>
        <w:left w:val="none" w:sz="0" w:space="0" w:color="auto"/>
        <w:bottom w:val="none" w:sz="0" w:space="0" w:color="auto"/>
        <w:right w:val="none" w:sz="0" w:space="0" w:color="auto"/>
      </w:divBdr>
    </w:div>
    <w:div w:id="1036201837">
      <w:bodyDiv w:val="1"/>
      <w:marLeft w:val="0"/>
      <w:marRight w:val="0"/>
      <w:marTop w:val="0"/>
      <w:marBottom w:val="0"/>
      <w:divBdr>
        <w:top w:val="none" w:sz="0" w:space="0" w:color="auto"/>
        <w:left w:val="none" w:sz="0" w:space="0" w:color="auto"/>
        <w:bottom w:val="none" w:sz="0" w:space="0" w:color="auto"/>
        <w:right w:val="none" w:sz="0" w:space="0" w:color="auto"/>
      </w:divBdr>
    </w:div>
    <w:div w:id="1087725481">
      <w:bodyDiv w:val="1"/>
      <w:marLeft w:val="0"/>
      <w:marRight w:val="0"/>
      <w:marTop w:val="0"/>
      <w:marBottom w:val="0"/>
      <w:divBdr>
        <w:top w:val="none" w:sz="0" w:space="0" w:color="auto"/>
        <w:left w:val="none" w:sz="0" w:space="0" w:color="auto"/>
        <w:bottom w:val="none" w:sz="0" w:space="0" w:color="auto"/>
        <w:right w:val="none" w:sz="0" w:space="0" w:color="auto"/>
      </w:divBdr>
    </w:div>
    <w:div w:id="1090127121">
      <w:bodyDiv w:val="1"/>
      <w:marLeft w:val="0"/>
      <w:marRight w:val="0"/>
      <w:marTop w:val="0"/>
      <w:marBottom w:val="0"/>
      <w:divBdr>
        <w:top w:val="none" w:sz="0" w:space="0" w:color="auto"/>
        <w:left w:val="none" w:sz="0" w:space="0" w:color="auto"/>
        <w:bottom w:val="none" w:sz="0" w:space="0" w:color="auto"/>
        <w:right w:val="none" w:sz="0" w:space="0" w:color="auto"/>
      </w:divBdr>
    </w:div>
    <w:div w:id="1121001279">
      <w:bodyDiv w:val="1"/>
      <w:marLeft w:val="0"/>
      <w:marRight w:val="0"/>
      <w:marTop w:val="0"/>
      <w:marBottom w:val="0"/>
      <w:divBdr>
        <w:top w:val="none" w:sz="0" w:space="0" w:color="auto"/>
        <w:left w:val="none" w:sz="0" w:space="0" w:color="auto"/>
        <w:bottom w:val="none" w:sz="0" w:space="0" w:color="auto"/>
        <w:right w:val="none" w:sz="0" w:space="0" w:color="auto"/>
      </w:divBdr>
    </w:div>
    <w:div w:id="1149056965">
      <w:bodyDiv w:val="1"/>
      <w:marLeft w:val="0"/>
      <w:marRight w:val="0"/>
      <w:marTop w:val="0"/>
      <w:marBottom w:val="0"/>
      <w:divBdr>
        <w:top w:val="none" w:sz="0" w:space="0" w:color="auto"/>
        <w:left w:val="none" w:sz="0" w:space="0" w:color="auto"/>
        <w:bottom w:val="none" w:sz="0" w:space="0" w:color="auto"/>
        <w:right w:val="none" w:sz="0" w:space="0" w:color="auto"/>
      </w:divBdr>
    </w:div>
    <w:div w:id="1196190372">
      <w:bodyDiv w:val="1"/>
      <w:marLeft w:val="0"/>
      <w:marRight w:val="0"/>
      <w:marTop w:val="0"/>
      <w:marBottom w:val="0"/>
      <w:divBdr>
        <w:top w:val="none" w:sz="0" w:space="0" w:color="auto"/>
        <w:left w:val="none" w:sz="0" w:space="0" w:color="auto"/>
        <w:bottom w:val="none" w:sz="0" w:space="0" w:color="auto"/>
        <w:right w:val="none" w:sz="0" w:space="0" w:color="auto"/>
      </w:divBdr>
    </w:div>
    <w:div w:id="1302736536">
      <w:bodyDiv w:val="1"/>
      <w:marLeft w:val="0"/>
      <w:marRight w:val="0"/>
      <w:marTop w:val="0"/>
      <w:marBottom w:val="0"/>
      <w:divBdr>
        <w:top w:val="none" w:sz="0" w:space="0" w:color="auto"/>
        <w:left w:val="none" w:sz="0" w:space="0" w:color="auto"/>
        <w:bottom w:val="none" w:sz="0" w:space="0" w:color="auto"/>
        <w:right w:val="none" w:sz="0" w:space="0" w:color="auto"/>
      </w:divBdr>
    </w:div>
    <w:div w:id="1460756184">
      <w:bodyDiv w:val="1"/>
      <w:marLeft w:val="0"/>
      <w:marRight w:val="0"/>
      <w:marTop w:val="0"/>
      <w:marBottom w:val="0"/>
      <w:divBdr>
        <w:top w:val="none" w:sz="0" w:space="0" w:color="auto"/>
        <w:left w:val="none" w:sz="0" w:space="0" w:color="auto"/>
        <w:bottom w:val="none" w:sz="0" w:space="0" w:color="auto"/>
        <w:right w:val="none" w:sz="0" w:space="0" w:color="auto"/>
      </w:divBdr>
    </w:div>
    <w:div w:id="1544555085">
      <w:bodyDiv w:val="1"/>
      <w:marLeft w:val="0"/>
      <w:marRight w:val="0"/>
      <w:marTop w:val="0"/>
      <w:marBottom w:val="0"/>
      <w:divBdr>
        <w:top w:val="none" w:sz="0" w:space="0" w:color="auto"/>
        <w:left w:val="none" w:sz="0" w:space="0" w:color="auto"/>
        <w:bottom w:val="none" w:sz="0" w:space="0" w:color="auto"/>
        <w:right w:val="none" w:sz="0" w:space="0" w:color="auto"/>
      </w:divBdr>
    </w:div>
    <w:div w:id="1711225050">
      <w:bodyDiv w:val="1"/>
      <w:marLeft w:val="0"/>
      <w:marRight w:val="0"/>
      <w:marTop w:val="0"/>
      <w:marBottom w:val="0"/>
      <w:divBdr>
        <w:top w:val="none" w:sz="0" w:space="0" w:color="auto"/>
        <w:left w:val="none" w:sz="0" w:space="0" w:color="auto"/>
        <w:bottom w:val="none" w:sz="0" w:space="0" w:color="auto"/>
        <w:right w:val="none" w:sz="0" w:space="0" w:color="auto"/>
      </w:divBdr>
    </w:div>
    <w:div w:id="1788426689">
      <w:bodyDiv w:val="1"/>
      <w:marLeft w:val="0"/>
      <w:marRight w:val="0"/>
      <w:marTop w:val="0"/>
      <w:marBottom w:val="0"/>
      <w:divBdr>
        <w:top w:val="none" w:sz="0" w:space="0" w:color="auto"/>
        <w:left w:val="none" w:sz="0" w:space="0" w:color="auto"/>
        <w:bottom w:val="none" w:sz="0" w:space="0" w:color="auto"/>
        <w:right w:val="none" w:sz="0" w:space="0" w:color="auto"/>
      </w:divBdr>
    </w:div>
    <w:div w:id="194618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095-813X" TargetMode="External"/><Relationship Id="rId3" Type="http://schemas.openxmlformats.org/officeDocument/2006/relationships/styles" Target="styles.xml"/><Relationship Id="rId7" Type="http://schemas.openxmlformats.org/officeDocument/2006/relationships/hyperlink" Target="mailto:Urs.Granacher@sport.uni-freiburg.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springer.com/article/10.1186/s40798-025-00831-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A6131AC-1B2E-48D1-8C88-CA9E77F57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8217</Words>
  <Characters>46839</Characters>
  <Application>Microsoft Office Word</Application>
  <DocSecurity>0</DocSecurity>
  <Lines>390</Lines>
  <Paragraphs>109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noufa</dc:creator>
  <cp:keywords/>
  <dc:description/>
  <cp:lastModifiedBy>Amalagracy M Maria Arockia Dass S</cp:lastModifiedBy>
  <cp:revision>13</cp:revision>
  <dcterms:created xsi:type="dcterms:W3CDTF">2025-04-18T13:53:00Z</dcterms:created>
  <dcterms:modified xsi:type="dcterms:W3CDTF">2025-11-19T00:45:00Z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http://csl.mendeley.com/styles/575608121/american-medical-association-2</vt:lpwstr>
  </property>
  <property fmtid="{D5CDD505-2E9C-101B-9397-08002B2CF9AE}" pid="5" name="Mendeley Recent Style Name 1_1">
    <vt:lpwstr>American Medical Association 11th edition - Noufal K v</vt:lpwstr>
  </property>
  <property fmtid="{D5CDD505-2E9C-101B-9397-08002B2CF9AE}" pid="6" name="Mendeley Recent Style Id 2_1">
    <vt:lpwstr>https://csl.mendeley.com/styles/575608121/american-medical-association-2</vt:lpwstr>
  </property>
  <property fmtid="{D5CDD505-2E9C-101B-9397-08002B2CF9AE}" pid="7" name="Mendeley Recent Style Name 2_1">
    <vt:lpwstr>American Medical Association 11th edition - Noufal K v</vt:lpwstr>
  </property>
  <property fmtid="{D5CDD505-2E9C-101B-9397-08002B2CF9AE}" pid="8" name="Mendeley Recent Style Id 3_1">
    <vt:lpwstr>http://csl.mendeley.com/styles/575608121/elsevier-vancouver</vt:lpwstr>
  </property>
  <property fmtid="{D5CDD505-2E9C-101B-9397-08002B2CF9AE}" pid="9" name="Mendeley Recent Style Name 3_1">
    <vt:lpwstr>Elsevier - Vancouver - Noufal K v</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https://csl.mendeley.com/styles/738108971/ieee</vt:lpwstr>
  </property>
  <property fmtid="{D5CDD505-2E9C-101B-9397-08002B2CF9AE}" pid="13" name="Mendeley Recent Style Name 5_1">
    <vt:lpwstr>IEEE - IBNU NOUFAL K V</vt:lpwstr>
  </property>
  <property fmtid="{D5CDD505-2E9C-101B-9397-08002B2CF9AE}" pid="14" name="Mendeley Recent Style Id 6_1">
    <vt:lpwstr>https://csl.mendeley.com/styles/575608121/sports-science-2</vt:lpwstr>
  </property>
  <property fmtid="{D5CDD505-2E9C-101B-9397-08002B2CF9AE}" pid="15" name="Mendeley Recent Style Name 6_1">
    <vt:lpwstr>IEEE - Noufal K v</vt:lpwstr>
  </property>
  <property fmtid="{D5CDD505-2E9C-101B-9397-08002B2CF9AE}" pid="16" name="Mendeley Recent Style Id 7_1">
    <vt:lpwstr>https://csl.mendeley.com/styles/575608121/sports-science</vt:lpwstr>
  </property>
  <property fmtid="{D5CDD505-2E9C-101B-9397-08002B2CF9AE}" pid="17" name="Mendeley Recent Style Name 7_1">
    <vt:lpwstr>IEEE - Noufal K v</vt:lpwstr>
  </property>
  <property fmtid="{D5CDD505-2E9C-101B-9397-08002B2CF9AE}" pid="18" name="Mendeley Recent Style Id 8_1">
    <vt:lpwstr>http://csl.mendeley.com/styles/575608121/sports-science-2</vt:lpwstr>
  </property>
  <property fmtid="{D5CDD505-2E9C-101B-9397-08002B2CF9AE}" pid="19" name="Mendeley Recent Style Name 8_1">
    <vt:lpwstr>IEEE - Noufal K v</vt:lpwstr>
  </property>
  <property fmtid="{D5CDD505-2E9C-101B-9397-08002B2CF9AE}" pid="20" name="Mendeley Recent Style Id 9_1">
    <vt:lpwstr>http://csl.mendeley.com/styles/807664411/vancouver</vt:lpwstr>
  </property>
  <property fmtid="{D5CDD505-2E9C-101B-9397-08002B2CF9AE}" pid="21" name="Mendeley Recent Style Name 9_1">
    <vt:lpwstr>Vancouver - ubaidulla kv</vt:lpwstr>
  </property>
  <property fmtid="{D5CDD505-2E9C-101B-9397-08002B2CF9AE}" pid="22" name="Mendeley Document_1">
    <vt:lpwstr>True</vt:lpwstr>
  </property>
  <property fmtid="{D5CDD505-2E9C-101B-9397-08002B2CF9AE}" pid="23" name="Mendeley Unique User Id_1">
    <vt:lpwstr>3a1f9acc-d533-3564-894c-944df10ae409</vt:lpwstr>
  </property>
  <property fmtid="{D5CDD505-2E9C-101B-9397-08002B2CF9AE}" pid="24" name="Mendeley Citation Style_1">
    <vt:lpwstr>https://csl.mendeley.com/styles/575608121/sports-science-2</vt:lpwstr>
  </property>
</Properties>
</file>