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AF22F" w14:textId="77777777" w:rsidR="00DF0996" w:rsidRPr="000747D6" w:rsidRDefault="00DF0996" w:rsidP="00DF0996">
      <w:pPr>
        <w:pStyle w:val="Heading1"/>
        <w:spacing w:line="360" w:lineRule="auto"/>
        <w:rPr>
          <w:rFonts w:ascii="Times New Roman" w:eastAsia="Times New Roman" w:hAnsi="Times New Roman" w:cs="Times New Roman"/>
          <w:b/>
          <w:bCs/>
          <w:color w:val="auto"/>
          <w:sz w:val="28"/>
          <w:szCs w:val="28"/>
        </w:rPr>
      </w:pPr>
      <w:r w:rsidRPr="000747D6">
        <w:rPr>
          <w:rFonts w:ascii="Times New Roman" w:eastAsia="Times New Roman" w:hAnsi="Times New Roman" w:cs="Times New Roman"/>
          <w:b/>
          <w:bCs/>
          <w:color w:val="auto"/>
          <w:sz w:val="28"/>
          <w:szCs w:val="28"/>
        </w:rPr>
        <w:t xml:space="preserve">Safety warnings on the same harmful effects of medicines: a comparison of four national regulators </w:t>
      </w:r>
    </w:p>
    <w:p w14:paraId="17C9B657" w14:textId="77777777" w:rsidR="00DF0996" w:rsidRPr="000747D6" w:rsidRDefault="00DF0996" w:rsidP="00DF0996">
      <w:pPr>
        <w:keepNext/>
        <w:keepLines/>
        <w:spacing w:before="40" w:after="0"/>
        <w:rPr>
          <w:rFonts w:ascii="Times New Roman" w:eastAsia="Times New Roman" w:hAnsi="Times New Roman" w:cs="Times New Roman"/>
        </w:rPr>
      </w:pPr>
    </w:p>
    <w:p w14:paraId="3064E31A" w14:textId="77777777" w:rsidR="00DF0996" w:rsidRPr="000747D6" w:rsidRDefault="00DF0996" w:rsidP="00DF0996">
      <w:pPr>
        <w:keepNext/>
        <w:keepLines/>
        <w:spacing w:before="40" w:after="0"/>
        <w:rPr>
          <w:rFonts w:ascii="Times New Roman" w:eastAsia="Times New Roman" w:hAnsi="Times New Roman" w:cs="Times New Roman"/>
        </w:rPr>
      </w:pPr>
      <w:r w:rsidRPr="000747D6">
        <w:rPr>
          <w:rFonts w:ascii="Times New Roman" w:eastAsia="Times New Roman" w:hAnsi="Times New Roman" w:cs="Times New Roman"/>
          <w:b/>
          <w:bCs/>
        </w:rPr>
        <w:t>Running title:</w:t>
      </w:r>
      <w:r w:rsidRPr="000747D6">
        <w:rPr>
          <w:rFonts w:ascii="Times New Roman" w:eastAsia="Times New Roman" w:hAnsi="Times New Roman" w:cs="Times New Roman"/>
        </w:rPr>
        <w:t xml:space="preserve"> Regulatory safety warnings on the same harms of medicines </w:t>
      </w:r>
    </w:p>
    <w:p w14:paraId="29691877" w14:textId="77777777" w:rsidR="00DF0996" w:rsidRPr="000747D6" w:rsidRDefault="00DF0996" w:rsidP="00DF0996">
      <w:pPr>
        <w:keepNext/>
        <w:keepLines/>
        <w:spacing w:before="40" w:after="0"/>
        <w:rPr>
          <w:rFonts w:ascii="Times New Roman" w:eastAsia="Times New Roman" w:hAnsi="Times New Roman" w:cs="Times New Roman"/>
        </w:rPr>
      </w:pPr>
    </w:p>
    <w:p w14:paraId="3FDC53AA" w14:textId="77777777" w:rsidR="00DF0996" w:rsidRPr="000747D6" w:rsidRDefault="00DF0996" w:rsidP="00DF0996">
      <w:pPr>
        <w:rPr>
          <w:rFonts w:ascii="Times New Roman" w:eastAsia="Times New Roman" w:hAnsi="Times New Roman" w:cs="Times New Roman"/>
        </w:rPr>
      </w:pPr>
      <w:r w:rsidRPr="000747D6">
        <w:rPr>
          <w:rStyle w:val="Heading3Char"/>
          <w:rFonts w:ascii="Times New Roman" w:eastAsia="Times New Roman" w:hAnsi="Times New Roman" w:cs="Times New Roman"/>
          <w:b/>
          <w:bCs/>
          <w:color w:val="auto"/>
        </w:rPr>
        <w:t>A</w:t>
      </w:r>
      <w:r w:rsidRPr="000747D6">
        <w:rPr>
          <w:rStyle w:val="Heading3Char"/>
          <w:rFonts w:ascii="Times New Roman" w:eastAsia="Times New Roman" w:hAnsi="Times New Roman" w:cs="Times New Roman"/>
          <w:b/>
          <w:bCs/>
          <w:color w:val="auto"/>
          <w:sz w:val="22"/>
          <w:szCs w:val="22"/>
        </w:rPr>
        <w:t>uthors</w:t>
      </w:r>
      <w:r w:rsidRPr="000747D6">
        <w:rPr>
          <w:rStyle w:val="Heading3Char"/>
          <w:rFonts w:ascii="Times New Roman" w:eastAsia="Times New Roman" w:hAnsi="Times New Roman" w:cs="Times New Roman"/>
          <w:color w:val="auto"/>
          <w:sz w:val="22"/>
          <w:szCs w:val="22"/>
        </w:rPr>
        <w:t>:</w:t>
      </w:r>
      <w:r w:rsidRPr="000747D6">
        <w:rPr>
          <w:rFonts w:ascii="Times New Roman" w:eastAsia="Times New Roman" w:hAnsi="Times New Roman" w:cs="Times New Roman"/>
        </w:rPr>
        <w:t xml:space="preserve">  </w:t>
      </w:r>
    </w:p>
    <w:p w14:paraId="028270B6"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Lucy T Perry</w:t>
      </w:r>
      <w:r w:rsidRPr="000747D6">
        <w:rPr>
          <w:rFonts w:ascii="Times New Roman" w:eastAsia="Times New Roman" w:hAnsi="Times New Roman" w:cs="Times New Roman"/>
          <w:vertAlign w:val="superscript"/>
        </w:rPr>
        <w:t>1</w:t>
      </w:r>
      <w:r w:rsidRPr="000747D6">
        <w:rPr>
          <w:rFonts w:ascii="Times New Roman" w:eastAsia="Times New Roman" w:hAnsi="Times New Roman" w:cs="Times New Roman"/>
        </w:rPr>
        <w:t xml:space="preserve"> (0000-0002-3337-1321)</w:t>
      </w:r>
    </w:p>
    <w:p w14:paraId="612AA253"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Alice Bhasale (0000-0002-5387-8760)</w:t>
      </w:r>
    </w:p>
    <w:p w14:paraId="3BA22A70"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Ashleigh Hooimeyer</w:t>
      </w:r>
      <w:r w:rsidRPr="000747D6">
        <w:rPr>
          <w:rFonts w:ascii="Times New Roman" w:eastAsia="Times New Roman" w:hAnsi="Times New Roman" w:cs="Times New Roman"/>
          <w:vertAlign w:val="superscript"/>
        </w:rPr>
        <w:t>1</w:t>
      </w:r>
      <w:r w:rsidRPr="000747D6">
        <w:rPr>
          <w:rFonts w:ascii="Times New Roman" w:eastAsia="Times New Roman" w:hAnsi="Times New Roman" w:cs="Times New Roman"/>
        </w:rPr>
        <w:t xml:space="preserve"> (0000-0002-8526-1837)</w:t>
      </w:r>
    </w:p>
    <w:p w14:paraId="5742E4D3"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Eliza J McEwin</w:t>
      </w:r>
      <w:r w:rsidRPr="000747D6">
        <w:rPr>
          <w:rFonts w:ascii="Times New Roman" w:eastAsia="Times New Roman" w:hAnsi="Times New Roman" w:cs="Times New Roman"/>
          <w:vertAlign w:val="superscript"/>
        </w:rPr>
        <w:t>1</w:t>
      </w:r>
      <w:r w:rsidRPr="000747D6">
        <w:rPr>
          <w:rFonts w:ascii="Times New Roman" w:eastAsia="Times New Roman" w:hAnsi="Times New Roman" w:cs="Times New Roman"/>
        </w:rPr>
        <w:t xml:space="preserve"> (0000-0003-2225-3474)</w:t>
      </w:r>
    </w:p>
    <w:p w14:paraId="3C516033"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Annim Mohammad</w:t>
      </w:r>
      <w:r w:rsidRPr="000747D6">
        <w:rPr>
          <w:rFonts w:ascii="Times New Roman" w:eastAsia="Times New Roman" w:hAnsi="Times New Roman" w:cs="Times New Roman"/>
          <w:vertAlign w:val="superscript"/>
        </w:rPr>
        <w:t>1</w:t>
      </w:r>
      <w:r w:rsidRPr="000747D6">
        <w:rPr>
          <w:rFonts w:ascii="Times New Roman" w:eastAsia="Times New Roman" w:hAnsi="Times New Roman" w:cs="Times New Roman"/>
        </w:rPr>
        <w:t xml:space="preserve"> (0000-0003-3744-2219) </w:t>
      </w:r>
    </w:p>
    <w:p w14:paraId="18E44D6F" w14:textId="77777777" w:rsidR="00DF0996" w:rsidRPr="000747D6" w:rsidRDefault="00DF0996" w:rsidP="00DF0996">
      <w:pPr>
        <w:rPr>
          <w:rFonts w:ascii="Times New Roman" w:eastAsia="Times New Roman" w:hAnsi="Times New Roman" w:cs="Times New Roman"/>
        </w:rPr>
      </w:pPr>
      <w:r w:rsidRPr="000747D6">
        <w:rPr>
          <w:rFonts w:ascii="Times New Roman" w:eastAsia="Times New Roman" w:hAnsi="Times New Roman" w:cs="Times New Roman"/>
        </w:rPr>
        <w:t>Barbara Mintzes</w:t>
      </w:r>
      <w:r w:rsidRPr="000747D6">
        <w:rPr>
          <w:rFonts w:ascii="Times New Roman" w:eastAsia="Times New Roman" w:hAnsi="Times New Roman" w:cs="Times New Roman"/>
          <w:vertAlign w:val="superscript"/>
        </w:rPr>
        <w:t>1</w:t>
      </w:r>
      <w:r w:rsidRPr="000747D6">
        <w:rPr>
          <w:rFonts w:ascii="Times New Roman" w:eastAsia="Times New Roman" w:hAnsi="Times New Roman" w:cs="Times New Roman"/>
        </w:rPr>
        <w:t xml:space="preserve"> (0000-0002-8671-915X)</w:t>
      </w:r>
    </w:p>
    <w:p w14:paraId="097B6B0D" w14:textId="77777777" w:rsidR="00DF0996" w:rsidRPr="000747D6" w:rsidRDefault="00DF0996" w:rsidP="00DF0996">
      <w:pPr>
        <w:rPr>
          <w:rFonts w:ascii="Times New Roman" w:eastAsia="Times New Roman" w:hAnsi="Times New Roman" w:cs="Times New Roman"/>
        </w:rPr>
      </w:pPr>
    </w:p>
    <w:p w14:paraId="5EC68F63" w14:textId="77777777" w:rsidR="00DF0996" w:rsidRPr="000747D6" w:rsidRDefault="00DF0996" w:rsidP="00DF0996">
      <w:pPr>
        <w:spacing w:line="276" w:lineRule="auto"/>
        <w:rPr>
          <w:rFonts w:ascii="Times New Roman" w:eastAsia="Times New Roman" w:hAnsi="Times New Roman" w:cs="Times New Roman"/>
        </w:rPr>
      </w:pPr>
      <w:r w:rsidRPr="000747D6">
        <w:rPr>
          <w:rStyle w:val="Heading3Char"/>
          <w:rFonts w:ascii="Times New Roman" w:eastAsia="Times New Roman" w:hAnsi="Times New Roman" w:cs="Times New Roman"/>
          <w:b/>
          <w:bCs/>
          <w:color w:val="auto"/>
          <w:sz w:val="22"/>
          <w:szCs w:val="22"/>
        </w:rPr>
        <w:t>Affiliations</w:t>
      </w:r>
      <w:r w:rsidRPr="000747D6">
        <w:rPr>
          <w:rFonts w:ascii="Times New Roman" w:eastAsia="Times New Roman" w:hAnsi="Times New Roman" w:cs="Times New Roman"/>
          <w:b/>
          <w:bCs/>
        </w:rPr>
        <w:t>:</w:t>
      </w:r>
      <w:r w:rsidRPr="000747D6">
        <w:rPr>
          <w:rFonts w:ascii="Times New Roman" w:eastAsia="Times New Roman" w:hAnsi="Times New Roman" w:cs="Times New Roman"/>
        </w:rPr>
        <w:t xml:space="preserve"> </w:t>
      </w:r>
    </w:p>
    <w:p w14:paraId="0277B59D" w14:textId="77777777" w:rsidR="00DF0996" w:rsidRPr="000747D6" w:rsidRDefault="00DF0996" w:rsidP="00DF0996">
      <w:pPr>
        <w:pStyle w:val="ListParagraph"/>
        <w:numPr>
          <w:ilvl w:val="0"/>
          <w:numId w:val="1"/>
        </w:numPr>
        <w:spacing w:line="276" w:lineRule="auto"/>
        <w:rPr>
          <w:rFonts w:ascii="Times New Roman" w:eastAsia="Times New Roman" w:hAnsi="Times New Roman" w:cs="Times New Roman"/>
        </w:rPr>
      </w:pPr>
      <w:r w:rsidRPr="000747D6">
        <w:rPr>
          <w:rFonts w:ascii="Times New Roman" w:eastAsia="Times New Roman" w:hAnsi="Times New Roman" w:cs="Times New Roman"/>
        </w:rPr>
        <w:t>School of Pharmacy, Faculty of Medicine and Health, and Charles Perkins Centre, University of Sydney, Sydney, New South Wales, Australia</w:t>
      </w:r>
    </w:p>
    <w:p w14:paraId="457F0A0C" w14:textId="77777777" w:rsidR="00DF0996" w:rsidRPr="000747D6" w:rsidRDefault="00DF0996" w:rsidP="00DF0996">
      <w:pPr>
        <w:spacing w:line="276" w:lineRule="auto"/>
        <w:rPr>
          <w:rFonts w:ascii="Times New Roman" w:eastAsia="Times New Roman" w:hAnsi="Times New Roman" w:cs="Times New Roman"/>
        </w:rPr>
      </w:pPr>
      <w:r w:rsidRPr="000747D6">
        <w:rPr>
          <w:rStyle w:val="Heading3Char"/>
          <w:rFonts w:ascii="Times New Roman" w:eastAsia="Times New Roman" w:hAnsi="Times New Roman" w:cs="Times New Roman"/>
          <w:b/>
          <w:bCs/>
          <w:color w:val="auto"/>
          <w:sz w:val="22"/>
          <w:szCs w:val="22"/>
        </w:rPr>
        <w:t>Corresponding Author:</w:t>
      </w:r>
      <w:r w:rsidRPr="000747D6">
        <w:rPr>
          <w:rFonts w:ascii="Times New Roman" w:eastAsia="Times New Roman" w:hAnsi="Times New Roman" w:cs="Times New Roman"/>
        </w:rPr>
        <w:t xml:space="preserve"> </w:t>
      </w:r>
    </w:p>
    <w:p w14:paraId="35B1492D" w14:textId="77777777" w:rsidR="00DF0996" w:rsidRPr="000747D6" w:rsidRDefault="00DF0996" w:rsidP="00DF0996">
      <w:pPr>
        <w:spacing w:line="276" w:lineRule="auto"/>
        <w:rPr>
          <w:rFonts w:ascii="Times New Roman" w:eastAsia="Times New Roman" w:hAnsi="Times New Roman" w:cs="Times New Roman"/>
        </w:rPr>
      </w:pPr>
      <w:r w:rsidRPr="000747D6">
        <w:rPr>
          <w:rFonts w:ascii="Times New Roman" w:eastAsia="Times New Roman" w:hAnsi="Times New Roman" w:cs="Times New Roman"/>
        </w:rPr>
        <w:t xml:space="preserve">Lucy T Perry, Charles Perkins Centre, University of Sydney, D17, John Hopkins Drive, Camperdown, NSW 2006, Australia. Email </w:t>
      </w:r>
      <w:hyperlink r:id="rId5">
        <w:r w:rsidRPr="000747D6">
          <w:rPr>
            <w:rStyle w:val="Hyperlink"/>
            <w:rFonts w:ascii="Times New Roman" w:eastAsia="Times New Roman" w:hAnsi="Times New Roman" w:cs="Times New Roman"/>
            <w:color w:val="auto"/>
          </w:rPr>
          <w:t>lper0180@uni.sydney.edu.au</w:t>
        </w:r>
      </w:hyperlink>
    </w:p>
    <w:p w14:paraId="3D0FA1C9" w14:textId="77777777" w:rsidR="00B15BA3" w:rsidRPr="000747D6" w:rsidRDefault="00B15BA3">
      <w:pPr>
        <w:rPr>
          <w:rFonts w:ascii="Times New Roman" w:hAnsi="Times New Roman" w:cs="Times New Roman"/>
        </w:rPr>
      </w:pPr>
    </w:p>
    <w:p w14:paraId="23F12498" w14:textId="77777777" w:rsidR="00DF0996" w:rsidRPr="000747D6" w:rsidRDefault="00DF0996">
      <w:pPr>
        <w:rPr>
          <w:rFonts w:ascii="Times New Roman" w:hAnsi="Times New Roman" w:cs="Times New Roman"/>
        </w:rPr>
      </w:pPr>
    </w:p>
    <w:p w14:paraId="597CF866" w14:textId="77777777" w:rsidR="00DF0996" w:rsidRPr="000747D6" w:rsidRDefault="00DF0996">
      <w:pPr>
        <w:rPr>
          <w:rFonts w:ascii="Times New Roman" w:hAnsi="Times New Roman" w:cs="Times New Roman"/>
        </w:rPr>
      </w:pPr>
    </w:p>
    <w:p w14:paraId="3433809E" w14:textId="77777777" w:rsidR="00DF0996" w:rsidRPr="000747D6" w:rsidRDefault="00DF0996">
      <w:pPr>
        <w:rPr>
          <w:rFonts w:ascii="Times New Roman" w:hAnsi="Times New Roman" w:cs="Times New Roman"/>
        </w:rPr>
      </w:pPr>
    </w:p>
    <w:p w14:paraId="62F8DBFD" w14:textId="77777777" w:rsidR="00DF0996" w:rsidRPr="000747D6" w:rsidRDefault="00DF0996">
      <w:pPr>
        <w:rPr>
          <w:rFonts w:ascii="Times New Roman" w:hAnsi="Times New Roman" w:cs="Times New Roman"/>
        </w:rPr>
      </w:pPr>
    </w:p>
    <w:p w14:paraId="5CC43D36" w14:textId="77777777" w:rsidR="00DF0996" w:rsidRPr="000747D6" w:rsidRDefault="00DF0996">
      <w:pPr>
        <w:rPr>
          <w:rFonts w:ascii="Times New Roman" w:hAnsi="Times New Roman" w:cs="Times New Roman"/>
        </w:rPr>
      </w:pPr>
    </w:p>
    <w:p w14:paraId="4718A083" w14:textId="7C65DC14" w:rsidR="00DF0996" w:rsidRPr="000747D6" w:rsidRDefault="00DF0996">
      <w:pPr>
        <w:spacing w:line="278" w:lineRule="auto"/>
        <w:rPr>
          <w:rFonts w:ascii="Times New Roman" w:hAnsi="Times New Roman" w:cs="Times New Roman"/>
        </w:rPr>
      </w:pPr>
      <w:r w:rsidRPr="000747D6">
        <w:rPr>
          <w:rFonts w:ascii="Times New Roman" w:hAnsi="Times New Roman" w:cs="Times New Roman"/>
        </w:rPr>
        <w:br w:type="page"/>
      </w:r>
    </w:p>
    <w:p w14:paraId="6AB8E59F" w14:textId="5F14A233" w:rsidR="00DF0996" w:rsidRPr="000747D6" w:rsidRDefault="00DF0996">
      <w:pPr>
        <w:rPr>
          <w:rFonts w:ascii="Times New Roman" w:hAnsi="Times New Roman" w:cs="Times New Roman"/>
          <w:b/>
          <w:bCs/>
        </w:rPr>
      </w:pPr>
      <w:r w:rsidRPr="000747D6">
        <w:rPr>
          <w:rFonts w:ascii="Times New Roman" w:hAnsi="Times New Roman" w:cs="Times New Roman"/>
          <w:b/>
          <w:bCs/>
        </w:rPr>
        <w:t>Supplementary Table 1</w:t>
      </w:r>
    </w:p>
    <w:p w14:paraId="4B8C2D0F" w14:textId="77777777" w:rsidR="00D822CF" w:rsidRPr="000747D6" w:rsidRDefault="00D822CF" w:rsidP="00D822CF">
      <w:pPr>
        <w:spacing w:line="360" w:lineRule="auto"/>
        <w:rPr>
          <w:rFonts w:ascii="Times New Roman" w:hAnsi="Times New Roman" w:cs="Times New Roman"/>
          <w:b/>
          <w:bCs/>
          <w:sz w:val="20"/>
          <w:szCs w:val="20"/>
        </w:rPr>
      </w:pPr>
      <w:r w:rsidRPr="000747D6">
        <w:rPr>
          <w:rFonts w:ascii="Times New Roman" w:hAnsi="Times New Roman" w:cs="Times New Roman"/>
          <w:b/>
          <w:bCs/>
          <w:sz w:val="20"/>
          <w:szCs w:val="20"/>
        </w:rPr>
        <w:t>Overview of medicines in concordant drug risk issues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946"/>
        <w:gridCol w:w="2829"/>
        <w:gridCol w:w="2251"/>
      </w:tblGrid>
      <w:tr w:rsidR="00D822CF" w:rsidRPr="000747D6" w14:paraId="214CF62D" w14:textId="77777777" w:rsidTr="00D822CF">
        <w:trPr>
          <w:trHeight w:val="349"/>
        </w:trPr>
        <w:tc>
          <w:tcPr>
            <w:tcW w:w="2186" w:type="pct"/>
            <w:shd w:val="clear" w:color="auto" w:fill="auto"/>
          </w:tcPr>
          <w:p w14:paraId="5BA9811F" w14:textId="77777777" w:rsidR="00D822CF" w:rsidRPr="000747D6" w:rsidRDefault="00D822CF" w:rsidP="00224227">
            <w:pPr>
              <w:spacing w:line="360" w:lineRule="auto"/>
              <w:rPr>
                <w:rFonts w:ascii="Times New Roman" w:hAnsi="Times New Roman" w:cs="Times New Roman"/>
                <w:b/>
                <w:bCs/>
                <w:sz w:val="20"/>
                <w:szCs w:val="20"/>
              </w:rPr>
            </w:pPr>
            <w:r w:rsidRPr="000747D6">
              <w:rPr>
                <w:rFonts w:ascii="Times New Roman" w:hAnsi="Times New Roman" w:cs="Times New Roman"/>
                <w:b/>
                <w:bCs/>
                <w:sz w:val="20"/>
                <w:szCs w:val="20"/>
              </w:rPr>
              <w:t>Drug Risk Issue ATC 1</w:t>
            </w:r>
            <w:r w:rsidRPr="000747D6">
              <w:rPr>
                <w:rFonts w:ascii="Times New Roman" w:hAnsi="Times New Roman" w:cs="Times New Roman"/>
                <w:b/>
                <w:bCs/>
                <w:sz w:val="20"/>
                <w:szCs w:val="20"/>
                <w:vertAlign w:val="superscript"/>
              </w:rPr>
              <w:t>st</w:t>
            </w:r>
            <w:r w:rsidRPr="000747D6">
              <w:rPr>
                <w:rFonts w:ascii="Times New Roman" w:hAnsi="Times New Roman" w:cs="Times New Roman"/>
                <w:b/>
                <w:bCs/>
                <w:sz w:val="20"/>
                <w:szCs w:val="20"/>
              </w:rPr>
              <w:t xml:space="preserve"> Level</w:t>
            </w:r>
          </w:p>
        </w:tc>
        <w:tc>
          <w:tcPr>
            <w:tcW w:w="1567" w:type="pct"/>
            <w:shd w:val="clear" w:color="auto" w:fill="auto"/>
          </w:tcPr>
          <w:p w14:paraId="10CB78F4" w14:textId="77777777" w:rsidR="00D822CF" w:rsidRPr="000747D6" w:rsidRDefault="00D822CF" w:rsidP="00224227">
            <w:pPr>
              <w:spacing w:line="360" w:lineRule="auto"/>
              <w:rPr>
                <w:rFonts w:ascii="Times New Roman" w:hAnsi="Times New Roman" w:cs="Times New Roman"/>
                <w:b/>
                <w:bCs/>
                <w:sz w:val="20"/>
                <w:szCs w:val="20"/>
              </w:rPr>
            </w:pPr>
            <w:r w:rsidRPr="000747D6">
              <w:rPr>
                <w:rFonts w:ascii="Times New Roman" w:hAnsi="Times New Roman" w:cs="Times New Roman"/>
                <w:b/>
                <w:bCs/>
                <w:sz w:val="20"/>
                <w:szCs w:val="20"/>
              </w:rPr>
              <w:t>Examples medicines</w:t>
            </w:r>
          </w:p>
        </w:tc>
        <w:tc>
          <w:tcPr>
            <w:tcW w:w="1247" w:type="pct"/>
            <w:shd w:val="clear" w:color="auto" w:fill="auto"/>
          </w:tcPr>
          <w:p w14:paraId="68EBD153" w14:textId="77777777" w:rsidR="00D822CF" w:rsidRPr="000747D6" w:rsidRDefault="00D822CF" w:rsidP="00224227">
            <w:pPr>
              <w:spacing w:line="360" w:lineRule="auto"/>
              <w:jc w:val="center"/>
              <w:rPr>
                <w:rFonts w:ascii="Times New Roman" w:hAnsi="Times New Roman" w:cs="Times New Roman"/>
                <w:b/>
                <w:bCs/>
                <w:sz w:val="20"/>
                <w:szCs w:val="20"/>
              </w:rPr>
            </w:pPr>
            <w:r w:rsidRPr="000747D6">
              <w:rPr>
                <w:rFonts w:ascii="Times New Roman" w:hAnsi="Times New Roman" w:cs="Times New Roman"/>
                <w:b/>
                <w:bCs/>
                <w:sz w:val="20"/>
                <w:szCs w:val="20"/>
              </w:rPr>
              <w:t>Total Drug Risk Issues</w:t>
            </w:r>
          </w:p>
          <w:p w14:paraId="39CA4F32" w14:textId="77777777" w:rsidR="00D822CF" w:rsidRPr="000747D6" w:rsidRDefault="00D822CF" w:rsidP="00224227">
            <w:pPr>
              <w:spacing w:line="360" w:lineRule="auto"/>
              <w:jc w:val="center"/>
              <w:rPr>
                <w:rFonts w:ascii="Times New Roman" w:hAnsi="Times New Roman" w:cs="Times New Roman"/>
                <w:b/>
                <w:bCs/>
                <w:sz w:val="20"/>
                <w:szCs w:val="20"/>
              </w:rPr>
            </w:pPr>
            <w:r w:rsidRPr="000747D6">
              <w:rPr>
                <w:rFonts w:ascii="Times New Roman" w:hAnsi="Times New Roman" w:cs="Times New Roman"/>
                <w:b/>
                <w:bCs/>
                <w:sz w:val="20"/>
                <w:szCs w:val="20"/>
              </w:rPr>
              <w:t>n=40 (%)</w:t>
            </w:r>
          </w:p>
        </w:tc>
      </w:tr>
      <w:tr w:rsidR="00D822CF" w:rsidRPr="000747D6" w14:paraId="02219ADF" w14:textId="77777777" w:rsidTr="00D822CF">
        <w:trPr>
          <w:trHeight w:val="349"/>
        </w:trPr>
        <w:tc>
          <w:tcPr>
            <w:tcW w:w="2186" w:type="pct"/>
          </w:tcPr>
          <w:p w14:paraId="208CDAFD" w14:textId="77777777" w:rsidR="00D822CF" w:rsidRPr="000747D6" w:rsidRDefault="00D822CF" w:rsidP="00224227">
            <w:pPr>
              <w:rPr>
                <w:rFonts w:ascii="Times New Roman" w:hAnsi="Times New Roman" w:cs="Times New Roman"/>
                <w:color w:val="000000"/>
                <w:sz w:val="20"/>
                <w:szCs w:val="20"/>
              </w:rPr>
            </w:pPr>
            <w:r w:rsidRPr="000747D6">
              <w:rPr>
                <w:rFonts w:ascii="Times New Roman" w:hAnsi="Times New Roman" w:cs="Times New Roman"/>
                <w:color w:val="000000"/>
                <w:sz w:val="20"/>
                <w:szCs w:val="20"/>
              </w:rPr>
              <w:t>Nervous system</w:t>
            </w:r>
          </w:p>
        </w:tc>
        <w:tc>
          <w:tcPr>
            <w:tcW w:w="1567" w:type="pct"/>
          </w:tcPr>
          <w:p w14:paraId="56B9F00E"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Antiepileptics</w:t>
            </w:r>
          </w:p>
          <w:p w14:paraId="363B2240"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Antipsychotics</w:t>
            </w:r>
          </w:p>
          <w:p w14:paraId="159DD0F0"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Antidepressants</w:t>
            </w:r>
          </w:p>
          <w:p w14:paraId="626538F0"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Psychostimulants</w:t>
            </w:r>
          </w:p>
        </w:tc>
        <w:tc>
          <w:tcPr>
            <w:tcW w:w="1247" w:type="pct"/>
          </w:tcPr>
          <w:p w14:paraId="60464067"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10 (25.0)</w:t>
            </w:r>
          </w:p>
        </w:tc>
      </w:tr>
      <w:tr w:rsidR="00D822CF" w:rsidRPr="000747D6" w14:paraId="6D51D107" w14:textId="77777777" w:rsidTr="00D822CF">
        <w:trPr>
          <w:trHeight w:val="349"/>
        </w:trPr>
        <w:tc>
          <w:tcPr>
            <w:tcW w:w="2186" w:type="pct"/>
          </w:tcPr>
          <w:p w14:paraId="5E3EFC41"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Alimentary Tract and Metabolism</w:t>
            </w:r>
          </w:p>
        </w:tc>
        <w:tc>
          <w:tcPr>
            <w:tcW w:w="1567" w:type="pct"/>
          </w:tcPr>
          <w:p w14:paraId="31604001"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Non-insulin antidiabetics</w:t>
            </w:r>
          </w:p>
          <w:p w14:paraId="5484308B"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Peptic ulcer and GORD treatment</w:t>
            </w:r>
          </w:p>
          <w:p w14:paraId="6E471797"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Antiemetics or antinauseants</w:t>
            </w:r>
          </w:p>
          <w:p w14:paraId="3860E68E" w14:textId="77777777" w:rsidR="00D822CF" w:rsidRPr="000747D6" w:rsidRDefault="00D822CF" w:rsidP="00224227">
            <w:pPr>
              <w:spacing w:line="360" w:lineRule="auto"/>
              <w:rPr>
                <w:rFonts w:ascii="Times New Roman" w:hAnsi="Times New Roman" w:cs="Times New Roman"/>
                <w:sz w:val="20"/>
                <w:szCs w:val="20"/>
              </w:rPr>
            </w:pPr>
            <w:proofErr w:type="spellStart"/>
            <w:r w:rsidRPr="000747D6">
              <w:rPr>
                <w:rFonts w:ascii="Times New Roman" w:hAnsi="Times New Roman" w:cs="Times New Roman"/>
                <w:sz w:val="20"/>
                <w:szCs w:val="20"/>
              </w:rPr>
              <w:t>Propulsives</w:t>
            </w:r>
            <w:proofErr w:type="spellEnd"/>
          </w:p>
        </w:tc>
        <w:tc>
          <w:tcPr>
            <w:tcW w:w="1247" w:type="pct"/>
          </w:tcPr>
          <w:p w14:paraId="7879A23C"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9 (22.5)</w:t>
            </w:r>
          </w:p>
        </w:tc>
      </w:tr>
      <w:tr w:rsidR="00D822CF" w:rsidRPr="000747D6" w14:paraId="2E6F078A" w14:textId="77777777" w:rsidTr="00D822CF">
        <w:trPr>
          <w:trHeight w:val="699"/>
        </w:trPr>
        <w:tc>
          <w:tcPr>
            <w:tcW w:w="2186" w:type="pct"/>
          </w:tcPr>
          <w:p w14:paraId="76CCF5D9"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Anti-neoplastic and Immunomodulating agents</w:t>
            </w:r>
          </w:p>
        </w:tc>
        <w:tc>
          <w:tcPr>
            <w:tcW w:w="1567" w:type="pct"/>
          </w:tcPr>
          <w:p w14:paraId="30006CDC"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Immunosuppressants</w:t>
            </w:r>
          </w:p>
          <w:p w14:paraId="1B5D0479"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Antineoplastics</w:t>
            </w:r>
          </w:p>
        </w:tc>
        <w:tc>
          <w:tcPr>
            <w:tcW w:w="1247" w:type="pct"/>
          </w:tcPr>
          <w:p w14:paraId="5A81538C"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6 (15.0)</w:t>
            </w:r>
          </w:p>
        </w:tc>
      </w:tr>
      <w:tr w:rsidR="00D822CF" w:rsidRPr="000747D6" w14:paraId="4344F555" w14:textId="77777777" w:rsidTr="00D822CF">
        <w:trPr>
          <w:trHeight w:val="349"/>
        </w:trPr>
        <w:tc>
          <w:tcPr>
            <w:tcW w:w="2186" w:type="pct"/>
          </w:tcPr>
          <w:p w14:paraId="7480FF43"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Blood and Blood Forming Organs</w:t>
            </w:r>
          </w:p>
        </w:tc>
        <w:tc>
          <w:tcPr>
            <w:tcW w:w="1567" w:type="pct"/>
          </w:tcPr>
          <w:p w14:paraId="13CDAE25"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Anti-anaemics</w:t>
            </w:r>
          </w:p>
          <w:p w14:paraId="549E7E35"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Antifibrinolytics</w:t>
            </w:r>
          </w:p>
          <w:p w14:paraId="5F5C9D01" w14:textId="77777777" w:rsidR="00D822CF" w:rsidRPr="000747D6" w:rsidRDefault="00D822CF" w:rsidP="00224227">
            <w:pPr>
              <w:spacing w:line="360" w:lineRule="auto"/>
              <w:rPr>
                <w:rFonts w:ascii="Times New Roman" w:hAnsi="Times New Roman" w:cs="Times New Roman"/>
                <w:sz w:val="20"/>
                <w:szCs w:val="20"/>
              </w:rPr>
            </w:pPr>
            <w:proofErr w:type="spellStart"/>
            <w:r w:rsidRPr="000747D6">
              <w:rPr>
                <w:rFonts w:ascii="Times New Roman" w:hAnsi="Times New Roman" w:cs="Times New Roman"/>
                <w:sz w:val="20"/>
                <w:szCs w:val="20"/>
              </w:rPr>
              <w:t>Antithrombotics</w:t>
            </w:r>
            <w:proofErr w:type="spellEnd"/>
          </w:p>
        </w:tc>
        <w:tc>
          <w:tcPr>
            <w:tcW w:w="1247" w:type="pct"/>
          </w:tcPr>
          <w:p w14:paraId="7F0022D3"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6 (15.0)</w:t>
            </w:r>
          </w:p>
        </w:tc>
      </w:tr>
      <w:tr w:rsidR="00D822CF" w:rsidRPr="000747D6" w14:paraId="251C0C26" w14:textId="77777777" w:rsidTr="00D822CF">
        <w:trPr>
          <w:trHeight w:val="349"/>
        </w:trPr>
        <w:tc>
          <w:tcPr>
            <w:tcW w:w="2186" w:type="pct"/>
          </w:tcPr>
          <w:p w14:paraId="4784A14F"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Cardiovascular</w:t>
            </w:r>
          </w:p>
        </w:tc>
        <w:tc>
          <w:tcPr>
            <w:tcW w:w="1567" w:type="pct"/>
          </w:tcPr>
          <w:p w14:paraId="462D2EF6"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Statins</w:t>
            </w:r>
          </w:p>
        </w:tc>
        <w:tc>
          <w:tcPr>
            <w:tcW w:w="1247" w:type="pct"/>
          </w:tcPr>
          <w:p w14:paraId="4E6F7659"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2 (5.0)</w:t>
            </w:r>
          </w:p>
        </w:tc>
      </w:tr>
      <w:tr w:rsidR="00D822CF" w:rsidRPr="000747D6" w14:paraId="7DDF3522" w14:textId="77777777" w:rsidTr="00D822CF">
        <w:trPr>
          <w:trHeight w:val="349"/>
        </w:trPr>
        <w:tc>
          <w:tcPr>
            <w:tcW w:w="2186" w:type="pct"/>
          </w:tcPr>
          <w:p w14:paraId="400AE326"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Musculo-skeletal</w:t>
            </w:r>
          </w:p>
        </w:tc>
        <w:tc>
          <w:tcPr>
            <w:tcW w:w="1567" w:type="pct"/>
          </w:tcPr>
          <w:p w14:paraId="7CB8FE5F"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Non-steroidal Anti-inflammatories</w:t>
            </w:r>
          </w:p>
          <w:p w14:paraId="60036CFC"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Bisphosphonates</w:t>
            </w:r>
          </w:p>
        </w:tc>
        <w:tc>
          <w:tcPr>
            <w:tcW w:w="1247" w:type="pct"/>
          </w:tcPr>
          <w:p w14:paraId="7E78DDBA"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2 (5.0)</w:t>
            </w:r>
          </w:p>
        </w:tc>
      </w:tr>
      <w:tr w:rsidR="00D822CF" w:rsidRPr="000747D6" w14:paraId="6CA05BFD" w14:textId="77777777" w:rsidTr="00D822CF">
        <w:trPr>
          <w:trHeight w:val="349"/>
        </w:trPr>
        <w:tc>
          <w:tcPr>
            <w:tcW w:w="2186" w:type="pct"/>
          </w:tcPr>
          <w:p w14:paraId="77065042"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Anti-infectives for Systemic Use</w:t>
            </w:r>
          </w:p>
        </w:tc>
        <w:tc>
          <w:tcPr>
            <w:tcW w:w="1567" w:type="pct"/>
          </w:tcPr>
          <w:p w14:paraId="4841FE5E"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Immunoglobulins</w:t>
            </w:r>
          </w:p>
        </w:tc>
        <w:tc>
          <w:tcPr>
            <w:tcW w:w="1247" w:type="pct"/>
          </w:tcPr>
          <w:p w14:paraId="26C848DF"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 (2.5)</w:t>
            </w:r>
          </w:p>
        </w:tc>
      </w:tr>
      <w:tr w:rsidR="00D822CF" w:rsidRPr="000747D6" w14:paraId="6E42028A" w14:textId="77777777" w:rsidTr="00D822CF">
        <w:trPr>
          <w:trHeight w:val="349"/>
        </w:trPr>
        <w:tc>
          <w:tcPr>
            <w:tcW w:w="2186" w:type="pct"/>
          </w:tcPr>
          <w:p w14:paraId="5EF5F5F7"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Antiparasitic Products, Insecticides and Repellents</w:t>
            </w:r>
          </w:p>
        </w:tc>
        <w:tc>
          <w:tcPr>
            <w:tcW w:w="1567" w:type="pct"/>
          </w:tcPr>
          <w:p w14:paraId="1CE9E4B7"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Antimalarials</w:t>
            </w:r>
          </w:p>
        </w:tc>
        <w:tc>
          <w:tcPr>
            <w:tcW w:w="1247" w:type="pct"/>
          </w:tcPr>
          <w:p w14:paraId="53F80E1B"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 (2.5)</w:t>
            </w:r>
          </w:p>
        </w:tc>
      </w:tr>
      <w:tr w:rsidR="00D822CF" w:rsidRPr="000747D6" w14:paraId="468FA4D2" w14:textId="77777777" w:rsidTr="00D822CF">
        <w:trPr>
          <w:trHeight w:val="349"/>
        </w:trPr>
        <w:tc>
          <w:tcPr>
            <w:tcW w:w="2186" w:type="pct"/>
          </w:tcPr>
          <w:p w14:paraId="75685513"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Genito Urinary System and Sex Hormones</w:t>
            </w:r>
          </w:p>
        </w:tc>
        <w:tc>
          <w:tcPr>
            <w:tcW w:w="1567" w:type="pct"/>
          </w:tcPr>
          <w:p w14:paraId="3E94BE4D"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Contraceptives</w:t>
            </w:r>
          </w:p>
        </w:tc>
        <w:tc>
          <w:tcPr>
            <w:tcW w:w="1247" w:type="pct"/>
          </w:tcPr>
          <w:p w14:paraId="6B556850"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 (2.5)</w:t>
            </w:r>
          </w:p>
        </w:tc>
      </w:tr>
      <w:tr w:rsidR="00D822CF" w:rsidRPr="000747D6" w14:paraId="0F1F10D9" w14:textId="77777777" w:rsidTr="00D822CF">
        <w:trPr>
          <w:trHeight w:val="349"/>
        </w:trPr>
        <w:tc>
          <w:tcPr>
            <w:tcW w:w="2186" w:type="pct"/>
          </w:tcPr>
          <w:p w14:paraId="0FB2EB87"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Systemic Hormonal Preparations, excl. sex hormones and insulins</w:t>
            </w:r>
          </w:p>
        </w:tc>
        <w:tc>
          <w:tcPr>
            <w:tcW w:w="1567" w:type="pct"/>
          </w:tcPr>
          <w:p w14:paraId="5E024859"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Pituitary lobe hormones</w:t>
            </w:r>
          </w:p>
        </w:tc>
        <w:tc>
          <w:tcPr>
            <w:tcW w:w="1247" w:type="pct"/>
          </w:tcPr>
          <w:p w14:paraId="189E61EA"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 (2.5)</w:t>
            </w:r>
          </w:p>
        </w:tc>
      </w:tr>
      <w:tr w:rsidR="00D822CF" w:rsidRPr="000747D6" w14:paraId="4E89DFA7" w14:textId="77777777" w:rsidTr="00D822CF">
        <w:trPr>
          <w:trHeight w:val="349"/>
        </w:trPr>
        <w:tc>
          <w:tcPr>
            <w:tcW w:w="2186" w:type="pct"/>
          </w:tcPr>
          <w:p w14:paraId="35D60935"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Various</w:t>
            </w:r>
          </w:p>
        </w:tc>
        <w:tc>
          <w:tcPr>
            <w:tcW w:w="1567" w:type="pct"/>
          </w:tcPr>
          <w:p w14:paraId="6F2C0ED1" w14:textId="77777777" w:rsidR="00D822CF" w:rsidRPr="000747D6" w:rsidRDefault="00D822CF" w:rsidP="00224227">
            <w:pPr>
              <w:spacing w:line="360" w:lineRule="auto"/>
              <w:rPr>
                <w:rFonts w:ascii="Times New Roman" w:hAnsi="Times New Roman" w:cs="Times New Roman"/>
                <w:sz w:val="20"/>
                <w:szCs w:val="20"/>
              </w:rPr>
            </w:pPr>
            <w:r w:rsidRPr="000747D6">
              <w:rPr>
                <w:rFonts w:ascii="Times New Roman" w:hAnsi="Times New Roman" w:cs="Times New Roman"/>
                <w:sz w:val="20"/>
                <w:szCs w:val="20"/>
              </w:rPr>
              <w:t>Contrast agents</w:t>
            </w:r>
          </w:p>
        </w:tc>
        <w:tc>
          <w:tcPr>
            <w:tcW w:w="1247" w:type="pct"/>
          </w:tcPr>
          <w:p w14:paraId="08415C98" w14:textId="77777777" w:rsidR="00D822CF" w:rsidRPr="000747D6" w:rsidRDefault="00D822CF" w:rsidP="00224227">
            <w:pPr>
              <w:spacing w:line="360" w:lineRule="auto"/>
              <w:jc w:val="center"/>
              <w:rPr>
                <w:rFonts w:ascii="Times New Roman" w:hAnsi="Times New Roman" w:cs="Times New Roman"/>
                <w:sz w:val="20"/>
                <w:szCs w:val="20"/>
              </w:rPr>
            </w:pPr>
            <w:r w:rsidRPr="000747D6">
              <w:rPr>
                <w:rFonts w:ascii="Times New Roman" w:hAnsi="Times New Roman" w:cs="Times New Roman"/>
                <w:sz w:val="20"/>
                <w:szCs w:val="20"/>
              </w:rPr>
              <w:t>1 (2.5)</w:t>
            </w:r>
          </w:p>
        </w:tc>
      </w:tr>
    </w:tbl>
    <w:p w14:paraId="1A55D87F" w14:textId="73A7807A" w:rsidR="00D822CF" w:rsidRPr="000747D6" w:rsidRDefault="004800F9" w:rsidP="00D822CF">
      <w:pPr>
        <w:spacing w:line="360" w:lineRule="auto"/>
        <w:rPr>
          <w:rFonts w:ascii="Times New Roman" w:hAnsi="Times New Roman" w:cs="Times New Roman"/>
          <w:sz w:val="20"/>
          <w:szCs w:val="20"/>
        </w:rPr>
      </w:pPr>
      <w:r w:rsidRPr="000747D6">
        <w:rPr>
          <w:rFonts w:ascii="Times New Roman" w:hAnsi="Times New Roman" w:cs="Times New Roman"/>
          <w:sz w:val="20"/>
          <w:szCs w:val="20"/>
        </w:rPr>
        <w:t xml:space="preserve">ATC: </w:t>
      </w:r>
      <w:r w:rsidR="005A5B94" w:rsidRPr="000747D6">
        <w:rPr>
          <w:rFonts w:ascii="Times New Roman" w:hAnsi="Times New Roman" w:cs="Times New Roman"/>
          <w:sz w:val="20"/>
          <w:szCs w:val="20"/>
          <w:lang w:val="en"/>
        </w:rPr>
        <w:t>Anatomical Therapeutic Chemical</w:t>
      </w:r>
    </w:p>
    <w:p w14:paraId="5EC3A97D" w14:textId="77777777" w:rsidR="00DF0996" w:rsidRPr="000747D6" w:rsidRDefault="00DF0996">
      <w:pPr>
        <w:rPr>
          <w:rFonts w:ascii="Times New Roman" w:hAnsi="Times New Roman" w:cs="Times New Roman"/>
        </w:rPr>
      </w:pPr>
    </w:p>
    <w:p w14:paraId="1CA70629" w14:textId="77777777" w:rsidR="00DF0996" w:rsidRPr="000747D6" w:rsidRDefault="00DF0996">
      <w:pPr>
        <w:rPr>
          <w:rFonts w:ascii="Times New Roman" w:hAnsi="Times New Roman" w:cs="Times New Roman"/>
        </w:rPr>
      </w:pPr>
    </w:p>
    <w:p w14:paraId="0680F195" w14:textId="77777777" w:rsidR="00DF0996" w:rsidRPr="000747D6" w:rsidRDefault="00DF0996">
      <w:pPr>
        <w:rPr>
          <w:rFonts w:ascii="Times New Roman" w:hAnsi="Times New Roman" w:cs="Times New Roman"/>
        </w:rPr>
      </w:pPr>
    </w:p>
    <w:p w14:paraId="471A4415" w14:textId="77777777" w:rsidR="00DF0996" w:rsidRPr="000747D6" w:rsidRDefault="00DF0996">
      <w:pPr>
        <w:rPr>
          <w:rFonts w:ascii="Times New Roman" w:hAnsi="Times New Roman" w:cs="Times New Roman"/>
        </w:rPr>
      </w:pPr>
    </w:p>
    <w:p w14:paraId="63511D3A" w14:textId="77777777" w:rsidR="00DF0996" w:rsidRPr="000747D6" w:rsidRDefault="00DF0996">
      <w:pPr>
        <w:rPr>
          <w:rFonts w:ascii="Times New Roman" w:hAnsi="Times New Roman" w:cs="Times New Roman"/>
        </w:rPr>
        <w:sectPr w:rsidR="00DF0996" w:rsidRPr="000747D6" w:rsidSect="000747D6">
          <w:pgSz w:w="11906" w:h="16838"/>
          <w:pgMar w:top="1440" w:right="1440" w:bottom="1440" w:left="1440" w:header="708" w:footer="708" w:gutter="0"/>
          <w:cols w:space="708"/>
          <w:docGrid w:linePitch="360"/>
        </w:sectPr>
      </w:pPr>
    </w:p>
    <w:p w14:paraId="44370D48" w14:textId="79150DE3" w:rsidR="00DF0996" w:rsidRPr="000747D6" w:rsidRDefault="00DF0996">
      <w:pPr>
        <w:rPr>
          <w:rFonts w:ascii="Times New Roman" w:hAnsi="Times New Roman" w:cs="Times New Roman"/>
          <w:b/>
          <w:bCs/>
        </w:rPr>
      </w:pPr>
      <w:r w:rsidRPr="000747D6">
        <w:rPr>
          <w:rFonts w:ascii="Times New Roman" w:hAnsi="Times New Roman" w:cs="Times New Roman"/>
          <w:b/>
          <w:bCs/>
        </w:rPr>
        <w:t>Supplementary Table 2</w:t>
      </w:r>
    </w:p>
    <w:p w14:paraId="3951165D" w14:textId="77777777" w:rsidR="00F016F4" w:rsidRPr="000747D6" w:rsidRDefault="00F016F4" w:rsidP="00F016F4">
      <w:pPr>
        <w:spacing w:line="360" w:lineRule="auto"/>
        <w:rPr>
          <w:rFonts w:ascii="Times New Roman" w:hAnsi="Times New Roman" w:cs="Times New Roman"/>
          <w:b/>
          <w:bCs/>
          <w:sz w:val="20"/>
          <w:szCs w:val="20"/>
        </w:rPr>
      </w:pPr>
      <w:r w:rsidRPr="000747D6">
        <w:rPr>
          <w:rFonts w:ascii="Times New Roman" w:hAnsi="Times New Roman" w:cs="Times New Roman"/>
          <w:b/>
          <w:bCs/>
          <w:sz w:val="20"/>
          <w:szCs w:val="20"/>
        </w:rPr>
        <w:t>Overview of how the four regulators reported on fatal outcomes associated with the medicine harm.</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390"/>
        <w:gridCol w:w="1126"/>
        <w:gridCol w:w="1293"/>
        <w:gridCol w:w="1078"/>
        <w:gridCol w:w="1103"/>
        <w:gridCol w:w="1036"/>
      </w:tblGrid>
      <w:tr w:rsidR="00F016F4" w:rsidRPr="000747D6" w14:paraId="1B701D84" w14:textId="77777777" w:rsidTr="004800F9">
        <w:tc>
          <w:tcPr>
            <w:tcW w:w="1878" w:type="pct"/>
            <w:shd w:val="clear" w:color="auto" w:fill="auto"/>
          </w:tcPr>
          <w:p w14:paraId="76D3BBEF" w14:textId="77777777" w:rsidR="00F016F4" w:rsidRPr="000747D6" w:rsidRDefault="00F016F4" w:rsidP="00224227">
            <w:pPr>
              <w:rPr>
                <w:rFonts w:ascii="Times New Roman" w:hAnsi="Times New Roman" w:cs="Times New Roman"/>
                <w:b/>
                <w:bCs/>
                <w:sz w:val="20"/>
                <w:szCs w:val="20"/>
              </w:rPr>
            </w:pPr>
            <w:bookmarkStart w:id="0" w:name="_Hlk177502452"/>
            <w:r w:rsidRPr="000747D6">
              <w:rPr>
                <w:rFonts w:ascii="Times New Roman" w:hAnsi="Times New Roman" w:cs="Times New Roman"/>
                <w:b/>
                <w:bCs/>
                <w:sz w:val="20"/>
                <w:szCs w:val="20"/>
              </w:rPr>
              <w:t xml:space="preserve">Total Drug risk issues n= 40 </w:t>
            </w:r>
          </w:p>
        </w:tc>
        <w:tc>
          <w:tcPr>
            <w:tcW w:w="624" w:type="pct"/>
            <w:shd w:val="clear" w:color="auto" w:fill="auto"/>
          </w:tcPr>
          <w:p w14:paraId="33DDAAF9"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FDA (%)</w:t>
            </w:r>
          </w:p>
        </w:tc>
        <w:tc>
          <w:tcPr>
            <w:tcW w:w="716" w:type="pct"/>
            <w:shd w:val="clear" w:color="auto" w:fill="auto"/>
          </w:tcPr>
          <w:p w14:paraId="59F4E2B4"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MHRA (%)</w:t>
            </w:r>
          </w:p>
        </w:tc>
        <w:tc>
          <w:tcPr>
            <w:tcW w:w="597" w:type="pct"/>
            <w:shd w:val="clear" w:color="auto" w:fill="auto"/>
          </w:tcPr>
          <w:p w14:paraId="22AA01D6"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HC (%)</w:t>
            </w:r>
          </w:p>
        </w:tc>
        <w:tc>
          <w:tcPr>
            <w:tcW w:w="611" w:type="pct"/>
            <w:shd w:val="clear" w:color="auto" w:fill="auto"/>
          </w:tcPr>
          <w:p w14:paraId="6F153E8A"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TGA (%)</w:t>
            </w:r>
          </w:p>
        </w:tc>
        <w:tc>
          <w:tcPr>
            <w:tcW w:w="575" w:type="pct"/>
            <w:shd w:val="clear" w:color="auto" w:fill="auto"/>
          </w:tcPr>
          <w:p w14:paraId="1D0D1F22"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All (%)</w:t>
            </w:r>
          </w:p>
        </w:tc>
      </w:tr>
      <w:bookmarkEnd w:id="0"/>
      <w:tr w:rsidR="00F016F4" w:rsidRPr="000747D6" w14:paraId="36DAE821" w14:textId="77777777" w:rsidTr="004800F9">
        <w:tc>
          <w:tcPr>
            <w:tcW w:w="1878" w:type="pct"/>
          </w:tcPr>
          <w:p w14:paraId="37291357"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Drug risk issues where all regulators communicated about a fatal outcome</w:t>
            </w:r>
          </w:p>
        </w:tc>
        <w:tc>
          <w:tcPr>
            <w:tcW w:w="624" w:type="pct"/>
            <w:shd w:val="clear" w:color="auto" w:fill="auto"/>
            <w:vAlign w:val="center"/>
          </w:tcPr>
          <w:p w14:paraId="3DD7C7E6"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716" w:type="pct"/>
            <w:shd w:val="clear" w:color="auto" w:fill="auto"/>
            <w:vAlign w:val="center"/>
          </w:tcPr>
          <w:p w14:paraId="1A1C8D7C"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97" w:type="pct"/>
            <w:shd w:val="clear" w:color="auto" w:fill="auto"/>
            <w:vAlign w:val="center"/>
          </w:tcPr>
          <w:p w14:paraId="546C9A19"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611" w:type="pct"/>
            <w:shd w:val="clear" w:color="auto" w:fill="auto"/>
            <w:vAlign w:val="center"/>
          </w:tcPr>
          <w:p w14:paraId="656098EE"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75" w:type="pct"/>
          </w:tcPr>
          <w:p w14:paraId="45D7D939"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8</w:t>
            </w:r>
          </w:p>
          <w:p w14:paraId="04B535BB"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(20.0)</w:t>
            </w:r>
          </w:p>
        </w:tc>
      </w:tr>
      <w:tr w:rsidR="00F016F4" w:rsidRPr="000747D6" w14:paraId="3E00D1CA" w14:textId="77777777" w:rsidTr="004800F9">
        <w:tc>
          <w:tcPr>
            <w:tcW w:w="1878" w:type="pct"/>
          </w:tcPr>
          <w:p w14:paraId="0707FF60"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Drug risk issues where no regulators communicated about a fatal outcome</w:t>
            </w:r>
          </w:p>
        </w:tc>
        <w:tc>
          <w:tcPr>
            <w:tcW w:w="624" w:type="pct"/>
            <w:shd w:val="clear" w:color="auto" w:fill="auto"/>
            <w:vAlign w:val="center"/>
          </w:tcPr>
          <w:p w14:paraId="58DCC0FE"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716" w:type="pct"/>
            <w:shd w:val="clear" w:color="auto" w:fill="auto"/>
            <w:vAlign w:val="center"/>
          </w:tcPr>
          <w:p w14:paraId="27E4B62D"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97" w:type="pct"/>
            <w:shd w:val="clear" w:color="auto" w:fill="auto"/>
            <w:vAlign w:val="center"/>
          </w:tcPr>
          <w:p w14:paraId="0C2DB76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611" w:type="pct"/>
            <w:shd w:val="clear" w:color="auto" w:fill="auto"/>
            <w:vAlign w:val="center"/>
          </w:tcPr>
          <w:p w14:paraId="50E11F0A"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75" w:type="pct"/>
          </w:tcPr>
          <w:p w14:paraId="6770A6C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14</w:t>
            </w:r>
          </w:p>
          <w:p w14:paraId="67BC4DC8"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(35.0)</w:t>
            </w:r>
          </w:p>
        </w:tc>
      </w:tr>
      <w:tr w:rsidR="00F016F4" w:rsidRPr="000747D6" w14:paraId="3A2C9E84" w14:textId="77777777" w:rsidTr="004800F9">
        <w:tc>
          <w:tcPr>
            <w:tcW w:w="1878" w:type="pct"/>
          </w:tcPr>
          <w:p w14:paraId="407D0DF2"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Drug risk issues one or more regulators communicated about fatal outcome</w:t>
            </w:r>
          </w:p>
        </w:tc>
        <w:tc>
          <w:tcPr>
            <w:tcW w:w="624" w:type="pct"/>
            <w:shd w:val="clear" w:color="auto" w:fill="auto"/>
            <w:vAlign w:val="center"/>
          </w:tcPr>
          <w:p w14:paraId="188CD568"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716" w:type="pct"/>
            <w:shd w:val="clear" w:color="auto" w:fill="auto"/>
            <w:vAlign w:val="center"/>
          </w:tcPr>
          <w:p w14:paraId="6DE3BE1C"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97" w:type="pct"/>
            <w:shd w:val="clear" w:color="auto" w:fill="auto"/>
            <w:vAlign w:val="center"/>
          </w:tcPr>
          <w:p w14:paraId="55013560"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611" w:type="pct"/>
            <w:shd w:val="clear" w:color="auto" w:fill="auto"/>
            <w:vAlign w:val="center"/>
          </w:tcPr>
          <w:p w14:paraId="2A6991CC"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575" w:type="pct"/>
          </w:tcPr>
          <w:p w14:paraId="2F0B047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26</w:t>
            </w:r>
          </w:p>
          <w:p w14:paraId="54B83741"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(65.0)</w:t>
            </w:r>
          </w:p>
        </w:tc>
      </w:tr>
      <w:tr w:rsidR="00F016F4" w:rsidRPr="000747D6" w14:paraId="7934A6D1" w14:textId="77777777" w:rsidTr="004800F9">
        <w:tc>
          <w:tcPr>
            <w:tcW w:w="1878" w:type="pct"/>
          </w:tcPr>
          <w:p w14:paraId="5CCA08FD"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Drug risk issues where regulator was the only regulator to communicate about fatalities</w:t>
            </w:r>
          </w:p>
        </w:tc>
        <w:tc>
          <w:tcPr>
            <w:tcW w:w="624" w:type="pct"/>
          </w:tcPr>
          <w:p w14:paraId="4DC7C659"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3/14</w:t>
            </w:r>
          </w:p>
          <w:p w14:paraId="0411288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(21.4)</w:t>
            </w:r>
          </w:p>
        </w:tc>
        <w:tc>
          <w:tcPr>
            <w:tcW w:w="716" w:type="pct"/>
          </w:tcPr>
          <w:p w14:paraId="214BFDD0"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 /14</w:t>
            </w:r>
          </w:p>
          <w:p w14:paraId="7B54CE5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(7.1)</w:t>
            </w:r>
          </w:p>
        </w:tc>
        <w:tc>
          <w:tcPr>
            <w:tcW w:w="597" w:type="pct"/>
          </w:tcPr>
          <w:p w14:paraId="7F7C6E70"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0/14</w:t>
            </w:r>
          </w:p>
          <w:p w14:paraId="63A5BDB0"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(0.0)</w:t>
            </w:r>
          </w:p>
        </w:tc>
        <w:tc>
          <w:tcPr>
            <w:tcW w:w="611" w:type="pct"/>
          </w:tcPr>
          <w:p w14:paraId="686B04A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1/14</w:t>
            </w:r>
          </w:p>
          <w:p w14:paraId="6C9E0382"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(7.1)</w:t>
            </w:r>
          </w:p>
        </w:tc>
        <w:tc>
          <w:tcPr>
            <w:tcW w:w="575" w:type="pct"/>
          </w:tcPr>
          <w:p w14:paraId="04F97CB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5/14</w:t>
            </w:r>
          </w:p>
          <w:p w14:paraId="7231BD36"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(35.7)</w:t>
            </w:r>
          </w:p>
        </w:tc>
      </w:tr>
      <w:tr w:rsidR="00F016F4" w:rsidRPr="000747D6" w14:paraId="30A57190" w14:textId="77777777" w:rsidTr="004800F9">
        <w:tc>
          <w:tcPr>
            <w:tcW w:w="1878" w:type="pct"/>
          </w:tcPr>
          <w:p w14:paraId="73F096D6"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Drug risk issues where regulator was the only regulator NOT to communicate about fatalities</w:t>
            </w:r>
          </w:p>
        </w:tc>
        <w:tc>
          <w:tcPr>
            <w:tcW w:w="624" w:type="pct"/>
          </w:tcPr>
          <w:p w14:paraId="6FD773C5"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1/14</w:t>
            </w:r>
          </w:p>
          <w:p w14:paraId="3781394A"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(7.1)</w:t>
            </w:r>
          </w:p>
        </w:tc>
        <w:tc>
          <w:tcPr>
            <w:tcW w:w="716" w:type="pct"/>
          </w:tcPr>
          <w:p w14:paraId="737F94E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1/14</w:t>
            </w:r>
          </w:p>
          <w:p w14:paraId="008198DA"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(7.1)</w:t>
            </w:r>
          </w:p>
        </w:tc>
        <w:tc>
          <w:tcPr>
            <w:tcW w:w="597" w:type="pct"/>
          </w:tcPr>
          <w:p w14:paraId="06D198C6"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0/14</w:t>
            </w:r>
          </w:p>
          <w:p w14:paraId="31DE928A"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(0.0)</w:t>
            </w:r>
          </w:p>
        </w:tc>
        <w:tc>
          <w:tcPr>
            <w:tcW w:w="611" w:type="pct"/>
          </w:tcPr>
          <w:p w14:paraId="42A8765C"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4/14</w:t>
            </w:r>
          </w:p>
          <w:p w14:paraId="53D18EC9"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(0.0)</w:t>
            </w:r>
          </w:p>
        </w:tc>
        <w:tc>
          <w:tcPr>
            <w:tcW w:w="575" w:type="pct"/>
          </w:tcPr>
          <w:p w14:paraId="295F91A2"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6/14</w:t>
            </w:r>
          </w:p>
          <w:p w14:paraId="5262BAC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(42.9)</w:t>
            </w:r>
          </w:p>
        </w:tc>
      </w:tr>
      <w:tr w:rsidR="00F016F4" w:rsidRPr="000747D6" w14:paraId="11D243B1" w14:textId="77777777" w:rsidTr="004800F9">
        <w:trPr>
          <w:trHeight w:val="125"/>
        </w:trPr>
        <w:tc>
          <w:tcPr>
            <w:tcW w:w="1878" w:type="pct"/>
            <w:shd w:val="clear" w:color="auto" w:fill="auto"/>
          </w:tcPr>
          <w:p w14:paraId="56027D66" w14:textId="77777777" w:rsidR="00F016F4" w:rsidRPr="000747D6" w:rsidRDefault="00F016F4" w:rsidP="00224227">
            <w:pPr>
              <w:rPr>
                <w:rFonts w:ascii="Times New Roman" w:hAnsi="Times New Roman" w:cs="Times New Roman"/>
                <w:b/>
                <w:bCs/>
                <w:sz w:val="20"/>
                <w:szCs w:val="20"/>
              </w:rPr>
            </w:pPr>
            <w:r w:rsidRPr="000747D6">
              <w:rPr>
                <w:rFonts w:ascii="Times New Roman" w:hAnsi="Times New Roman" w:cs="Times New Roman"/>
                <w:b/>
                <w:bCs/>
                <w:sz w:val="20"/>
                <w:szCs w:val="20"/>
              </w:rPr>
              <w:t>Total Advisories n=160</w:t>
            </w:r>
          </w:p>
        </w:tc>
        <w:tc>
          <w:tcPr>
            <w:tcW w:w="624" w:type="pct"/>
            <w:shd w:val="clear" w:color="auto" w:fill="auto"/>
          </w:tcPr>
          <w:p w14:paraId="389194F6"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FDA (%)</w:t>
            </w:r>
          </w:p>
        </w:tc>
        <w:tc>
          <w:tcPr>
            <w:tcW w:w="716" w:type="pct"/>
            <w:shd w:val="clear" w:color="auto" w:fill="auto"/>
          </w:tcPr>
          <w:p w14:paraId="440C7237"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MHRA (%)</w:t>
            </w:r>
          </w:p>
        </w:tc>
        <w:tc>
          <w:tcPr>
            <w:tcW w:w="597" w:type="pct"/>
            <w:shd w:val="clear" w:color="auto" w:fill="auto"/>
          </w:tcPr>
          <w:p w14:paraId="2C868172"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HC (%)</w:t>
            </w:r>
          </w:p>
        </w:tc>
        <w:tc>
          <w:tcPr>
            <w:tcW w:w="611" w:type="pct"/>
            <w:shd w:val="clear" w:color="auto" w:fill="auto"/>
          </w:tcPr>
          <w:p w14:paraId="3F20C79C"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TGA (%)</w:t>
            </w:r>
          </w:p>
        </w:tc>
        <w:tc>
          <w:tcPr>
            <w:tcW w:w="575" w:type="pct"/>
            <w:shd w:val="clear" w:color="auto" w:fill="auto"/>
          </w:tcPr>
          <w:p w14:paraId="6796734D" w14:textId="77777777" w:rsidR="00F016F4" w:rsidRPr="000747D6" w:rsidRDefault="00F016F4"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All (%)</w:t>
            </w:r>
          </w:p>
        </w:tc>
      </w:tr>
      <w:tr w:rsidR="00F016F4" w:rsidRPr="000747D6" w14:paraId="310FB8E7" w14:textId="77777777" w:rsidTr="004800F9">
        <w:tc>
          <w:tcPr>
            <w:tcW w:w="1878" w:type="pct"/>
          </w:tcPr>
          <w:p w14:paraId="4A7B944C" w14:textId="77777777" w:rsidR="00F016F4" w:rsidRPr="000747D6" w:rsidRDefault="00F016F4" w:rsidP="00224227">
            <w:pPr>
              <w:rPr>
                <w:rFonts w:ascii="Times New Roman" w:hAnsi="Times New Roman" w:cs="Times New Roman"/>
                <w:sz w:val="20"/>
                <w:szCs w:val="20"/>
              </w:rPr>
            </w:pPr>
            <w:r w:rsidRPr="000747D6">
              <w:rPr>
                <w:rFonts w:ascii="Times New Roman" w:hAnsi="Times New Roman" w:cs="Times New Roman"/>
                <w:sz w:val="20"/>
                <w:szCs w:val="20"/>
              </w:rPr>
              <w:t>Advisories where regulator communicated a fatal outcome</w:t>
            </w:r>
          </w:p>
        </w:tc>
        <w:tc>
          <w:tcPr>
            <w:tcW w:w="624" w:type="pct"/>
          </w:tcPr>
          <w:p w14:paraId="01F50DE4"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18</w:t>
            </w:r>
          </w:p>
          <w:p w14:paraId="312294FB"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(45.0)</w:t>
            </w:r>
          </w:p>
        </w:tc>
        <w:tc>
          <w:tcPr>
            <w:tcW w:w="716" w:type="pct"/>
          </w:tcPr>
          <w:p w14:paraId="16BA4106"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15</w:t>
            </w:r>
          </w:p>
          <w:p w14:paraId="025D3383"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(37.5)</w:t>
            </w:r>
          </w:p>
        </w:tc>
        <w:tc>
          <w:tcPr>
            <w:tcW w:w="597" w:type="pct"/>
          </w:tcPr>
          <w:p w14:paraId="4C8DE222"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20</w:t>
            </w:r>
          </w:p>
          <w:p w14:paraId="7A291F5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(50.0)</w:t>
            </w:r>
          </w:p>
        </w:tc>
        <w:tc>
          <w:tcPr>
            <w:tcW w:w="611" w:type="pct"/>
          </w:tcPr>
          <w:p w14:paraId="16A57B5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16</w:t>
            </w:r>
          </w:p>
          <w:p w14:paraId="657AA8BA"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(40.0)</w:t>
            </w:r>
          </w:p>
        </w:tc>
        <w:tc>
          <w:tcPr>
            <w:tcW w:w="575" w:type="pct"/>
          </w:tcPr>
          <w:p w14:paraId="2DA7D0C5"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69</w:t>
            </w:r>
          </w:p>
          <w:p w14:paraId="1A00F04F" w14:textId="77777777" w:rsidR="00F016F4" w:rsidRPr="000747D6" w:rsidRDefault="00F016F4" w:rsidP="00224227">
            <w:pPr>
              <w:jc w:val="center"/>
              <w:rPr>
                <w:rFonts w:ascii="Times New Roman" w:hAnsi="Times New Roman" w:cs="Times New Roman"/>
                <w:sz w:val="20"/>
                <w:szCs w:val="20"/>
              </w:rPr>
            </w:pPr>
            <w:r w:rsidRPr="000747D6">
              <w:rPr>
                <w:rFonts w:ascii="Times New Roman" w:hAnsi="Times New Roman" w:cs="Times New Roman"/>
                <w:sz w:val="20"/>
                <w:szCs w:val="20"/>
              </w:rPr>
              <w:t>(43.1)</w:t>
            </w:r>
          </w:p>
        </w:tc>
      </w:tr>
    </w:tbl>
    <w:p w14:paraId="43354438" w14:textId="77777777" w:rsidR="00F016F4" w:rsidRPr="000747D6" w:rsidRDefault="00F016F4" w:rsidP="00F016F4">
      <w:pPr>
        <w:spacing w:line="240" w:lineRule="auto"/>
        <w:rPr>
          <w:rFonts w:ascii="Times New Roman" w:hAnsi="Times New Roman" w:cs="Times New Roman"/>
          <w:sz w:val="18"/>
          <w:szCs w:val="18"/>
        </w:rPr>
      </w:pPr>
      <w:r w:rsidRPr="000747D6">
        <w:rPr>
          <w:rFonts w:ascii="Times New Roman" w:hAnsi="Times New Roman" w:cs="Times New Roman"/>
          <w:sz w:val="18"/>
          <w:szCs w:val="18"/>
        </w:rPr>
        <w:t>FDA - United States Food and Drug Administration), MHRA - United Kingdom Medicines and Healthcare products Regulatory Authority, HC - Health Canada, TGA - Australian Therapeutic Goods Administration</w:t>
      </w:r>
    </w:p>
    <w:p w14:paraId="1FF6748C" w14:textId="77777777" w:rsidR="00DF0996" w:rsidRPr="000747D6" w:rsidRDefault="00DF0996">
      <w:pPr>
        <w:rPr>
          <w:rFonts w:ascii="Times New Roman" w:hAnsi="Times New Roman" w:cs="Times New Roman"/>
        </w:rPr>
      </w:pPr>
    </w:p>
    <w:p w14:paraId="134585C1" w14:textId="77777777" w:rsidR="00DF0996" w:rsidRPr="000747D6" w:rsidRDefault="00DF0996">
      <w:pPr>
        <w:rPr>
          <w:rFonts w:ascii="Times New Roman" w:hAnsi="Times New Roman" w:cs="Times New Roman"/>
        </w:rPr>
      </w:pPr>
    </w:p>
    <w:p w14:paraId="598E00E7" w14:textId="77777777" w:rsidR="00DF0996" w:rsidRPr="000747D6" w:rsidRDefault="00DF0996">
      <w:pPr>
        <w:rPr>
          <w:rFonts w:ascii="Times New Roman" w:hAnsi="Times New Roman" w:cs="Times New Roman"/>
        </w:rPr>
      </w:pPr>
    </w:p>
    <w:p w14:paraId="2DEC1B03" w14:textId="77777777" w:rsidR="00DF0996" w:rsidRPr="000747D6" w:rsidRDefault="00DF0996">
      <w:pPr>
        <w:rPr>
          <w:rFonts w:ascii="Times New Roman" w:hAnsi="Times New Roman" w:cs="Times New Roman"/>
        </w:rPr>
      </w:pPr>
    </w:p>
    <w:p w14:paraId="37C2A89D" w14:textId="77777777" w:rsidR="00DF0996" w:rsidRPr="000747D6" w:rsidRDefault="00DF0996">
      <w:pPr>
        <w:rPr>
          <w:rFonts w:ascii="Times New Roman" w:hAnsi="Times New Roman" w:cs="Times New Roman"/>
        </w:rPr>
        <w:sectPr w:rsidR="00DF0996" w:rsidRPr="000747D6" w:rsidSect="000747D6">
          <w:pgSz w:w="11906" w:h="16838"/>
          <w:pgMar w:top="1440" w:right="1440" w:bottom="1440" w:left="1440" w:header="708" w:footer="708" w:gutter="0"/>
          <w:cols w:space="708"/>
          <w:docGrid w:linePitch="360"/>
        </w:sectPr>
      </w:pPr>
    </w:p>
    <w:p w14:paraId="5CE167E4" w14:textId="1C3AC838" w:rsidR="00DF0996" w:rsidRPr="000747D6" w:rsidRDefault="00DF0996">
      <w:pPr>
        <w:rPr>
          <w:rFonts w:ascii="Times New Roman" w:hAnsi="Times New Roman" w:cs="Times New Roman"/>
          <w:b/>
          <w:bCs/>
        </w:rPr>
      </w:pPr>
      <w:r w:rsidRPr="000747D6">
        <w:rPr>
          <w:rFonts w:ascii="Times New Roman" w:hAnsi="Times New Roman" w:cs="Times New Roman"/>
          <w:b/>
          <w:bCs/>
        </w:rPr>
        <w:t>Supplementary Table 3</w:t>
      </w:r>
    </w:p>
    <w:p w14:paraId="5A87E96B" w14:textId="77777777" w:rsidR="00EF4320" w:rsidRPr="000747D6" w:rsidRDefault="00EF4320" w:rsidP="00EF4320">
      <w:pPr>
        <w:spacing w:line="360" w:lineRule="auto"/>
        <w:rPr>
          <w:rFonts w:ascii="Times New Roman" w:hAnsi="Times New Roman" w:cs="Times New Roman"/>
          <w:b/>
          <w:bCs/>
          <w:sz w:val="20"/>
          <w:szCs w:val="20"/>
        </w:rPr>
      </w:pPr>
      <w:r w:rsidRPr="000747D6">
        <w:rPr>
          <w:rFonts w:ascii="Times New Roman" w:hAnsi="Times New Roman" w:cs="Times New Roman"/>
          <w:b/>
          <w:bCs/>
          <w:sz w:val="20"/>
          <w:szCs w:val="20"/>
        </w:rPr>
        <w:t>Summary of evidence from the three primary studies cited.</w:t>
      </w:r>
    </w:p>
    <w:tbl>
      <w:tblPr>
        <w:tblStyle w:val="TableGrid"/>
        <w:tblW w:w="5000" w:type="pct"/>
        <w:tblBorders>
          <w:left w:val="none" w:sz="0" w:space="0" w:color="auto"/>
          <w:right w:val="none" w:sz="0" w:space="0" w:color="auto"/>
          <w:insideV w:val="none" w:sz="0" w:space="0" w:color="auto"/>
        </w:tblBorders>
        <w:tblLook w:val="06A0" w:firstRow="1" w:lastRow="0" w:firstColumn="1" w:lastColumn="0" w:noHBand="1" w:noVBand="1"/>
      </w:tblPr>
      <w:tblGrid>
        <w:gridCol w:w="3010"/>
        <w:gridCol w:w="3009"/>
        <w:gridCol w:w="3007"/>
      </w:tblGrid>
      <w:tr w:rsidR="00EF4320" w:rsidRPr="000747D6" w14:paraId="2AECFC47" w14:textId="77777777" w:rsidTr="0006444F">
        <w:trPr>
          <w:trHeight w:val="338"/>
        </w:trPr>
        <w:tc>
          <w:tcPr>
            <w:tcW w:w="1667" w:type="pct"/>
          </w:tcPr>
          <w:p w14:paraId="2B12858A" w14:textId="77777777" w:rsidR="00EF4320" w:rsidRPr="000747D6" w:rsidRDefault="00EF4320" w:rsidP="00224227">
            <w:pPr>
              <w:jc w:val="center"/>
              <w:rPr>
                <w:rFonts w:ascii="Times New Roman" w:hAnsi="Times New Roman" w:cs="Times New Roman"/>
                <w:b/>
                <w:sz w:val="20"/>
                <w:szCs w:val="20"/>
              </w:rPr>
            </w:pPr>
            <w:proofErr w:type="spellStart"/>
            <w:r w:rsidRPr="000747D6">
              <w:rPr>
                <w:rFonts w:ascii="Times New Roman" w:hAnsi="Times New Roman" w:cs="Times New Roman"/>
                <w:b/>
                <w:sz w:val="20"/>
                <w:szCs w:val="20"/>
              </w:rPr>
              <w:t>PROActive</w:t>
            </w:r>
            <w:proofErr w:type="spellEnd"/>
            <w:r w:rsidRPr="000747D6">
              <w:rPr>
                <w:rFonts w:ascii="Times New Roman" w:hAnsi="Times New Roman" w:cs="Times New Roman"/>
                <w:b/>
                <w:sz w:val="20"/>
                <w:szCs w:val="20"/>
              </w:rPr>
              <w:fldChar w:fldCharType="begin"/>
            </w:r>
            <w:r w:rsidRPr="000747D6">
              <w:rPr>
                <w:rFonts w:ascii="Times New Roman" w:hAnsi="Times New Roman" w:cs="Times New Roman"/>
                <w:b/>
                <w:sz w:val="20"/>
                <w:szCs w:val="20"/>
              </w:rPr>
              <w:instrText xml:space="preserve"> ADDIN ZOTERO_ITEM CSL_CITATION {"citationID":"TmXGUY7q","properties":{"formattedCitation":"[42]","plainCitation":"[42]","noteIndex":0},"citationItems":[{"id":1013,"uris":["http://zotero.org/users/5042913/items/7H5Y6PKR"],"itemData":{"id":1013,"type":"article-journal","abstract":"Background Patients with type 2 diabetes are at high risk of fatal and non-fatal myocardial infarction and stroke. There is indirect evidence that agonists of peroxisome proliferator-activated receptor </w:instrText>
            </w:r>
            <w:r w:rsidRPr="000747D6">
              <w:rPr>
                <w:rFonts w:ascii="Segoe UI Symbol" w:hAnsi="Segoe UI Symbol" w:cs="Segoe UI Symbol"/>
                <w:b/>
                <w:sz w:val="20"/>
                <w:szCs w:val="20"/>
              </w:rPr>
              <w:instrText>␥</w:instrText>
            </w:r>
            <w:r w:rsidRPr="000747D6">
              <w:rPr>
                <w:rFonts w:ascii="Times New Roman" w:hAnsi="Times New Roman" w:cs="Times New Roman"/>
                <w:b/>
                <w:sz w:val="20"/>
                <w:szCs w:val="20"/>
              </w:rPr>
              <w:instrText xml:space="preserve"> (PPAR </w:instrText>
            </w:r>
            <w:r w:rsidRPr="000747D6">
              <w:rPr>
                <w:rFonts w:ascii="Segoe UI Symbol" w:hAnsi="Segoe UI Symbol" w:cs="Segoe UI Symbol"/>
                <w:b/>
                <w:sz w:val="20"/>
                <w:szCs w:val="20"/>
              </w:rPr>
              <w:instrText>␥</w:instrText>
            </w:r>
            <w:r w:rsidRPr="000747D6">
              <w:rPr>
                <w:rFonts w:ascii="Times New Roman" w:hAnsi="Times New Roman" w:cs="Times New Roman"/>
                <w:b/>
                <w:sz w:val="20"/>
                <w:szCs w:val="20"/>
              </w:rPr>
              <w:instrText xml:space="preserve">) could reduce macrovascular complications. Our aim, therefore, was to ascertain whether pioglitazone reduces macrovascular morbidity and mortality in high-risk patients with type 2 diabetes.","DOI":"10.1016/S0140-6736(05)67528-9","language":"en","source":"Zotero","title":"Secondary prevention of macrovascular events in patients with type 2 diabetes in the PROactive Study (PROspective pioglitAzone Clinical Trial In macroVascular Events): a randomised controlled trial","volume":"366","author":[{"family":"Dormandy","given":"John A"},{"family":"Charbonnel","given":"Bernard"},{"family":"Eckland","given":"David J A"},{"family":"Erdmann","given":"Erland"},{"family":"Massi-Benedetti","given":"Massimo"},{"family":"Moules","given":"Ian K"},{"family":"Skene","given":"Allan M"},{"family":"Tan","given":"Meng H"},{"family":"Lefèbvre","given":"Pierre J"},{"family":"Murray","given":"Gordon D"},{"family":"Standl","given":"Eberhard"},{"family":"Wilcox","given":"Robert G"},{"family":"Wilhelmsen","given":"Lars"},{"family":"Betteridge","given":"John"},{"family":"Birkeland","given":"Kåre"},{"family":"Golay","given":"Alain"},{"family":"Heine","given":"Robert J"},{"family":"Korányi","given":"László"},{"family":"Laakso","given":"Markku"},{"family":"Mokánˇ","given":"Marián"},{"family":"Norkus","given":"Antanas"},{"family":"Pirags","given":"Valdis"},{"family":"Podar","given":"Toomas"},{"family":"Scheen","given":"André"},{"family":"Scherbaum","given":"Werner"},{"family":"Schernthaner","given":"Guntram"},{"family":"Schmitz","given":"Ole"},{"family":"Sˇkrha","given":"Jan"},{"family":"Smith","given":"Ulf"},{"family":"Tatonˇ","given":"Jan"}],"issued":{"date-parts":[["2005"]]}}}],"schema":"https://github.com/citation-style-language/schema/raw/master/csl-citation.json"} </w:instrText>
            </w:r>
            <w:r w:rsidRPr="000747D6">
              <w:rPr>
                <w:rFonts w:ascii="Times New Roman" w:hAnsi="Times New Roman" w:cs="Times New Roman"/>
                <w:b/>
                <w:sz w:val="20"/>
                <w:szCs w:val="20"/>
              </w:rPr>
              <w:fldChar w:fldCharType="separate"/>
            </w:r>
            <w:r w:rsidRPr="000747D6">
              <w:rPr>
                <w:rFonts w:ascii="Times New Roman" w:hAnsi="Times New Roman" w:cs="Times New Roman"/>
                <w:sz w:val="20"/>
              </w:rPr>
              <w:t>[42]</w:t>
            </w:r>
            <w:r w:rsidRPr="000747D6">
              <w:rPr>
                <w:rFonts w:ascii="Times New Roman" w:hAnsi="Times New Roman" w:cs="Times New Roman"/>
                <w:b/>
                <w:sz w:val="20"/>
                <w:szCs w:val="20"/>
              </w:rPr>
              <w:fldChar w:fldCharType="end"/>
            </w:r>
            <w:r w:rsidRPr="000747D6">
              <w:rPr>
                <w:rFonts w:ascii="Times New Roman" w:hAnsi="Times New Roman" w:cs="Times New Roman"/>
                <w:b/>
                <w:bCs/>
                <w:sz w:val="20"/>
                <w:szCs w:val="20"/>
              </w:rPr>
              <w:t xml:space="preserve"> </w:t>
            </w:r>
          </w:p>
        </w:tc>
        <w:tc>
          <w:tcPr>
            <w:tcW w:w="1667" w:type="pct"/>
          </w:tcPr>
          <w:p w14:paraId="0099C68B" w14:textId="77777777" w:rsidR="00EF4320" w:rsidRPr="000747D6" w:rsidRDefault="00EF4320" w:rsidP="00224227">
            <w:pPr>
              <w:jc w:val="center"/>
              <w:rPr>
                <w:rFonts w:ascii="Times New Roman" w:hAnsi="Times New Roman" w:cs="Times New Roman"/>
                <w:b/>
                <w:sz w:val="20"/>
                <w:szCs w:val="20"/>
              </w:rPr>
            </w:pPr>
            <w:r w:rsidRPr="000747D6">
              <w:rPr>
                <w:rFonts w:ascii="Times New Roman" w:hAnsi="Times New Roman" w:cs="Times New Roman"/>
                <w:b/>
                <w:sz w:val="20"/>
                <w:szCs w:val="20"/>
              </w:rPr>
              <w:t>KPNC 5-year interim analysis</w:t>
            </w:r>
            <w:r w:rsidRPr="000747D6">
              <w:rPr>
                <w:rFonts w:ascii="Times New Roman" w:hAnsi="Times New Roman" w:cs="Times New Roman"/>
                <w:b/>
                <w:sz w:val="20"/>
                <w:szCs w:val="20"/>
              </w:rPr>
              <w:fldChar w:fldCharType="begin"/>
            </w:r>
            <w:r w:rsidRPr="000747D6">
              <w:rPr>
                <w:rFonts w:ascii="Times New Roman" w:hAnsi="Times New Roman" w:cs="Times New Roman"/>
                <w:b/>
                <w:sz w:val="20"/>
                <w:szCs w:val="20"/>
              </w:rPr>
              <w:instrText xml:space="preserve"> ADDIN ZOTERO_ITEM CSL_CITATION {"citationID":"dIOSrik4","properties":{"formattedCitation":"[40]","plainCitation":"[40]","noteIndex":0},"citationItems":[{"id":1014,"uris":["http://zotero.org/users/5042913/items/A89H8284"],"itemData":{"id":1014,"type":"article-journal","abstract":"OBJECTIVE—Some preclinical in vivo studies and limited human data suggest a possible increased risk of bladder cancer with pioglitazone therapy. This is an interim report of an ongoing cohort study examining the association between pioglitazone therapy and the risk of bladder cancer in patients with diabetes. RESEARCH DESIGN AND METHODS—This study includes 193,099 patients in the Kaiser Permanente Northern California diabetes registry who were $40 years of age between 1997 and 2002. Those with prior bladder cancer were excluded. Ever use of each diabetes medication (deﬁned as two or more prescriptions within 6 months) was treated as a timedependent variable. Cox regression–generated hazard ratios (HRs) compared pioglitazone use with nonpioglitazone use adjusted for age, sex, race/ethnicity, diabetes medications, A1C, heart failure, household income, renal function, other bladder conditions, and smoking.\nRESULTS—The group treated with pioglitazone comprised 30,173 patients. There were 90 cases of bladder cancer among pioglitazone users and 791 cases of bladder cancer among nonpioglitazone users. Overall, ever use of pioglitazone was not associated with risk of bladder cancer (HR 1.2 [95% CI 0.9–1.5]), with similar results in men and women (test for interaction P = 0.8). However, in the a priori category of .24 months of therapy, there was an increased risk (1.4 [1.03–2.0]). Ninety-ﬁve percent of cancers diagnosed among pioglitazone users were detected at early stage.\nCONCLUSIONS—In this cohort of patients with diabetes, short-term use of pioglitazone was not associated with an increased incidence of bladder cancer, but use for more than 2 years was weakly associated with increased risk.","container-title":"Diabetes Care","DOI":"10.2337/dc10-1068","ISSN":"0149-5992, 1935-5548","issue":"4","language":"en","page":"916-922","source":"DOI.org (Crossref)","title":"Risk of Bladder Cancer Among Diabetic Patients Treated With Pioglitazone","volume":"34","author":[{"family":"Lewis","given":"James D."},{"family":"Ferrara","given":"Assiamira"},{"family":"Peng","given":"Tiffany"},{"family":"Hedderson","given":"Monique"},{"family":"Bilker","given":"Warren B."},{"family":"Quesenberry","given":"Charles P."},{"family":"Vaughn","given":"David J."},{"family":"Nessel","given":"Lisa"},{"family":"Selby","given":"Joseph"},{"family":"Strom","given":"Brian L."}],"issued":{"date-parts":[["2011",4,1]]}}}],"schema":"https://github.com/citation-style-language/schema/raw/master/csl-citation.json"} </w:instrText>
            </w:r>
            <w:r w:rsidRPr="000747D6">
              <w:rPr>
                <w:rFonts w:ascii="Times New Roman" w:hAnsi="Times New Roman" w:cs="Times New Roman"/>
                <w:b/>
                <w:sz w:val="20"/>
                <w:szCs w:val="20"/>
              </w:rPr>
              <w:fldChar w:fldCharType="separate"/>
            </w:r>
            <w:r w:rsidRPr="000747D6">
              <w:rPr>
                <w:rFonts w:ascii="Times New Roman" w:hAnsi="Times New Roman" w:cs="Times New Roman"/>
                <w:sz w:val="20"/>
              </w:rPr>
              <w:t>[40]</w:t>
            </w:r>
            <w:r w:rsidRPr="000747D6">
              <w:rPr>
                <w:rFonts w:ascii="Times New Roman" w:hAnsi="Times New Roman" w:cs="Times New Roman"/>
                <w:b/>
                <w:sz w:val="20"/>
                <w:szCs w:val="20"/>
              </w:rPr>
              <w:fldChar w:fldCharType="end"/>
            </w:r>
            <w:r w:rsidRPr="000747D6">
              <w:rPr>
                <w:rFonts w:ascii="Times New Roman" w:hAnsi="Times New Roman" w:cs="Times New Roman"/>
                <w:b/>
                <w:sz w:val="20"/>
                <w:szCs w:val="20"/>
              </w:rPr>
              <w:t xml:space="preserve"> </w:t>
            </w:r>
          </w:p>
        </w:tc>
        <w:tc>
          <w:tcPr>
            <w:tcW w:w="1666" w:type="pct"/>
          </w:tcPr>
          <w:p w14:paraId="266279F2" w14:textId="77777777" w:rsidR="00EF4320" w:rsidRPr="000747D6" w:rsidRDefault="00EF4320" w:rsidP="00224227">
            <w:pPr>
              <w:jc w:val="center"/>
              <w:rPr>
                <w:rFonts w:ascii="Times New Roman" w:hAnsi="Times New Roman" w:cs="Times New Roman"/>
                <w:b/>
                <w:sz w:val="20"/>
                <w:szCs w:val="20"/>
              </w:rPr>
            </w:pPr>
            <w:r w:rsidRPr="000747D6">
              <w:rPr>
                <w:rFonts w:ascii="Times New Roman" w:hAnsi="Times New Roman" w:cs="Times New Roman"/>
                <w:b/>
                <w:sz w:val="20"/>
                <w:szCs w:val="20"/>
              </w:rPr>
              <w:t>CNAMTS</w:t>
            </w:r>
            <w:r w:rsidRPr="000747D6">
              <w:rPr>
                <w:rFonts w:ascii="Times New Roman" w:hAnsi="Times New Roman" w:cs="Times New Roman"/>
                <w:b/>
                <w:sz w:val="20"/>
                <w:szCs w:val="20"/>
              </w:rPr>
              <w:fldChar w:fldCharType="begin"/>
            </w:r>
            <w:r w:rsidRPr="000747D6">
              <w:rPr>
                <w:rFonts w:ascii="Times New Roman" w:hAnsi="Times New Roman" w:cs="Times New Roman"/>
                <w:b/>
                <w:sz w:val="20"/>
                <w:szCs w:val="20"/>
              </w:rPr>
              <w:instrText xml:space="preserve"> ADDIN ZOTERO_ITEM CSL_CITATION {"citationID":"BHJBJNzy","properties":{"formattedCitation":"[41]","plainCitation":"[41]","noteIndex":0},"citationItems":[{"id":1016,"uris":["http://zotero.org/users/5042913/items/JDI9C5K3"],"itemData":{"id":1016,"type":"article-journal","abstract":"Aims/hypothesis Previous studies have suggested an increased risk of bladder cancer with pioglitazone exposure. We aimed to investigate the association between pioglitazone exposure and bladder cancer in France.","container-title":"Diabetologia","DOI":"10.1007/s00125-012-2538-9","ISSN":"0012-186X, 1432-0428","issue":"7","journalAbbreviation":"Diabetologia","language":"en","page":"1953-1962","source":"DOI.org (Crossref)","title":"Pioglitazone and risk of bladder cancer among diabetic patients in France: a population-based cohort study","title-short":"Pioglitazone and risk of bladder cancer among diabetic patients in France","volume":"55","author":[{"family":"Neumann","given":"A."},{"family":"Weill","given":"A."},{"family":"Ricordeau","given":"P."},{"family":"Fagot","given":"J. P."},{"family":"Alla","given":"F."},{"family":"Allemand","given":"H."}],"issued":{"date-parts":[["2012",7]]}}}],"schema":"https://github.com/citation-style-language/schema/raw/master/csl-citation.json"} </w:instrText>
            </w:r>
            <w:r w:rsidRPr="000747D6">
              <w:rPr>
                <w:rFonts w:ascii="Times New Roman" w:hAnsi="Times New Roman" w:cs="Times New Roman"/>
                <w:b/>
                <w:sz w:val="20"/>
                <w:szCs w:val="20"/>
              </w:rPr>
              <w:fldChar w:fldCharType="separate"/>
            </w:r>
            <w:r w:rsidRPr="000747D6">
              <w:rPr>
                <w:rFonts w:ascii="Times New Roman" w:hAnsi="Times New Roman" w:cs="Times New Roman"/>
                <w:sz w:val="20"/>
              </w:rPr>
              <w:t>[41]</w:t>
            </w:r>
            <w:r w:rsidRPr="000747D6">
              <w:rPr>
                <w:rFonts w:ascii="Times New Roman" w:hAnsi="Times New Roman" w:cs="Times New Roman"/>
                <w:b/>
                <w:sz w:val="20"/>
                <w:szCs w:val="20"/>
              </w:rPr>
              <w:fldChar w:fldCharType="end"/>
            </w:r>
            <w:r w:rsidRPr="000747D6">
              <w:rPr>
                <w:rFonts w:ascii="Times New Roman" w:hAnsi="Times New Roman" w:cs="Times New Roman"/>
                <w:b/>
                <w:sz w:val="20"/>
                <w:szCs w:val="20"/>
              </w:rPr>
              <w:t xml:space="preserve"> </w:t>
            </w:r>
          </w:p>
        </w:tc>
      </w:tr>
      <w:tr w:rsidR="00EF4320" w:rsidRPr="000747D6" w14:paraId="54D369A0" w14:textId="77777777" w:rsidTr="0006444F">
        <w:trPr>
          <w:trHeight w:val="338"/>
        </w:trPr>
        <w:tc>
          <w:tcPr>
            <w:tcW w:w="1667" w:type="pct"/>
          </w:tcPr>
          <w:p w14:paraId="6096FA15" w14:textId="77777777" w:rsidR="00EF4320" w:rsidRPr="000747D6" w:rsidRDefault="00EF4320" w:rsidP="00224227">
            <w:pPr>
              <w:jc w:val="center"/>
              <w:rPr>
                <w:rFonts w:ascii="Times New Roman" w:hAnsi="Times New Roman" w:cs="Times New Roman"/>
                <w:b/>
                <w:sz w:val="20"/>
                <w:szCs w:val="20"/>
              </w:rPr>
            </w:pPr>
            <w:r w:rsidRPr="000747D6">
              <w:rPr>
                <w:rFonts w:ascii="Times New Roman" w:hAnsi="Times New Roman" w:cs="Times New Roman"/>
                <w:b/>
                <w:sz w:val="20"/>
                <w:szCs w:val="20"/>
              </w:rPr>
              <w:t>2005</w:t>
            </w:r>
          </w:p>
        </w:tc>
        <w:tc>
          <w:tcPr>
            <w:tcW w:w="1667" w:type="pct"/>
          </w:tcPr>
          <w:p w14:paraId="1B04E85C" w14:textId="77777777" w:rsidR="00EF4320" w:rsidRPr="000747D6" w:rsidRDefault="00EF4320" w:rsidP="00224227">
            <w:pPr>
              <w:jc w:val="center"/>
              <w:rPr>
                <w:rFonts w:ascii="Times New Roman" w:hAnsi="Times New Roman" w:cs="Times New Roman"/>
                <w:b/>
                <w:sz w:val="20"/>
                <w:szCs w:val="20"/>
              </w:rPr>
            </w:pPr>
            <w:r w:rsidRPr="000747D6">
              <w:rPr>
                <w:rFonts w:ascii="Times New Roman" w:hAnsi="Times New Roman" w:cs="Times New Roman"/>
                <w:b/>
                <w:sz w:val="20"/>
                <w:szCs w:val="20"/>
              </w:rPr>
              <w:t>Initial data 2010</w:t>
            </w:r>
          </w:p>
        </w:tc>
        <w:tc>
          <w:tcPr>
            <w:tcW w:w="1666" w:type="pct"/>
          </w:tcPr>
          <w:p w14:paraId="2652E2CC" w14:textId="77777777" w:rsidR="00EF4320" w:rsidRPr="000747D6" w:rsidRDefault="00EF4320" w:rsidP="00224227">
            <w:pPr>
              <w:jc w:val="center"/>
              <w:rPr>
                <w:rFonts w:ascii="Times New Roman" w:hAnsi="Times New Roman" w:cs="Times New Roman"/>
                <w:b/>
                <w:sz w:val="20"/>
                <w:szCs w:val="20"/>
              </w:rPr>
            </w:pPr>
            <w:r w:rsidRPr="000747D6">
              <w:rPr>
                <w:rFonts w:ascii="Times New Roman" w:hAnsi="Times New Roman" w:cs="Times New Roman"/>
                <w:b/>
                <w:sz w:val="20"/>
                <w:szCs w:val="20"/>
              </w:rPr>
              <w:t>Initial data 2011</w:t>
            </w:r>
          </w:p>
        </w:tc>
      </w:tr>
      <w:tr w:rsidR="00EF4320" w:rsidRPr="000747D6" w14:paraId="324B6DC1" w14:textId="77777777" w:rsidTr="0006444F">
        <w:trPr>
          <w:trHeight w:val="430"/>
        </w:trPr>
        <w:tc>
          <w:tcPr>
            <w:tcW w:w="1667" w:type="pct"/>
          </w:tcPr>
          <w:p w14:paraId="4D87FDD5"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Pioglitazone compared to placebo in addition to standard of care</w:t>
            </w:r>
          </w:p>
        </w:tc>
        <w:tc>
          <w:tcPr>
            <w:tcW w:w="1667" w:type="pct"/>
          </w:tcPr>
          <w:p w14:paraId="7521C4FE"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Pioglitazone compared to never exposed to pioglitazone</w:t>
            </w:r>
          </w:p>
        </w:tc>
        <w:tc>
          <w:tcPr>
            <w:tcW w:w="1666" w:type="pct"/>
          </w:tcPr>
          <w:p w14:paraId="2B8F44B4"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Pioglitazone compared to other antidiabetics</w:t>
            </w:r>
          </w:p>
        </w:tc>
      </w:tr>
      <w:tr w:rsidR="00EF4320" w:rsidRPr="000747D6" w14:paraId="6025F830" w14:textId="77777777" w:rsidTr="0006444F">
        <w:trPr>
          <w:trHeight w:val="300"/>
        </w:trPr>
        <w:tc>
          <w:tcPr>
            <w:tcW w:w="1667" w:type="pct"/>
          </w:tcPr>
          <w:p w14:paraId="12BE6014" w14:textId="77777777" w:rsidR="00EF4320" w:rsidRPr="000747D6" w:rsidRDefault="00EF4320" w:rsidP="00224227">
            <w:pPr>
              <w:rPr>
                <w:rFonts w:ascii="Times New Roman" w:hAnsi="Times New Roman" w:cs="Times New Roman"/>
                <w:sz w:val="20"/>
                <w:szCs w:val="20"/>
              </w:rPr>
            </w:pPr>
            <w:r w:rsidRPr="000747D6">
              <w:rPr>
                <w:rFonts w:ascii="Times New Roman" w:hAnsi="Times New Roman" w:cs="Times New Roman"/>
                <w:sz w:val="20"/>
                <w:szCs w:val="20"/>
              </w:rPr>
              <w:t>Higher number of bladder cancers observed in subjects receiving pioglitazone compared to placebo.</w:t>
            </w:r>
          </w:p>
          <w:p w14:paraId="2C78A660" w14:textId="77777777" w:rsidR="00EF4320" w:rsidRPr="000747D6" w:rsidRDefault="00EF4320" w:rsidP="00224227">
            <w:pPr>
              <w:rPr>
                <w:rFonts w:ascii="Times New Roman" w:hAnsi="Times New Roman" w:cs="Times New Roman"/>
                <w:sz w:val="20"/>
                <w:szCs w:val="20"/>
              </w:rPr>
            </w:pPr>
            <w:r w:rsidRPr="000747D6">
              <w:rPr>
                <w:rFonts w:ascii="Times New Roman" w:hAnsi="Times New Roman" w:cs="Times New Roman"/>
                <w:sz w:val="20"/>
                <w:szCs w:val="20"/>
              </w:rPr>
              <w:t>(14 subjects (0.5%) pioglitazone vs. 5 subjects (0.2%) placebo).</w:t>
            </w:r>
          </w:p>
          <w:p w14:paraId="2B9372D0" w14:textId="77777777" w:rsidR="00EF4320" w:rsidRPr="000747D6" w:rsidRDefault="00EF4320" w:rsidP="00224227">
            <w:pPr>
              <w:rPr>
                <w:rFonts w:ascii="Times New Roman" w:hAnsi="Times New Roman" w:cs="Times New Roman"/>
                <w:sz w:val="20"/>
                <w:szCs w:val="20"/>
              </w:rPr>
            </w:pPr>
          </w:p>
          <w:p w14:paraId="52A86968" w14:textId="77777777" w:rsidR="00EF4320" w:rsidRPr="000747D6" w:rsidRDefault="00EF4320" w:rsidP="00224227">
            <w:pPr>
              <w:rPr>
                <w:rFonts w:ascii="Times New Roman" w:hAnsi="Times New Roman" w:cs="Times New Roman"/>
                <w:sz w:val="20"/>
                <w:szCs w:val="20"/>
              </w:rPr>
            </w:pPr>
          </w:p>
        </w:tc>
        <w:tc>
          <w:tcPr>
            <w:tcW w:w="1667" w:type="pct"/>
          </w:tcPr>
          <w:p w14:paraId="21E09E70"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hAnsi="Times New Roman" w:cs="Times New Roman"/>
                <w:sz w:val="20"/>
                <w:szCs w:val="20"/>
              </w:rPr>
              <w:t xml:space="preserve">Overall: </w:t>
            </w:r>
            <w:r w:rsidRPr="000747D6">
              <w:rPr>
                <w:rFonts w:ascii="Times New Roman" w:eastAsia="Times New Roman" w:hAnsi="Times New Roman" w:cs="Times New Roman"/>
                <w:color w:val="4D4D4D" w:themeColor="accent6"/>
                <w:sz w:val="20"/>
                <w:szCs w:val="20"/>
              </w:rPr>
              <w:t>HR 1.2 95%CI 0.9 – 1.5</w:t>
            </w:r>
          </w:p>
          <w:p w14:paraId="412AF87E" w14:textId="77777777" w:rsidR="00EF4320" w:rsidRPr="000747D6" w:rsidRDefault="00EF4320" w:rsidP="00224227">
            <w:pPr>
              <w:rPr>
                <w:rFonts w:ascii="Times New Roman" w:eastAsia="Times New Roman" w:hAnsi="Times New Roman" w:cs="Times New Roman"/>
                <w:color w:val="4D4D4D" w:themeColor="accent6"/>
                <w:sz w:val="20"/>
                <w:szCs w:val="20"/>
              </w:rPr>
            </w:pPr>
          </w:p>
          <w:p w14:paraId="288BD064"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 xml:space="preserve">&gt;12 months exposure: </w:t>
            </w:r>
          </w:p>
          <w:p w14:paraId="16C66545"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eastAsia="Times New Roman" w:hAnsi="Times New Roman" w:cs="Times New Roman"/>
                <w:color w:val="4D4D4D" w:themeColor="accent6"/>
                <w:sz w:val="20"/>
                <w:szCs w:val="20"/>
              </w:rPr>
              <w:t>HR 1.4 95% CI 0.9 - 2.1</w:t>
            </w:r>
          </w:p>
          <w:p w14:paraId="5427D2D8" w14:textId="77777777" w:rsidR="00EF4320" w:rsidRPr="000747D6" w:rsidRDefault="00EF4320" w:rsidP="00224227">
            <w:pPr>
              <w:rPr>
                <w:rFonts w:ascii="Times New Roman" w:eastAsia="Times New Roman" w:hAnsi="Times New Roman" w:cs="Times New Roman"/>
                <w:color w:val="4D4D4D" w:themeColor="accent6"/>
                <w:sz w:val="20"/>
                <w:szCs w:val="20"/>
              </w:rPr>
            </w:pPr>
          </w:p>
          <w:p w14:paraId="16D08CF3"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 xml:space="preserve">&gt;24 months exposure: </w:t>
            </w:r>
          </w:p>
          <w:p w14:paraId="59BC1001"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eastAsia="Times New Roman" w:hAnsi="Times New Roman" w:cs="Times New Roman"/>
                <w:color w:val="4D4D4D" w:themeColor="accent6"/>
                <w:sz w:val="20"/>
                <w:szCs w:val="20"/>
              </w:rPr>
              <w:t>HR 1.4 95% CI 1.03 - 2.0</w:t>
            </w:r>
          </w:p>
          <w:p w14:paraId="1EBEEC61" w14:textId="77777777" w:rsidR="00EF4320" w:rsidRPr="000747D6" w:rsidRDefault="00EF4320" w:rsidP="00224227">
            <w:pPr>
              <w:rPr>
                <w:rFonts w:ascii="Times New Roman" w:hAnsi="Times New Roman" w:cs="Times New Roman"/>
                <w:sz w:val="20"/>
                <w:szCs w:val="20"/>
              </w:rPr>
            </w:pPr>
          </w:p>
        </w:tc>
        <w:tc>
          <w:tcPr>
            <w:tcW w:w="1666" w:type="pct"/>
          </w:tcPr>
          <w:p w14:paraId="1D7EFBF0"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hAnsi="Times New Roman" w:cs="Times New Roman"/>
                <w:sz w:val="20"/>
                <w:szCs w:val="20"/>
              </w:rPr>
              <w:t xml:space="preserve">Overall: </w:t>
            </w:r>
            <w:r w:rsidRPr="000747D6">
              <w:rPr>
                <w:rFonts w:ascii="Times New Roman" w:eastAsia="Times New Roman" w:hAnsi="Times New Roman" w:cs="Times New Roman"/>
                <w:color w:val="4D4D4D" w:themeColor="accent6"/>
                <w:sz w:val="20"/>
                <w:szCs w:val="20"/>
              </w:rPr>
              <w:t>HR 1.22 95%CI 1.03 - 1.43</w:t>
            </w:r>
          </w:p>
          <w:p w14:paraId="2B93F098" w14:textId="77777777" w:rsidR="00EF4320" w:rsidRPr="000747D6" w:rsidRDefault="00EF4320" w:rsidP="00224227">
            <w:pPr>
              <w:rPr>
                <w:rFonts w:ascii="Times New Roman" w:eastAsia="Times New Roman" w:hAnsi="Times New Roman" w:cs="Times New Roman"/>
                <w:color w:val="4D4D4D" w:themeColor="accent6"/>
                <w:sz w:val="20"/>
                <w:szCs w:val="20"/>
              </w:rPr>
            </w:pPr>
          </w:p>
          <w:p w14:paraId="6581B8DB"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eastAsia="Times New Roman" w:hAnsi="Times New Roman" w:cs="Times New Roman"/>
                <w:color w:val="4D4D4D" w:themeColor="accent6"/>
                <w:sz w:val="20"/>
                <w:szCs w:val="20"/>
              </w:rPr>
              <w:t xml:space="preserve">&gt;12 months exposure: </w:t>
            </w:r>
          </w:p>
          <w:p w14:paraId="3C9D87E5"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eastAsia="Times New Roman" w:hAnsi="Times New Roman" w:cs="Times New Roman"/>
                <w:color w:val="4D4D4D" w:themeColor="accent6"/>
                <w:sz w:val="20"/>
                <w:szCs w:val="20"/>
              </w:rPr>
              <w:t>HR 1.34 95%CI 1.02 - 1.75</w:t>
            </w:r>
          </w:p>
          <w:p w14:paraId="027329F9" w14:textId="77777777" w:rsidR="00EF4320" w:rsidRPr="000747D6" w:rsidRDefault="00EF4320" w:rsidP="00224227">
            <w:pPr>
              <w:rPr>
                <w:rFonts w:ascii="Times New Roman" w:eastAsia="Times New Roman" w:hAnsi="Times New Roman" w:cs="Times New Roman"/>
                <w:color w:val="4D4D4D" w:themeColor="accent6"/>
                <w:sz w:val="20"/>
                <w:szCs w:val="20"/>
              </w:rPr>
            </w:pPr>
          </w:p>
          <w:p w14:paraId="171DD767"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&gt;28000mg cumulative dose:</w:t>
            </w:r>
          </w:p>
          <w:p w14:paraId="6EDD48C2"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HR 1.75 95%CI 1.22 – 2.5</w:t>
            </w:r>
          </w:p>
          <w:p w14:paraId="3A3D301D" w14:textId="77777777" w:rsidR="00EF4320" w:rsidRPr="000747D6" w:rsidRDefault="00EF4320" w:rsidP="00224227">
            <w:pPr>
              <w:rPr>
                <w:rFonts w:ascii="Times New Roman" w:eastAsia="Times New Roman" w:hAnsi="Times New Roman" w:cs="Times New Roman"/>
                <w:color w:val="4D4D4D" w:themeColor="accent6"/>
                <w:sz w:val="20"/>
                <w:szCs w:val="20"/>
              </w:rPr>
            </w:pPr>
          </w:p>
          <w:p w14:paraId="586BA944" w14:textId="77777777" w:rsidR="00EF4320" w:rsidRPr="000747D6" w:rsidRDefault="00EF4320" w:rsidP="00224227">
            <w:pPr>
              <w:rPr>
                <w:rFonts w:ascii="Times New Roman" w:eastAsia="Times New Roman" w:hAnsi="Times New Roman" w:cs="Times New Roman"/>
                <w:color w:val="4D4D4D" w:themeColor="accent6"/>
                <w:sz w:val="20"/>
                <w:szCs w:val="20"/>
              </w:rPr>
            </w:pPr>
            <w:r w:rsidRPr="000747D6">
              <w:rPr>
                <w:rFonts w:ascii="Times New Roman" w:eastAsia="Times New Roman" w:hAnsi="Times New Roman" w:cs="Times New Roman"/>
                <w:color w:val="4D4D4D" w:themeColor="accent6"/>
                <w:sz w:val="20"/>
                <w:szCs w:val="20"/>
              </w:rPr>
              <w:t>Males’ vs Females:</w:t>
            </w:r>
          </w:p>
          <w:p w14:paraId="354982A6" w14:textId="77777777" w:rsidR="00EF4320" w:rsidRPr="000747D6" w:rsidRDefault="00EF4320" w:rsidP="00224227">
            <w:pPr>
              <w:rPr>
                <w:rFonts w:ascii="Times New Roman" w:eastAsia="Times New Roman" w:hAnsi="Times New Roman" w:cs="Times New Roman"/>
                <w:sz w:val="20"/>
                <w:szCs w:val="20"/>
              </w:rPr>
            </w:pPr>
            <w:r w:rsidRPr="000747D6">
              <w:rPr>
                <w:rFonts w:ascii="Times New Roman" w:eastAsia="Times New Roman" w:hAnsi="Times New Roman" w:cs="Times New Roman"/>
                <w:color w:val="4D4D4D" w:themeColor="accent6"/>
                <w:sz w:val="20"/>
                <w:szCs w:val="20"/>
              </w:rPr>
              <w:t>HR 1.28 95%CI 1.09 -1.51</w:t>
            </w:r>
          </w:p>
        </w:tc>
      </w:tr>
    </w:tbl>
    <w:p w14:paraId="5D7B9106" w14:textId="4CEB1CD0" w:rsidR="00DF0996" w:rsidRPr="000747D6" w:rsidRDefault="0006444F">
      <w:pPr>
        <w:rPr>
          <w:rFonts w:ascii="Times New Roman" w:hAnsi="Times New Roman" w:cs="Times New Roman"/>
        </w:rPr>
      </w:pPr>
      <w:r w:rsidRPr="000747D6">
        <w:rPr>
          <w:rFonts w:ascii="Times New Roman" w:eastAsiaTheme="majorEastAsia" w:hAnsi="Times New Roman" w:cs="Times New Roman"/>
          <w:color w:val="4D4D4D" w:themeColor="accent6"/>
          <w:sz w:val="20"/>
          <w:szCs w:val="20"/>
        </w:rPr>
        <w:t xml:space="preserve">CNMATS: </w:t>
      </w:r>
      <w:proofErr w:type="spellStart"/>
      <w:r w:rsidRPr="000747D6">
        <w:rPr>
          <w:rFonts w:ascii="Times New Roman" w:eastAsiaTheme="majorEastAsia" w:hAnsi="Times New Roman" w:cs="Times New Roman"/>
          <w:color w:val="4D4D4D" w:themeColor="accent6"/>
          <w:sz w:val="20"/>
          <w:szCs w:val="20"/>
        </w:rPr>
        <w:t>Caisse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Nationale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d'Assurance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Maladie</w:t>
      </w:r>
      <w:proofErr w:type="spellEnd"/>
      <w:r w:rsidRPr="000747D6">
        <w:rPr>
          <w:rFonts w:ascii="Times New Roman" w:eastAsiaTheme="majorEastAsia" w:hAnsi="Times New Roman" w:cs="Times New Roman"/>
          <w:color w:val="4D4D4D" w:themeColor="accent6"/>
          <w:sz w:val="20"/>
          <w:szCs w:val="20"/>
        </w:rPr>
        <w:t xml:space="preserve"> des </w:t>
      </w:r>
      <w:proofErr w:type="spellStart"/>
      <w:r w:rsidRPr="000747D6">
        <w:rPr>
          <w:rFonts w:ascii="Times New Roman" w:eastAsiaTheme="majorEastAsia" w:hAnsi="Times New Roman" w:cs="Times New Roman"/>
          <w:color w:val="4D4D4D" w:themeColor="accent6"/>
          <w:sz w:val="20"/>
          <w:szCs w:val="20"/>
        </w:rPr>
        <w:t>Travailleurs</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Salariés</w:t>
      </w:r>
      <w:proofErr w:type="spellEnd"/>
      <w:r w:rsidRPr="000747D6">
        <w:rPr>
          <w:rFonts w:ascii="Times New Roman" w:eastAsiaTheme="majorEastAsia" w:hAnsi="Times New Roman" w:cs="Times New Roman"/>
          <w:color w:val="4D4D4D" w:themeColor="accent6"/>
          <w:sz w:val="20"/>
          <w:szCs w:val="20"/>
        </w:rPr>
        <w:t xml:space="preserve">, KPNC: Kaiser </w:t>
      </w:r>
      <w:r w:rsidRPr="000747D6">
        <w:rPr>
          <w:rFonts w:ascii="Times New Roman" w:hAnsi="Times New Roman" w:cs="Times New Roman"/>
          <w:sz w:val="20"/>
          <w:szCs w:val="20"/>
        </w:rPr>
        <w:t xml:space="preserve">Permanente Northern California, </w:t>
      </w:r>
      <w:proofErr w:type="spellStart"/>
      <w:r w:rsidRPr="000747D6">
        <w:rPr>
          <w:rFonts w:ascii="Times New Roman" w:hAnsi="Times New Roman" w:cs="Times New Roman"/>
          <w:sz w:val="20"/>
          <w:szCs w:val="20"/>
        </w:rPr>
        <w:t>PROActive</w:t>
      </w:r>
      <w:proofErr w:type="spellEnd"/>
      <w:r w:rsidRPr="000747D6">
        <w:rPr>
          <w:rFonts w:ascii="Times New Roman" w:hAnsi="Times New Roman" w:cs="Times New Roman"/>
          <w:sz w:val="20"/>
          <w:szCs w:val="20"/>
        </w:rPr>
        <w:t xml:space="preserve">: </w:t>
      </w:r>
      <w:proofErr w:type="spellStart"/>
      <w:r w:rsidRPr="000747D6">
        <w:rPr>
          <w:rFonts w:ascii="Times New Roman" w:eastAsiaTheme="majorEastAsia" w:hAnsi="Times New Roman" w:cs="Times New Roman"/>
          <w:color w:val="4D4D4D" w:themeColor="accent6"/>
          <w:sz w:val="20"/>
          <w:szCs w:val="20"/>
        </w:rPr>
        <w:t>PROspective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pioglitAzone</w:t>
      </w:r>
      <w:proofErr w:type="spellEnd"/>
      <w:r w:rsidRPr="000747D6">
        <w:rPr>
          <w:rFonts w:ascii="Times New Roman" w:eastAsiaTheme="majorEastAsia" w:hAnsi="Times New Roman" w:cs="Times New Roman"/>
          <w:color w:val="4D4D4D" w:themeColor="accent6"/>
          <w:sz w:val="20"/>
          <w:szCs w:val="20"/>
        </w:rPr>
        <w:t xml:space="preserve"> Clinical Trial In </w:t>
      </w:r>
      <w:proofErr w:type="spellStart"/>
      <w:r w:rsidRPr="000747D6">
        <w:rPr>
          <w:rFonts w:ascii="Times New Roman" w:eastAsiaTheme="majorEastAsia" w:hAnsi="Times New Roman" w:cs="Times New Roman"/>
          <w:color w:val="4D4D4D" w:themeColor="accent6"/>
          <w:sz w:val="20"/>
          <w:szCs w:val="20"/>
        </w:rPr>
        <w:t>macroVascular</w:t>
      </w:r>
      <w:proofErr w:type="spellEnd"/>
      <w:r w:rsidRPr="000747D6">
        <w:rPr>
          <w:rFonts w:ascii="Times New Roman" w:eastAsiaTheme="majorEastAsia" w:hAnsi="Times New Roman" w:cs="Times New Roman"/>
          <w:color w:val="4D4D4D" w:themeColor="accent6"/>
          <w:sz w:val="20"/>
          <w:szCs w:val="20"/>
        </w:rPr>
        <w:t xml:space="preserve"> Events, </w:t>
      </w:r>
    </w:p>
    <w:p w14:paraId="4D21B680" w14:textId="77777777" w:rsidR="00DF0996" w:rsidRPr="000747D6" w:rsidRDefault="00DF0996">
      <w:pPr>
        <w:rPr>
          <w:rFonts w:ascii="Times New Roman" w:hAnsi="Times New Roman" w:cs="Times New Roman"/>
        </w:rPr>
      </w:pPr>
    </w:p>
    <w:p w14:paraId="72A33635" w14:textId="77777777" w:rsidR="00DF0996" w:rsidRPr="000747D6" w:rsidRDefault="00DF0996">
      <w:pPr>
        <w:rPr>
          <w:rFonts w:ascii="Times New Roman" w:hAnsi="Times New Roman" w:cs="Times New Roman"/>
        </w:rPr>
      </w:pPr>
    </w:p>
    <w:p w14:paraId="56F69F19" w14:textId="77777777" w:rsidR="00DF0996" w:rsidRPr="000747D6" w:rsidRDefault="00DF0996">
      <w:pPr>
        <w:rPr>
          <w:rFonts w:ascii="Times New Roman" w:hAnsi="Times New Roman" w:cs="Times New Roman"/>
        </w:rPr>
      </w:pPr>
    </w:p>
    <w:p w14:paraId="1A532164" w14:textId="77777777" w:rsidR="00DF0996" w:rsidRPr="000747D6" w:rsidRDefault="00DF0996">
      <w:pPr>
        <w:rPr>
          <w:rFonts w:ascii="Times New Roman" w:hAnsi="Times New Roman" w:cs="Times New Roman"/>
        </w:rPr>
        <w:sectPr w:rsidR="00DF0996" w:rsidRPr="000747D6" w:rsidSect="000747D6">
          <w:pgSz w:w="11906" w:h="16838"/>
          <w:pgMar w:top="1440" w:right="1440" w:bottom="1440" w:left="1440" w:header="708" w:footer="708" w:gutter="0"/>
          <w:cols w:space="708"/>
          <w:docGrid w:linePitch="360"/>
        </w:sectPr>
      </w:pPr>
    </w:p>
    <w:p w14:paraId="62C77EAA" w14:textId="37BE21FF" w:rsidR="00DF0996" w:rsidRPr="000747D6" w:rsidRDefault="00DF0996">
      <w:pPr>
        <w:rPr>
          <w:rFonts w:ascii="Times New Roman" w:hAnsi="Times New Roman" w:cs="Times New Roman"/>
          <w:b/>
          <w:bCs/>
        </w:rPr>
      </w:pPr>
      <w:r w:rsidRPr="000747D6">
        <w:rPr>
          <w:rFonts w:ascii="Times New Roman" w:hAnsi="Times New Roman" w:cs="Times New Roman"/>
          <w:b/>
          <w:bCs/>
        </w:rPr>
        <w:t>Supplementary Table 4:</w:t>
      </w:r>
    </w:p>
    <w:p w14:paraId="4D525081" w14:textId="02212999" w:rsidR="008F6405" w:rsidRPr="000747D6" w:rsidRDefault="00363AF7" w:rsidP="008F6405">
      <w:pPr>
        <w:spacing w:line="360" w:lineRule="auto"/>
        <w:ind w:left="-284"/>
        <w:rPr>
          <w:rFonts w:ascii="Times New Roman" w:hAnsi="Times New Roman" w:cs="Times New Roman"/>
          <w:b/>
          <w:bCs/>
        </w:rPr>
      </w:pPr>
      <w:r w:rsidRPr="000747D6">
        <w:rPr>
          <w:rFonts w:ascii="Times New Roman" w:hAnsi="Times New Roman" w:cs="Times New Roman"/>
          <w:b/>
          <w:bCs/>
        </w:rPr>
        <w:t xml:space="preserve">     </w:t>
      </w:r>
      <w:r w:rsidR="008F6405" w:rsidRPr="000747D6">
        <w:rPr>
          <w:rFonts w:ascii="Times New Roman" w:hAnsi="Times New Roman" w:cs="Times New Roman"/>
          <w:b/>
          <w:bCs/>
        </w:rPr>
        <w:t>Evidence, quantitative descriptions, and risk descriptions by regulator</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62"/>
        <w:gridCol w:w="1978"/>
        <w:gridCol w:w="1978"/>
        <w:gridCol w:w="1731"/>
        <w:gridCol w:w="1977"/>
      </w:tblGrid>
      <w:tr w:rsidR="008F6405" w:rsidRPr="000747D6" w14:paraId="0C611189" w14:textId="77777777" w:rsidTr="008F6405">
        <w:tc>
          <w:tcPr>
            <w:tcW w:w="754" w:type="pct"/>
            <w:vAlign w:val="center"/>
          </w:tcPr>
          <w:p w14:paraId="69E7461E" w14:textId="77777777" w:rsidR="008F6405" w:rsidRPr="000747D6" w:rsidRDefault="008F6405" w:rsidP="00224227">
            <w:pPr>
              <w:jc w:val="center"/>
              <w:rPr>
                <w:rFonts w:ascii="Times New Roman" w:hAnsi="Times New Roman" w:cs="Times New Roman"/>
                <w:b/>
                <w:bCs/>
                <w:sz w:val="20"/>
                <w:szCs w:val="20"/>
              </w:rPr>
            </w:pPr>
          </w:p>
        </w:tc>
        <w:tc>
          <w:tcPr>
            <w:tcW w:w="1096" w:type="pct"/>
            <w:vAlign w:val="center"/>
          </w:tcPr>
          <w:p w14:paraId="6879E442"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FDA</w:t>
            </w:r>
          </w:p>
        </w:tc>
        <w:tc>
          <w:tcPr>
            <w:tcW w:w="1096" w:type="pct"/>
            <w:vAlign w:val="center"/>
          </w:tcPr>
          <w:p w14:paraId="27369F61"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MHRA</w:t>
            </w:r>
          </w:p>
        </w:tc>
        <w:tc>
          <w:tcPr>
            <w:tcW w:w="959" w:type="pct"/>
            <w:vAlign w:val="center"/>
          </w:tcPr>
          <w:p w14:paraId="758D1930"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HC</w:t>
            </w:r>
          </w:p>
        </w:tc>
        <w:tc>
          <w:tcPr>
            <w:tcW w:w="1096" w:type="pct"/>
            <w:vAlign w:val="center"/>
          </w:tcPr>
          <w:p w14:paraId="410C352F"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TGA</w:t>
            </w:r>
          </w:p>
        </w:tc>
      </w:tr>
      <w:tr w:rsidR="008F6405" w:rsidRPr="000747D6" w14:paraId="77DE9156" w14:textId="77777777" w:rsidTr="008F6405">
        <w:tc>
          <w:tcPr>
            <w:tcW w:w="5000" w:type="pct"/>
            <w:gridSpan w:val="5"/>
            <w:shd w:val="clear" w:color="auto" w:fill="auto"/>
          </w:tcPr>
          <w:p w14:paraId="02EA76DC"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2010 Summary of Evidence and Risk</w:t>
            </w:r>
          </w:p>
        </w:tc>
      </w:tr>
      <w:tr w:rsidR="008F6405" w:rsidRPr="000747D6" w14:paraId="4A4CE11A" w14:textId="77777777" w:rsidTr="008F6405">
        <w:trPr>
          <w:trHeight w:val="280"/>
        </w:trPr>
        <w:tc>
          <w:tcPr>
            <w:tcW w:w="754" w:type="pct"/>
            <w:tcBorders>
              <w:bottom w:val="single" w:sz="4" w:space="0" w:color="D9D9D9" w:themeColor="background1" w:themeShade="D9"/>
            </w:tcBorders>
          </w:tcPr>
          <w:p w14:paraId="307A9206"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date</w:t>
            </w:r>
          </w:p>
        </w:tc>
        <w:tc>
          <w:tcPr>
            <w:tcW w:w="1096" w:type="pct"/>
            <w:tcBorders>
              <w:bottom w:val="single" w:sz="4" w:space="0" w:color="D9D9D9" w:themeColor="background1" w:themeShade="D9"/>
            </w:tcBorders>
          </w:tcPr>
          <w:p w14:paraId="6940AB72"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17 September</w:t>
            </w:r>
          </w:p>
        </w:tc>
        <w:tc>
          <w:tcPr>
            <w:tcW w:w="1096" w:type="pct"/>
            <w:vMerge w:val="restart"/>
            <w:vAlign w:val="center"/>
          </w:tcPr>
          <w:p w14:paraId="70FE2840"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959" w:type="pct"/>
            <w:vMerge w:val="restart"/>
            <w:vAlign w:val="center"/>
          </w:tcPr>
          <w:p w14:paraId="615B1868"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sz w:val="20"/>
                <w:szCs w:val="20"/>
              </w:rPr>
              <w:t>-</w:t>
            </w:r>
          </w:p>
        </w:tc>
        <w:tc>
          <w:tcPr>
            <w:tcW w:w="1096" w:type="pct"/>
            <w:vMerge w:val="restart"/>
            <w:vAlign w:val="center"/>
          </w:tcPr>
          <w:p w14:paraId="7EC4430A"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r>
      <w:tr w:rsidR="008F6405" w:rsidRPr="000747D6" w14:paraId="1D9BB4BE" w14:textId="77777777" w:rsidTr="008F6405">
        <w:trPr>
          <w:trHeight w:val="519"/>
        </w:trPr>
        <w:tc>
          <w:tcPr>
            <w:tcW w:w="754" w:type="pct"/>
            <w:tcBorders>
              <w:top w:val="single" w:sz="4" w:space="0" w:color="D9D9D9" w:themeColor="background1" w:themeShade="D9"/>
              <w:bottom w:val="single" w:sz="4" w:space="0" w:color="D9D9D9" w:themeColor="background1" w:themeShade="D9"/>
            </w:tcBorders>
          </w:tcPr>
          <w:p w14:paraId="02646FB3"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Evidence cited</w:t>
            </w:r>
          </w:p>
        </w:tc>
        <w:tc>
          <w:tcPr>
            <w:tcW w:w="1096" w:type="pct"/>
            <w:tcBorders>
              <w:top w:val="single" w:sz="4" w:space="0" w:color="D9D9D9" w:themeColor="background1" w:themeShade="D9"/>
              <w:bottom w:val="single" w:sz="4" w:space="0" w:color="D9D9D9" w:themeColor="background1" w:themeShade="D9"/>
            </w:tcBorders>
          </w:tcPr>
          <w:p w14:paraId="621DE3EB"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KPNC, PROactive, Liver safety, Preclinical</w:t>
            </w:r>
          </w:p>
        </w:tc>
        <w:tc>
          <w:tcPr>
            <w:tcW w:w="1096" w:type="pct"/>
            <w:vMerge/>
          </w:tcPr>
          <w:p w14:paraId="2FBD8990" w14:textId="77777777" w:rsidR="008F6405" w:rsidRPr="000747D6" w:rsidRDefault="008F6405" w:rsidP="00224227">
            <w:pPr>
              <w:rPr>
                <w:rFonts w:ascii="Times New Roman" w:hAnsi="Times New Roman" w:cs="Times New Roman"/>
                <w:sz w:val="20"/>
                <w:szCs w:val="20"/>
              </w:rPr>
            </w:pPr>
          </w:p>
        </w:tc>
        <w:tc>
          <w:tcPr>
            <w:tcW w:w="959" w:type="pct"/>
            <w:vMerge/>
          </w:tcPr>
          <w:p w14:paraId="155325F8" w14:textId="77777777" w:rsidR="008F6405" w:rsidRPr="000747D6" w:rsidRDefault="008F6405" w:rsidP="00224227">
            <w:pPr>
              <w:rPr>
                <w:rFonts w:ascii="Times New Roman" w:hAnsi="Times New Roman" w:cs="Times New Roman"/>
                <w:b/>
                <w:bCs/>
                <w:sz w:val="20"/>
                <w:szCs w:val="20"/>
              </w:rPr>
            </w:pPr>
          </w:p>
        </w:tc>
        <w:tc>
          <w:tcPr>
            <w:tcW w:w="1096" w:type="pct"/>
            <w:vMerge/>
          </w:tcPr>
          <w:p w14:paraId="31E4479A" w14:textId="77777777" w:rsidR="008F6405" w:rsidRPr="000747D6" w:rsidRDefault="008F6405" w:rsidP="00224227">
            <w:pPr>
              <w:rPr>
                <w:rFonts w:ascii="Times New Roman" w:hAnsi="Times New Roman" w:cs="Times New Roman"/>
                <w:sz w:val="20"/>
                <w:szCs w:val="20"/>
              </w:rPr>
            </w:pPr>
          </w:p>
        </w:tc>
      </w:tr>
      <w:tr w:rsidR="008F6405" w:rsidRPr="000747D6" w14:paraId="4F842BBC" w14:textId="77777777" w:rsidTr="008F6405">
        <w:trPr>
          <w:trHeight w:val="517"/>
        </w:trPr>
        <w:tc>
          <w:tcPr>
            <w:tcW w:w="754" w:type="pct"/>
            <w:tcBorders>
              <w:top w:val="single" w:sz="4" w:space="0" w:color="D9D9D9" w:themeColor="background1" w:themeShade="D9"/>
              <w:bottom w:val="single" w:sz="4" w:space="0" w:color="D9D9D9" w:themeColor="background1" w:themeShade="D9"/>
            </w:tcBorders>
          </w:tcPr>
          <w:p w14:paraId="79718FAC"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Other regulators mentioned</w:t>
            </w:r>
          </w:p>
        </w:tc>
        <w:tc>
          <w:tcPr>
            <w:tcW w:w="1096" w:type="pct"/>
            <w:tcBorders>
              <w:top w:val="single" w:sz="4" w:space="0" w:color="D9D9D9" w:themeColor="background1" w:themeShade="D9"/>
              <w:bottom w:val="single" w:sz="4" w:space="0" w:color="D9D9D9" w:themeColor="background1" w:themeShade="D9"/>
            </w:tcBorders>
          </w:tcPr>
          <w:p w14:paraId="14A1B19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None</w:t>
            </w:r>
          </w:p>
        </w:tc>
        <w:tc>
          <w:tcPr>
            <w:tcW w:w="1096" w:type="pct"/>
            <w:vMerge/>
          </w:tcPr>
          <w:p w14:paraId="1A26F4A7" w14:textId="77777777" w:rsidR="008F6405" w:rsidRPr="000747D6" w:rsidRDefault="008F6405" w:rsidP="00224227">
            <w:pPr>
              <w:rPr>
                <w:rFonts w:ascii="Times New Roman" w:hAnsi="Times New Roman" w:cs="Times New Roman"/>
                <w:sz w:val="20"/>
                <w:szCs w:val="20"/>
              </w:rPr>
            </w:pPr>
          </w:p>
        </w:tc>
        <w:tc>
          <w:tcPr>
            <w:tcW w:w="959" w:type="pct"/>
            <w:vMerge/>
          </w:tcPr>
          <w:p w14:paraId="63847BBD" w14:textId="77777777" w:rsidR="008F6405" w:rsidRPr="000747D6" w:rsidRDefault="008F6405" w:rsidP="00224227">
            <w:pPr>
              <w:rPr>
                <w:rFonts w:ascii="Times New Roman" w:hAnsi="Times New Roman" w:cs="Times New Roman"/>
                <w:sz w:val="20"/>
                <w:szCs w:val="20"/>
              </w:rPr>
            </w:pPr>
          </w:p>
        </w:tc>
        <w:tc>
          <w:tcPr>
            <w:tcW w:w="1096" w:type="pct"/>
            <w:vMerge/>
          </w:tcPr>
          <w:p w14:paraId="6C8BF007" w14:textId="77777777" w:rsidR="008F6405" w:rsidRPr="000747D6" w:rsidRDefault="008F6405" w:rsidP="00224227">
            <w:pPr>
              <w:rPr>
                <w:rFonts w:ascii="Times New Roman" w:hAnsi="Times New Roman" w:cs="Times New Roman"/>
                <w:sz w:val="20"/>
                <w:szCs w:val="20"/>
              </w:rPr>
            </w:pPr>
          </w:p>
        </w:tc>
      </w:tr>
      <w:tr w:rsidR="008F6405" w:rsidRPr="000747D6" w14:paraId="00ECC3D7" w14:textId="77777777" w:rsidTr="008F6405">
        <w:trPr>
          <w:trHeight w:val="207"/>
        </w:trPr>
        <w:tc>
          <w:tcPr>
            <w:tcW w:w="754" w:type="pct"/>
            <w:tcBorders>
              <w:top w:val="single" w:sz="4" w:space="0" w:color="D9D9D9" w:themeColor="background1" w:themeShade="D9"/>
              <w:bottom w:val="single" w:sz="4" w:space="0" w:color="D9D9D9" w:themeColor="background1" w:themeShade="D9"/>
            </w:tcBorders>
          </w:tcPr>
          <w:p w14:paraId="1C8EBA6B"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Risk confirmed</w:t>
            </w:r>
          </w:p>
        </w:tc>
        <w:tc>
          <w:tcPr>
            <w:tcW w:w="1096" w:type="pct"/>
            <w:tcBorders>
              <w:top w:val="single" w:sz="4" w:space="0" w:color="D9D9D9" w:themeColor="background1" w:themeShade="D9"/>
              <w:bottom w:val="single" w:sz="4" w:space="0" w:color="D9D9D9" w:themeColor="background1" w:themeShade="D9"/>
            </w:tcBorders>
          </w:tcPr>
          <w:p w14:paraId="2A925CA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Under investigation</w:t>
            </w:r>
          </w:p>
        </w:tc>
        <w:tc>
          <w:tcPr>
            <w:tcW w:w="1096" w:type="pct"/>
            <w:vMerge/>
          </w:tcPr>
          <w:p w14:paraId="4BF9854D" w14:textId="77777777" w:rsidR="008F6405" w:rsidRPr="000747D6" w:rsidRDefault="008F6405" w:rsidP="00224227">
            <w:pPr>
              <w:rPr>
                <w:rFonts w:ascii="Times New Roman" w:hAnsi="Times New Roman" w:cs="Times New Roman"/>
                <w:sz w:val="20"/>
                <w:szCs w:val="20"/>
              </w:rPr>
            </w:pPr>
          </w:p>
        </w:tc>
        <w:tc>
          <w:tcPr>
            <w:tcW w:w="959" w:type="pct"/>
            <w:vMerge/>
          </w:tcPr>
          <w:p w14:paraId="3E7BC6DF" w14:textId="77777777" w:rsidR="008F6405" w:rsidRPr="000747D6" w:rsidRDefault="008F6405" w:rsidP="00224227">
            <w:pPr>
              <w:rPr>
                <w:rFonts w:ascii="Times New Roman" w:hAnsi="Times New Roman" w:cs="Times New Roman"/>
                <w:sz w:val="20"/>
                <w:szCs w:val="20"/>
              </w:rPr>
            </w:pPr>
          </w:p>
        </w:tc>
        <w:tc>
          <w:tcPr>
            <w:tcW w:w="1096" w:type="pct"/>
            <w:vMerge/>
          </w:tcPr>
          <w:p w14:paraId="2D892211" w14:textId="77777777" w:rsidR="008F6405" w:rsidRPr="000747D6" w:rsidRDefault="008F6405" w:rsidP="00224227">
            <w:pPr>
              <w:rPr>
                <w:rFonts w:ascii="Times New Roman" w:hAnsi="Times New Roman" w:cs="Times New Roman"/>
                <w:sz w:val="20"/>
                <w:szCs w:val="20"/>
              </w:rPr>
            </w:pPr>
          </w:p>
        </w:tc>
      </w:tr>
      <w:tr w:rsidR="008F6405" w:rsidRPr="000747D6" w14:paraId="506ED793" w14:textId="77777777" w:rsidTr="008F6405">
        <w:trPr>
          <w:trHeight w:val="517"/>
        </w:trPr>
        <w:tc>
          <w:tcPr>
            <w:tcW w:w="754" w:type="pct"/>
            <w:tcBorders>
              <w:top w:val="single" w:sz="4" w:space="0" w:color="D9D9D9" w:themeColor="background1" w:themeShade="D9"/>
            </w:tcBorders>
          </w:tcPr>
          <w:p w14:paraId="1621C48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Regulators risk description</w:t>
            </w:r>
          </w:p>
        </w:tc>
        <w:tc>
          <w:tcPr>
            <w:tcW w:w="1096" w:type="pct"/>
            <w:tcBorders>
              <w:top w:val="single" w:sz="4" w:space="0" w:color="D9D9D9" w:themeColor="background1" w:themeShade="D9"/>
            </w:tcBorders>
          </w:tcPr>
          <w:p w14:paraId="287D5C7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 conclusion</w:t>
            </w:r>
          </w:p>
        </w:tc>
        <w:tc>
          <w:tcPr>
            <w:tcW w:w="1096" w:type="pct"/>
            <w:vMerge/>
          </w:tcPr>
          <w:p w14:paraId="6C502185" w14:textId="77777777" w:rsidR="008F6405" w:rsidRPr="000747D6" w:rsidRDefault="008F6405" w:rsidP="00224227">
            <w:pPr>
              <w:rPr>
                <w:rFonts w:ascii="Times New Roman" w:hAnsi="Times New Roman" w:cs="Times New Roman"/>
                <w:sz w:val="20"/>
                <w:szCs w:val="20"/>
              </w:rPr>
            </w:pPr>
          </w:p>
        </w:tc>
        <w:tc>
          <w:tcPr>
            <w:tcW w:w="959" w:type="pct"/>
            <w:vMerge/>
          </w:tcPr>
          <w:p w14:paraId="5922D1EE" w14:textId="77777777" w:rsidR="008F6405" w:rsidRPr="000747D6" w:rsidRDefault="008F6405" w:rsidP="00224227">
            <w:pPr>
              <w:rPr>
                <w:rFonts w:ascii="Times New Roman" w:hAnsi="Times New Roman" w:cs="Times New Roman"/>
                <w:sz w:val="20"/>
                <w:szCs w:val="20"/>
              </w:rPr>
            </w:pPr>
          </w:p>
        </w:tc>
        <w:tc>
          <w:tcPr>
            <w:tcW w:w="1096" w:type="pct"/>
            <w:vMerge/>
          </w:tcPr>
          <w:p w14:paraId="27DC7B31" w14:textId="77777777" w:rsidR="008F6405" w:rsidRPr="000747D6" w:rsidRDefault="008F6405" w:rsidP="00224227">
            <w:pPr>
              <w:rPr>
                <w:rFonts w:ascii="Times New Roman" w:hAnsi="Times New Roman" w:cs="Times New Roman"/>
                <w:sz w:val="20"/>
                <w:szCs w:val="20"/>
              </w:rPr>
            </w:pPr>
          </w:p>
        </w:tc>
      </w:tr>
      <w:tr w:rsidR="008F6405" w:rsidRPr="000747D6" w14:paraId="07CFF4DF" w14:textId="77777777" w:rsidTr="008F6405">
        <w:tc>
          <w:tcPr>
            <w:tcW w:w="5000" w:type="pct"/>
            <w:gridSpan w:val="5"/>
            <w:tcBorders>
              <w:bottom w:val="single" w:sz="4" w:space="0" w:color="auto"/>
            </w:tcBorders>
            <w:shd w:val="clear" w:color="auto" w:fill="auto"/>
          </w:tcPr>
          <w:p w14:paraId="4750F4E6"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2011 Summary of Evidence and Risk</w:t>
            </w:r>
          </w:p>
        </w:tc>
      </w:tr>
      <w:tr w:rsidR="008F6405" w:rsidRPr="000747D6" w14:paraId="2F74085D" w14:textId="77777777" w:rsidTr="008F6405">
        <w:trPr>
          <w:trHeight w:val="462"/>
        </w:trPr>
        <w:tc>
          <w:tcPr>
            <w:tcW w:w="754" w:type="pct"/>
            <w:tcBorders>
              <w:bottom w:val="single" w:sz="4" w:space="0" w:color="D9D9D9" w:themeColor="background1" w:themeShade="D9"/>
            </w:tcBorders>
          </w:tcPr>
          <w:p w14:paraId="4FF1D645"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date</w:t>
            </w:r>
          </w:p>
          <w:p w14:paraId="0BB5E4F2" w14:textId="77777777" w:rsidR="008F6405" w:rsidRPr="000747D6" w:rsidRDefault="008F6405" w:rsidP="00224227">
            <w:pPr>
              <w:rPr>
                <w:rFonts w:ascii="Times New Roman" w:hAnsi="Times New Roman" w:cs="Times New Roman"/>
                <w:sz w:val="20"/>
                <w:szCs w:val="20"/>
              </w:rPr>
            </w:pPr>
          </w:p>
        </w:tc>
        <w:tc>
          <w:tcPr>
            <w:tcW w:w="1096" w:type="pct"/>
            <w:tcBorders>
              <w:bottom w:val="single" w:sz="4" w:space="0" w:color="D9D9D9" w:themeColor="background1" w:themeShade="D9"/>
            </w:tcBorders>
          </w:tcPr>
          <w:p w14:paraId="5C1CBD27"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 xml:space="preserve">15 June </w:t>
            </w:r>
          </w:p>
          <w:p w14:paraId="55916592"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04 August</w:t>
            </w:r>
          </w:p>
        </w:tc>
        <w:tc>
          <w:tcPr>
            <w:tcW w:w="1096" w:type="pct"/>
            <w:tcBorders>
              <w:bottom w:val="single" w:sz="4" w:space="0" w:color="D9D9D9" w:themeColor="background1" w:themeShade="D9"/>
            </w:tcBorders>
          </w:tcPr>
          <w:p w14:paraId="45F27B2A"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22 July/29 July /01 August</w:t>
            </w:r>
          </w:p>
        </w:tc>
        <w:tc>
          <w:tcPr>
            <w:tcW w:w="959" w:type="pct"/>
            <w:tcBorders>
              <w:bottom w:val="single" w:sz="4" w:space="0" w:color="D9D9D9" w:themeColor="background1" w:themeShade="D9"/>
            </w:tcBorders>
          </w:tcPr>
          <w:p w14:paraId="026BCE0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17 July</w:t>
            </w:r>
          </w:p>
        </w:tc>
        <w:tc>
          <w:tcPr>
            <w:tcW w:w="1096" w:type="pct"/>
            <w:tcBorders>
              <w:bottom w:val="single" w:sz="4" w:space="0" w:color="D9D9D9" w:themeColor="background1" w:themeShade="D9"/>
            </w:tcBorders>
          </w:tcPr>
          <w:p w14:paraId="7CCBBF3A"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 xml:space="preserve">18 July/DHPC- </w:t>
            </w:r>
            <w:proofErr w:type="spellStart"/>
            <w:r w:rsidRPr="000747D6">
              <w:rPr>
                <w:rFonts w:ascii="Times New Roman" w:hAnsi="Times New Roman" w:cs="Times New Roman"/>
                <w:sz w:val="20"/>
                <w:szCs w:val="20"/>
              </w:rPr>
              <w:t>unk</w:t>
            </w:r>
            <w:proofErr w:type="spellEnd"/>
            <w:r w:rsidRPr="000747D6">
              <w:rPr>
                <w:rFonts w:ascii="Times New Roman" w:hAnsi="Times New Roman" w:cs="Times New Roman"/>
                <w:sz w:val="20"/>
                <w:szCs w:val="20"/>
              </w:rPr>
              <w:t>/01 October</w:t>
            </w:r>
          </w:p>
        </w:tc>
      </w:tr>
      <w:tr w:rsidR="008F6405" w:rsidRPr="000747D6" w14:paraId="182509B6" w14:textId="77777777" w:rsidTr="008F6405">
        <w:trPr>
          <w:trHeight w:val="462"/>
        </w:trPr>
        <w:tc>
          <w:tcPr>
            <w:tcW w:w="754" w:type="pct"/>
            <w:tcBorders>
              <w:top w:val="single" w:sz="4" w:space="0" w:color="D9D9D9" w:themeColor="background1" w:themeShade="D9"/>
              <w:bottom w:val="single" w:sz="4" w:space="0" w:color="D9D9D9" w:themeColor="background1" w:themeShade="D9"/>
            </w:tcBorders>
          </w:tcPr>
          <w:p w14:paraId="11719EBF"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Evidence cited</w:t>
            </w:r>
          </w:p>
        </w:tc>
        <w:tc>
          <w:tcPr>
            <w:tcW w:w="1096" w:type="pct"/>
            <w:tcBorders>
              <w:top w:val="single" w:sz="4" w:space="0" w:color="D9D9D9" w:themeColor="background1" w:themeShade="D9"/>
              <w:bottom w:val="single" w:sz="4" w:space="0" w:color="D9D9D9" w:themeColor="background1" w:themeShade="D9"/>
            </w:tcBorders>
          </w:tcPr>
          <w:p w14:paraId="4EE3B963"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KPNC, CNMATS</w:t>
            </w:r>
          </w:p>
        </w:tc>
        <w:tc>
          <w:tcPr>
            <w:tcW w:w="1096" w:type="pct"/>
            <w:tcBorders>
              <w:top w:val="single" w:sz="4" w:space="0" w:color="D9D9D9" w:themeColor="background1" w:themeShade="D9"/>
              <w:bottom w:val="single" w:sz="4" w:space="0" w:color="D9D9D9" w:themeColor="background1" w:themeShade="D9"/>
            </w:tcBorders>
          </w:tcPr>
          <w:p w14:paraId="114BE70E"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KPNC, CNMATS, GPRD, ADR reports, Sponsor meta-analysis, ‘epidemiological data’</w:t>
            </w:r>
          </w:p>
        </w:tc>
        <w:tc>
          <w:tcPr>
            <w:tcW w:w="959" w:type="pct"/>
            <w:tcBorders>
              <w:top w:val="single" w:sz="4" w:space="0" w:color="D9D9D9" w:themeColor="background1" w:themeShade="D9"/>
              <w:bottom w:val="single" w:sz="4" w:space="0" w:color="D9D9D9" w:themeColor="background1" w:themeShade="D9"/>
            </w:tcBorders>
          </w:tcPr>
          <w:p w14:paraId="27EBC0A1" w14:textId="77777777" w:rsidR="008F6405" w:rsidRPr="000747D6" w:rsidRDefault="008F6405" w:rsidP="00224227">
            <w:pPr>
              <w:rPr>
                <w:rFonts w:ascii="Times New Roman" w:hAnsi="Times New Roman" w:cs="Times New Roman"/>
                <w:b/>
                <w:bCs/>
                <w:sz w:val="20"/>
                <w:szCs w:val="20"/>
              </w:rPr>
            </w:pPr>
            <w:r w:rsidRPr="000747D6">
              <w:rPr>
                <w:rFonts w:ascii="Times New Roman" w:hAnsi="Times New Roman" w:cs="Times New Roman"/>
                <w:sz w:val="20"/>
                <w:szCs w:val="20"/>
              </w:rPr>
              <w:t>Unspecified studies</w:t>
            </w:r>
          </w:p>
        </w:tc>
        <w:tc>
          <w:tcPr>
            <w:tcW w:w="1096" w:type="pct"/>
            <w:tcBorders>
              <w:top w:val="single" w:sz="4" w:space="0" w:color="D9D9D9" w:themeColor="background1" w:themeShade="D9"/>
              <w:bottom w:val="single" w:sz="4" w:space="0" w:color="D9D9D9" w:themeColor="background1" w:themeShade="D9"/>
            </w:tcBorders>
          </w:tcPr>
          <w:p w14:paraId="1A49B157"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KPNC, CNMATS, PROactive</w:t>
            </w:r>
          </w:p>
        </w:tc>
      </w:tr>
      <w:tr w:rsidR="008F6405" w:rsidRPr="000747D6" w14:paraId="0FD4EF4C" w14:textId="77777777" w:rsidTr="008F6405">
        <w:trPr>
          <w:trHeight w:val="461"/>
        </w:trPr>
        <w:tc>
          <w:tcPr>
            <w:tcW w:w="754" w:type="pct"/>
            <w:tcBorders>
              <w:top w:val="single" w:sz="4" w:space="0" w:color="D9D9D9" w:themeColor="background1" w:themeShade="D9"/>
              <w:bottom w:val="single" w:sz="4" w:space="0" w:color="D9D9D9" w:themeColor="background1" w:themeShade="D9"/>
            </w:tcBorders>
          </w:tcPr>
          <w:p w14:paraId="5FF239F2"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Other regulators mentioned</w:t>
            </w:r>
          </w:p>
        </w:tc>
        <w:tc>
          <w:tcPr>
            <w:tcW w:w="1096" w:type="pct"/>
            <w:tcBorders>
              <w:top w:val="single" w:sz="4" w:space="0" w:color="D9D9D9" w:themeColor="background1" w:themeShade="D9"/>
              <w:bottom w:val="single" w:sz="4" w:space="0" w:color="D9D9D9" w:themeColor="background1" w:themeShade="D9"/>
            </w:tcBorders>
          </w:tcPr>
          <w:p w14:paraId="6AA5E6E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France, Germany</w:t>
            </w:r>
          </w:p>
        </w:tc>
        <w:tc>
          <w:tcPr>
            <w:tcW w:w="1096" w:type="pct"/>
            <w:tcBorders>
              <w:top w:val="single" w:sz="4" w:space="0" w:color="D9D9D9" w:themeColor="background1" w:themeShade="D9"/>
              <w:bottom w:val="single" w:sz="4" w:space="0" w:color="D9D9D9" w:themeColor="background1" w:themeShade="D9"/>
            </w:tcBorders>
          </w:tcPr>
          <w:p w14:paraId="799844FE"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France, Germany</w:t>
            </w:r>
          </w:p>
        </w:tc>
        <w:tc>
          <w:tcPr>
            <w:tcW w:w="959" w:type="pct"/>
            <w:tcBorders>
              <w:top w:val="single" w:sz="4" w:space="0" w:color="D9D9D9" w:themeColor="background1" w:themeShade="D9"/>
              <w:bottom w:val="single" w:sz="4" w:space="0" w:color="D9D9D9" w:themeColor="background1" w:themeShade="D9"/>
            </w:tcBorders>
          </w:tcPr>
          <w:p w14:paraId="619BC7FF"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Not specified</w:t>
            </w:r>
          </w:p>
          <w:p w14:paraId="30546811"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31291344"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France, Germany, Mauritius, FDA, EMA</w:t>
            </w:r>
          </w:p>
        </w:tc>
      </w:tr>
      <w:tr w:rsidR="008F6405" w:rsidRPr="000747D6" w14:paraId="023AC46F" w14:textId="77777777" w:rsidTr="008F6405">
        <w:trPr>
          <w:trHeight w:val="253"/>
        </w:trPr>
        <w:tc>
          <w:tcPr>
            <w:tcW w:w="754" w:type="pct"/>
            <w:tcBorders>
              <w:top w:val="single" w:sz="4" w:space="0" w:color="D9D9D9" w:themeColor="background1" w:themeShade="D9"/>
              <w:bottom w:val="single" w:sz="4" w:space="0" w:color="D9D9D9" w:themeColor="background1" w:themeShade="D9"/>
            </w:tcBorders>
          </w:tcPr>
          <w:p w14:paraId="76ECF70B"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Risk confirmed</w:t>
            </w:r>
          </w:p>
        </w:tc>
        <w:tc>
          <w:tcPr>
            <w:tcW w:w="1096" w:type="pct"/>
            <w:tcBorders>
              <w:top w:val="single" w:sz="4" w:space="0" w:color="D9D9D9" w:themeColor="background1" w:themeShade="D9"/>
              <w:bottom w:val="single" w:sz="4" w:space="0" w:color="D9D9D9" w:themeColor="background1" w:themeShade="D9"/>
            </w:tcBorders>
          </w:tcPr>
          <w:p w14:paraId="7BCE694A"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c>
          <w:tcPr>
            <w:tcW w:w="1096" w:type="pct"/>
            <w:tcBorders>
              <w:top w:val="single" w:sz="4" w:space="0" w:color="D9D9D9" w:themeColor="background1" w:themeShade="D9"/>
              <w:bottom w:val="single" w:sz="4" w:space="0" w:color="D9D9D9" w:themeColor="background1" w:themeShade="D9"/>
            </w:tcBorders>
          </w:tcPr>
          <w:p w14:paraId="38AA254F"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c>
          <w:tcPr>
            <w:tcW w:w="959" w:type="pct"/>
            <w:tcBorders>
              <w:top w:val="single" w:sz="4" w:space="0" w:color="D9D9D9" w:themeColor="background1" w:themeShade="D9"/>
              <w:bottom w:val="single" w:sz="4" w:space="0" w:color="D9D9D9" w:themeColor="background1" w:themeShade="D9"/>
            </w:tcBorders>
          </w:tcPr>
          <w:p w14:paraId="7266110D"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Under investigation</w:t>
            </w:r>
          </w:p>
        </w:tc>
        <w:tc>
          <w:tcPr>
            <w:tcW w:w="1096" w:type="pct"/>
            <w:tcBorders>
              <w:top w:val="single" w:sz="4" w:space="0" w:color="D9D9D9" w:themeColor="background1" w:themeShade="D9"/>
              <w:bottom w:val="single" w:sz="4" w:space="0" w:color="D9D9D9" w:themeColor="background1" w:themeShade="D9"/>
            </w:tcBorders>
          </w:tcPr>
          <w:p w14:paraId="50A9194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r>
      <w:tr w:rsidR="008F6405" w:rsidRPr="000747D6" w14:paraId="666A3EFE" w14:textId="77777777" w:rsidTr="008F6405">
        <w:trPr>
          <w:trHeight w:val="461"/>
        </w:trPr>
        <w:tc>
          <w:tcPr>
            <w:tcW w:w="754" w:type="pct"/>
            <w:tcBorders>
              <w:top w:val="single" w:sz="4" w:space="0" w:color="D9D9D9" w:themeColor="background1" w:themeShade="D9"/>
            </w:tcBorders>
          </w:tcPr>
          <w:p w14:paraId="238E866E"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risk description</w:t>
            </w:r>
          </w:p>
        </w:tc>
        <w:tc>
          <w:tcPr>
            <w:tcW w:w="1096" w:type="pct"/>
            <w:tcBorders>
              <w:top w:val="single" w:sz="4" w:space="0" w:color="D9D9D9" w:themeColor="background1" w:themeShade="D9"/>
            </w:tcBorders>
          </w:tcPr>
          <w:p w14:paraId="2DC7F4F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Use of more than one year may be associated with an increased risk of bladder cancer</w:t>
            </w:r>
          </w:p>
        </w:tc>
        <w:tc>
          <w:tcPr>
            <w:tcW w:w="1096" w:type="pct"/>
            <w:tcBorders>
              <w:top w:val="single" w:sz="4" w:space="0" w:color="D9D9D9" w:themeColor="background1" w:themeShade="D9"/>
            </w:tcBorders>
          </w:tcPr>
          <w:p w14:paraId="6B0D91C0"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 xml:space="preserve">Small increased risk of bladder cancer. Unclear if risk increases early or after prolonged use </w:t>
            </w:r>
          </w:p>
        </w:tc>
        <w:tc>
          <w:tcPr>
            <w:tcW w:w="959" w:type="pct"/>
            <w:tcBorders>
              <w:top w:val="single" w:sz="4" w:space="0" w:color="D9D9D9" w:themeColor="background1" w:themeShade="D9"/>
            </w:tcBorders>
          </w:tcPr>
          <w:p w14:paraId="029D73C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Benefits outweigh the risks when used as directed in Canadian Product Monograph.</w:t>
            </w:r>
          </w:p>
        </w:tc>
        <w:tc>
          <w:tcPr>
            <w:tcW w:w="1096" w:type="pct"/>
            <w:tcBorders>
              <w:top w:val="single" w:sz="4" w:space="0" w:color="D9D9D9" w:themeColor="background1" w:themeShade="D9"/>
            </w:tcBorders>
          </w:tcPr>
          <w:p w14:paraId="6D6F6B0A"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Use of more than one year may be associated with an increased risk of bladder cancer</w:t>
            </w:r>
          </w:p>
        </w:tc>
      </w:tr>
      <w:tr w:rsidR="008F6405" w:rsidRPr="000747D6" w14:paraId="27968D89" w14:textId="77777777" w:rsidTr="008F6405">
        <w:tc>
          <w:tcPr>
            <w:tcW w:w="5000" w:type="pct"/>
            <w:gridSpan w:val="5"/>
            <w:tcBorders>
              <w:bottom w:val="single" w:sz="4" w:space="0" w:color="auto"/>
            </w:tcBorders>
            <w:shd w:val="clear" w:color="auto" w:fill="auto"/>
          </w:tcPr>
          <w:p w14:paraId="14FF7775"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2012 Summary of Evidence and Risk</w:t>
            </w:r>
          </w:p>
        </w:tc>
      </w:tr>
      <w:tr w:rsidR="008F6405" w:rsidRPr="000747D6" w14:paraId="55FD853F" w14:textId="77777777" w:rsidTr="008F6405">
        <w:trPr>
          <w:trHeight w:val="380"/>
        </w:trPr>
        <w:tc>
          <w:tcPr>
            <w:tcW w:w="754" w:type="pct"/>
            <w:tcBorders>
              <w:bottom w:val="single" w:sz="4" w:space="0" w:color="D9D9D9" w:themeColor="background1" w:themeShade="D9"/>
            </w:tcBorders>
          </w:tcPr>
          <w:p w14:paraId="55C085ED"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date</w:t>
            </w:r>
          </w:p>
        </w:tc>
        <w:tc>
          <w:tcPr>
            <w:tcW w:w="1096" w:type="pct"/>
            <w:vMerge w:val="restart"/>
            <w:tcBorders>
              <w:bottom w:val="single" w:sz="4" w:space="0" w:color="D9D9D9" w:themeColor="background1" w:themeShade="D9"/>
            </w:tcBorders>
            <w:vAlign w:val="center"/>
          </w:tcPr>
          <w:p w14:paraId="55DEC809"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1096" w:type="pct"/>
            <w:tcBorders>
              <w:bottom w:val="single" w:sz="4" w:space="0" w:color="D9D9D9" w:themeColor="background1" w:themeShade="D9"/>
            </w:tcBorders>
          </w:tcPr>
          <w:p w14:paraId="5EACF38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21 January</w:t>
            </w:r>
          </w:p>
        </w:tc>
        <w:tc>
          <w:tcPr>
            <w:tcW w:w="959" w:type="pct"/>
            <w:tcBorders>
              <w:bottom w:val="single" w:sz="4" w:space="0" w:color="D9D9D9" w:themeColor="background1" w:themeShade="D9"/>
            </w:tcBorders>
          </w:tcPr>
          <w:p w14:paraId="2C07A8AF"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16 April/19 April</w:t>
            </w:r>
          </w:p>
        </w:tc>
        <w:tc>
          <w:tcPr>
            <w:tcW w:w="1096" w:type="pct"/>
            <w:vMerge w:val="restart"/>
            <w:tcBorders>
              <w:bottom w:val="single" w:sz="4" w:space="0" w:color="D9D9D9" w:themeColor="background1" w:themeShade="D9"/>
            </w:tcBorders>
            <w:vAlign w:val="center"/>
          </w:tcPr>
          <w:p w14:paraId="3CDF1A37"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r>
      <w:tr w:rsidR="008F6405" w:rsidRPr="000747D6" w14:paraId="2FB85455" w14:textId="77777777" w:rsidTr="008F6405">
        <w:trPr>
          <w:trHeight w:val="45"/>
        </w:trPr>
        <w:tc>
          <w:tcPr>
            <w:tcW w:w="754" w:type="pct"/>
            <w:tcBorders>
              <w:top w:val="single" w:sz="4" w:space="0" w:color="D9D9D9" w:themeColor="background1" w:themeShade="D9"/>
              <w:bottom w:val="single" w:sz="4" w:space="0" w:color="D9D9D9" w:themeColor="background1" w:themeShade="D9"/>
            </w:tcBorders>
          </w:tcPr>
          <w:p w14:paraId="79EDB6D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Evidence cited</w:t>
            </w:r>
          </w:p>
        </w:tc>
        <w:tc>
          <w:tcPr>
            <w:tcW w:w="1096" w:type="pct"/>
            <w:vMerge/>
          </w:tcPr>
          <w:p w14:paraId="2F8C916D"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3EB3E055"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Sponsor meta-analysis</w:t>
            </w:r>
          </w:p>
        </w:tc>
        <w:tc>
          <w:tcPr>
            <w:tcW w:w="959" w:type="pct"/>
            <w:tcBorders>
              <w:top w:val="single" w:sz="4" w:space="0" w:color="D9D9D9" w:themeColor="background1" w:themeShade="D9"/>
              <w:bottom w:val="single" w:sz="4" w:space="0" w:color="D9D9D9" w:themeColor="background1" w:themeShade="D9"/>
            </w:tcBorders>
          </w:tcPr>
          <w:p w14:paraId="15B1FFA3"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PROactive, Liver Safety, KPNC</w:t>
            </w:r>
          </w:p>
        </w:tc>
        <w:tc>
          <w:tcPr>
            <w:tcW w:w="1096" w:type="pct"/>
            <w:vMerge/>
          </w:tcPr>
          <w:p w14:paraId="68A8D320" w14:textId="77777777" w:rsidR="008F6405" w:rsidRPr="000747D6" w:rsidRDefault="008F6405" w:rsidP="00224227">
            <w:pPr>
              <w:rPr>
                <w:rFonts w:ascii="Times New Roman" w:hAnsi="Times New Roman" w:cs="Times New Roman"/>
                <w:sz w:val="20"/>
                <w:szCs w:val="20"/>
              </w:rPr>
            </w:pPr>
          </w:p>
        </w:tc>
      </w:tr>
      <w:tr w:rsidR="008F6405" w:rsidRPr="000747D6" w14:paraId="0A8F69FB" w14:textId="77777777" w:rsidTr="008F6405">
        <w:trPr>
          <w:trHeight w:val="45"/>
        </w:trPr>
        <w:tc>
          <w:tcPr>
            <w:tcW w:w="754" w:type="pct"/>
            <w:tcBorders>
              <w:top w:val="single" w:sz="4" w:space="0" w:color="D9D9D9" w:themeColor="background1" w:themeShade="D9"/>
              <w:bottom w:val="single" w:sz="4" w:space="0" w:color="D9D9D9" w:themeColor="background1" w:themeShade="D9"/>
            </w:tcBorders>
          </w:tcPr>
          <w:p w14:paraId="4D881553"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Other regulators mentioned</w:t>
            </w:r>
          </w:p>
        </w:tc>
        <w:tc>
          <w:tcPr>
            <w:tcW w:w="1096" w:type="pct"/>
            <w:vMerge/>
          </w:tcPr>
          <w:p w14:paraId="78A6DFD3"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34E59737"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None</w:t>
            </w:r>
          </w:p>
        </w:tc>
        <w:tc>
          <w:tcPr>
            <w:tcW w:w="959" w:type="pct"/>
            <w:tcBorders>
              <w:top w:val="single" w:sz="4" w:space="0" w:color="D9D9D9" w:themeColor="background1" w:themeShade="D9"/>
              <w:bottom w:val="single" w:sz="4" w:space="0" w:color="D9D9D9" w:themeColor="background1" w:themeShade="D9"/>
            </w:tcBorders>
          </w:tcPr>
          <w:p w14:paraId="66E6F2AB"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None</w:t>
            </w:r>
          </w:p>
        </w:tc>
        <w:tc>
          <w:tcPr>
            <w:tcW w:w="1096" w:type="pct"/>
            <w:vMerge/>
          </w:tcPr>
          <w:p w14:paraId="44F87438" w14:textId="77777777" w:rsidR="008F6405" w:rsidRPr="000747D6" w:rsidRDefault="008F6405" w:rsidP="00224227">
            <w:pPr>
              <w:rPr>
                <w:rFonts w:ascii="Times New Roman" w:hAnsi="Times New Roman" w:cs="Times New Roman"/>
                <w:sz w:val="20"/>
                <w:szCs w:val="20"/>
              </w:rPr>
            </w:pPr>
          </w:p>
        </w:tc>
      </w:tr>
      <w:tr w:rsidR="008F6405" w:rsidRPr="000747D6" w14:paraId="2A72DEE7" w14:textId="77777777" w:rsidTr="008F6405">
        <w:trPr>
          <w:trHeight w:val="45"/>
        </w:trPr>
        <w:tc>
          <w:tcPr>
            <w:tcW w:w="754" w:type="pct"/>
            <w:tcBorders>
              <w:top w:val="single" w:sz="4" w:space="0" w:color="D9D9D9" w:themeColor="background1" w:themeShade="D9"/>
              <w:bottom w:val="single" w:sz="4" w:space="0" w:color="D9D9D9" w:themeColor="background1" w:themeShade="D9"/>
            </w:tcBorders>
          </w:tcPr>
          <w:p w14:paraId="3AE1694C"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Risk confirmed</w:t>
            </w:r>
          </w:p>
        </w:tc>
        <w:tc>
          <w:tcPr>
            <w:tcW w:w="1096" w:type="pct"/>
            <w:vMerge/>
          </w:tcPr>
          <w:p w14:paraId="74915B67"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076C739C"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c>
          <w:tcPr>
            <w:tcW w:w="959" w:type="pct"/>
            <w:tcBorders>
              <w:top w:val="single" w:sz="4" w:space="0" w:color="D9D9D9" w:themeColor="background1" w:themeShade="D9"/>
              <w:bottom w:val="single" w:sz="4" w:space="0" w:color="D9D9D9" w:themeColor="background1" w:themeShade="D9"/>
            </w:tcBorders>
          </w:tcPr>
          <w:p w14:paraId="669BDE7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c>
          <w:tcPr>
            <w:tcW w:w="1096" w:type="pct"/>
            <w:vMerge/>
          </w:tcPr>
          <w:p w14:paraId="04B18CCA" w14:textId="77777777" w:rsidR="008F6405" w:rsidRPr="000747D6" w:rsidRDefault="008F6405" w:rsidP="00224227">
            <w:pPr>
              <w:rPr>
                <w:rFonts w:ascii="Times New Roman" w:hAnsi="Times New Roman" w:cs="Times New Roman"/>
                <w:sz w:val="20"/>
                <w:szCs w:val="20"/>
              </w:rPr>
            </w:pPr>
          </w:p>
        </w:tc>
      </w:tr>
      <w:tr w:rsidR="008F6405" w:rsidRPr="000747D6" w14:paraId="7125266D" w14:textId="77777777" w:rsidTr="008F6405">
        <w:trPr>
          <w:trHeight w:val="45"/>
        </w:trPr>
        <w:tc>
          <w:tcPr>
            <w:tcW w:w="754" w:type="pct"/>
            <w:tcBorders>
              <w:top w:val="single" w:sz="4" w:space="0" w:color="D9D9D9" w:themeColor="background1" w:themeShade="D9"/>
              <w:bottom w:val="single" w:sz="4" w:space="0" w:color="auto"/>
            </w:tcBorders>
          </w:tcPr>
          <w:p w14:paraId="13DDFC44"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Regulators risk description</w:t>
            </w:r>
          </w:p>
        </w:tc>
        <w:tc>
          <w:tcPr>
            <w:tcW w:w="1096" w:type="pct"/>
            <w:vMerge/>
          </w:tcPr>
          <w:p w14:paraId="462386F5"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auto"/>
            </w:tcBorders>
          </w:tcPr>
          <w:p w14:paraId="5BFD3F1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Restriction to second or third treatment line</w:t>
            </w:r>
          </w:p>
        </w:tc>
        <w:tc>
          <w:tcPr>
            <w:tcW w:w="959" w:type="pct"/>
            <w:tcBorders>
              <w:top w:val="single" w:sz="4" w:space="0" w:color="D9D9D9" w:themeColor="background1" w:themeShade="D9"/>
              <w:bottom w:val="single" w:sz="4" w:space="0" w:color="auto"/>
            </w:tcBorders>
          </w:tcPr>
          <w:p w14:paraId="1D6955C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Potential risk of bladder cancer</w:t>
            </w:r>
          </w:p>
        </w:tc>
        <w:tc>
          <w:tcPr>
            <w:tcW w:w="1096" w:type="pct"/>
            <w:vMerge/>
          </w:tcPr>
          <w:p w14:paraId="6D0B9A23" w14:textId="77777777" w:rsidR="008F6405" w:rsidRPr="000747D6" w:rsidRDefault="008F6405" w:rsidP="00224227">
            <w:pPr>
              <w:rPr>
                <w:rFonts w:ascii="Times New Roman" w:hAnsi="Times New Roman" w:cs="Times New Roman"/>
                <w:sz w:val="20"/>
                <w:szCs w:val="20"/>
              </w:rPr>
            </w:pPr>
          </w:p>
        </w:tc>
      </w:tr>
      <w:tr w:rsidR="008F6405" w:rsidRPr="000747D6" w14:paraId="68FB6BA3" w14:textId="77777777" w:rsidTr="008F6405">
        <w:tc>
          <w:tcPr>
            <w:tcW w:w="5000" w:type="pct"/>
            <w:gridSpan w:val="5"/>
            <w:tcBorders>
              <w:top w:val="single" w:sz="4" w:space="0" w:color="auto"/>
              <w:bottom w:val="single" w:sz="4" w:space="0" w:color="auto"/>
            </w:tcBorders>
            <w:shd w:val="clear" w:color="auto" w:fill="auto"/>
            <w:vAlign w:val="center"/>
          </w:tcPr>
          <w:p w14:paraId="39400B39"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2013 Summary of Evidence and Risk</w:t>
            </w:r>
          </w:p>
        </w:tc>
      </w:tr>
      <w:tr w:rsidR="008F6405" w:rsidRPr="000747D6" w14:paraId="61BE9199" w14:textId="77777777" w:rsidTr="008F6405">
        <w:trPr>
          <w:trHeight w:val="40"/>
        </w:trPr>
        <w:tc>
          <w:tcPr>
            <w:tcW w:w="754" w:type="pct"/>
            <w:tcBorders>
              <w:bottom w:val="single" w:sz="4" w:space="0" w:color="D9D9D9" w:themeColor="background1" w:themeShade="D9"/>
            </w:tcBorders>
          </w:tcPr>
          <w:p w14:paraId="105D359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date</w:t>
            </w:r>
          </w:p>
        </w:tc>
        <w:tc>
          <w:tcPr>
            <w:tcW w:w="1096" w:type="pct"/>
            <w:vMerge w:val="restart"/>
            <w:tcBorders>
              <w:bottom w:val="single" w:sz="4" w:space="0" w:color="D9D9D9" w:themeColor="background1" w:themeShade="D9"/>
            </w:tcBorders>
            <w:vAlign w:val="center"/>
          </w:tcPr>
          <w:p w14:paraId="62DCBDFC"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1096" w:type="pct"/>
            <w:vMerge w:val="restart"/>
            <w:tcBorders>
              <w:bottom w:val="single" w:sz="4" w:space="0" w:color="D9D9D9" w:themeColor="background1" w:themeShade="D9"/>
            </w:tcBorders>
            <w:vAlign w:val="center"/>
          </w:tcPr>
          <w:p w14:paraId="4971633C"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959" w:type="pct"/>
            <w:vMerge w:val="restart"/>
            <w:tcBorders>
              <w:bottom w:val="single" w:sz="4" w:space="0" w:color="D9D9D9" w:themeColor="background1" w:themeShade="D9"/>
            </w:tcBorders>
            <w:vAlign w:val="center"/>
          </w:tcPr>
          <w:p w14:paraId="1DF8C3D9"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1096" w:type="pct"/>
            <w:tcBorders>
              <w:bottom w:val="single" w:sz="4" w:space="0" w:color="D9D9D9" w:themeColor="background1" w:themeShade="D9"/>
            </w:tcBorders>
          </w:tcPr>
          <w:p w14:paraId="6B7E2782"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01 December</w:t>
            </w:r>
          </w:p>
        </w:tc>
      </w:tr>
      <w:tr w:rsidR="008F6405" w:rsidRPr="000747D6" w14:paraId="5DAE40F4" w14:textId="77777777" w:rsidTr="008F6405">
        <w:trPr>
          <w:trHeight w:val="37"/>
        </w:trPr>
        <w:tc>
          <w:tcPr>
            <w:tcW w:w="754" w:type="pct"/>
            <w:tcBorders>
              <w:top w:val="single" w:sz="4" w:space="0" w:color="D9D9D9" w:themeColor="background1" w:themeShade="D9"/>
              <w:bottom w:val="single" w:sz="4" w:space="0" w:color="D9D9D9" w:themeColor="background1" w:themeShade="D9"/>
            </w:tcBorders>
          </w:tcPr>
          <w:p w14:paraId="66E47FA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Evidence cited</w:t>
            </w:r>
          </w:p>
        </w:tc>
        <w:tc>
          <w:tcPr>
            <w:tcW w:w="1096" w:type="pct"/>
            <w:vMerge/>
          </w:tcPr>
          <w:p w14:paraId="67025181" w14:textId="77777777" w:rsidR="008F6405" w:rsidRPr="000747D6" w:rsidRDefault="008F6405" w:rsidP="00224227">
            <w:pPr>
              <w:rPr>
                <w:rFonts w:ascii="Times New Roman" w:hAnsi="Times New Roman" w:cs="Times New Roman"/>
                <w:sz w:val="20"/>
                <w:szCs w:val="20"/>
              </w:rPr>
            </w:pPr>
          </w:p>
        </w:tc>
        <w:tc>
          <w:tcPr>
            <w:tcW w:w="1096" w:type="pct"/>
            <w:vMerge/>
          </w:tcPr>
          <w:p w14:paraId="5EFDBD45" w14:textId="77777777" w:rsidR="008F6405" w:rsidRPr="000747D6" w:rsidRDefault="008F6405" w:rsidP="00224227">
            <w:pPr>
              <w:rPr>
                <w:rFonts w:ascii="Times New Roman" w:hAnsi="Times New Roman" w:cs="Times New Roman"/>
                <w:sz w:val="20"/>
                <w:szCs w:val="20"/>
              </w:rPr>
            </w:pPr>
          </w:p>
        </w:tc>
        <w:tc>
          <w:tcPr>
            <w:tcW w:w="959" w:type="pct"/>
            <w:vMerge/>
          </w:tcPr>
          <w:p w14:paraId="4752E020"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516D0038"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ADR reports</w:t>
            </w:r>
          </w:p>
        </w:tc>
      </w:tr>
      <w:tr w:rsidR="008F6405" w:rsidRPr="000747D6" w14:paraId="58DD59D2" w14:textId="77777777" w:rsidTr="008F6405">
        <w:trPr>
          <w:trHeight w:val="37"/>
        </w:trPr>
        <w:tc>
          <w:tcPr>
            <w:tcW w:w="754" w:type="pct"/>
            <w:tcBorders>
              <w:top w:val="single" w:sz="4" w:space="0" w:color="D9D9D9" w:themeColor="background1" w:themeShade="D9"/>
              <w:bottom w:val="single" w:sz="4" w:space="0" w:color="D9D9D9" w:themeColor="background1" w:themeShade="D9"/>
            </w:tcBorders>
          </w:tcPr>
          <w:p w14:paraId="00FEBDF7"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Other regulators mentioned</w:t>
            </w:r>
          </w:p>
        </w:tc>
        <w:tc>
          <w:tcPr>
            <w:tcW w:w="1096" w:type="pct"/>
            <w:vMerge/>
          </w:tcPr>
          <w:p w14:paraId="47CA60BB" w14:textId="77777777" w:rsidR="008F6405" w:rsidRPr="000747D6" w:rsidRDefault="008F6405" w:rsidP="00224227">
            <w:pPr>
              <w:rPr>
                <w:rFonts w:ascii="Times New Roman" w:hAnsi="Times New Roman" w:cs="Times New Roman"/>
                <w:sz w:val="20"/>
                <w:szCs w:val="20"/>
              </w:rPr>
            </w:pPr>
          </w:p>
        </w:tc>
        <w:tc>
          <w:tcPr>
            <w:tcW w:w="1096" w:type="pct"/>
            <w:vMerge/>
          </w:tcPr>
          <w:p w14:paraId="39EDC206" w14:textId="77777777" w:rsidR="008F6405" w:rsidRPr="000747D6" w:rsidRDefault="008F6405" w:rsidP="00224227">
            <w:pPr>
              <w:rPr>
                <w:rFonts w:ascii="Times New Roman" w:hAnsi="Times New Roman" w:cs="Times New Roman"/>
                <w:sz w:val="20"/>
                <w:szCs w:val="20"/>
              </w:rPr>
            </w:pPr>
          </w:p>
        </w:tc>
        <w:tc>
          <w:tcPr>
            <w:tcW w:w="959" w:type="pct"/>
            <w:vMerge/>
          </w:tcPr>
          <w:p w14:paraId="7139282F"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38C78245"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None</w:t>
            </w:r>
          </w:p>
        </w:tc>
      </w:tr>
      <w:tr w:rsidR="008F6405" w:rsidRPr="000747D6" w14:paraId="0C5BD5D7" w14:textId="77777777" w:rsidTr="008F6405">
        <w:trPr>
          <w:trHeight w:val="37"/>
        </w:trPr>
        <w:tc>
          <w:tcPr>
            <w:tcW w:w="754" w:type="pct"/>
            <w:tcBorders>
              <w:top w:val="single" w:sz="4" w:space="0" w:color="D9D9D9" w:themeColor="background1" w:themeShade="D9"/>
              <w:bottom w:val="single" w:sz="4" w:space="0" w:color="D9D9D9" w:themeColor="background1" w:themeShade="D9"/>
            </w:tcBorders>
          </w:tcPr>
          <w:p w14:paraId="3ECBB571"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Risk confirmed</w:t>
            </w:r>
          </w:p>
        </w:tc>
        <w:tc>
          <w:tcPr>
            <w:tcW w:w="1096" w:type="pct"/>
            <w:vMerge/>
          </w:tcPr>
          <w:p w14:paraId="27FC75F6" w14:textId="77777777" w:rsidR="008F6405" w:rsidRPr="000747D6" w:rsidRDefault="008F6405" w:rsidP="00224227">
            <w:pPr>
              <w:rPr>
                <w:rFonts w:ascii="Times New Roman" w:hAnsi="Times New Roman" w:cs="Times New Roman"/>
                <w:sz w:val="20"/>
                <w:szCs w:val="20"/>
              </w:rPr>
            </w:pPr>
          </w:p>
        </w:tc>
        <w:tc>
          <w:tcPr>
            <w:tcW w:w="1096" w:type="pct"/>
            <w:vMerge/>
          </w:tcPr>
          <w:p w14:paraId="1B4623E7" w14:textId="77777777" w:rsidR="008F6405" w:rsidRPr="000747D6" w:rsidRDefault="008F6405" w:rsidP="00224227">
            <w:pPr>
              <w:rPr>
                <w:rFonts w:ascii="Times New Roman" w:hAnsi="Times New Roman" w:cs="Times New Roman"/>
                <w:sz w:val="20"/>
                <w:szCs w:val="20"/>
              </w:rPr>
            </w:pPr>
          </w:p>
        </w:tc>
        <w:tc>
          <w:tcPr>
            <w:tcW w:w="959" w:type="pct"/>
            <w:vMerge/>
          </w:tcPr>
          <w:p w14:paraId="6CDC1DF8"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bottom w:val="single" w:sz="4" w:space="0" w:color="D9D9D9" w:themeColor="background1" w:themeShade="D9"/>
            </w:tcBorders>
          </w:tcPr>
          <w:p w14:paraId="5376B71E"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r>
      <w:tr w:rsidR="008F6405" w:rsidRPr="000747D6" w14:paraId="104A4A2E" w14:textId="77777777" w:rsidTr="008F6405">
        <w:trPr>
          <w:trHeight w:val="37"/>
        </w:trPr>
        <w:tc>
          <w:tcPr>
            <w:tcW w:w="754" w:type="pct"/>
            <w:tcBorders>
              <w:top w:val="single" w:sz="4" w:space="0" w:color="D9D9D9" w:themeColor="background1" w:themeShade="D9"/>
            </w:tcBorders>
          </w:tcPr>
          <w:p w14:paraId="3A2747B6"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Regulators risk description</w:t>
            </w:r>
          </w:p>
        </w:tc>
        <w:tc>
          <w:tcPr>
            <w:tcW w:w="1096" w:type="pct"/>
            <w:vMerge/>
          </w:tcPr>
          <w:p w14:paraId="0FF6EA36" w14:textId="77777777" w:rsidR="008F6405" w:rsidRPr="000747D6" w:rsidRDefault="008F6405" w:rsidP="00224227">
            <w:pPr>
              <w:rPr>
                <w:rFonts w:ascii="Times New Roman" w:hAnsi="Times New Roman" w:cs="Times New Roman"/>
                <w:sz w:val="20"/>
                <w:szCs w:val="20"/>
              </w:rPr>
            </w:pPr>
          </w:p>
        </w:tc>
        <w:tc>
          <w:tcPr>
            <w:tcW w:w="1096" w:type="pct"/>
            <w:vMerge/>
          </w:tcPr>
          <w:p w14:paraId="0E83CBF9" w14:textId="77777777" w:rsidR="008F6405" w:rsidRPr="000747D6" w:rsidRDefault="008F6405" w:rsidP="00224227">
            <w:pPr>
              <w:rPr>
                <w:rFonts w:ascii="Times New Roman" w:hAnsi="Times New Roman" w:cs="Times New Roman"/>
                <w:sz w:val="20"/>
                <w:szCs w:val="20"/>
              </w:rPr>
            </w:pPr>
          </w:p>
        </w:tc>
        <w:tc>
          <w:tcPr>
            <w:tcW w:w="959" w:type="pct"/>
            <w:vMerge/>
          </w:tcPr>
          <w:p w14:paraId="7134C554" w14:textId="77777777" w:rsidR="008F6405" w:rsidRPr="000747D6" w:rsidRDefault="008F6405" w:rsidP="00224227">
            <w:pPr>
              <w:rPr>
                <w:rFonts w:ascii="Times New Roman" w:hAnsi="Times New Roman" w:cs="Times New Roman"/>
                <w:sz w:val="20"/>
                <w:szCs w:val="20"/>
              </w:rPr>
            </w:pPr>
          </w:p>
        </w:tc>
        <w:tc>
          <w:tcPr>
            <w:tcW w:w="1096" w:type="pct"/>
            <w:tcBorders>
              <w:top w:val="single" w:sz="4" w:space="0" w:color="D9D9D9" w:themeColor="background1" w:themeShade="D9"/>
            </w:tcBorders>
          </w:tcPr>
          <w:p w14:paraId="1083185C"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Favourable long-term risk–benefit balance. Absolute risks are likely to vary with age.</w:t>
            </w:r>
          </w:p>
        </w:tc>
      </w:tr>
      <w:tr w:rsidR="008F6405" w:rsidRPr="000747D6" w14:paraId="34DD5C69" w14:textId="77777777" w:rsidTr="008F6405">
        <w:tc>
          <w:tcPr>
            <w:tcW w:w="5000" w:type="pct"/>
            <w:gridSpan w:val="5"/>
            <w:shd w:val="clear" w:color="auto" w:fill="auto"/>
            <w:vAlign w:val="center"/>
          </w:tcPr>
          <w:p w14:paraId="0D0C8880"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b/>
                <w:bCs/>
                <w:sz w:val="20"/>
                <w:szCs w:val="20"/>
              </w:rPr>
              <w:t>2016 Summary of Evidence and Risk</w:t>
            </w:r>
          </w:p>
        </w:tc>
      </w:tr>
      <w:tr w:rsidR="008F6405" w:rsidRPr="000747D6" w14:paraId="0E5D07A9" w14:textId="77777777" w:rsidTr="008F6405">
        <w:trPr>
          <w:trHeight w:val="310"/>
        </w:trPr>
        <w:tc>
          <w:tcPr>
            <w:tcW w:w="754" w:type="pct"/>
            <w:tcBorders>
              <w:bottom w:val="single" w:sz="4" w:space="0" w:color="D9D9D9" w:themeColor="background1" w:themeShade="D9"/>
            </w:tcBorders>
          </w:tcPr>
          <w:p w14:paraId="2B2EEDAE"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Advisory issue dates</w:t>
            </w:r>
          </w:p>
        </w:tc>
        <w:tc>
          <w:tcPr>
            <w:tcW w:w="1096" w:type="pct"/>
            <w:tcBorders>
              <w:bottom w:val="single" w:sz="4" w:space="0" w:color="D9D9D9" w:themeColor="background1" w:themeShade="D9"/>
            </w:tcBorders>
          </w:tcPr>
          <w:p w14:paraId="4260F544"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12 December</w:t>
            </w:r>
          </w:p>
        </w:tc>
        <w:tc>
          <w:tcPr>
            <w:tcW w:w="1096" w:type="pct"/>
            <w:vMerge w:val="restart"/>
            <w:tcBorders>
              <w:bottom w:val="nil"/>
            </w:tcBorders>
            <w:vAlign w:val="center"/>
          </w:tcPr>
          <w:p w14:paraId="1CAE0F5E"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c>
          <w:tcPr>
            <w:tcW w:w="959" w:type="pct"/>
            <w:vMerge w:val="restart"/>
            <w:tcBorders>
              <w:bottom w:val="nil"/>
            </w:tcBorders>
            <w:vAlign w:val="center"/>
          </w:tcPr>
          <w:p w14:paraId="5C903E92" w14:textId="77777777" w:rsidR="008F6405" w:rsidRPr="000747D6" w:rsidRDefault="008F6405" w:rsidP="00224227">
            <w:pPr>
              <w:jc w:val="center"/>
              <w:rPr>
                <w:rFonts w:ascii="Times New Roman" w:hAnsi="Times New Roman" w:cs="Times New Roman"/>
                <w:b/>
                <w:bCs/>
                <w:sz w:val="20"/>
                <w:szCs w:val="20"/>
              </w:rPr>
            </w:pPr>
            <w:r w:rsidRPr="000747D6">
              <w:rPr>
                <w:rFonts w:ascii="Times New Roman" w:hAnsi="Times New Roman" w:cs="Times New Roman"/>
                <w:sz w:val="20"/>
                <w:szCs w:val="20"/>
              </w:rPr>
              <w:t>-</w:t>
            </w:r>
          </w:p>
        </w:tc>
        <w:tc>
          <w:tcPr>
            <w:tcW w:w="1096" w:type="pct"/>
            <w:vMerge w:val="restart"/>
            <w:tcBorders>
              <w:bottom w:val="nil"/>
            </w:tcBorders>
            <w:vAlign w:val="center"/>
          </w:tcPr>
          <w:p w14:paraId="24BD5470" w14:textId="77777777" w:rsidR="008F6405" w:rsidRPr="000747D6" w:rsidRDefault="008F6405" w:rsidP="00224227">
            <w:pPr>
              <w:jc w:val="center"/>
              <w:rPr>
                <w:rFonts w:ascii="Times New Roman" w:hAnsi="Times New Roman" w:cs="Times New Roman"/>
                <w:sz w:val="20"/>
                <w:szCs w:val="20"/>
              </w:rPr>
            </w:pPr>
            <w:r w:rsidRPr="000747D6">
              <w:rPr>
                <w:rFonts w:ascii="Times New Roman" w:hAnsi="Times New Roman" w:cs="Times New Roman"/>
                <w:sz w:val="20"/>
                <w:szCs w:val="20"/>
              </w:rPr>
              <w:t>-</w:t>
            </w:r>
          </w:p>
        </w:tc>
      </w:tr>
      <w:tr w:rsidR="008F6405" w:rsidRPr="000747D6" w14:paraId="44F73BCB" w14:textId="77777777" w:rsidTr="008F6405">
        <w:trPr>
          <w:trHeight w:val="706"/>
        </w:trPr>
        <w:tc>
          <w:tcPr>
            <w:tcW w:w="754" w:type="pct"/>
            <w:tcBorders>
              <w:top w:val="single" w:sz="4" w:space="0" w:color="D9D9D9" w:themeColor="background1" w:themeShade="D9"/>
              <w:bottom w:val="single" w:sz="4" w:space="0" w:color="D9D9D9" w:themeColor="background1" w:themeShade="D9"/>
            </w:tcBorders>
          </w:tcPr>
          <w:p w14:paraId="21FB9000"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Evidence cited</w:t>
            </w:r>
          </w:p>
        </w:tc>
        <w:tc>
          <w:tcPr>
            <w:tcW w:w="1096" w:type="pct"/>
            <w:tcBorders>
              <w:top w:val="single" w:sz="4" w:space="0" w:color="D9D9D9" w:themeColor="background1" w:themeShade="D9"/>
              <w:bottom w:val="single" w:sz="4" w:space="0" w:color="D9D9D9" w:themeColor="background1" w:themeShade="D9"/>
            </w:tcBorders>
          </w:tcPr>
          <w:p w14:paraId="4AD00CEB"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 xml:space="preserve">KPNC, KPNC – 10 year, PROactive, PROactive – 10 </w:t>
            </w:r>
            <w:bookmarkStart w:id="1" w:name="_Int_tjL80tNT"/>
            <w:r w:rsidRPr="000747D6">
              <w:rPr>
                <w:rFonts w:ascii="Times New Roman" w:hAnsi="Times New Roman" w:cs="Times New Roman"/>
                <w:sz w:val="20"/>
                <w:szCs w:val="20"/>
              </w:rPr>
              <w:t>year</w:t>
            </w:r>
            <w:bookmarkEnd w:id="1"/>
            <w:r w:rsidRPr="000747D6">
              <w:rPr>
                <w:rFonts w:ascii="Times New Roman" w:hAnsi="Times New Roman" w:cs="Times New Roman"/>
                <w:sz w:val="20"/>
                <w:szCs w:val="20"/>
              </w:rPr>
              <w:t>, CPRD</w:t>
            </w:r>
          </w:p>
        </w:tc>
        <w:tc>
          <w:tcPr>
            <w:tcW w:w="1096" w:type="pct"/>
            <w:vMerge/>
          </w:tcPr>
          <w:p w14:paraId="2A8C60B3" w14:textId="77777777" w:rsidR="008F6405" w:rsidRPr="000747D6" w:rsidRDefault="008F6405" w:rsidP="00224227">
            <w:pPr>
              <w:rPr>
                <w:rFonts w:ascii="Times New Roman" w:hAnsi="Times New Roman" w:cs="Times New Roman"/>
                <w:b/>
                <w:bCs/>
                <w:sz w:val="20"/>
                <w:szCs w:val="20"/>
              </w:rPr>
            </w:pPr>
          </w:p>
        </w:tc>
        <w:tc>
          <w:tcPr>
            <w:tcW w:w="959" w:type="pct"/>
            <w:vMerge/>
          </w:tcPr>
          <w:p w14:paraId="666677E2" w14:textId="77777777" w:rsidR="008F6405" w:rsidRPr="000747D6" w:rsidRDefault="008F6405" w:rsidP="00224227">
            <w:pPr>
              <w:rPr>
                <w:rFonts w:ascii="Times New Roman" w:hAnsi="Times New Roman" w:cs="Times New Roman"/>
                <w:b/>
                <w:bCs/>
                <w:sz w:val="20"/>
                <w:szCs w:val="20"/>
              </w:rPr>
            </w:pPr>
          </w:p>
        </w:tc>
        <w:tc>
          <w:tcPr>
            <w:tcW w:w="1096" w:type="pct"/>
            <w:vMerge/>
          </w:tcPr>
          <w:p w14:paraId="04121689" w14:textId="77777777" w:rsidR="008F6405" w:rsidRPr="000747D6" w:rsidRDefault="008F6405" w:rsidP="00224227">
            <w:pPr>
              <w:rPr>
                <w:rFonts w:ascii="Times New Roman" w:hAnsi="Times New Roman" w:cs="Times New Roman"/>
                <w:b/>
                <w:bCs/>
                <w:sz w:val="20"/>
                <w:szCs w:val="20"/>
              </w:rPr>
            </w:pPr>
          </w:p>
        </w:tc>
      </w:tr>
      <w:tr w:rsidR="008F6405" w:rsidRPr="000747D6" w14:paraId="10F754A7" w14:textId="77777777" w:rsidTr="008F6405">
        <w:trPr>
          <w:trHeight w:val="307"/>
        </w:trPr>
        <w:tc>
          <w:tcPr>
            <w:tcW w:w="754" w:type="pct"/>
            <w:tcBorders>
              <w:top w:val="single" w:sz="4" w:space="0" w:color="D9D9D9" w:themeColor="background1" w:themeShade="D9"/>
              <w:bottom w:val="single" w:sz="4" w:space="0" w:color="D9D9D9" w:themeColor="background1" w:themeShade="D9"/>
            </w:tcBorders>
          </w:tcPr>
          <w:p w14:paraId="5BBDB329"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Other regulators mentioned</w:t>
            </w:r>
          </w:p>
        </w:tc>
        <w:tc>
          <w:tcPr>
            <w:tcW w:w="1096" w:type="pct"/>
            <w:tcBorders>
              <w:top w:val="single" w:sz="4" w:space="0" w:color="D9D9D9" w:themeColor="background1" w:themeShade="D9"/>
              <w:bottom w:val="single" w:sz="4" w:space="0" w:color="D9D9D9" w:themeColor="background1" w:themeShade="D9"/>
            </w:tcBorders>
          </w:tcPr>
          <w:p w14:paraId="178F12A0"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None</w:t>
            </w:r>
          </w:p>
        </w:tc>
        <w:tc>
          <w:tcPr>
            <w:tcW w:w="1096" w:type="pct"/>
            <w:vMerge/>
          </w:tcPr>
          <w:p w14:paraId="66CA38B9" w14:textId="77777777" w:rsidR="008F6405" w:rsidRPr="000747D6" w:rsidRDefault="008F6405" w:rsidP="00224227">
            <w:pPr>
              <w:rPr>
                <w:rFonts w:ascii="Times New Roman" w:hAnsi="Times New Roman" w:cs="Times New Roman"/>
                <w:b/>
                <w:bCs/>
                <w:sz w:val="20"/>
                <w:szCs w:val="20"/>
              </w:rPr>
            </w:pPr>
          </w:p>
        </w:tc>
        <w:tc>
          <w:tcPr>
            <w:tcW w:w="959" w:type="pct"/>
            <w:vMerge/>
          </w:tcPr>
          <w:p w14:paraId="76EEFEAD" w14:textId="77777777" w:rsidR="008F6405" w:rsidRPr="000747D6" w:rsidRDefault="008F6405" w:rsidP="00224227">
            <w:pPr>
              <w:rPr>
                <w:rFonts w:ascii="Times New Roman" w:hAnsi="Times New Roman" w:cs="Times New Roman"/>
                <w:b/>
                <w:bCs/>
                <w:sz w:val="20"/>
                <w:szCs w:val="20"/>
              </w:rPr>
            </w:pPr>
          </w:p>
        </w:tc>
        <w:tc>
          <w:tcPr>
            <w:tcW w:w="1096" w:type="pct"/>
            <w:vMerge/>
          </w:tcPr>
          <w:p w14:paraId="49AD1B26" w14:textId="77777777" w:rsidR="008F6405" w:rsidRPr="000747D6" w:rsidRDefault="008F6405" w:rsidP="00224227">
            <w:pPr>
              <w:rPr>
                <w:rFonts w:ascii="Times New Roman" w:hAnsi="Times New Roman" w:cs="Times New Roman"/>
                <w:b/>
                <w:bCs/>
                <w:sz w:val="20"/>
                <w:szCs w:val="20"/>
              </w:rPr>
            </w:pPr>
          </w:p>
        </w:tc>
      </w:tr>
      <w:tr w:rsidR="008F6405" w:rsidRPr="000747D6" w14:paraId="6E2A3634" w14:textId="77777777" w:rsidTr="008F6405">
        <w:trPr>
          <w:trHeight w:val="307"/>
        </w:trPr>
        <w:tc>
          <w:tcPr>
            <w:tcW w:w="754" w:type="pct"/>
            <w:tcBorders>
              <w:top w:val="single" w:sz="4" w:space="0" w:color="D9D9D9" w:themeColor="background1" w:themeShade="D9"/>
              <w:bottom w:val="single" w:sz="4" w:space="0" w:color="D9D9D9" w:themeColor="background1" w:themeShade="D9"/>
            </w:tcBorders>
          </w:tcPr>
          <w:p w14:paraId="7B7747F5"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Risk confirmed</w:t>
            </w:r>
          </w:p>
        </w:tc>
        <w:tc>
          <w:tcPr>
            <w:tcW w:w="1096" w:type="pct"/>
            <w:tcBorders>
              <w:top w:val="single" w:sz="4" w:space="0" w:color="D9D9D9" w:themeColor="background1" w:themeShade="D9"/>
              <w:bottom w:val="single" w:sz="4" w:space="0" w:color="D9D9D9" w:themeColor="background1" w:themeShade="D9"/>
            </w:tcBorders>
          </w:tcPr>
          <w:p w14:paraId="2A10722C"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Yes</w:t>
            </w:r>
          </w:p>
        </w:tc>
        <w:tc>
          <w:tcPr>
            <w:tcW w:w="1096" w:type="pct"/>
            <w:vMerge/>
          </w:tcPr>
          <w:p w14:paraId="53F8D8AD" w14:textId="77777777" w:rsidR="008F6405" w:rsidRPr="000747D6" w:rsidRDefault="008F6405" w:rsidP="00224227">
            <w:pPr>
              <w:rPr>
                <w:rFonts w:ascii="Times New Roman" w:hAnsi="Times New Roman" w:cs="Times New Roman"/>
                <w:b/>
                <w:bCs/>
                <w:sz w:val="20"/>
                <w:szCs w:val="20"/>
              </w:rPr>
            </w:pPr>
          </w:p>
        </w:tc>
        <w:tc>
          <w:tcPr>
            <w:tcW w:w="959" w:type="pct"/>
            <w:vMerge/>
          </w:tcPr>
          <w:p w14:paraId="0C9D44C2" w14:textId="77777777" w:rsidR="008F6405" w:rsidRPr="000747D6" w:rsidRDefault="008F6405" w:rsidP="00224227">
            <w:pPr>
              <w:rPr>
                <w:rFonts w:ascii="Times New Roman" w:hAnsi="Times New Roman" w:cs="Times New Roman"/>
                <w:b/>
                <w:bCs/>
                <w:sz w:val="20"/>
                <w:szCs w:val="20"/>
              </w:rPr>
            </w:pPr>
          </w:p>
        </w:tc>
        <w:tc>
          <w:tcPr>
            <w:tcW w:w="1096" w:type="pct"/>
            <w:vMerge/>
          </w:tcPr>
          <w:p w14:paraId="08638D23" w14:textId="77777777" w:rsidR="008F6405" w:rsidRPr="000747D6" w:rsidRDefault="008F6405" w:rsidP="00224227">
            <w:pPr>
              <w:rPr>
                <w:rFonts w:ascii="Times New Roman" w:hAnsi="Times New Roman" w:cs="Times New Roman"/>
                <w:b/>
                <w:bCs/>
                <w:sz w:val="20"/>
                <w:szCs w:val="20"/>
              </w:rPr>
            </w:pPr>
          </w:p>
        </w:tc>
      </w:tr>
      <w:tr w:rsidR="008F6405" w:rsidRPr="000747D6" w14:paraId="61093E1A" w14:textId="77777777" w:rsidTr="008F6405">
        <w:trPr>
          <w:trHeight w:val="307"/>
        </w:trPr>
        <w:tc>
          <w:tcPr>
            <w:tcW w:w="754" w:type="pct"/>
            <w:tcBorders>
              <w:top w:val="single" w:sz="4" w:space="0" w:color="D9D9D9" w:themeColor="background1" w:themeShade="D9"/>
            </w:tcBorders>
          </w:tcPr>
          <w:p w14:paraId="646E5576" w14:textId="77777777" w:rsidR="008F6405" w:rsidRPr="000747D6" w:rsidRDefault="008F6405" w:rsidP="00224227">
            <w:pPr>
              <w:rPr>
                <w:rFonts w:ascii="Times New Roman" w:hAnsi="Times New Roman" w:cs="Times New Roman"/>
                <w:sz w:val="20"/>
                <w:szCs w:val="20"/>
              </w:rPr>
            </w:pPr>
            <w:r w:rsidRPr="000747D6">
              <w:rPr>
                <w:rFonts w:ascii="Times New Roman" w:hAnsi="Times New Roman" w:cs="Times New Roman"/>
                <w:sz w:val="20"/>
                <w:szCs w:val="20"/>
              </w:rPr>
              <w:t>Regulators risk description</w:t>
            </w:r>
          </w:p>
        </w:tc>
        <w:tc>
          <w:tcPr>
            <w:tcW w:w="1096" w:type="pct"/>
            <w:tcBorders>
              <w:top w:val="single" w:sz="4" w:space="0" w:color="D9D9D9" w:themeColor="background1" w:themeShade="D9"/>
            </w:tcBorders>
          </w:tcPr>
          <w:p w14:paraId="77D17159" w14:textId="77777777" w:rsidR="008F6405" w:rsidRPr="000747D6" w:rsidRDefault="008F6405" w:rsidP="00224227">
            <w:pPr>
              <w:rPr>
                <w:rFonts w:ascii="Times New Roman" w:hAnsi="Times New Roman" w:cs="Times New Roman"/>
                <w:b/>
                <w:bCs/>
                <w:sz w:val="20"/>
                <w:szCs w:val="20"/>
              </w:rPr>
            </w:pPr>
            <w:r w:rsidRPr="000747D6">
              <w:rPr>
                <w:rFonts w:ascii="Times New Roman" w:hAnsi="Times New Roman" w:cs="Times New Roman"/>
                <w:sz w:val="20"/>
                <w:szCs w:val="20"/>
              </w:rPr>
              <w:t>Use may be linked to an increased risk of bladder cancer.</w:t>
            </w:r>
          </w:p>
        </w:tc>
        <w:tc>
          <w:tcPr>
            <w:tcW w:w="1096" w:type="pct"/>
            <w:vMerge/>
          </w:tcPr>
          <w:p w14:paraId="38F6493C" w14:textId="77777777" w:rsidR="008F6405" w:rsidRPr="000747D6" w:rsidRDefault="008F6405" w:rsidP="00224227">
            <w:pPr>
              <w:rPr>
                <w:rFonts w:ascii="Times New Roman" w:hAnsi="Times New Roman" w:cs="Times New Roman"/>
                <w:b/>
                <w:bCs/>
                <w:sz w:val="20"/>
                <w:szCs w:val="20"/>
              </w:rPr>
            </w:pPr>
          </w:p>
        </w:tc>
        <w:tc>
          <w:tcPr>
            <w:tcW w:w="959" w:type="pct"/>
            <w:vMerge/>
          </w:tcPr>
          <w:p w14:paraId="5B645DD5" w14:textId="77777777" w:rsidR="008F6405" w:rsidRPr="000747D6" w:rsidRDefault="008F6405" w:rsidP="00224227">
            <w:pPr>
              <w:rPr>
                <w:rFonts w:ascii="Times New Roman" w:hAnsi="Times New Roman" w:cs="Times New Roman"/>
                <w:b/>
                <w:bCs/>
                <w:sz w:val="20"/>
                <w:szCs w:val="20"/>
              </w:rPr>
            </w:pPr>
          </w:p>
        </w:tc>
        <w:tc>
          <w:tcPr>
            <w:tcW w:w="1096" w:type="pct"/>
            <w:vMerge/>
          </w:tcPr>
          <w:p w14:paraId="3470A8D2" w14:textId="77777777" w:rsidR="008F6405" w:rsidRPr="000747D6" w:rsidRDefault="008F6405" w:rsidP="00224227">
            <w:pPr>
              <w:rPr>
                <w:rFonts w:ascii="Times New Roman" w:hAnsi="Times New Roman" w:cs="Times New Roman"/>
                <w:b/>
                <w:bCs/>
                <w:sz w:val="20"/>
                <w:szCs w:val="20"/>
              </w:rPr>
            </w:pPr>
          </w:p>
        </w:tc>
      </w:tr>
    </w:tbl>
    <w:p w14:paraId="3AA06607" w14:textId="77777777" w:rsidR="008F6405" w:rsidRPr="000747D6" w:rsidRDefault="008F6405" w:rsidP="008F6405">
      <w:pPr>
        <w:spacing w:line="240" w:lineRule="auto"/>
        <w:rPr>
          <w:rFonts w:ascii="Times New Roman" w:hAnsi="Times New Roman" w:cs="Times New Roman"/>
          <w:sz w:val="20"/>
          <w:szCs w:val="20"/>
        </w:rPr>
      </w:pPr>
      <w:r w:rsidRPr="000747D6">
        <w:rPr>
          <w:rFonts w:ascii="Times New Roman" w:hAnsi="Times New Roman" w:cs="Times New Roman"/>
          <w:sz w:val="20"/>
          <w:szCs w:val="20"/>
        </w:rPr>
        <w:t>FDA: United States Food and Drug Administration, HC: Health Canada, MHRA: United Kingdom Healthcare Products Regulatory Agency, TGA: Australian Therapeutic Goods Administration.</w:t>
      </w:r>
    </w:p>
    <w:p w14:paraId="52C21237" w14:textId="59DDF85C" w:rsidR="00DF0996" w:rsidRPr="0006444F" w:rsidRDefault="0006444F">
      <w:pPr>
        <w:rPr>
          <w:rFonts w:ascii="Times New Roman" w:hAnsi="Times New Roman" w:cs="Times New Roman"/>
          <w:sz w:val="20"/>
          <w:szCs w:val="20"/>
        </w:rPr>
      </w:pPr>
      <w:r w:rsidRPr="000747D6">
        <w:rPr>
          <w:rFonts w:ascii="Times New Roman" w:eastAsiaTheme="majorEastAsia" w:hAnsi="Times New Roman" w:cs="Times New Roman"/>
          <w:color w:val="4D4D4D" w:themeColor="accent6"/>
          <w:sz w:val="20"/>
          <w:szCs w:val="20"/>
        </w:rPr>
        <w:t xml:space="preserve">ADR: Adverse Drug Reaction, CNMATS: </w:t>
      </w:r>
      <w:proofErr w:type="spellStart"/>
      <w:r w:rsidRPr="000747D6">
        <w:rPr>
          <w:rFonts w:ascii="Times New Roman" w:eastAsiaTheme="majorEastAsia" w:hAnsi="Times New Roman" w:cs="Times New Roman"/>
          <w:color w:val="4D4D4D" w:themeColor="accent6"/>
          <w:sz w:val="20"/>
          <w:szCs w:val="20"/>
        </w:rPr>
        <w:t>Caisse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Nationale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d'Assurance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Maladie</w:t>
      </w:r>
      <w:proofErr w:type="spellEnd"/>
      <w:r w:rsidRPr="000747D6">
        <w:rPr>
          <w:rFonts w:ascii="Times New Roman" w:eastAsiaTheme="majorEastAsia" w:hAnsi="Times New Roman" w:cs="Times New Roman"/>
          <w:color w:val="4D4D4D" w:themeColor="accent6"/>
          <w:sz w:val="20"/>
          <w:szCs w:val="20"/>
        </w:rPr>
        <w:t xml:space="preserve"> des </w:t>
      </w:r>
      <w:proofErr w:type="spellStart"/>
      <w:r w:rsidRPr="000747D6">
        <w:rPr>
          <w:rFonts w:ascii="Times New Roman" w:eastAsiaTheme="majorEastAsia" w:hAnsi="Times New Roman" w:cs="Times New Roman"/>
          <w:color w:val="4D4D4D" w:themeColor="accent6"/>
          <w:sz w:val="20"/>
          <w:szCs w:val="20"/>
        </w:rPr>
        <w:t>Travailleurs</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Salariés</w:t>
      </w:r>
      <w:proofErr w:type="spellEnd"/>
      <w:r w:rsidRPr="000747D6">
        <w:rPr>
          <w:rFonts w:ascii="Times New Roman" w:eastAsiaTheme="majorEastAsia" w:hAnsi="Times New Roman" w:cs="Times New Roman"/>
          <w:color w:val="4D4D4D" w:themeColor="accent6"/>
          <w:sz w:val="20"/>
          <w:szCs w:val="20"/>
        </w:rPr>
        <w:t xml:space="preserve">, CPRD: Clinical Practice Research Datalink Database, </w:t>
      </w:r>
      <w:r w:rsidRPr="000747D6">
        <w:rPr>
          <w:rFonts w:ascii="Times New Roman" w:hAnsi="Times New Roman" w:cs="Times New Roman"/>
          <w:sz w:val="20"/>
          <w:szCs w:val="20"/>
        </w:rPr>
        <w:t xml:space="preserve">GPRD: General Practice Research Database, </w:t>
      </w:r>
      <w:r w:rsidRPr="000747D6">
        <w:rPr>
          <w:rFonts w:ascii="Times New Roman" w:eastAsiaTheme="majorEastAsia" w:hAnsi="Times New Roman" w:cs="Times New Roman"/>
          <w:color w:val="4D4D4D" w:themeColor="accent6"/>
          <w:sz w:val="20"/>
          <w:szCs w:val="20"/>
        </w:rPr>
        <w:t xml:space="preserve">KPNC: Kaiser </w:t>
      </w:r>
      <w:r w:rsidRPr="000747D6">
        <w:rPr>
          <w:rFonts w:ascii="Times New Roman" w:hAnsi="Times New Roman" w:cs="Times New Roman"/>
          <w:sz w:val="20"/>
          <w:szCs w:val="20"/>
        </w:rPr>
        <w:t xml:space="preserve">Permanente Northern California, </w:t>
      </w:r>
      <w:proofErr w:type="spellStart"/>
      <w:r w:rsidRPr="000747D6">
        <w:rPr>
          <w:rFonts w:ascii="Times New Roman" w:hAnsi="Times New Roman" w:cs="Times New Roman"/>
          <w:sz w:val="20"/>
          <w:szCs w:val="20"/>
        </w:rPr>
        <w:t>PROActive</w:t>
      </w:r>
      <w:proofErr w:type="spellEnd"/>
      <w:r w:rsidRPr="000747D6">
        <w:rPr>
          <w:rFonts w:ascii="Times New Roman" w:hAnsi="Times New Roman" w:cs="Times New Roman"/>
          <w:sz w:val="20"/>
          <w:szCs w:val="20"/>
        </w:rPr>
        <w:t xml:space="preserve">: </w:t>
      </w:r>
      <w:proofErr w:type="spellStart"/>
      <w:r w:rsidRPr="000747D6">
        <w:rPr>
          <w:rFonts w:ascii="Times New Roman" w:eastAsiaTheme="majorEastAsia" w:hAnsi="Times New Roman" w:cs="Times New Roman"/>
          <w:color w:val="4D4D4D" w:themeColor="accent6"/>
          <w:sz w:val="20"/>
          <w:szCs w:val="20"/>
        </w:rPr>
        <w:t>PROspective</w:t>
      </w:r>
      <w:proofErr w:type="spellEnd"/>
      <w:r w:rsidRPr="000747D6">
        <w:rPr>
          <w:rFonts w:ascii="Times New Roman" w:eastAsiaTheme="majorEastAsia" w:hAnsi="Times New Roman" w:cs="Times New Roman"/>
          <w:color w:val="4D4D4D" w:themeColor="accent6"/>
          <w:sz w:val="20"/>
          <w:szCs w:val="20"/>
        </w:rPr>
        <w:t xml:space="preserve"> </w:t>
      </w:r>
      <w:proofErr w:type="spellStart"/>
      <w:r w:rsidRPr="000747D6">
        <w:rPr>
          <w:rFonts w:ascii="Times New Roman" w:eastAsiaTheme="majorEastAsia" w:hAnsi="Times New Roman" w:cs="Times New Roman"/>
          <w:color w:val="4D4D4D" w:themeColor="accent6"/>
          <w:sz w:val="20"/>
          <w:szCs w:val="20"/>
        </w:rPr>
        <w:t>pioglitAzone</w:t>
      </w:r>
      <w:proofErr w:type="spellEnd"/>
      <w:r w:rsidRPr="000747D6">
        <w:rPr>
          <w:rFonts w:ascii="Times New Roman" w:eastAsiaTheme="majorEastAsia" w:hAnsi="Times New Roman" w:cs="Times New Roman"/>
          <w:color w:val="4D4D4D" w:themeColor="accent6"/>
          <w:sz w:val="20"/>
          <w:szCs w:val="20"/>
        </w:rPr>
        <w:t xml:space="preserve"> Clinical Trial In </w:t>
      </w:r>
      <w:proofErr w:type="spellStart"/>
      <w:r w:rsidRPr="000747D6">
        <w:rPr>
          <w:rFonts w:ascii="Times New Roman" w:eastAsiaTheme="majorEastAsia" w:hAnsi="Times New Roman" w:cs="Times New Roman"/>
          <w:color w:val="4D4D4D" w:themeColor="accent6"/>
          <w:sz w:val="20"/>
          <w:szCs w:val="20"/>
        </w:rPr>
        <w:t>macroVascular</w:t>
      </w:r>
      <w:proofErr w:type="spellEnd"/>
      <w:r w:rsidRPr="000747D6">
        <w:rPr>
          <w:rFonts w:ascii="Times New Roman" w:eastAsiaTheme="majorEastAsia" w:hAnsi="Times New Roman" w:cs="Times New Roman"/>
          <w:color w:val="4D4D4D" w:themeColor="accent6"/>
          <w:sz w:val="20"/>
          <w:szCs w:val="20"/>
        </w:rPr>
        <w:t xml:space="preserve"> Events, RCT: Randomised Clinical Trial</w:t>
      </w:r>
      <w:bookmarkStart w:id="2" w:name="_GoBack"/>
      <w:bookmarkEnd w:id="2"/>
    </w:p>
    <w:p w14:paraId="44E3B033" w14:textId="77777777" w:rsidR="00DF0996" w:rsidRPr="0006444F" w:rsidRDefault="00DF0996">
      <w:pPr>
        <w:rPr>
          <w:rFonts w:ascii="Times New Roman" w:hAnsi="Times New Roman" w:cs="Times New Roman"/>
        </w:rPr>
      </w:pPr>
    </w:p>
    <w:p w14:paraId="28BA580C" w14:textId="77777777" w:rsidR="00DF0996" w:rsidRPr="0006444F" w:rsidRDefault="00DF0996">
      <w:pPr>
        <w:rPr>
          <w:rFonts w:ascii="Times New Roman" w:hAnsi="Times New Roman" w:cs="Times New Roman"/>
        </w:rPr>
      </w:pPr>
    </w:p>
    <w:p w14:paraId="27822991" w14:textId="77777777" w:rsidR="00DF0996" w:rsidRPr="0006444F" w:rsidRDefault="00DF0996">
      <w:pPr>
        <w:rPr>
          <w:rFonts w:ascii="Times New Roman" w:hAnsi="Times New Roman" w:cs="Times New Roman"/>
        </w:rPr>
      </w:pPr>
    </w:p>
    <w:p w14:paraId="4B92E079" w14:textId="77777777" w:rsidR="00DF0996" w:rsidRPr="0006444F" w:rsidRDefault="00DF0996">
      <w:pPr>
        <w:rPr>
          <w:rFonts w:ascii="Times New Roman" w:hAnsi="Times New Roman" w:cs="Times New Roman"/>
        </w:rPr>
      </w:pPr>
    </w:p>
    <w:p w14:paraId="734C7F32" w14:textId="77777777" w:rsidR="00DF0996" w:rsidRPr="0006444F" w:rsidRDefault="00DF0996">
      <w:pPr>
        <w:rPr>
          <w:rFonts w:ascii="Times New Roman" w:hAnsi="Times New Roman" w:cs="Times New Roman"/>
        </w:rPr>
      </w:pPr>
    </w:p>
    <w:p w14:paraId="3A0E5332" w14:textId="77777777" w:rsidR="00DF0996" w:rsidRPr="0006444F" w:rsidRDefault="00DF0996">
      <w:pPr>
        <w:rPr>
          <w:rFonts w:ascii="Times New Roman" w:hAnsi="Times New Roman" w:cs="Times New Roman"/>
        </w:rPr>
      </w:pPr>
    </w:p>
    <w:p w14:paraId="09E213BD" w14:textId="77777777" w:rsidR="00DF0996" w:rsidRPr="0006444F" w:rsidRDefault="00DF0996">
      <w:pPr>
        <w:rPr>
          <w:rFonts w:ascii="Times New Roman" w:hAnsi="Times New Roman" w:cs="Times New Roman"/>
        </w:rPr>
      </w:pPr>
    </w:p>
    <w:p w14:paraId="6A4DA7E4" w14:textId="77777777" w:rsidR="00DF0996" w:rsidRPr="0006444F" w:rsidRDefault="00DF0996">
      <w:pPr>
        <w:rPr>
          <w:rFonts w:ascii="Times New Roman" w:hAnsi="Times New Roman" w:cs="Times New Roman"/>
        </w:rPr>
      </w:pPr>
    </w:p>
    <w:sectPr w:rsidR="00DF0996" w:rsidRPr="0006444F" w:rsidSect="00074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EE6DB"/>
    <w:multiLevelType w:val="hybridMultilevel"/>
    <w:tmpl w:val="3B1ACF94"/>
    <w:lvl w:ilvl="0" w:tplc="02A846D2">
      <w:start w:val="1"/>
      <w:numFmt w:val="decimal"/>
      <w:lvlText w:val="%1."/>
      <w:lvlJc w:val="left"/>
      <w:pPr>
        <w:ind w:left="360" w:hanging="360"/>
      </w:pPr>
      <w:rPr>
        <w:rFonts w:ascii="Times New Roman" w:hAnsi="Times New Roman" w:hint="default"/>
      </w:rPr>
    </w:lvl>
    <w:lvl w:ilvl="1" w:tplc="688AF816">
      <w:start w:val="1"/>
      <w:numFmt w:val="lowerLetter"/>
      <w:lvlText w:val="%2."/>
      <w:lvlJc w:val="left"/>
      <w:pPr>
        <w:ind w:left="1440" w:hanging="360"/>
      </w:pPr>
    </w:lvl>
    <w:lvl w:ilvl="2" w:tplc="FDD21D22">
      <w:start w:val="1"/>
      <w:numFmt w:val="lowerRoman"/>
      <w:lvlText w:val="%3."/>
      <w:lvlJc w:val="right"/>
      <w:pPr>
        <w:ind w:left="2160" w:hanging="180"/>
      </w:pPr>
    </w:lvl>
    <w:lvl w:ilvl="3" w:tplc="0E0C5774">
      <w:start w:val="1"/>
      <w:numFmt w:val="decimal"/>
      <w:lvlText w:val="%4."/>
      <w:lvlJc w:val="left"/>
      <w:pPr>
        <w:ind w:left="2880" w:hanging="360"/>
      </w:pPr>
    </w:lvl>
    <w:lvl w:ilvl="4" w:tplc="8E92E560">
      <w:start w:val="1"/>
      <w:numFmt w:val="lowerLetter"/>
      <w:lvlText w:val="%5."/>
      <w:lvlJc w:val="left"/>
      <w:pPr>
        <w:ind w:left="3600" w:hanging="360"/>
      </w:pPr>
    </w:lvl>
    <w:lvl w:ilvl="5" w:tplc="3A2C2CC6">
      <w:start w:val="1"/>
      <w:numFmt w:val="lowerRoman"/>
      <w:lvlText w:val="%6."/>
      <w:lvlJc w:val="right"/>
      <w:pPr>
        <w:ind w:left="4320" w:hanging="180"/>
      </w:pPr>
    </w:lvl>
    <w:lvl w:ilvl="6" w:tplc="0D8ABDC4">
      <w:start w:val="1"/>
      <w:numFmt w:val="decimal"/>
      <w:lvlText w:val="%7."/>
      <w:lvlJc w:val="left"/>
      <w:pPr>
        <w:ind w:left="5040" w:hanging="360"/>
      </w:pPr>
    </w:lvl>
    <w:lvl w:ilvl="7" w:tplc="895E54BE">
      <w:start w:val="1"/>
      <w:numFmt w:val="lowerLetter"/>
      <w:lvlText w:val="%8."/>
      <w:lvlJc w:val="left"/>
      <w:pPr>
        <w:ind w:left="5760" w:hanging="360"/>
      </w:pPr>
    </w:lvl>
    <w:lvl w:ilvl="8" w:tplc="4E7A177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437"/>
    <w:rsid w:val="0006444F"/>
    <w:rsid w:val="000747D6"/>
    <w:rsid w:val="00363AF7"/>
    <w:rsid w:val="004800F9"/>
    <w:rsid w:val="005A5B94"/>
    <w:rsid w:val="008F6405"/>
    <w:rsid w:val="009C37C7"/>
    <w:rsid w:val="00B15BA3"/>
    <w:rsid w:val="00BE7437"/>
    <w:rsid w:val="00C4377A"/>
    <w:rsid w:val="00D822CF"/>
    <w:rsid w:val="00DF0996"/>
    <w:rsid w:val="00ED02B5"/>
    <w:rsid w:val="00EF4320"/>
    <w:rsid w:val="00F016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3835"/>
  <w15:chartTrackingRefBased/>
  <w15:docId w15:val="{323A5E3A-44B0-432C-B6BF-C842EA17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996"/>
    <w:pPr>
      <w:spacing w:line="259" w:lineRule="auto"/>
    </w:pPr>
    <w:rPr>
      <w:sz w:val="22"/>
      <w:szCs w:val="22"/>
    </w:rPr>
  </w:style>
  <w:style w:type="paragraph" w:styleId="Heading1">
    <w:name w:val="heading 1"/>
    <w:basedOn w:val="Normal"/>
    <w:next w:val="Normal"/>
    <w:link w:val="Heading1Char"/>
    <w:uiPriority w:val="9"/>
    <w:qFormat/>
    <w:rsid w:val="00BE7437"/>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Heading2">
    <w:name w:val="heading 2"/>
    <w:basedOn w:val="Normal"/>
    <w:next w:val="Normal"/>
    <w:link w:val="Heading2Char"/>
    <w:uiPriority w:val="9"/>
    <w:semiHidden/>
    <w:unhideWhenUsed/>
    <w:qFormat/>
    <w:rsid w:val="00BE7437"/>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unhideWhenUsed/>
    <w:qFormat/>
    <w:rsid w:val="00BE7437"/>
    <w:pPr>
      <w:keepNext/>
      <w:keepLines/>
      <w:spacing w:before="160" w:after="80"/>
      <w:outlineLvl w:val="2"/>
    </w:pPr>
    <w:rPr>
      <w:rFonts w:eastAsiaTheme="majorEastAsia" w:cstheme="majorBidi"/>
      <w:color w:val="A5A5A5" w:themeColor="accent1" w:themeShade="BF"/>
      <w:sz w:val="28"/>
      <w:szCs w:val="28"/>
    </w:rPr>
  </w:style>
  <w:style w:type="paragraph" w:styleId="Heading4">
    <w:name w:val="heading 4"/>
    <w:basedOn w:val="Normal"/>
    <w:next w:val="Normal"/>
    <w:link w:val="Heading4Char"/>
    <w:uiPriority w:val="9"/>
    <w:semiHidden/>
    <w:unhideWhenUsed/>
    <w:qFormat/>
    <w:rsid w:val="00BE7437"/>
    <w:pPr>
      <w:keepNext/>
      <w:keepLines/>
      <w:spacing w:before="80" w:after="40"/>
      <w:outlineLvl w:val="3"/>
    </w:pPr>
    <w:rPr>
      <w:rFonts w:eastAsiaTheme="majorEastAsia" w:cstheme="majorBidi"/>
      <w:i/>
      <w:iCs/>
      <w:color w:val="A5A5A5" w:themeColor="accent1" w:themeShade="BF"/>
    </w:rPr>
  </w:style>
  <w:style w:type="paragraph" w:styleId="Heading5">
    <w:name w:val="heading 5"/>
    <w:basedOn w:val="Normal"/>
    <w:next w:val="Normal"/>
    <w:link w:val="Heading5Char"/>
    <w:uiPriority w:val="9"/>
    <w:semiHidden/>
    <w:unhideWhenUsed/>
    <w:qFormat/>
    <w:rsid w:val="00BE7437"/>
    <w:pPr>
      <w:keepNext/>
      <w:keepLines/>
      <w:spacing w:before="80" w:after="40"/>
      <w:outlineLvl w:val="4"/>
    </w:pPr>
    <w:rPr>
      <w:rFonts w:eastAsiaTheme="majorEastAsia" w:cstheme="majorBidi"/>
      <w:color w:val="A5A5A5" w:themeColor="accent1" w:themeShade="BF"/>
    </w:rPr>
  </w:style>
  <w:style w:type="paragraph" w:styleId="Heading6">
    <w:name w:val="heading 6"/>
    <w:basedOn w:val="Normal"/>
    <w:next w:val="Normal"/>
    <w:link w:val="Heading6Char"/>
    <w:uiPriority w:val="9"/>
    <w:semiHidden/>
    <w:unhideWhenUsed/>
    <w:qFormat/>
    <w:rsid w:val="00BE7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437"/>
    <w:rPr>
      <w:rFonts w:asciiTheme="majorHAnsi" w:eastAsiaTheme="majorEastAsia" w:hAnsiTheme="majorHAnsi" w:cstheme="majorBidi"/>
      <w:color w:val="A5A5A5" w:themeColor="accent1" w:themeShade="BF"/>
      <w:sz w:val="40"/>
      <w:szCs w:val="40"/>
    </w:rPr>
  </w:style>
  <w:style w:type="character" w:customStyle="1" w:styleId="Heading2Char">
    <w:name w:val="Heading 2 Char"/>
    <w:basedOn w:val="DefaultParagraphFont"/>
    <w:link w:val="Heading2"/>
    <w:uiPriority w:val="9"/>
    <w:semiHidden/>
    <w:rsid w:val="00BE7437"/>
    <w:rPr>
      <w:rFonts w:asciiTheme="majorHAnsi" w:eastAsiaTheme="majorEastAsia" w:hAnsiTheme="majorHAnsi" w:cstheme="majorBidi"/>
      <w:color w:val="A5A5A5" w:themeColor="accent1" w:themeShade="BF"/>
      <w:sz w:val="32"/>
      <w:szCs w:val="32"/>
    </w:rPr>
  </w:style>
  <w:style w:type="character" w:customStyle="1" w:styleId="Heading3Char">
    <w:name w:val="Heading 3 Char"/>
    <w:basedOn w:val="DefaultParagraphFont"/>
    <w:link w:val="Heading3"/>
    <w:uiPriority w:val="9"/>
    <w:rsid w:val="00BE7437"/>
    <w:rPr>
      <w:rFonts w:eastAsiaTheme="majorEastAsia" w:cstheme="majorBidi"/>
      <w:color w:val="A5A5A5" w:themeColor="accent1" w:themeShade="BF"/>
      <w:sz w:val="28"/>
      <w:szCs w:val="28"/>
    </w:rPr>
  </w:style>
  <w:style w:type="character" w:customStyle="1" w:styleId="Heading4Char">
    <w:name w:val="Heading 4 Char"/>
    <w:basedOn w:val="DefaultParagraphFont"/>
    <w:link w:val="Heading4"/>
    <w:uiPriority w:val="9"/>
    <w:semiHidden/>
    <w:rsid w:val="00BE7437"/>
    <w:rPr>
      <w:rFonts w:eastAsiaTheme="majorEastAsia" w:cstheme="majorBidi"/>
      <w:i/>
      <w:iCs/>
      <w:color w:val="A5A5A5" w:themeColor="accent1" w:themeShade="BF"/>
    </w:rPr>
  </w:style>
  <w:style w:type="character" w:customStyle="1" w:styleId="Heading5Char">
    <w:name w:val="Heading 5 Char"/>
    <w:basedOn w:val="DefaultParagraphFont"/>
    <w:link w:val="Heading5"/>
    <w:uiPriority w:val="9"/>
    <w:semiHidden/>
    <w:rsid w:val="00BE7437"/>
    <w:rPr>
      <w:rFonts w:eastAsiaTheme="majorEastAsia" w:cstheme="majorBidi"/>
      <w:color w:val="A5A5A5" w:themeColor="accent1" w:themeShade="BF"/>
    </w:rPr>
  </w:style>
  <w:style w:type="character" w:customStyle="1" w:styleId="Heading6Char">
    <w:name w:val="Heading 6 Char"/>
    <w:basedOn w:val="DefaultParagraphFont"/>
    <w:link w:val="Heading6"/>
    <w:uiPriority w:val="9"/>
    <w:semiHidden/>
    <w:rsid w:val="00BE7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437"/>
    <w:rPr>
      <w:rFonts w:eastAsiaTheme="majorEastAsia" w:cstheme="majorBidi"/>
      <w:color w:val="272727" w:themeColor="text1" w:themeTint="D8"/>
    </w:rPr>
  </w:style>
  <w:style w:type="paragraph" w:styleId="Title">
    <w:name w:val="Title"/>
    <w:basedOn w:val="Normal"/>
    <w:next w:val="Normal"/>
    <w:link w:val="TitleChar"/>
    <w:uiPriority w:val="10"/>
    <w:qFormat/>
    <w:rsid w:val="00BE7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437"/>
    <w:pPr>
      <w:spacing w:before="160"/>
      <w:jc w:val="center"/>
    </w:pPr>
    <w:rPr>
      <w:i/>
      <w:iCs/>
      <w:color w:val="404040" w:themeColor="text1" w:themeTint="BF"/>
    </w:rPr>
  </w:style>
  <w:style w:type="character" w:customStyle="1" w:styleId="QuoteChar">
    <w:name w:val="Quote Char"/>
    <w:basedOn w:val="DefaultParagraphFont"/>
    <w:link w:val="Quote"/>
    <w:uiPriority w:val="29"/>
    <w:rsid w:val="00BE7437"/>
    <w:rPr>
      <w:i/>
      <w:iCs/>
      <w:color w:val="404040" w:themeColor="text1" w:themeTint="BF"/>
    </w:rPr>
  </w:style>
  <w:style w:type="paragraph" w:styleId="ListParagraph">
    <w:name w:val="List Paragraph"/>
    <w:basedOn w:val="Normal"/>
    <w:uiPriority w:val="34"/>
    <w:qFormat/>
    <w:rsid w:val="00BE7437"/>
    <w:pPr>
      <w:ind w:left="720"/>
      <w:contextualSpacing/>
    </w:pPr>
  </w:style>
  <w:style w:type="character" w:styleId="IntenseEmphasis">
    <w:name w:val="Intense Emphasis"/>
    <w:basedOn w:val="DefaultParagraphFont"/>
    <w:uiPriority w:val="21"/>
    <w:qFormat/>
    <w:rsid w:val="00BE7437"/>
    <w:rPr>
      <w:i/>
      <w:iCs/>
      <w:color w:val="A5A5A5" w:themeColor="accent1" w:themeShade="BF"/>
    </w:rPr>
  </w:style>
  <w:style w:type="paragraph" w:styleId="IntenseQuote">
    <w:name w:val="Intense Quote"/>
    <w:basedOn w:val="Normal"/>
    <w:next w:val="Normal"/>
    <w:link w:val="IntenseQuoteChar"/>
    <w:uiPriority w:val="30"/>
    <w:qFormat/>
    <w:rsid w:val="00BE7437"/>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BE7437"/>
    <w:rPr>
      <w:i/>
      <w:iCs/>
      <w:color w:val="A5A5A5" w:themeColor="accent1" w:themeShade="BF"/>
    </w:rPr>
  </w:style>
  <w:style w:type="character" w:styleId="IntenseReference">
    <w:name w:val="Intense Reference"/>
    <w:basedOn w:val="DefaultParagraphFont"/>
    <w:uiPriority w:val="32"/>
    <w:qFormat/>
    <w:rsid w:val="00BE7437"/>
    <w:rPr>
      <w:b/>
      <w:bCs/>
      <w:smallCaps/>
      <w:color w:val="A5A5A5" w:themeColor="accent1" w:themeShade="BF"/>
      <w:spacing w:val="5"/>
    </w:rPr>
  </w:style>
  <w:style w:type="character" w:styleId="Hyperlink">
    <w:name w:val="Hyperlink"/>
    <w:basedOn w:val="DefaultParagraphFont"/>
    <w:uiPriority w:val="99"/>
    <w:unhideWhenUsed/>
    <w:rsid w:val="00DF0996"/>
    <w:rPr>
      <w:color w:val="5F5F5F" w:themeColor="hyperlink"/>
      <w:u w:val="single"/>
    </w:rPr>
  </w:style>
  <w:style w:type="table" w:styleId="TableGrid">
    <w:name w:val="Table Grid"/>
    <w:basedOn w:val="TableNormal"/>
    <w:uiPriority w:val="39"/>
    <w:rsid w:val="00D822C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per0180@uni.sydney.edu.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1935</Words>
  <Characters>11035</Characters>
  <Application>Microsoft Office Word</Application>
  <DocSecurity>0</DocSecurity>
  <Lines>91</Lines>
  <Paragraphs>25</Paragraphs>
  <ScaleCrop>false</ScaleCrop>
  <Company/>
  <LinksUpToDate>false</LinksUpToDate>
  <CharactersWithSpaces>12945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Perry (HDR)</dc:creator>
  <cp:keywords/>
  <dc:description/>
  <cp:lastModifiedBy>Aswini Vijayakumar</cp:lastModifiedBy>
  <cp:revision>11</cp:revision>
  <dcterms:created xsi:type="dcterms:W3CDTF">2025-05-25T03:18:00Z</dcterms:created>
  <dcterms:modified xsi:type="dcterms:W3CDTF">2025-06-16T00:52:00Z</dcterms:modified>
</cp:coreProperties>
</file>