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DB" w:rsidRDefault="000D3B0E">
      <w:pPr>
        <w:rPr>
          <w:rFonts w:ascii="Arial" w:hAnsi="Arial" w:cs="Arial"/>
          <w:b/>
          <w:lang w:val="en-US"/>
        </w:rPr>
      </w:pPr>
      <w:r w:rsidRPr="000D3B0E">
        <w:rPr>
          <w:rFonts w:ascii="Arial" w:hAnsi="Arial" w:cs="Arial"/>
          <w:b/>
          <w:bCs/>
          <w:iCs/>
          <w:lang w:val="en-US"/>
        </w:rPr>
        <w:t>Supplemental</w:t>
      </w:r>
      <w:r w:rsidR="008E0419">
        <w:rPr>
          <w:rFonts w:ascii="Arial" w:hAnsi="Arial" w:cs="Arial"/>
          <w:b/>
          <w:lang w:val="en-US"/>
        </w:rPr>
        <w:t xml:space="preserve"> Table 3</w:t>
      </w:r>
      <w:r w:rsidR="00801189" w:rsidRPr="00801189">
        <w:rPr>
          <w:rFonts w:ascii="Arial" w:hAnsi="Arial" w:cs="Arial"/>
          <w:b/>
          <w:lang w:val="en-US"/>
        </w:rPr>
        <w:t xml:space="preserve">. </w:t>
      </w:r>
      <w:r w:rsidR="00801189" w:rsidRPr="00801189">
        <w:rPr>
          <w:rFonts w:ascii="Arial" w:hAnsi="Arial" w:cs="Arial"/>
          <w:b/>
          <w:i/>
          <w:lang w:val="en-US"/>
        </w:rPr>
        <w:t>BRCA1</w:t>
      </w:r>
      <w:r w:rsidR="00801189" w:rsidRPr="00801189">
        <w:rPr>
          <w:rFonts w:ascii="Arial" w:hAnsi="Arial" w:cs="Arial"/>
          <w:b/>
          <w:lang w:val="en-US"/>
        </w:rPr>
        <w:t xml:space="preserve"> and </w:t>
      </w:r>
      <w:r w:rsidR="00801189" w:rsidRPr="00801189">
        <w:rPr>
          <w:rFonts w:ascii="Arial" w:hAnsi="Arial" w:cs="Arial"/>
          <w:b/>
          <w:i/>
          <w:lang w:val="en-US"/>
        </w:rPr>
        <w:t>BRCA2</w:t>
      </w:r>
      <w:r w:rsidR="00801189" w:rsidRPr="00801189">
        <w:rPr>
          <w:rFonts w:ascii="Arial" w:hAnsi="Arial" w:cs="Arial"/>
          <w:b/>
          <w:lang w:val="en-US"/>
        </w:rPr>
        <w:t xml:space="preserve"> mutations identified in patients with the ovarian cancer</w:t>
      </w:r>
    </w:p>
    <w:p w:rsidR="00801189" w:rsidRDefault="00801189">
      <w:pPr>
        <w:rPr>
          <w:rFonts w:ascii="Arial" w:hAnsi="Arial" w:cs="Arial"/>
          <w:b/>
          <w:lang w:val="en-US"/>
        </w:rPr>
      </w:pPr>
    </w:p>
    <w:tbl>
      <w:tblPr>
        <w:tblW w:w="52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914"/>
        <w:gridCol w:w="2221"/>
      </w:tblGrid>
      <w:tr w:rsidR="00801189" w:rsidRPr="008E0419" w:rsidTr="006E05F9">
        <w:trPr>
          <w:trHeight w:val="315"/>
          <w:jc w:val="center"/>
        </w:trPr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01189" w:rsidRPr="00BB507E" w:rsidRDefault="00801189" w:rsidP="008011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pl-PL"/>
              </w:rPr>
            </w:pPr>
            <w:r w:rsidRPr="00BB507E">
              <w:rPr>
                <w:rFonts w:ascii="Arial" w:eastAsia="Times New Roman" w:hAnsi="Arial" w:cs="Arial"/>
                <w:b/>
                <w:bCs/>
                <w:lang w:val="en-US" w:eastAsia="pl-PL"/>
              </w:rPr>
              <w:t>Gene</w:t>
            </w:r>
          </w:p>
        </w:tc>
        <w:tc>
          <w:tcPr>
            <w:tcW w:w="19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01189" w:rsidRPr="00BB507E" w:rsidRDefault="00801189" w:rsidP="008011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pl-PL"/>
              </w:rPr>
            </w:pPr>
            <w:r w:rsidRPr="00BB507E">
              <w:rPr>
                <w:rFonts w:ascii="Arial" w:eastAsia="Times New Roman" w:hAnsi="Arial" w:cs="Arial"/>
                <w:b/>
                <w:bCs/>
                <w:lang w:val="en-US" w:eastAsia="pl-PL"/>
              </w:rPr>
              <w:t>Mutation</w:t>
            </w:r>
          </w:p>
        </w:tc>
        <w:tc>
          <w:tcPr>
            <w:tcW w:w="2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01189" w:rsidRPr="00BB507E" w:rsidRDefault="00801189" w:rsidP="008011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pl-PL"/>
              </w:rPr>
            </w:pPr>
            <w:r w:rsidRPr="00BB507E">
              <w:rPr>
                <w:rFonts w:ascii="Arial" w:eastAsia="Times New Roman" w:hAnsi="Arial" w:cs="Arial"/>
                <w:b/>
                <w:bCs/>
                <w:lang w:val="en-US" w:eastAsia="pl-PL"/>
              </w:rPr>
              <w:t>Number of patients</w:t>
            </w:r>
          </w:p>
        </w:tc>
      </w:tr>
      <w:tr w:rsidR="00801189" w:rsidRPr="008E0419" w:rsidTr="006E05F9">
        <w:trPr>
          <w:trHeight w:val="285"/>
          <w:jc w:val="center"/>
        </w:trPr>
        <w:tc>
          <w:tcPr>
            <w:tcW w:w="1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BB507E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val="en-US" w:eastAsia="pl-PL"/>
              </w:rPr>
            </w:pPr>
            <w:r w:rsidRPr="00BB507E">
              <w:rPr>
                <w:rFonts w:ascii="Arial" w:eastAsia="Times New Roman" w:hAnsi="Arial" w:cs="Arial"/>
                <w:i/>
                <w:iCs/>
                <w:lang w:val="en-US" w:eastAsia="pl-PL"/>
              </w:rPr>
              <w:t>BRCA1</w:t>
            </w:r>
          </w:p>
        </w:tc>
        <w:tc>
          <w:tcPr>
            <w:tcW w:w="19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BB507E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BB507E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5382insC </w:t>
            </w:r>
          </w:p>
        </w:tc>
        <w:tc>
          <w:tcPr>
            <w:tcW w:w="22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BB507E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  <w:r w:rsidRPr="00BB507E">
              <w:rPr>
                <w:rFonts w:ascii="Arial" w:eastAsia="Times New Roman" w:hAnsi="Arial" w:cs="Arial"/>
                <w:lang w:val="en-US" w:eastAsia="pl-PL"/>
              </w:rPr>
              <w:t>22 (73.33%)</w:t>
            </w:r>
          </w:p>
        </w:tc>
      </w:tr>
      <w:tr w:rsidR="00801189" w:rsidRPr="008E0419" w:rsidTr="006E05F9">
        <w:trPr>
          <w:trHeight w:val="285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BB507E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BB507E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BB507E">
              <w:rPr>
                <w:rFonts w:ascii="Arial" w:eastAsia="Times New Roman" w:hAnsi="Arial" w:cs="Arial"/>
                <w:color w:val="000000"/>
                <w:lang w:val="en-US" w:eastAsia="pl-PL"/>
              </w:rPr>
              <w:t>C61G (C</w:t>
            </w:r>
            <w:r w:rsidR="006E05F9">
              <w:rPr>
                <w:rFonts w:ascii="Arial" w:eastAsia="Times New Roman" w:hAnsi="Arial" w:cs="Arial"/>
                <w:color w:val="000000"/>
                <w:lang w:val="en-US" w:eastAsia="pl-PL"/>
              </w:rPr>
              <w:t>ys64Arg</w:t>
            </w:r>
            <w:r w:rsidRPr="00BB507E">
              <w:rPr>
                <w:rFonts w:ascii="Arial" w:eastAsia="Times New Roman" w:hAnsi="Arial" w:cs="Arial"/>
                <w:color w:val="000000"/>
                <w:lang w:val="en-US" w:eastAsia="pl-PL"/>
              </w:rPr>
              <w:t>)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BB507E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lang w:val="en-US" w:eastAsia="pl-PL"/>
              </w:rPr>
            </w:pPr>
            <w:r w:rsidRPr="00BB507E">
              <w:rPr>
                <w:rFonts w:ascii="Arial" w:eastAsia="Times New Roman" w:hAnsi="Arial" w:cs="Arial"/>
                <w:lang w:val="en-US" w:eastAsia="pl-PL"/>
              </w:rPr>
              <w:t>5 (16.67%)</w:t>
            </w:r>
          </w:p>
        </w:tc>
      </w:tr>
      <w:tr w:rsidR="00801189" w:rsidRPr="00801189" w:rsidTr="006E05F9">
        <w:trPr>
          <w:trHeight w:val="285"/>
          <w:jc w:val="center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BB507E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val="en-US" w:eastAsia="pl-PL"/>
              </w:rPr>
            </w:pPr>
            <w:r w:rsidRPr="00BB507E">
              <w:rPr>
                <w:rFonts w:ascii="Arial" w:eastAsia="Times New Roman" w:hAnsi="Arial" w:cs="Arial"/>
                <w:i/>
                <w:iCs/>
                <w:lang w:val="en-US" w:eastAsia="pl-PL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BB507E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BB507E">
              <w:rPr>
                <w:rFonts w:ascii="Arial" w:eastAsia="Times New Roman" w:hAnsi="Arial" w:cs="Arial"/>
                <w:color w:val="000000"/>
                <w:lang w:val="en-US" w:eastAsia="pl-PL"/>
              </w:rPr>
              <w:t>4153delA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801189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B507E">
              <w:rPr>
                <w:rFonts w:ascii="Arial" w:eastAsia="Times New Roman" w:hAnsi="Arial" w:cs="Arial"/>
                <w:lang w:val="en-US" w:eastAsia="pl-PL"/>
              </w:rPr>
              <w:t>3 (10.00</w:t>
            </w:r>
            <w:r w:rsidRPr="00801189">
              <w:rPr>
                <w:rFonts w:ascii="Arial" w:eastAsia="Times New Roman" w:hAnsi="Arial" w:cs="Arial"/>
                <w:lang w:eastAsia="pl-PL"/>
              </w:rPr>
              <w:t>%)</w:t>
            </w:r>
          </w:p>
        </w:tc>
      </w:tr>
      <w:tr w:rsidR="00801189" w:rsidRPr="00801189" w:rsidTr="006E05F9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801189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pl-PL"/>
              </w:rPr>
            </w:pPr>
            <w:r w:rsidRPr="00801189">
              <w:rPr>
                <w:rFonts w:ascii="Arial" w:eastAsia="Times New Roman" w:hAnsi="Arial" w:cs="Arial"/>
                <w:i/>
                <w:iCs/>
                <w:lang w:eastAsia="pl-PL"/>
              </w:rPr>
              <w:t>BRCA2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801189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01189">
              <w:rPr>
                <w:rFonts w:ascii="Arial" w:eastAsia="Times New Roman" w:hAnsi="Arial" w:cs="Arial"/>
                <w:lang w:eastAsia="pl-PL"/>
              </w:rPr>
              <w:t>5946delT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189" w:rsidRPr="00801189" w:rsidRDefault="00801189" w:rsidP="0080118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01189">
              <w:rPr>
                <w:rFonts w:ascii="Arial" w:eastAsia="Times New Roman" w:hAnsi="Arial" w:cs="Arial"/>
                <w:lang w:eastAsia="pl-PL"/>
              </w:rPr>
              <w:t>0 (0.00%)</w:t>
            </w:r>
          </w:p>
        </w:tc>
      </w:tr>
    </w:tbl>
    <w:p w:rsidR="00801189" w:rsidRDefault="00801189">
      <w:pPr>
        <w:rPr>
          <w:rFonts w:ascii="Arial" w:hAnsi="Arial" w:cs="Arial"/>
          <w:b/>
          <w:lang w:val="en-US"/>
        </w:rPr>
      </w:pPr>
    </w:p>
    <w:p w:rsidR="00801189" w:rsidRPr="00801189" w:rsidRDefault="00801189">
      <w:pPr>
        <w:rPr>
          <w:rFonts w:ascii="Arial" w:hAnsi="Arial" w:cs="Arial"/>
          <w:lang w:val="en-US"/>
        </w:rPr>
      </w:pPr>
      <w:r w:rsidRPr="00801189">
        <w:rPr>
          <w:rFonts w:ascii="Arial" w:hAnsi="Arial" w:cs="Arial"/>
          <w:lang w:val="en-US"/>
        </w:rPr>
        <w:t xml:space="preserve">The most common mutations of </w:t>
      </w:r>
      <w:r w:rsidRPr="00801189">
        <w:rPr>
          <w:rFonts w:ascii="Arial" w:hAnsi="Arial" w:cs="Arial"/>
          <w:i/>
          <w:lang w:val="en-US"/>
        </w:rPr>
        <w:t>BRCA1</w:t>
      </w:r>
      <w:r w:rsidRPr="00801189">
        <w:rPr>
          <w:rFonts w:ascii="Arial" w:hAnsi="Arial" w:cs="Arial"/>
          <w:lang w:val="en-US"/>
        </w:rPr>
        <w:t xml:space="preserve"> and </w:t>
      </w:r>
      <w:r w:rsidRPr="00801189">
        <w:rPr>
          <w:rFonts w:ascii="Arial" w:hAnsi="Arial" w:cs="Arial"/>
          <w:i/>
          <w:lang w:val="en-US"/>
        </w:rPr>
        <w:t>BRCA2</w:t>
      </w:r>
      <w:r w:rsidRPr="00801189">
        <w:rPr>
          <w:rFonts w:ascii="Arial" w:hAnsi="Arial" w:cs="Arial"/>
          <w:lang w:val="en-US"/>
        </w:rPr>
        <w:t xml:space="preserve"> were identified in 30 patients with ovarian cancer (13.16%).</w:t>
      </w:r>
      <w:bookmarkStart w:id="0" w:name="_GoBack"/>
      <w:bookmarkEnd w:id="0"/>
    </w:p>
    <w:sectPr w:rsidR="00801189" w:rsidRPr="00801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89"/>
    <w:rsid w:val="000D3B0E"/>
    <w:rsid w:val="00401297"/>
    <w:rsid w:val="005C6ECC"/>
    <w:rsid w:val="006E05F9"/>
    <w:rsid w:val="00801189"/>
    <w:rsid w:val="008E0419"/>
    <w:rsid w:val="00BB507E"/>
    <w:rsid w:val="00F5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2013-09-02T11:10:00Z</dcterms:created>
  <dcterms:modified xsi:type="dcterms:W3CDTF">2013-09-02T12:50:00Z</dcterms:modified>
</cp:coreProperties>
</file>