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E26" w:rsidRPr="00611205" w:rsidRDefault="00410E26" w:rsidP="00410E26">
      <w:pPr>
        <w:spacing w:after="0" w:line="480" w:lineRule="auto"/>
        <w:rPr>
          <w:b/>
          <w:sz w:val="24"/>
          <w:szCs w:val="24"/>
        </w:rPr>
      </w:pPr>
      <w:r w:rsidRPr="00611205">
        <w:rPr>
          <w:b/>
          <w:sz w:val="24"/>
          <w:szCs w:val="24"/>
        </w:rPr>
        <w:t>Supplementa</w:t>
      </w:r>
      <w:r>
        <w:rPr>
          <w:b/>
          <w:sz w:val="24"/>
          <w:szCs w:val="24"/>
        </w:rPr>
        <w:t>ry</w:t>
      </w:r>
      <w:r w:rsidRPr="00611205">
        <w:rPr>
          <w:b/>
          <w:sz w:val="24"/>
          <w:szCs w:val="24"/>
        </w:rPr>
        <w:t xml:space="preserve"> Table 1 </w:t>
      </w:r>
      <w:r w:rsidRPr="00611205">
        <w:rPr>
          <w:sz w:val="24"/>
          <w:szCs w:val="24"/>
        </w:rPr>
        <w:t>Genes in the OncoVantage</w:t>
      </w:r>
      <w:r w:rsidRPr="00611205">
        <w:rPr>
          <w:sz w:val="24"/>
          <w:szCs w:val="24"/>
          <w:vertAlign w:val="superscript"/>
        </w:rPr>
        <w:t>TM</w:t>
      </w:r>
      <w:r w:rsidRPr="00611205">
        <w:rPr>
          <w:sz w:val="24"/>
          <w:szCs w:val="24"/>
        </w:rPr>
        <w:t xml:space="preserve"> test</w:t>
      </w:r>
    </w:p>
    <w:tbl>
      <w:tblPr>
        <w:tblW w:w="0" w:type="auto"/>
        <w:tblLook w:val="04A0"/>
      </w:tblPr>
      <w:tblGrid>
        <w:gridCol w:w="1760"/>
        <w:gridCol w:w="7482"/>
      </w:tblGrid>
      <w:tr w:rsidR="00410E26" w:rsidRPr="00611205" w:rsidTr="00B430A0">
        <w:trPr>
          <w:tblHeader/>
        </w:trPr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0E26" w:rsidRPr="00D76799" w:rsidRDefault="00410E26" w:rsidP="00B430A0">
            <w:pPr>
              <w:spacing w:after="0" w:line="480" w:lineRule="auto"/>
              <w:rPr>
                <w:b/>
                <w:color w:val="000000"/>
                <w:sz w:val="24"/>
                <w:szCs w:val="24"/>
              </w:rPr>
            </w:pPr>
            <w:r w:rsidRPr="00D76799">
              <w:rPr>
                <w:b/>
                <w:color w:val="000000"/>
                <w:sz w:val="24"/>
                <w:szCs w:val="24"/>
              </w:rPr>
              <w:t xml:space="preserve">Gene </w:t>
            </w:r>
          </w:p>
        </w:tc>
        <w:tc>
          <w:tcPr>
            <w:tcW w:w="7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0E26" w:rsidRPr="00D76799" w:rsidRDefault="00410E26" w:rsidP="00B430A0">
            <w:pPr>
              <w:spacing w:after="0" w:line="480" w:lineRule="auto"/>
              <w:rPr>
                <w:b/>
                <w:color w:val="000000"/>
                <w:sz w:val="24"/>
                <w:szCs w:val="24"/>
              </w:rPr>
            </w:pPr>
            <w:r w:rsidRPr="00D76799">
              <w:rPr>
                <w:b/>
                <w:color w:val="000000"/>
                <w:sz w:val="24"/>
                <w:szCs w:val="24"/>
              </w:rPr>
              <w:t>Description</w:t>
            </w:r>
          </w:p>
        </w:tc>
      </w:tr>
      <w:tr w:rsidR="00410E26" w:rsidRPr="00611205" w:rsidTr="00B430A0">
        <w:tc>
          <w:tcPr>
            <w:tcW w:w="181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10E26" w:rsidRPr="00A06D0A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A06D0A">
              <w:rPr>
                <w:i/>
                <w:color w:val="000000"/>
                <w:sz w:val="24"/>
                <w:szCs w:val="24"/>
              </w:rPr>
              <w:t>AKT1</w:t>
            </w:r>
          </w:p>
        </w:tc>
        <w:tc>
          <w:tcPr>
            <w:tcW w:w="7920" w:type="dxa"/>
            <w:tcBorders>
              <w:top w:val="single" w:sz="4" w:space="0" w:color="auto"/>
            </w:tcBorders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611205">
              <w:rPr>
                <w:color w:val="000000"/>
                <w:sz w:val="24"/>
                <w:szCs w:val="24"/>
              </w:rPr>
              <w:t>v-akt murine thymoma viral oncogene homolog 1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auto"/>
            <w:vAlign w:val="center"/>
          </w:tcPr>
          <w:p w:rsidR="00410E26" w:rsidRPr="00D43461" w:rsidRDefault="00410E26" w:rsidP="00B430A0">
            <w:pPr>
              <w:spacing w:after="0" w:line="480" w:lineRule="auto"/>
              <w:rPr>
                <w:b/>
                <w:i/>
                <w:color w:val="000000"/>
                <w:sz w:val="24"/>
                <w:szCs w:val="24"/>
              </w:rPr>
            </w:pPr>
            <w:r w:rsidRPr="00D43461">
              <w:rPr>
                <w:b/>
                <w:i/>
                <w:color w:val="000000"/>
                <w:sz w:val="24"/>
                <w:szCs w:val="24"/>
              </w:rPr>
              <w:t>ALK</w:t>
            </w:r>
          </w:p>
        </w:tc>
        <w:tc>
          <w:tcPr>
            <w:tcW w:w="7920" w:type="dxa"/>
            <w:shd w:val="clear" w:color="auto" w:fill="auto"/>
          </w:tcPr>
          <w:p w:rsidR="00410E26" w:rsidRPr="00D43461" w:rsidRDefault="00410E26" w:rsidP="00B430A0">
            <w:pPr>
              <w:spacing w:after="0" w:line="480" w:lineRule="auto"/>
              <w:rPr>
                <w:b/>
                <w:color w:val="000000"/>
                <w:sz w:val="24"/>
                <w:szCs w:val="24"/>
              </w:rPr>
            </w:pPr>
            <w:r w:rsidRPr="00D43461">
              <w:rPr>
                <w:b/>
                <w:color w:val="000000"/>
                <w:sz w:val="24"/>
                <w:szCs w:val="24"/>
              </w:rPr>
              <w:t>anaplastic lymphoma receptor tyrosine kinase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D9D9D9"/>
            <w:vAlign w:val="center"/>
          </w:tcPr>
          <w:p w:rsidR="00410E26" w:rsidRPr="00A06D0A" w:rsidRDefault="00410E26" w:rsidP="00B430A0">
            <w:pPr>
              <w:spacing w:after="0" w:line="480" w:lineRule="auto"/>
              <w:rPr>
                <w:b/>
                <w:i/>
                <w:color w:val="000000"/>
                <w:sz w:val="24"/>
                <w:szCs w:val="24"/>
              </w:rPr>
            </w:pPr>
            <w:r w:rsidRPr="00A06D0A">
              <w:rPr>
                <w:b/>
                <w:i/>
                <w:color w:val="000000"/>
                <w:sz w:val="24"/>
                <w:szCs w:val="24"/>
              </w:rPr>
              <w:t>BRAF</w:t>
            </w:r>
          </w:p>
        </w:tc>
        <w:tc>
          <w:tcPr>
            <w:tcW w:w="7920" w:type="dxa"/>
            <w:shd w:val="clear" w:color="auto" w:fill="D9D9D9"/>
          </w:tcPr>
          <w:p w:rsidR="00410E26" w:rsidRPr="00A06D0A" w:rsidRDefault="00410E26" w:rsidP="00B430A0">
            <w:pPr>
              <w:spacing w:after="0" w:line="480" w:lineRule="auto"/>
              <w:rPr>
                <w:b/>
                <w:color w:val="000000"/>
                <w:sz w:val="24"/>
                <w:szCs w:val="24"/>
              </w:rPr>
            </w:pPr>
            <w:r w:rsidRPr="00A06D0A">
              <w:rPr>
                <w:b/>
                <w:color w:val="000000"/>
                <w:sz w:val="24"/>
                <w:szCs w:val="24"/>
              </w:rPr>
              <w:t>B-Raf proto-oncogene, serine/threonine kinase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auto"/>
            <w:vAlign w:val="center"/>
          </w:tcPr>
          <w:p w:rsidR="00410E26" w:rsidRPr="00D43461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D43461">
              <w:rPr>
                <w:i/>
                <w:color w:val="000000"/>
                <w:sz w:val="24"/>
                <w:szCs w:val="24"/>
              </w:rPr>
              <w:t>CTNNB1</w:t>
            </w:r>
          </w:p>
        </w:tc>
        <w:tc>
          <w:tcPr>
            <w:tcW w:w="7920" w:type="dxa"/>
            <w:shd w:val="clear" w:color="auto" w:fill="auto"/>
          </w:tcPr>
          <w:p w:rsidR="00410E26" w:rsidRPr="00D43461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D43461">
              <w:rPr>
                <w:color w:val="000000"/>
                <w:sz w:val="24"/>
                <w:szCs w:val="24"/>
              </w:rPr>
              <w:t>catenin (cadherin-associated protein), beta 1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D9D9D9"/>
            <w:vAlign w:val="center"/>
          </w:tcPr>
          <w:p w:rsidR="00410E26" w:rsidRPr="00A06D0A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A06D0A">
              <w:rPr>
                <w:i/>
                <w:color w:val="000000"/>
                <w:sz w:val="24"/>
                <w:szCs w:val="24"/>
              </w:rPr>
              <w:t>DDR2</w:t>
            </w:r>
          </w:p>
        </w:tc>
        <w:tc>
          <w:tcPr>
            <w:tcW w:w="7920" w:type="dxa"/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611205">
              <w:rPr>
                <w:color w:val="000000"/>
                <w:sz w:val="24"/>
                <w:szCs w:val="24"/>
              </w:rPr>
              <w:t>discoidin domain receptor tyrosine kinase 2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auto"/>
            <w:vAlign w:val="center"/>
          </w:tcPr>
          <w:p w:rsidR="00410E26" w:rsidRPr="00D43461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D43461">
              <w:rPr>
                <w:i/>
                <w:color w:val="000000"/>
                <w:sz w:val="24"/>
                <w:szCs w:val="24"/>
              </w:rPr>
              <w:t>EGFR</w:t>
            </w:r>
          </w:p>
        </w:tc>
        <w:tc>
          <w:tcPr>
            <w:tcW w:w="7920" w:type="dxa"/>
            <w:shd w:val="clear" w:color="auto" w:fill="auto"/>
          </w:tcPr>
          <w:p w:rsidR="00410E26" w:rsidRPr="00D43461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D43461">
              <w:rPr>
                <w:color w:val="000000"/>
                <w:sz w:val="24"/>
                <w:szCs w:val="24"/>
              </w:rPr>
              <w:t>epidermal growth factor receptor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D9D9D9"/>
            <w:vAlign w:val="center"/>
          </w:tcPr>
          <w:p w:rsidR="00410E26" w:rsidRPr="00A06D0A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A06D0A">
              <w:rPr>
                <w:i/>
                <w:color w:val="000000"/>
                <w:sz w:val="24"/>
                <w:szCs w:val="24"/>
              </w:rPr>
              <w:t>ERBB2</w:t>
            </w:r>
          </w:p>
        </w:tc>
        <w:tc>
          <w:tcPr>
            <w:tcW w:w="7920" w:type="dxa"/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611205">
              <w:rPr>
                <w:color w:val="000000"/>
                <w:sz w:val="24"/>
                <w:szCs w:val="24"/>
              </w:rPr>
              <w:t>v-erb-b2 avian erythroblastic leukemia viral oncogene homolog 2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auto"/>
            <w:vAlign w:val="center"/>
          </w:tcPr>
          <w:p w:rsidR="00410E26" w:rsidRPr="00A91972" w:rsidRDefault="00410E26" w:rsidP="00B430A0">
            <w:pPr>
              <w:spacing w:after="0" w:line="480" w:lineRule="auto"/>
              <w:rPr>
                <w:b/>
                <w:i/>
                <w:color w:val="000000"/>
                <w:sz w:val="24"/>
                <w:szCs w:val="24"/>
              </w:rPr>
            </w:pPr>
            <w:r w:rsidRPr="00A91972">
              <w:rPr>
                <w:b/>
                <w:i/>
                <w:color w:val="000000"/>
                <w:sz w:val="24"/>
                <w:szCs w:val="24"/>
              </w:rPr>
              <w:t>ERBB4</w:t>
            </w:r>
          </w:p>
        </w:tc>
        <w:tc>
          <w:tcPr>
            <w:tcW w:w="7920" w:type="dxa"/>
            <w:shd w:val="clear" w:color="auto" w:fill="auto"/>
          </w:tcPr>
          <w:p w:rsidR="00410E26" w:rsidRPr="00A91972" w:rsidRDefault="00410E26" w:rsidP="00B430A0">
            <w:pPr>
              <w:spacing w:after="0" w:line="480" w:lineRule="auto"/>
              <w:rPr>
                <w:b/>
                <w:color w:val="000000"/>
                <w:sz w:val="24"/>
                <w:szCs w:val="24"/>
              </w:rPr>
            </w:pPr>
            <w:r w:rsidRPr="00A91972">
              <w:rPr>
                <w:b/>
                <w:color w:val="000000"/>
                <w:sz w:val="24"/>
                <w:szCs w:val="24"/>
              </w:rPr>
              <w:t>v-erb-b2 avian erythroblastic leukemia viral oncogene homolog 4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D9D9D9"/>
            <w:vAlign w:val="center"/>
          </w:tcPr>
          <w:p w:rsidR="00410E26" w:rsidRPr="00A06D0A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A06D0A">
              <w:rPr>
                <w:i/>
                <w:color w:val="000000"/>
                <w:sz w:val="24"/>
                <w:szCs w:val="24"/>
              </w:rPr>
              <w:t>FBXW7</w:t>
            </w:r>
          </w:p>
        </w:tc>
        <w:tc>
          <w:tcPr>
            <w:tcW w:w="7920" w:type="dxa"/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611205">
              <w:rPr>
                <w:color w:val="000000"/>
                <w:sz w:val="24"/>
                <w:szCs w:val="24"/>
              </w:rPr>
              <w:t>F-box and WD repeat domain containing 7, E3 ubiquitin protein ligase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auto"/>
            <w:vAlign w:val="center"/>
          </w:tcPr>
          <w:p w:rsidR="00410E26" w:rsidRPr="00A06D0A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A06D0A">
              <w:rPr>
                <w:i/>
                <w:color w:val="000000"/>
                <w:sz w:val="24"/>
                <w:szCs w:val="24"/>
              </w:rPr>
              <w:t>FGFR2</w:t>
            </w:r>
          </w:p>
        </w:tc>
        <w:tc>
          <w:tcPr>
            <w:tcW w:w="7920" w:type="dxa"/>
            <w:shd w:val="clear" w:color="auto" w:fill="auto"/>
          </w:tcPr>
          <w:p w:rsidR="00410E26" w:rsidRPr="00611205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611205">
              <w:rPr>
                <w:color w:val="000000"/>
                <w:sz w:val="24"/>
                <w:szCs w:val="24"/>
              </w:rPr>
              <w:t>fibroblast growth factor receptor 2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D9D9D9"/>
            <w:vAlign w:val="center"/>
          </w:tcPr>
          <w:p w:rsidR="00410E26" w:rsidRPr="00A06D0A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A06D0A">
              <w:rPr>
                <w:i/>
                <w:color w:val="000000"/>
                <w:sz w:val="24"/>
                <w:szCs w:val="24"/>
              </w:rPr>
              <w:t>FGFR3</w:t>
            </w:r>
          </w:p>
        </w:tc>
        <w:tc>
          <w:tcPr>
            <w:tcW w:w="7920" w:type="dxa"/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611205">
              <w:rPr>
                <w:color w:val="000000"/>
                <w:sz w:val="24"/>
                <w:szCs w:val="24"/>
              </w:rPr>
              <w:t>fibroblast growth factor receptor 3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auto"/>
            <w:vAlign w:val="center"/>
          </w:tcPr>
          <w:p w:rsidR="00410E26" w:rsidRPr="00A06D0A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A06D0A">
              <w:rPr>
                <w:i/>
                <w:color w:val="000000"/>
                <w:sz w:val="24"/>
                <w:szCs w:val="24"/>
              </w:rPr>
              <w:t>FGFR4</w:t>
            </w:r>
          </w:p>
        </w:tc>
        <w:tc>
          <w:tcPr>
            <w:tcW w:w="7920" w:type="dxa"/>
            <w:shd w:val="clear" w:color="auto" w:fill="auto"/>
          </w:tcPr>
          <w:p w:rsidR="00410E26" w:rsidRPr="00611205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611205">
              <w:rPr>
                <w:color w:val="000000"/>
                <w:sz w:val="24"/>
                <w:szCs w:val="24"/>
              </w:rPr>
              <w:t>fibroblast growth factor receptor 4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D9D9D9"/>
            <w:vAlign w:val="center"/>
          </w:tcPr>
          <w:p w:rsidR="00410E26" w:rsidRPr="00A06D0A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A06D0A">
              <w:rPr>
                <w:i/>
                <w:color w:val="000000"/>
                <w:sz w:val="24"/>
                <w:szCs w:val="24"/>
              </w:rPr>
              <w:t>FOXL2</w:t>
            </w:r>
          </w:p>
        </w:tc>
        <w:tc>
          <w:tcPr>
            <w:tcW w:w="7920" w:type="dxa"/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611205">
              <w:rPr>
                <w:color w:val="000000"/>
                <w:sz w:val="24"/>
                <w:szCs w:val="24"/>
              </w:rPr>
              <w:t>forkhead box L2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auto"/>
            <w:vAlign w:val="center"/>
          </w:tcPr>
          <w:p w:rsidR="00410E26" w:rsidRPr="00A91972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A91972">
              <w:rPr>
                <w:i/>
                <w:color w:val="000000"/>
                <w:sz w:val="24"/>
                <w:szCs w:val="24"/>
              </w:rPr>
              <w:t>GNA11</w:t>
            </w:r>
          </w:p>
        </w:tc>
        <w:tc>
          <w:tcPr>
            <w:tcW w:w="7920" w:type="dxa"/>
            <w:shd w:val="clear" w:color="auto" w:fill="auto"/>
          </w:tcPr>
          <w:p w:rsidR="00410E26" w:rsidRPr="00A91972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A91972">
              <w:rPr>
                <w:color w:val="000000"/>
                <w:sz w:val="24"/>
                <w:szCs w:val="24"/>
              </w:rPr>
              <w:t>guanine nucleotide binding protein (G protein), alpha 11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D9D9D9"/>
            <w:vAlign w:val="center"/>
          </w:tcPr>
          <w:p w:rsidR="00410E26" w:rsidRPr="00A91972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A91972">
              <w:rPr>
                <w:i/>
                <w:color w:val="000000"/>
                <w:sz w:val="24"/>
                <w:szCs w:val="24"/>
              </w:rPr>
              <w:t>GNAQ</w:t>
            </w:r>
          </w:p>
        </w:tc>
        <w:tc>
          <w:tcPr>
            <w:tcW w:w="7920" w:type="dxa"/>
            <w:shd w:val="clear" w:color="auto" w:fill="D9D9D9"/>
          </w:tcPr>
          <w:p w:rsidR="00410E26" w:rsidRPr="00A91972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A91972">
              <w:rPr>
                <w:color w:val="000000"/>
                <w:sz w:val="24"/>
                <w:szCs w:val="24"/>
              </w:rPr>
              <w:t>guanine nucleotide binding protein (G protein), q polypeptide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auto"/>
            <w:vAlign w:val="center"/>
          </w:tcPr>
          <w:p w:rsidR="00410E26" w:rsidRPr="00A06D0A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A06D0A">
              <w:rPr>
                <w:i/>
                <w:color w:val="000000"/>
                <w:sz w:val="24"/>
                <w:szCs w:val="24"/>
              </w:rPr>
              <w:t>GNAS</w:t>
            </w:r>
          </w:p>
        </w:tc>
        <w:tc>
          <w:tcPr>
            <w:tcW w:w="7920" w:type="dxa"/>
            <w:shd w:val="clear" w:color="auto" w:fill="auto"/>
          </w:tcPr>
          <w:p w:rsidR="00410E26" w:rsidRPr="00611205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611205">
              <w:rPr>
                <w:color w:val="000000"/>
                <w:sz w:val="24"/>
                <w:szCs w:val="24"/>
              </w:rPr>
              <w:t>GNAS (guanine nucleotide binding protein, alpha stimulating) complex locus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D9D9D9"/>
            <w:vAlign w:val="center"/>
          </w:tcPr>
          <w:p w:rsidR="00410E26" w:rsidRPr="00A06D0A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A06D0A">
              <w:rPr>
                <w:i/>
                <w:color w:val="000000"/>
                <w:sz w:val="24"/>
                <w:szCs w:val="24"/>
              </w:rPr>
              <w:t>HRAS</w:t>
            </w:r>
          </w:p>
        </w:tc>
        <w:tc>
          <w:tcPr>
            <w:tcW w:w="7920" w:type="dxa"/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611205">
              <w:rPr>
                <w:color w:val="000000"/>
                <w:sz w:val="24"/>
                <w:szCs w:val="24"/>
              </w:rPr>
              <w:t>Harvey rat sarcoma viral oncogene homolog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auto"/>
            <w:vAlign w:val="center"/>
          </w:tcPr>
          <w:p w:rsidR="00410E26" w:rsidRPr="00D43461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D43461">
              <w:rPr>
                <w:i/>
                <w:color w:val="000000"/>
                <w:sz w:val="24"/>
                <w:szCs w:val="24"/>
              </w:rPr>
              <w:t>IDH1</w:t>
            </w:r>
          </w:p>
        </w:tc>
        <w:tc>
          <w:tcPr>
            <w:tcW w:w="7920" w:type="dxa"/>
            <w:shd w:val="clear" w:color="auto" w:fill="auto"/>
          </w:tcPr>
          <w:p w:rsidR="00410E26" w:rsidRPr="00D43461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D43461">
              <w:rPr>
                <w:color w:val="000000"/>
                <w:sz w:val="24"/>
                <w:szCs w:val="24"/>
              </w:rPr>
              <w:t>isocitrate dehydrogenase 1 (NADP+), soluble</w:t>
            </w:r>
          </w:p>
        </w:tc>
      </w:tr>
      <w:tr w:rsidR="00410E26" w:rsidRPr="00611205" w:rsidTr="00B430A0">
        <w:tc>
          <w:tcPr>
            <w:tcW w:w="18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10E26" w:rsidRPr="00A06D0A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A06D0A">
              <w:rPr>
                <w:i/>
                <w:color w:val="000000"/>
                <w:sz w:val="24"/>
                <w:szCs w:val="24"/>
              </w:rPr>
              <w:t>IDH2</w:t>
            </w:r>
          </w:p>
        </w:tc>
        <w:tc>
          <w:tcPr>
            <w:tcW w:w="7920" w:type="dxa"/>
            <w:tcBorders>
              <w:bottom w:val="single" w:sz="4" w:space="0" w:color="auto"/>
            </w:tcBorders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611205">
              <w:rPr>
                <w:color w:val="000000"/>
                <w:sz w:val="24"/>
                <w:szCs w:val="24"/>
              </w:rPr>
              <w:t>isocitrate dehydrogenase 2 (NADP+), soluble</w:t>
            </w:r>
          </w:p>
        </w:tc>
      </w:tr>
    </w:tbl>
    <w:p w:rsidR="00410E26" w:rsidRDefault="00410E26" w:rsidP="00410E26">
      <w:pPr>
        <w:spacing w:after="0" w:line="480" w:lineRule="auto"/>
        <w:rPr>
          <w:color w:val="000000"/>
          <w:sz w:val="24"/>
          <w:szCs w:val="24"/>
        </w:rPr>
      </w:pPr>
      <w:r w:rsidRPr="00611205">
        <w:rPr>
          <w:color w:val="000000"/>
          <w:sz w:val="24"/>
          <w:szCs w:val="24"/>
        </w:rPr>
        <w:br w:type="page"/>
      </w:r>
      <w:r w:rsidRPr="00611205" w:rsidDel="00CD4471">
        <w:rPr>
          <w:color w:val="000000"/>
          <w:sz w:val="24"/>
          <w:szCs w:val="24"/>
        </w:rPr>
        <w:lastRenderedPageBreak/>
        <w:t xml:space="preserve"> </w:t>
      </w:r>
      <w:r w:rsidRPr="0060485B">
        <w:rPr>
          <w:b/>
          <w:color w:val="000000"/>
          <w:sz w:val="24"/>
          <w:szCs w:val="24"/>
        </w:rPr>
        <w:t>Supplementa</w:t>
      </w:r>
      <w:r>
        <w:rPr>
          <w:b/>
          <w:color w:val="000000"/>
          <w:sz w:val="24"/>
          <w:szCs w:val="24"/>
        </w:rPr>
        <w:t xml:space="preserve">ry </w:t>
      </w:r>
      <w:r w:rsidRPr="0060485B">
        <w:rPr>
          <w:b/>
          <w:color w:val="000000"/>
          <w:sz w:val="24"/>
          <w:szCs w:val="24"/>
        </w:rPr>
        <w:t>Table 1</w:t>
      </w:r>
      <w:r>
        <w:rPr>
          <w:color w:val="000000"/>
          <w:sz w:val="24"/>
          <w:szCs w:val="24"/>
        </w:rPr>
        <w:t xml:space="preserve"> (continued)</w:t>
      </w:r>
    </w:p>
    <w:tbl>
      <w:tblPr>
        <w:tblW w:w="0" w:type="auto"/>
        <w:tblInd w:w="108" w:type="dxa"/>
        <w:tblLook w:val="04A0"/>
      </w:tblPr>
      <w:tblGrid>
        <w:gridCol w:w="1742"/>
        <w:gridCol w:w="7392"/>
      </w:tblGrid>
      <w:tr w:rsidR="00410E26" w:rsidRPr="00D76799" w:rsidTr="00B430A0">
        <w:trPr>
          <w:tblHeader/>
        </w:trPr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0E26" w:rsidRPr="00D76799" w:rsidRDefault="00410E26" w:rsidP="00B430A0">
            <w:pPr>
              <w:spacing w:after="0" w:line="480" w:lineRule="auto"/>
              <w:rPr>
                <w:b/>
                <w:color w:val="000000"/>
                <w:sz w:val="24"/>
                <w:szCs w:val="24"/>
              </w:rPr>
            </w:pPr>
            <w:r w:rsidRPr="00D76799">
              <w:rPr>
                <w:b/>
                <w:color w:val="000000"/>
                <w:sz w:val="24"/>
                <w:szCs w:val="24"/>
              </w:rPr>
              <w:t xml:space="preserve">Gene </w:t>
            </w:r>
          </w:p>
        </w:tc>
        <w:tc>
          <w:tcPr>
            <w:tcW w:w="7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0E26" w:rsidRPr="00D76799" w:rsidRDefault="00410E26" w:rsidP="00B430A0">
            <w:pPr>
              <w:spacing w:after="0" w:line="480" w:lineRule="auto"/>
              <w:rPr>
                <w:b/>
                <w:color w:val="000000"/>
                <w:sz w:val="24"/>
                <w:szCs w:val="24"/>
              </w:rPr>
            </w:pPr>
            <w:r w:rsidRPr="00D76799">
              <w:rPr>
                <w:b/>
                <w:color w:val="000000"/>
                <w:sz w:val="24"/>
                <w:szCs w:val="24"/>
              </w:rPr>
              <w:t>Description</w:t>
            </w:r>
          </w:p>
        </w:tc>
      </w:tr>
      <w:tr w:rsidR="00410E26" w:rsidRPr="00611205" w:rsidTr="00B430A0">
        <w:tc>
          <w:tcPr>
            <w:tcW w:w="1818" w:type="dxa"/>
            <w:tcBorders>
              <w:top w:val="single" w:sz="4" w:space="0" w:color="auto"/>
            </w:tcBorders>
            <w:shd w:val="clear" w:color="auto" w:fill="D9D9D9"/>
          </w:tcPr>
          <w:p w:rsidR="00410E26" w:rsidRPr="00A06D0A" w:rsidRDefault="00410E26" w:rsidP="00B430A0">
            <w:pPr>
              <w:spacing w:after="0" w:line="480" w:lineRule="auto"/>
              <w:rPr>
                <w:b/>
                <w:i/>
                <w:color w:val="000000"/>
                <w:sz w:val="24"/>
                <w:szCs w:val="24"/>
              </w:rPr>
            </w:pPr>
            <w:r w:rsidRPr="00A06D0A">
              <w:rPr>
                <w:b/>
                <w:i/>
              </w:rPr>
              <w:t>KIT</w:t>
            </w:r>
          </w:p>
        </w:tc>
        <w:tc>
          <w:tcPr>
            <w:tcW w:w="7920" w:type="dxa"/>
            <w:tcBorders>
              <w:top w:val="single" w:sz="4" w:space="0" w:color="auto"/>
            </w:tcBorders>
            <w:shd w:val="clear" w:color="auto" w:fill="D9D9D9"/>
          </w:tcPr>
          <w:p w:rsidR="00410E26" w:rsidRPr="00A06D0A" w:rsidRDefault="00410E26" w:rsidP="00B430A0">
            <w:pPr>
              <w:spacing w:after="0" w:line="480" w:lineRule="auto"/>
              <w:rPr>
                <w:b/>
                <w:color w:val="000000"/>
                <w:sz w:val="24"/>
                <w:szCs w:val="24"/>
              </w:rPr>
            </w:pPr>
            <w:r w:rsidRPr="00A06D0A">
              <w:rPr>
                <w:b/>
              </w:rPr>
              <w:t>v-kit Hardy-Zuckerman 4 feline sarcoma viral oncogene homolog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auto"/>
          </w:tcPr>
          <w:p w:rsidR="00410E26" w:rsidRPr="00D43461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D43461">
              <w:rPr>
                <w:i/>
              </w:rPr>
              <w:t>KRAS</w:t>
            </w:r>
          </w:p>
        </w:tc>
        <w:tc>
          <w:tcPr>
            <w:tcW w:w="7920" w:type="dxa"/>
            <w:shd w:val="clear" w:color="auto" w:fill="auto"/>
          </w:tcPr>
          <w:p w:rsidR="00410E26" w:rsidRPr="00D43461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D43461">
              <w:t>Kirsten rat sarcoma viral oncogene homolog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D9D9D9"/>
          </w:tcPr>
          <w:p w:rsidR="00410E26" w:rsidRPr="00A06D0A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A06D0A">
              <w:rPr>
                <w:i/>
              </w:rPr>
              <w:t>MAP2K1</w:t>
            </w:r>
          </w:p>
        </w:tc>
        <w:tc>
          <w:tcPr>
            <w:tcW w:w="7920" w:type="dxa"/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824839">
              <w:t xml:space="preserve">mitogen-activated protein kinase </w:t>
            </w:r>
            <w:proofErr w:type="spellStart"/>
            <w:r w:rsidRPr="00824839">
              <w:t>kinase</w:t>
            </w:r>
            <w:proofErr w:type="spellEnd"/>
            <w:r w:rsidRPr="00824839">
              <w:t xml:space="preserve"> 1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auto"/>
          </w:tcPr>
          <w:p w:rsidR="00410E26" w:rsidRPr="00D43461" w:rsidRDefault="00410E26" w:rsidP="00B430A0">
            <w:pPr>
              <w:spacing w:after="0" w:line="480" w:lineRule="auto"/>
              <w:rPr>
                <w:b/>
                <w:i/>
                <w:color w:val="000000"/>
                <w:sz w:val="24"/>
                <w:szCs w:val="24"/>
              </w:rPr>
            </w:pPr>
            <w:r w:rsidRPr="00D43461">
              <w:rPr>
                <w:b/>
                <w:i/>
              </w:rPr>
              <w:t>MET</w:t>
            </w:r>
          </w:p>
        </w:tc>
        <w:tc>
          <w:tcPr>
            <w:tcW w:w="7920" w:type="dxa"/>
            <w:shd w:val="clear" w:color="auto" w:fill="auto"/>
          </w:tcPr>
          <w:p w:rsidR="00410E26" w:rsidRPr="00D43461" w:rsidRDefault="00410E26" w:rsidP="00B430A0">
            <w:pPr>
              <w:spacing w:after="0" w:line="480" w:lineRule="auto"/>
              <w:rPr>
                <w:b/>
                <w:color w:val="000000"/>
                <w:sz w:val="24"/>
                <w:szCs w:val="24"/>
              </w:rPr>
            </w:pPr>
            <w:r w:rsidRPr="00D43461">
              <w:rPr>
                <w:b/>
              </w:rPr>
              <w:t>MET proto-oncogene, receptor tyrosine kinase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D9D9D9"/>
          </w:tcPr>
          <w:p w:rsidR="00410E26" w:rsidRPr="00A06D0A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A06D0A">
              <w:rPr>
                <w:i/>
              </w:rPr>
              <w:t>NOTCH1</w:t>
            </w:r>
          </w:p>
        </w:tc>
        <w:tc>
          <w:tcPr>
            <w:tcW w:w="7920" w:type="dxa"/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824839">
              <w:t>notch 1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auto"/>
          </w:tcPr>
          <w:p w:rsidR="00410E26" w:rsidRPr="00A91972" w:rsidRDefault="00410E26" w:rsidP="00B430A0">
            <w:pPr>
              <w:spacing w:after="0" w:line="480" w:lineRule="auto"/>
              <w:rPr>
                <w:b/>
                <w:i/>
                <w:color w:val="000000"/>
                <w:sz w:val="24"/>
                <w:szCs w:val="24"/>
              </w:rPr>
            </w:pPr>
            <w:r w:rsidRPr="00A91972">
              <w:rPr>
                <w:b/>
                <w:i/>
              </w:rPr>
              <w:t>NRAS</w:t>
            </w:r>
          </w:p>
        </w:tc>
        <w:tc>
          <w:tcPr>
            <w:tcW w:w="7920" w:type="dxa"/>
            <w:shd w:val="clear" w:color="auto" w:fill="auto"/>
          </w:tcPr>
          <w:p w:rsidR="00410E26" w:rsidRPr="00A91972" w:rsidRDefault="00410E26" w:rsidP="00B430A0">
            <w:pPr>
              <w:spacing w:after="0" w:line="480" w:lineRule="auto"/>
              <w:rPr>
                <w:b/>
                <w:color w:val="000000"/>
                <w:sz w:val="24"/>
                <w:szCs w:val="24"/>
              </w:rPr>
            </w:pPr>
            <w:r w:rsidRPr="00A91972">
              <w:rPr>
                <w:b/>
              </w:rPr>
              <w:t>neuroblastoma RAS viral (v-ras) oncogene homolog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D9D9D9"/>
          </w:tcPr>
          <w:p w:rsidR="00410E26" w:rsidRPr="00D43461" w:rsidRDefault="00410E26" w:rsidP="00B430A0">
            <w:pPr>
              <w:spacing w:after="0" w:line="480" w:lineRule="auto"/>
              <w:rPr>
                <w:b/>
                <w:i/>
                <w:color w:val="000000"/>
                <w:sz w:val="24"/>
                <w:szCs w:val="24"/>
              </w:rPr>
            </w:pPr>
            <w:r w:rsidRPr="00D43461">
              <w:rPr>
                <w:b/>
                <w:i/>
              </w:rPr>
              <w:t>PDGFRA</w:t>
            </w:r>
          </w:p>
        </w:tc>
        <w:tc>
          <w:tcPr>
            <w:tcW w:w="7920" w:type="dxa"/>
            <w:shd w:val="clear" w:color="auto" w:fill="D9D9D9"/>
          </w:tcPr>
          <w:p w:rsidR="00410E26" w:rsidRPr="00D43461" w:rsidRDefault="00410E26" w:rsidP="00B430A0">
            <w:pPr>
              <w:spacing w:after="0" w:line="480" w:lineRule="auto"/>
              <w:rPr>
                <w:b/>
                <w:color w:val="000000"/>
                <w:sz w:val="24"/>
                <w:szCs w:val="24"/>
              </w:rPr>
            </w:pPr>
            <w:r w:rsidRPr="00D43461">
              <w:rPr>
                <w:b/>
              </w:rPr>
              <w:t>platelet-derived growth factor receptor, alpha polypeptide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auto"/>
          </w:tcPr>
          <w:p w:rsidR="00410E26" w:rsidRPr="00D43461" w:rsidRDefault="00410E26" w:rsidP="00B430A0">
            <w:pPr>
              <w:spacing w:after="0" w:line="480" w:lineRule="auto"/>
              <w:rPr>
                <w:b/>
                <w:i/>
                <w:color w:val="000000"/>
                <w:sz w:val="24"/>
                <w:szCs w:val="24"/>
              </w:rPr>
            </w:pPr>
            <w:r w:rsidRPr="00D43461">
              <w:rPr>
                <w:b/>
                <w:i/>
              </w:rPr>
              <w:t>PIK3CA</w:t>
            </w:r>
          </w:p>
        </w:tc>
        <w:tc>
          <w:tcPr>
            <w:tcW w:w="7920" w:type="dxa"/>
            <w:shd w:val="clear" w:color="auto" w:fill="auto"/>
          </w:tcPr>
          <w:p w:rsidR="00410E26" w:rsidRPr="00D43461" w:rsidRDefault="00410E26" w:rsidP="00B430A0">
            <w:pPr>
              <w:spacing w:after="0" w:line="480" w:lineRule="auto"/>
              <w:rPr>
                <w:b/>
                <w:color w:val="000000"/>
                <w:sz w:val="24"/>
                <w:szCs w:val="24"/>
              </w:rPr>
            </w:pPr>
            <w:r w:rsidRPr="00D43461">
              <w:rPr>
                <w:b/>
              </w:rPr>
              <w:t>phosphatidylinositol-4,5-bisphosphate 3-kinase, catalytic subunit alpha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D9D9D9"/>
          </w:tcPr>
          <w:p w:rsidR="00410E26" w:rsidRPr="00A06D0A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A06D0A">
              <w:rPr>
                <w:i/>
              </w:rPr>
              <w:t>PIK3R1</w:t>
            </w:r>
          </w:p>
        </w:tc>
        <w:tc>
          <w:tcPr>
            <w:tcW w:w="7920" w:type="dxa"/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824839">
              <w:t>phosphoinositide-3-kinase, regulatory subunit 1 (alpha)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auto"/>
          </w:tcPr>
          <w:p w:rsidR="00410E26" w:rsidRPr="00A06D0A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A06D0A">
              <w:rPr>
                <w:i/>
              </w:rPr>
              <w:t>PTCH1</w:t>
            </w:r>
          </w:p>
        </w:tc>
        <w:tc>
          <w:tcPr>
            <w:tcW w:w="7920" w:type="dxa"/>
            <w:shd w:val="clear" w:color="auto" w:fill="auto"/>
          </w:tcPr>
          <w:p w:rsidR="00410E26" w:rsidRPr="00611205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824839">
              <w:t>patched 1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D9D9D9"/>
          </w:tcPr>
          <w:p w:rsidR="00410E26" w:rsidRPr="00D43461" w:rsidRDefault="00410E26" w:rsidP="00B430A0">
            <w:pPr>
              <w:spacing w:after="0" w:line="480" w:lineRule="auto"/>
              <w:rPr>
                <w:b/>
                <w:i/>
                <w:color w:val="000000"/>
                <w:sz w:val="24"/>
                <w:szCs w:val="24"/>
              </w:rPr>
            </w:pPr>
            <w:r w:rsidRPr="00D43461">
              <w:rPr>
                <w:b/>
                <w:i/>
              </w:rPr>
              <w:t>PTEN</w:t>
            </w:r>
          </w:p>
        </w:tc>
        <w:tc>
          <w:tcPr>
            <w:tcW w:w="7920" w:type="dxa"/>
            <w:shd w:val="clear" w:color="auto" w:fill="D9D9D9"/>
          </w:tcPr>
          <w:p w:rsidR="00410E26" w:rsidRPr="00D43461" w:rsidRDefault="00410E26" w:rsidP="00B430A0">
            <w:pPr>
              <w:spacing w:after="0" w:line="480" w:lineRule="auto"/>
              <w:rPr>
                <w:b/>
                <w:color w:val="000000"/>
                <w:sz w:val="24"/>
                <w:szCs w:val="24"/>
              </w:rPr>
            </w:pPr>
            <w:r w:rsidRPr="00D43461">
              <w:rPr>
                <w:b/>
              </w:rPr>
              <w:t>phosphatase and tensin homolog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auto"/>
          </w:tcPr>
          <w:p w:rsidR="00410E26" w:rsidRPr="00A06D0A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A06D0A">
              <w:rPr>
                <w:i/>
              </w:rPr>
              <w:t>RET</w:t>
            </w:r>
          </w:p>
        </w:tc>
        <w:tc>
          <w:tcPr>
            <w:tcW w:w="7920" w:type="dxa"/>
            <w:shd w:val="clear" w:color="auto" w:fill="auto"/>
          </w:tcPr>
          <w:p w:rsidR="00410E26" w:rsidRPr="00611205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824839">
              <w:t>ret proto-oncogene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D9D9D9"/>
          </w:tcPr>
          <w:p w:rsidR="00410E26" w:rsidRPr="00A06D0A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A06D0A">
              <w:rPr>
                <w:i/>
              </w:rPr>
              <w:t>SMO</w:t>
            </w:r>
          </w:p>
        </w:tc>
        <w:tc>
          <w:tcPr>
            <w:tcW w:w="7920" w:type="dxa"/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824839">
              <w:t>smoothened, frizzled class receptor</w:t>
            </w:r>
          </w:p>
        </w:tc>
      </w:tr>
      <w:tr w:rsidR="00410E26" w:rsidRPr="00611205" w:rsidTr="00B430A0">
        <w:tc>
          <w:tcPr>
            <w:tcW w:w="1818" w:type="dxa"/>
            <w:shd w:val="clear" w:color="auto" w:fill="auto"/>
          </w:tcPr>
          <w:p w:rsidR="00410E26" w:rsidRPr="00A06D0A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A06D0A">
              <w:rPr>
                <w:i/>
              </w:rPr>
              <w:t>STK11</w:t>
            </w:r>
          </w:p>
        </w:tc>
        <w:tc>
          <w:tcPr>
            <w:tcW w:w="7920" w:type="dxa"/>
            <w:shd w:val="clear" w:color="auto" w:fill="auto"/>
          </w:tcPr>
          <w:p w:rsidR="00410E26" w:rsidRPr="00611205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824839">
              <w:t>serine/threonine kinase 11</w:t>
            </w:r>
          </w:p>
        </w:tc>
      </w:tr>
      <w:tr w:rsidR="00410E26" w:rsidRPr="00611205" w:rsidTr="00B430A0">
        <w:tc>
          <w:tcPr>
            <w:tcW w:w="1818" w:type="dxa"/>
            <w:tcBorders>
              <w:bottom w:val="single" w:sz="4" w:space="0" w:color="auto"/>
            </w:tcBorders>
            <w:shd w:val="clear" w:color="auto" w:fill="D9D9D9"/>
          </w:tcPr>
          <w:p w:rsidR="00410E26" w:rsidRPr="00D43461" w:rsidRDefault="00410E26" w:rsidP="00B430A0">
            <w:pPr>
              <w:spacing w:after="0" w:line="480" w:lineRule="auto"/>
              <w:rPr>
                <w:i/>
                <w:color w:val="000000"/>
                <w:sz w:val="24"/>
                <w:szCs w:val="24"/>
              </w:rPr>
            </w:pPr>
            <w:r w:rsidRPr="00D43461">
              <w:rPr>
                <w:i/>
              </w:rPr>
              <w:t xml:space="preserve">TP53 </w:t>
            </w:r>
          </w:p>
        </w:tc>
        <w:tc>
          <w:tcPr>
            <w:tcW w:w="7920" w:type="dxa"/>
            <w:tcBorders>
              <w:bottom w:val="single" w:sz="4" w:space="0" w:color="auto"/>
            </w:tcBorders>
            <w:shd w:val="clear" w:color="auto" w:fill="D9D9D9"/>
          </w:tcPr>
          <w:p w:rsidR="00410E26" w:rsidRPr="00D43461" w:rsidRDefault="00410E26" w:rsidP="00B430A0">
            <w:pPr>
              <w:spacing w:after="0" w:line="480" w:lineRule="auto"/>
              <w:rPr>
                <w:color w:val="000000"/>
                <w:sz w:val="24"/>
                <w:szCs w:val="24"/>
              </w:rPr>
            </w:pPr>
            <w:r w:rsidRPr="00D43461">
              <w:t>tumor protein p53</w:t>
            </w:r>
          </w:p>
        </w:tc>
      </w:tr>
    </w:tbl>
    <w:p w:rsidR="00410E26" w:rsidRDefault="00410E26" w:rsidP="00410E26">
      <w:pPr>
        <w:spacing w:after="0" w:line="48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Genes with actionable mutations in patients with advanced melanoma are in bold (ref. </w:t>
      </w:r>
      <w:r>
        <w:rPr>
          <w:color w:val="000000"/>
          <w:sz w:val="24"/>
          <w:szCs w:val="24"/>
        </w:rPr>
        <w:fldChar w:fldCharType="begin"/>
      </w:r>
      <w:r>
        <w:rPr>
          <w:color w:val="000000"/>
          <w:sz w:val="24"/>
          <w:szCs w:val="24"/>
        </w:rPr>
        <w:instrText xml:space="preserve"> ADDIN EN.CITE &lt;EndNote&gt;&lt;Cite&gt;&lt;Author&gt;Jeck&lt;/Author&gt;&lt;Year&gt;2014&lt;/Year&gt;&lt;RecNum&gt;65&lt;/RecNum&gt;&lt;DisplayText&gt;[13]&lt;/DisplayText&gt;&lt;record&gt;&lt;rec-number&gt;65&lt;/rec-number&gt;&lt;foreign-keys&gt;&lt;key app="EN" db-id="2edsw5zddaxtd4ee0vmvxffdwerz0p2v05v0"&gt;65&lt;/key&gt;&lt;/foreign-keys&gt;&lt;ref-type name="Journal Article"&gt;17&lt;/ref-type&gt;&lt;contributors&gt;&lt;authors&gt;&lt;author&gt;Jeck, W. R.&lt;/author&gt;&lt;author&gt;Parker, J.&lt;/author&gt;&lt;author&gt;Carson, C. C.&lt;/author&gt;&lt;author&gt;Shields, J. M.&lt;/author&gt;&lt;author&gt;Sambade, M. J.&lt;/author&gt;&lt;author&gt;Peters, E. C.&lt;/author&gt;&lt;author&gt;Burd, C. E.&lt;/author&gt;&lt;author&gt;Thomas, N. E.&lt;/author&gt;&lt;author&gt;Chiang, D. Y.&lt;/author&gt;&lt;author&gt;Liu, W.&lt;/author&gt;&lt;author&gt;Eberhard, D. A.&lt;/author&gt;&lt;author&gt;Ollila, D.&lt;/author&gt;&lt;author&gt;Grilley-Olson, J.&lt;/author&gt;&lt;author&gt;Moschos, S.&lt;/author&gt;&lt;author&gt;Neil Hayes, D.&lt;/author&gt;&lt;author&gt;Sharpless, N. E.&lt;/author&gt;&lt;/authors&gt;&lt;/contributors&gt;&lt;auth-address&gt;Department of Genetics, University of North Carolina School of Medicine, Chapel Hill, NC, USA.&lt;/auth-address&gt;&lt;titles&gt;&lt;title&gt;Targeted next generation sequencing identifies clinically actionable mutations in patients with melanoma&lt;/title&gt;&lt;secondary-title&gt;Pigment Cell Melanoma Res&lt;/secondary-title&gt;&lt;alt-title&gt;Pigment cell &amp;amp; melanoma research&lt;/alt-title&gt;&lt;/titles&gt;&lt;periodical&gt;&lt;full-title&gt;Pigment Cell Melanoma Res&lt;/full-title&gt;&lt;abbr-1&gt;Pigment cell &amp;amp; melanoma research&lt;/abbr-1&gt;&lt;/periodical&gt;&lt;alt-periodical&gt;&lt;full-title&gt;Pigment Cell Melanoma Res&lt;/full-title&gt;&lt;abbr-1&gt;Pigment cell &amp;amp; melanoma research&lt;/abbr-1&gt;&lt;/alt-periodical&gt;&lt;pages&gt;653-63&lt;/pages&gt;&lt;volume&gt;27&lt;/volume&gt;&lt;number&gt;4&lt;/number&gt;&lt;edition&gt;2014/03/19&lt;/edition&gt;&lt;dates&gt;&lt;year&gt;2014&lt;/year&gt;&lt;pub-dates&gt;&lt;date&gt;Jul&lt;/date&gt;&lt;/pub-dates&gt;&lt;/dates&gt;&lt;isbn&gt;1755-148X (Electronic)&amp;#xD;1755-1471 (Linking)&lt;/isbn&gt;&lt;accession-num&gt;24628946&lt;/accession-num&gt;&lt;urls&gt;&lt;related-urls&gt;&lt;url&gt;http://www.ncbi.nlm.nih.gov/pubmed/24628946&lt;/url&gt;&lt;/related-urls&gt;&lt;/urls&gt;&lt;custom2&gt;4121659&lt;/custom2&gt;&lt;electronic-resource-num&gt;10.1111/pcmr.12238&lt;/electronic-resource-num&gt;&lt;language&gt;eng&lt;/language&gt;&lt;/record&gt;&lt;/Cite&gt;&lt;/EndNote&gt;</w:instrText>
      </w:r>
      <w:r>
        <w:rPr>
          <w:color w:val="000000"/>
          <w:sz w:val="24"/>
          <w:szCs w:val="24"/>
        </w:rPr>
        <w:fldChar w:fldCharType="separate"/>
      </w:r>
      <w:r>
        <w:rPr>
          <w:noProof/>
          <w:color w:val="000000"/>
          <w:sz w:val="24"/>
          <w:szCs w:val="24"/>
        </w:rPr>
        <w:t>[</w:t>
      </w:r>
      <w:hyperlink w:anchor="_ENREF_13" w:tooltip="Jeck, 2014 #65" w:history="1">
        <w:r>
          <w:rPr>
            <w:noProof/>
            <w:color w:val="000000"/>
            <w:sz w:val="24"/>
            <w:szCs w:val="24"/>
          </w:rPr>
          <w:t>13</w:t>
        </w:r>
      </w:hyperlink>
      <w:r>
        <w:rPr>
          <w:noProof/>
          <w:color w:val="000000"/>
          <w:sz w:val="24"/>
          <w:szCs w:val="24"/>
        </w:rPr>
        <w:t>]</w:t>
      </w:r>
      <w:r>
        <w:rPr>
          <w:color w:val="000000"/>
          <w:sz w:val="24"/>
          <w:szCs w:val="24"/>
        </w:rPr>
        <w:fldChar w:fldCharType="end"/>
      </w:r>
      <w:r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br w:type="page"/>
      </w:r>
      <w:r w:rsidRPr="00611205">
        <w:rPr>
          <w:b/>
          <w:sz w:val="24"/>
          <w:szCs w:val="24"/>
        </w:rPr>
        <w:lastRenderedPageBreak/>
        <w:t>Supplementa</w:t>
      </w:r>
      <w:r>
        <w:rPr>
          <w:b/>
          <w:sz w:val="24"/>
          <w:szCs w:val="24"/>
        </w:rPr>
        <w:t>ry</w:t>
      </w:r>
      <w:r w:rsidRPr="00611205">
        <w:rPr>
          <w:b/>
          <w:sz w:val="24"/>
          <w:szCs w:val="24"/>
        </w:rPr>
        <w:t xml:space="preserve"> Table 2  </w:t>
      </w:r>
      <w:r w:rsidRPr="00611205">
        <w:rPr>
          <w:sz w:val="24"/>
          <w:szCs w:val="24"/>
        </w:rPr>
        <w:t>Probabilities of survival at the midpoint of a cycle</w:t>
      </w:r>
    </w:p>
    <w:tbl>
      <w:tblPr>
        <w:tblW w:w="0" w:type="auto"/>
        <w:tblLook w:val="04A0"/>
      </w:tblPr>
      <w:tblGrid>
        <w:gridCol w:w="1018"/>
        <w:gridCol w:w="1038"/>
        <w:gridCol w:w="1038"/>
        <w:gridCol w:w="231"/>
        <w:gridCol w:w="1195"/>
        <w:gridCol w:w="808"/>
        <w:gridCol w:w="270"/>
        <w:gridCol w:w="360"/>
        <w:gridCol w:w="720"/>
        <w:gridCol w:w="900"/>
      </w:tblGrid>
      <w:tr w:rsidR="00410E26" w:rsidRPr="00611205" w:rsidTr="00B430A0">
        <w:tc>
          <w:tcPr>
            <w:tcW w:w="101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jc w:val="center"/>
              <w:rPr>
                <w:b/>
                <w:sz w:val="24"/>
                <w:szCs w:val="24"/>
              </w:rPr>
            </w:pPr>
            <w:r w:rsidRPr="00611205">
              <w:rPr>
                <w:b/>
                <w:sz w:val="24"/>
                <w:szCs w:val="24"/>
              </w:rPr>
              <w:t>vemurafenib</w:t>
            </w:r>
          </w:p>
        </w:tc>
        <w:tc>
          <w:tcPr>
            <w:tcW w:w="231" w:type="dxa"/>
            <w:tcBorders>
              <w:top w:val="single" w:sz="4" w:space="0" w:color="auto"/>
            </w:tcBorders>
            <w:shd w:val="clear" w:color="auto" w:fill="auto"/>
          </w:tcPr>
          <w:p w:rsidR="00410E26" w:rsidRPr="00611205" w:rsidRDefault="00410E26" w:rsidP="00B430A0">
            <w:pPr>
              <w:spacing w:after="0" w:line="48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jc w:val="center"/>
              <w:rPr>
                <w:b/>
                <w:sz w:val="24"/>
                <w:szCs w:val="24"/>
              </w:rPr>
            </w:pPr>
            <w:r w:rsidRPr="00611205">
              <w:rPr>
                <w:b/>
                <w:sz w:val="24"/>
                <w:szCs w:val="24"/>
              </w:rPr>
              <w:t>ipilimumab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10E26" w:rsidRPr="00611205" w:rsidRDefault="00410E26" w:rsidP="00B430A0">
            <w:pPr>
              <w:spacing w:after="0" w:line="480" w:lineRule="auto"/>
              <w:rPr>
                <w:rStyle w:val="st"/>
                <w:b/>
                <w:color w:val="22222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b/>
                <w:sz w:val="24"/>
                <w:szCs w:val="24"/>
              </w:rPr>
            </w:pPr>
            <w:r w:rsidRPr="00611205">
              <w:rPr>
                <w:rStyle w:val="st"/>
                <w:b/>
                <w:color w:val="222222"/>
                <w:sz w:val="24"/>
                <w:szCs w:val="24"/>
              </w:rPr>
              <w:t>imatinib</w:t>
            </w:r>
            <w:r w:rsidRPr="00611205" w:rsidDel="00FF0533">
              <w:rPr>
                <w:rStyle w:val="st"/>
                <w:b/>
                <w:color w:val="222222"/>
                <w:sz w:val="24"/>
                <w:szCs w:val="24"/>
              </w:rPr>
              <w:t xml:space="preserve"> </w:t>
            </w:r>
          </w:p>
        </w:tc>
      </w:tr>
      <w:tr w:rsidR="00410E26" w:rsidRPr="00611205" w:rsidTr="00B430A0">
        <w:tc>
          <w:tcPr>
            <w:tcW w:w="10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b/>
                <w:noProof/>
                <w:sz w:val="24"/>
                <w:szCs w:val="24"/>
              </w:rPr>
            </w:pPr>
            <w:r w:rsidRPr="00611205">
              <w:rPr>
                <w:b/>
                <w:sz w:val="24"/>
                <w:szCs w:val="24"/>
              </w:rPr>
              <w:t>Cycle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b/>
                <w:noProof/>
                <w:sz w:val="24"/>
                <w:szCs w:val="24"/>
              </w:rPr>
            </w:pPr>
            <w:r w:rsidRPr="00611205">
              <w:rPr>
                <w:b/>
                <w:sz w:val="24"/>
                <w:szCs w:val="24"/>
              </w:rPr>
              <w:t xml:space="preserve"> OS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b/>
                <w:noProof/>
                <w:sz w:val="24"/>
                <w:szCs w:val="24"/>
              </w:rPr>
            </w:pPr>
            <w:r w:rsidRPr="00611205">
              <w:rPr>
                <w:b/>
                <w:sz w:val="24"/>
                <w:szCs w:val="24"/>
              </w:rPr>
              <w:t>PFS</w:t>
            </w:r>
          </w:p>
        </w:tc>
        <w:tc>
          <w:tcPr>
            <w:tcW w:w="231" w:type="dxa"/>
            <w:tcBorders>
              <w:bottom w:val="single" w:sz="4" w:space="0" w:color="auto"/>
            </w:tcBorders>
            <w:shd w:val="clear" w:color="auto" w:fill="auto"/>
          </w:tcPr>
          <w:p w:rsidR="00410E26" w:rsidRPr="00611205" w:rsidRDefault="00410E26" w:rsidP="00B430A0">
            <w:pPr>
              <w:spacing w:after="0"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b/>
                <w:noProof/>
                <w:sz w:val="24"/>
                <w:szCs w:val="24"/>
              </w:rPr>
            </w:pPr>
            <w:r w:rsidRPr="00611205">
              <w:rPr>
                <w:b/>
                <w:sz w:val="24"/>
                <w:szCs w:val="24"/>
              </w:rPr>
              <w:t xml:space="preserve"> OS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b/>
                <w:noProof/>
                <w:sz w:val="24"/>
                <w:szCs w:val="24"/>
              </w:rPr>
            </w:pPr>
            <w:r w:rsidRPr="00611205">
              <w:rPr>
                <w:b/>
                <w:sz w:val="24"/>
                <w:szCs w:val="24"/>
              </w:rPr>
              <w:t>PFS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:rsidR="00410E26" w:rsidRPr="00611205" w:rsidRDefault="00410E26" w:rsidP="00B430A0">
            <w:pPr>
              <w:spacing w:after="0"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b/>
                <w:noProof/>
                <w:sz w:val="24"/>
                <w:szCs w:val="24"/>
              </w:rPr>
            </w:pPr>
            <w:r w:rsidRPr="00611205">
              <w:rPr>
                <w:b/>
                <w:sz w:val="24"/>
                <w:szCs w:val="24"/>
              </w:rPr>
              <w:t xml:space="preserve"> OS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b/>
                <w:noProof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611205">
              <w:rPr>
                <w:b/>
                <w:sz w:val="24"/>
                <w:szCs w:val="24"/>
              </w:rPr>
              <w:t>PFS</w:t>
            </w:r>
          </w:p>
        </w:tc>
      </w:tr>
      <w:tr w:rsidR="00410E26" w:rsidRPr="00611205" w:rsidTr="00B430A0">
        <w:tc>
          <w:tcPr>
            <w:tcW w:w="1018" w:type="dxa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0.984</w:t>
            </w:r>
          </w:p>
        </w:tc>
        <w:tc>
          <w:tcPr>
            <w:tcW w:w="1038" w:type="dxa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0.974</w:t>
            </w:r>
          </w:p>
        </w:tc>
        <w:tc>
          <w:tcPr>
            <w:tcW w:w="231" w:type="dxa"/>
            <w:tcBorders>
              <w:top w:val="single" w:sz="4" w:space="0" w:color="auto"/>
            </w:tcBorders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0.937</w:t>
            </w:r>
          </w:p>
        </w:tc>
        <w:tc>
          <w:tcPr>
            <w:tcW w:w="808" w:type="dxa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0.857</w:t>
            </w: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1.000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0.720</w:t>
            </w:r>
          </w:p>
        </w:tc>
      </w:tr>
      <w:tr w:rsidR="00410E26" w:rsidRPr="00611205" w:rsidTr="00B430A0">
        <w:tc>
          <w:tcPr>
            <w:tcW w:w="1018" w:type="dxa"/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2</w:t>
            </w:r>
          </w:p>
        </w:tc>
        <w:tc>
          <w:tcPr>
            <w:tcW w:w="1038" w:type="dxa"/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0.909</w:t>
            </w:r>
          </w:p>
        </w:tc>
        <w:tc>
          <w:tcPr>
            <w:tcW w:w="1038" w:type="dxa"/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0.699</w:t>
            </w:r>
          </w:p>
        </w:tc>
        <w:tc>
          <w:tcPr>
            <w:tcW w:w="231" w:type="dxa"/>
            <w:shd w:val="clear" w:color="auto" w:fill="auto"/>
          </w:tcPr>
          <w:p w:rsidR="00410E26" w:rsidRPr="00611205" w:rsidRDefault="00410E26" w:rsidP="00B430A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195" w:type="dxa"/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0.728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0.269</w:t>
            </w:r>
          </w:p>
        </w:tc>
        <w:tc>
          <w:tcPr>
            <w:tcW w:w="270" w:type="dxa"/>
            <w:shd w:val="clear" w:color="auto" w:fill="auto"/>
          </w:tcPr>
          <w:p w:rsidR="00410E26" w:rsidRPr="00611205" w:rsidRDefault="00410E26" w:rsidP="00B430A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0.801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0.237</w:t>
            </w:r>
          </w:p>
        </w:tc>
      </w:tr>
      <w:tr w:rsidR="00410E26" w:rsidRPr="00611205" w:rsidTr="00B430A0">
        <w:tc>
          <w:tcPr>
            <w:tcW w:w="1018" w:type="dxa"/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3</w:t>
            </w:r>
          </w:p>
        </w:tc>
        <w:tc>
          <w:tcPr>
            <w:tcW w:w="1038" w:type="dxa"/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0.753</w:t>
            </w:r>
          </w:p>
        </w:tc>
        <w:tc>
          <w:tcPr>
            <w:tcW w:w="1038" w:type="dxa"/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0.415</w:t>
            </w:r>
          </w:p>
        </w:tc>
        <w:tc>
          <w:tcPr>
            <w:tcW w:w="231" w:type="dxa"/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195" w:type="dxa"/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0.589</w:t>
            </w:r>
          </w:p>
        </w:tc>
        <w:tc>
          <w:tcPr>
            <w:tcW w:w="808" w:type="dxa"/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0.194</w:t>
            </w:r>
          </w:p>
        </w:tc>
        <w:tc>
          <w:tcPr>
            <w:tcW w:w="270" w:type="dxa"/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0.625</w:t>
            </w:r>
          </w:p>
        </w:tc>
        <w:tc>
          <w:tcPr>
            <w:tcW w:w="900" w:type="dxa"/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0.237</w:t>
            </w:r>
          </w:p>
        </w:tc>
      </w:tr>
      <w:tr w:rsidR="00410E26" w:rsidRPr="00611205" w:rsidTr="00B430A0">
        <w:tc>
          <w:tcPr>
            <w:tcW w:w="1018" w:type="dxa"/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0.618</w:t>
            </w:r>
          </w:p>
        </w:tc>
        <w:tc>
          <w:tcPr>
            <w:tcW w:w="1038" w:type="dxa"/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0.295</w:t>
            </w:r>
          </w:p>
        </w:tc>
        <w:tc>
          <w:tcPr>
            <w:tcW w:w="231" w:type="dxa"/>
            <w:shd w:val="clear" w:color="auto" w:fill="auto"/>
          </w:tcPr>
          <w:p w:rsidR="00410E26" w:rsidRPr="00611205" w:rsidRDefault="00410E26" w:rsidP="00B430A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195" w:type="dxa"/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0.481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0.143</w:t>
            </w:r>
          </w:p>
        </w:tc>
        <w:tc>
          <w:tcPr>
            <w:tcW w:w="270" w:type="dxa"/>
            <w:shd w:val="clear" w:color="auto" w:fill="auto"/>
          </w:tcPr>
          <w:p w:rsidR="00410E26" w:rsidRPr="00611205" w:rsidRDefault="00410E26" w:rsidP="00B430A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0.580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0.194</w:t>
            </w:r>
          </w:p>
        </w:tc>
      </w:tr>
      <w:tr w:rsidR="00410E26" w:rsidRPr="00611205" w:rsidTr="00B430A0">
        <w:tc>
          <w:tcPr>
            <w:tcW w:w="1018" w:type="dxa"/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5</w:t>
            </w:r>
          </w:p>
        </w:tc>
        <w:tc>
          <w:tcPr>
            <w:tcW w:w="1038" w:type="dxa"/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0.500</w:t>
            </w:r>
          </w:p>
        </w:tc>
        <w:tc>
          <w:tcPr>
            <w:tcW w:w="1038" w:type="dxa"/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0.238</w:t>
            </w:r>
          </w:p>
        </w:tc>
        <w:tc>
          <w:tcPr>
            <w:tcW w:w="231" w:type="dxa"/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195" w:type="dxa"/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0.399</w:t>
            </w:r>
          </w:p>
        </w:tc>
        <w:tc>
          <w:tcPr>
            <w:tcW w:w="808" w:type="dxa"/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0.120</w:t>
            </w:r>
          </w:p>
        </w:tc>
        <w:tc>
          <w:tcPr>
            <w:tcW w:w="270" w:type="dxa"/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0.483</w:t>
            </w:r>
          </w:p>
        </w:tc>
        <w:tc>
          <w:tcPr>
            <w:tcW w:w="900" w:type="dxa"/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0.145</w:t>
            </w:r>
          </w:p>
        </w:tc>
      </w:tr>
      <w:tr w:rsidR="00410E26" w:rsidRPr="00611205" w:rsidTr="00B430A0">
        <w:tc>
          <w:tcPr>
            <w:tcW w:w="1018" w:type="dxa"/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6</w:t>
            </w:r>
          </w:p>
        </w:tc>
        <w:tc>
          <w:tcPr>
            <w:tcW w:w="1038" w:type="dxa"/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0.398</w:t>
            </w:r>
          </w:p>
        </w:tc>
        <w:tc>
          <w:tcPr>
            <w:tcW w:w="1038" w:type="dxa"/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0.207</w:t>
            </w:r>
          </w:p>
        </w:tc>
        <w:tc>
          <w:tcPr>
            <w:tcW w:w="231" w:type="dxa"/>
            <w:shd w:val="clear" w:color="auto" w:fill="auto"/>
          </w:tcPr>
          <w:p w:rsidR="00410E26" w:rsidRPr="00611205" w:rsidRDefault="00410E26" w:rsidP="00B430A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195" w:type="dxa"/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0.329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0.114</w:t>
            </w:r>
          </w:p>
        </w:tc>
        <w:tc>
          <w:tcPr>
            <w:tcW w:w="270" w:type="dxa"/>
            <w:shd w:val="clear" w:color="auto" w:fill="auto"/>
          </w:tcPr>
          <w:p w:rsidR="00410E26" w:rsidRPr="00611205" w:rsidRDefault="00410E26" w:rsidP="00B430A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0.443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0.145</w:t>
            </w:r>
          </w:p>
        </w:tc>
      </w:tr>
      <w:tr w:rsidR="00410E26" w:rsidRPr="00611205" w:rsidTr="00B430A0">
        <w:tc>
          <w:tcPr>
            <w:tcW w:w="1018" w:type="dxa"/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7</w:t>
            </w:r>
          </w:p>
        </w:tc>
        <w:tc>
          <w:tcPr>
            <w:tcW w:w="1038" w:type="dxa"/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0.323</w:t>
            </w:r>
          </w:p>
        </w:tc>
        <w:tc>
          <w:tcPr>
            <w:tcW w:w="1038" w:type="dxa"/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0.130</w:t>
            </w:r>
          </w:p>
        </w:tc>
        <w:tc>
          <w:tcPr>
            <w:tcW w:w="231" w:type="dxa"/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195" w:type="dxa"/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0.278</w:t>
            </w:r>
          </w:p>
        </w:tc>
        <w:tc>
          <w:tcPr>
            <w:tcW w:w="808" w:type="dxa"/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0.091</w:t>
            </w:r>
          </w:p>
        </w:tc>
        <w:tc>
          <w:tcPr>
            <w:tcW w:w="270" w:type="dxa"/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0.324</w:t>
            </w:r>
          </w:p>
        </w:tc>
        <w:tc>
          <w:tcPr>
            <w:tcW w:w="900" w:type="dxa"/>
            <w:shd w:val="clear" w:color="auto" w:fill="D9D9D9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0.145</w:t>
            </w:r>
          </w:p>
        </w:tc>
      </w:tr>
      <w:tr w:rsidR="00410E26" w:rsidRPr="00611205" w:rsidTr="00B430A0">
        <w:tc>
          <w:tcPr>
            <w:tcW w:w="10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8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0.231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0.130</w:t>
            </w:r>
          </w:p>
        </w:tc>
        <w:tc>
          <w:tcPr>
            <w:tcW w:w="231" w:type="dxa"/>
            <w:tcBorders>
              <w:bottom w:val="single" w:sz="4" w:space="0" w:color="auto"/>
            </w:tcBorders>
            <w:shd w:val="clear" w:color="auto" w:fill="auto"/>
          </w:tcPr>
          <w:p w:rsidR="00410E26" w:rsidRPr="00611205" w:rsidRDefault="00410E26" w:rsidP="00B430A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0.241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0.091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:rsidR="00410E26" w:rsidRPr="00611205" w:rsidRDefault="00410E26" w:rsidP="00B430A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0.324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0E26" w:rsidRPr="00611205" w:rsidRDefault="00410E26" w:rsidP="00B430A0">
            <w:pPr>
              <w:spacing w:after="0" w:line="480" w:lineRule="auto"/>
              <w:rPr>
                <w:noProof/>
                <w:sz w:val="24"/>
                <w:szCs w:val="24"/>
              </w:rPr>
            </w:pPr>
            <w:r w:rsidRPr="00611205">
              <w:rPr>
                <w:sz w:val="24"/>
                <w:szCs w:val="24"/>
              </w:rPr>
              <w:t>0.145</w:t>
            </w:r>
          </w:p>
        </w:tc>
      </w:tr>
    </w:tbl>
    <w:p w:rsidR="00410E26" w:rsidRPr="00611205" w:rsidRDefault="00410E26" w:rsidP="00410E26">
      <w:pPr>
        <w:spacing w:after="0" w:line="480" w:lineRule="auto"/>
        <w:rPr>
          <w:sz w:val="24"/>
          <w:szCs w:val="24"/>
        </w:rPr>
      </w:pPr>
      <w:r w:rsidRPr="00611205">
        <w:rPr>
          <w:noProof/>
          <w:sz w:val="24"/>
          <w:szCs w:val="24"/>
        </w:rPr>
        <w:t>OS: overall survival; PFS: progression-free survival</w:t>
      </w:r>
      <w:r w:rsidRPr="00611205">
        <w:rPr>
          <w:noProof/>
          <w:sz w:val="24"/>
          <w:szCs w:val="24"/>
        </w:rPr>
        <w:br w:type="page"/>
      </w:r>
      <w:r w:rsidRPr="00611205">
        <w:rPr>
          <w:b/>
          <w:sz w:val="24"/>
          <w:szCs w:val="24"/>
        </w:rPr>
        <w:lastRenderedPageBreak/>
        <w:t>Supplementa</w:t>
      </w:r>
      <w:r>
        <w:rPr>
          <w:b/>
          <w:sz w:val="24"/>
          <w:szCs w:val="24"/>
        </w:rPr>
        <w:t>ry</w:t>
      </w:r>
      <w:r w:rsidRPr="00611205">
        <w:rPr>
          <w:b/>
          <w:sz w:val="24"/>
          <w:szCs w:val="24"/>
        </w:rPr>
        <w:t xml:space="preserve"> Table 3  </w:t>
      </w:r>
      <w:r w:rsidRPr="00611205">
        <w:rPr>
          <w:sz w:val="24"/>
          <w:szCs w:val="24"/>
        </w:rPr>
        <w:t xml:space="preserve">Base-case outcome </w:t>
      </w:r>
      <w:r>
        <w:rPr>
          <w:sz w:val="24"/>
          <w:szCs w:val="24"/>
        </w:rPr>
        <w:t xml:space="preserve">using the proportion of patients who test positive for the BRAF V600 mutations as reported in the BRAF single-site mutation </w:t>
      </w:r>
      <w:r w:rsidRPr="00611205">
        <w:rPr>
          <w:sz w:val="24"/>
          <w:szCs w:val="24"/>
        </w:rPr>
        <w:t>test package insert</w:t>
      </w:r>
    </w:p>
    <w:tbl>
      <w:tblPr>
        <w:tblW w:w="10368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538"/>
        <w:gridCol w:w="1260"/>
        <w:gridCol w:w="1800"/>
        <w:gridCol w:w="1620"/>
        <w:gridCol w:w="1980"/>
        <w:gridCol w:w="1170"/>
      </w:tblGrid>
      <w:tr w:rsidR="00410E26" w:rsidRPr="00611205" w:rsidTr="00B430A0">
        <w:tc>
          <w:tcPr>
            <w:tcW w:w="2538" w:type="dxa"/>
            <w:tcBorders>
              <w:top w:val="single" w:sz="4" w:space="0" w:color="auto"/>
              <w:bottom w:val="single" w:sz="4" w:space="0" w:color="auto"/>
            </w:tcBorders>
          </w:tcPr>
          <w:p w:rsidR="00410E26" w:rsidRPr="00611205" w:rsidRDefault="00410E26" w:rsidP="00B430A0">
            <w:pPr>
              <w:spacing w:after="0" w:line="480" w:lineRule="auto"/>
              <w:rPr>
                <w:b/>
                <w:szCs w:val="24"/>
              </w:rPr>
            </w:pPr>
            <w:r w:rsidRPr="00611205">
              <w:rPr>
                <w:b/>
                <w:szCs w:val="24"/>
              </w:rPr>
              <w:t>Strategy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410E26" w:rsidRPr="00611205" w:rsidRDefault="00410E26" w:rsidP="00B430A0">
            <w:pPr>
              <w:spacing w:after="0" w:line="480" w:lineRule="auto"/>
              <w:rPr>
                <w:b/>
                <w:szCs w:val="24"/>
              </w:rPr>
            </w:pPr>
            <w:r w:rsidRPr="00611205">
              <w:rPr>
                <w:b/>
                <w:szCs w:val="24"/>
              </w:rPr>
              <w:t>Cost ($/patient)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410E26" w:rsidRPr="00611205" w:rsidRDefault="00410E26" w:rsidP="00B430A0">
            <w:pPr>
              <w:spacing w:after="0" w:line="480" w:lineRule="auto"/>
              <w:rPr>
                <w:b/>
                <w:szCs w:val="24"/>
              </w:rPr>
            </w:pPr>
            <w:r w:rsidRPr="00611205">
              <w:rPr>
                <w:b/>
                <w:szCs w:val="24"/>
              </w:rPr>
              <w:t>Incremental cost ($/patient)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410E26" w:rsidRPr="00611205" w:rsidRDefault="00410E26" w:rsidP="00B430A0">
            <w:pPr>
              <w:spacing w:after="0" w:line="480" w:lineRule="auto"/>
              <w:rPr>
                <w:b/>
                <w:szCs w:val="24"/>
              </w:rPr>
            </w:pPr>
            <w:r w:rsidRPr="00611205">
              <w:rPr>
                <w:b/>
                <w:szCs w:val="24"/>
              </w:rPr>
              <w:t>Effect (years/patient)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410E26" w:rsidRPr="00611205" w:rsidRDefault="00410E26" w:rsidP="00B430A0">
            <w:pPr>
              <w:spacing w:after="0" w:line="480" w:lineRule="auto"/>
              <w:rPr>
                <w:b/>
                <w:szCs w:val="24"/>
              </w:rPr>
            </w:pPr>
            <w:r w:rsidRPr="00611205">
              <w:rPr>
                <w:b/>
                <w:szCs w:val="24"/>
              </w:rPr>
              <w:t>Incremental effect (years/patient)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410E26" w:rsidRPr="00611205" w:rsidRDefault="00410E26" w:rsidP="00B430A0">
            <w:pPr>
              <w:spacing w:after="0" w:line="480" w:lineRule="auto"/>
              <w:rPr>
                <w:b/>
                <w:szCs w:val="24"/>
              </w:rPr>
            </w:pPr>
            <w:r w:rsidRPr="00611205">
              <w:rPr>
                <w:b/>
                <w:szCs w:val="24"/>
              </w:rPr>
              <w:t>ICER</w:t>
            </w:r>
            <w:r w:rsidRPr="002F1945">
              <w:rPr>
                <w:b/>
                <w:szCs w:val="24"/>
                <w:vertAlign w:val="superscript"/>
              </w:rPr>
              <w:t>a</w:t>
            </w:r>
          </w:p>
        </w:tc>
      </w:tr>
      <w:tr w:rsidR="00410E26" w:rsidRPr="00611205" w:rsidTr="00B430A0">
        <w:tc>
          <w:tcPr>
            <w:tcW w:w="2538" w:type="dxa"/>
            <w:tcBorders>
              <w:top w:val="single" w:sz="4" w:space="0" w:color="auto"/>
            </w:tcBorders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b/>
                <w:szCs w:val="24"/>
              </w:rPr>
            </w:pPr>
            <w:r w:rsidRPr="00611205">
              <w:rPr>
                <w:szCs w:val="24"/>
              </w:rPr>
              <w:t xml:space="preserve">Single-site mutation </w:t>
            </w:r>
            <w:r>
              <w:rPr>
                <w:szCs w:val="24"/>
              </w:rPr>
              <w:t>t</w:t>
            </w:r>
            <w:r w:rsidRPr="00611205">
              <w:rPr>
                <w:szCs w:val="24"/>
              </w:rPr>
              <w:t>est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b/>
                <w:szCs w:val="24"/>
              </w:rPr>
            </w:pPr>
            <w:r>
              <w:rPr>
                <w:szCs w:val="24"/>
              </w:rPr>
              <w:t>123,626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b/>
                <w:szCs w:val="24"/>
              </w:rPr>
            </w:pPr>
            <w:r w:rsidRPr="00611205">
              <w:rPr>
                <w:szCs w:val="24"/>
              </w:rPr>
              <w:t>Reference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b/>
                <w:szCs w:val="24"/>
              </w:rPr>
            </w:pPr>
            <w:r w:rsidRPr="00611205">
              <w:rPr>
                <w:szCs w:val="24"/>
              </w:rPr>
              <w:t>0.738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b/>
                <w:szCs w:val="24"/>
              </w:rPr>
            </w:pPr>
            <w:r w:rsidRPr="00611205">
              <w:rPr>
                <w:szCs w:val="24"/>
              </w:rPr>
              <w:t>Reference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D9D9D9"/>
          </w:tcPr>
          <w:p w:rsidR="00410E26" w:rsidRPr="00611205" w:rsidRDefault="00410E26" w:rsidP="00B430A0">
            <w:pPr>
              <w:spacing w:after="0" w:line="480" w:lineRule="auto"/>
              <w:rPr>
                <w:b/>
                <w:szCs w:val="24"/>
              </w:rPr>
            </w:pPr>
            <w:r w:rsidRPr="00611205">
              <w:rPr>
                <w:szCs w:val="24"/>
              </w:rPr>
              <w:t>Reference</w:t>
            </w:r>
          </w:p>
        </w:tc>
      </w:tr>
      <w:tr w:rsidR="00410E26" w:rsidRPr="00611205" w:rsidTr="00B430A0">
        <w:tc>
          <w:tcPr>
            <w:tcW w:w="2538" w:type="dxa"/>
          </w:tcPr>
          <w:p w:rsidR="00410E26" w:rsidRPr="00611205" w:rsidRDefault="00410E26" w:rsidP="00B430A0">
            <w:pPr>
              <w:spacing w:after="0" w:line="480" w:lineRule="auto"/>
              <w:rPr>
                <w:b/>
                <w:szCs w:val="24"/>
              </w:rPr>
            </w:pPr>
            <w:r w:rsidRPr="00611205">
              <w:rPr>
                <w:szCs w:val="24"/>
              </w:rPr>
              <w:t>Gene sequencing panel</w:t>
            </w:r>
          </w:p>
        </w:tc>
        <w:tc>
          <w:tcPr>
            <w:tcW w:w="1260" w:type="dxa"/>
          </w:tcPr>
          <w:p w:rsidR="00410E26" w:rsidRPr="00611205" w:rsidRDefault="00410E26" w:rsidP="00B430A0">
            <w:pPr>
              <w:spacing w:after="0" w:line="480" w:lineRule="auto"/>
              <w:rPr>
                <w:b/>
                <w:szCs w:val="24"/>
              </w:rPr>
            </w:pPr>
            <w:r>
              <w:rPr>
                <w:szCs w:val="24"/>
              </w:rPr>
              <w:t>117,738</w:t>
            </w:r>
          </w:p>
        </w:tc>
        <w:tc>
          <w:tcPr>
            <w:tcW w:w="1800" w:type="dxa"/>
          </w:tcPr>
          <w:p w:rsidR="00410E26" w:rsidRPr="00611205" w:rsidRDefault="00410E26" w:rsidP="00B430A0">
            <w:pPr>
              <w:spacing w:after="0" w:line="480" w:lineRule="auto"/>
              <w:rPr>
                <w:b/>
                <w:szCs w:val="24"/>
              </w:rPr>
            </w:pPr>
            <w:r w:rsidRPr="00611205">
              <w:rPr>
                <w:szCs w:val="24"/>
              </w:rPr>
              <w:t>-5,</w:t>
            </w:r>
            <w:r>
              <w:rPr>
                <w:szCs w:val="24"/>
              </w:rPr>
              <w:t>888</w:t>
            </w:r>
          </w:p>
        </w:tc>
        <w:tc>
          <w:tcPr>
            <w:tcW w:w="1620" w:type="dxa"/>
          </w:tcPr>
          <w:p w:rsidR="00410E26" w:rsidRPr="00611205" w:rsidRDefault="00410E26" w:rsidP="00B430A0">
            <w:pPr>
              <w:spacing w:after="0" w:line="480" w:lineRule="auto"/>
              <w:rPr>
                <w:b/>
                <w:szCs w:val="24"/>
              </w:rPr>
            </w:pPr>
            <w:r w:rsidRPr="00611205">
              <w:rPr>
                <w:szCs w:val="24"/>
              </w:rPr>
              <w:t>0.754</w:t>
            </w:r>
          </w:p>
        </w:tc>
        <w:tc>
          <w:tcPr>
            <w:tcW w:w="1980" w:type="dxa"/>
          </w:tcPr>
          <w:p w:rsidR="00410E26" w:rsidRPr="00611205" w:rsidRDefault="00410E26" w:rsidP="00B430A0">
            <w:pPr>
              <w:spacing w:after="0" w:line="480" w:lineRule="auto"/>
              <w:rPr>
                <w:b/>
                <w:szCs w:val="24"/>
              </w:rPr>
            </w:pPr>
            <w:r w:rsidRPr="00611205">
              <w:rPr>
                <w:szCs w:val="24"/>
              </w:rPr>
              <w:t>0.01</w:t>
            </w:r>
            <w:r>
              <w:rPr>
                <w:szCs w:val="24"/>
              </w:rPr>
              <w:t>57</w:t>
            </w:r>
          </w:p>
        </w:tc>
        <w:tc>
          <w:tcPr>
            <w:tcW w:w="1170" w:type="dxa"/>
          </w:tcPr>
          <w:p w:rsidR="00410E26" w:rsidRPr="00611205" w:rsidRDefault="00410E26" w:rsidP="00B430A0">
            <w:pPr>
              <w:spacing w:after="0" w:line="480" w:lineRule="auto"/>
              <w:rPr>
                <w:b/>
                <w:szCs w:val="24"/>
              </w:rPr>
            </w:pPr>
            <w:r w:rsidRPr="00611205">
              <w:rPr>
                <w:szCs w:val="24"/>
              </w:rPr>
              <w:t>Dominant</w:t>
            </w:r>
          </w:p>
        </w:tc>
      </w:tr>
    </w:tbl>
    <w:p w:rsidR="00410E26" w:rsidRPr="00611205" w:rsidRDefault="00410E26" w:rsidP="00410E26">
      <w:pPr>
        <w:spacing w:after="0" w:line="480" w:lineRule="auto"/>
        <w:rPr>
          <w:sz w:val="24"/>
          <w:szCs w:val="24"/>
        </w:rPr>
      </w:pPr>
      <w:proofErr w:type="gramStart"/>
      <w:r w:rsidRPr="002F1945">
        <w:rPr>
          <w:sz w:val="24"/>
          <w:szCs w:val="24"/>
          <w:vertAlign w:val="superscript"/>
        </w:rPr>
        <w:t>a</w:t>
      </w:r>
      <w:r w:rsidRPr="00611205">
        <w:rPr>
          <w:sz w:val="24"/>
          <w:szCs w:val="24"/>
        </w:rPr>
        <w:t>Incremental</w:t>
      </w:r>
      <w:proofErr w:type="gramEnd"/>
      <w:r w:rsidRPr="00611205">
        <w:rPr>
          <w:sz w:val="24"/>
          <w:szCs w:val="24"/>
        </w:rPr>
        <w:t xml:space="preserve"> cost effectiveness ratio ($ per quality adjusted life year gained)</w:t>
      </w:r>
    </w:p>
    <w:p w:rsidR="00225417" w:rsidRDefault="00225417"/>
    <w:sectPr w:rsidR="00225417" w:rsidSect="002254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410E26"/>
    <w:rsid w:val="00225417"/>
    <w:rsid w:val="00410E26"/>
    <w:rsid w:val="008C616F"/>
    <w:rsid w:val="00F16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E26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rsid w:val="00410E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742</Words>
  <Characters>4232</Characters>
  <Application>Microsoft Office Word</Application>
  <DocSecurity>0</DocSecurity>
  <Lines>35</Lines>
  <Paragraphs>9</Paragraphs>
  <ScaleCrop>false</ScaleCrop>
  <Company>sps</Company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0009538</dc:creator>
  <cp:lastModifiedBy>0009538</cp:lastModifiedBy>
  <cp:revision>1</cp:revision>
  <dcterms:created xsi:type="dcterms:W3CDTF">2015-04-16T13:35:00Z</dcterms:created>
  <dcterms:modified xsi:type="dcterms:W3CDTF">2015-04-16T13:35:00Z</dcterms:modified>
</cp:coreProperties>
</file>