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59FE22" w14:textId="02301B70" w:rsidR="00D05AB4" w:rsidRPr="00DA740C" w:rsidRDefault="00D05AB4" w:rsidP="00D05AB4">
      <w:pPr>
        <w:rPr>
          <w:rFonts w:ascii="Times New Roman" w:hAnsi="Times New Roman" w:cs="Times New Roman"/>
          <w:lang w:val="en-US"/>
        </w:rPr>
      </w:pPr>
      <w:r>
        <w:rPr>
          <w:lang w:val="en-US"/>
        </w:rPr>
        <w:t>T</w:t>
      </w:r>
      <w:r w:rsidRPr="00DA740C">
        <w:rPr>
          <w:rFonts w:ascii="Times New Roman" w:hAnsi="Times New Roman" w:cs="Times New Roman"/>
          <w:lang w:val="en-US"/>
        </w:rPr>
        <w:t xml:space="preserve">able </w:t>
      </w:r>
      <w:r w:rsidR="00EA0845">
        <w:rPr>
          <w:rFonts w:ascii="Times New Roman" w:hAnsi="Times New Roman" w:cs="Times New Roman"/>
          <w:lang w:val="en-US"/>
        </w:rPr>
        <w:t>S1</w:t>
      </w:r>
      <w:r w:rsidRPr="00DA740C">
        <w:rPr>
          <w:rFonts w:ascii="Times New Roman" w:hAnsi="Times New Roman" w:cs="Times New Roman"/>
          <w:lang w:val="en-US"/>
        </w:rPr>
        <w:t xml:space="preserve"> Characteristics of the included studies</w:t>
      </w:r>
    </w:p>
    <w:tbl>
      <w:tblPr>
        <w:tblStyle w:val="PlainTable4"/>
        <w:tblW w:w="16303"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560"/>
        <w:gridCol w:w="1413"/>
        <w:gridCol w:w="837"/>
        <w:gridCol w:w="878"/>
        <w:gridCol w:w="1577"/>
        <w:gridCol w:w="1794"/>
        <w:gridCol w:w="1365"/>
        <w:gridCol w:w="1179"/>
        <w:gridCol w:w="1178"/>
        <w:gridCol w:w="1307"/>
        <w:gridCol w:w="341"/>
        <w:gridCol w:w="2874"/>
      </w:tblGrid>
      <w:tr w:rsidR="00D05AB4" w:rsidRPr="00333A96" w14:paraId="31177ECC" w14:textId="77777777" w:rsidTr="00CC2F10">
        <w:trPr>
          <w:cnfStyle w:val="100000000000" w:firstRow="1" w:lastRow="0" w:firstColumn="0" w:lastColumn="0" w:oddVBand="0" w:evenVBand="0" w:oddHBand="0"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1560" w:type="dxa"/>
            <w:noWrap/>
            <w:hideMark/>
          </w:tcPr>
          <w:p w14:paraId="40774215"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Study/Year</w:t>
            </w:r>
          </w:p>
        </w:tc>
        <w:tc>
          <w:tcPr>
            <w:tcW w:w="1413" w:type="dxa"/>
            <w:noWrap/>
            <w:hideMark/>
          </w:tcPr>
          <w:p w14:paraId="3A2EF067" w14:textId="77777777" w:rsidR="00D05AB4" w:rsidRPr="00333A96" w:rsidRDefault="00D05AB4" w:rsidP="00C0574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Country</w:t>
            </w:r>
          </w:p>
        </w:tc>
        <w:tc>
          <w:tcPr>
            <w:tcW w:w="837" w:type="dxa"/>
            <w:noWrap/>
            <w:hideMark/>
          </w:tcPr>
          <w:p w14:paraId="35C971EA" w14:textId="77777777" w:rsidR="00D05AB4" w:rsidRPr="00333A96" w:rsidRDefault="00D05AB4" w:rsidP="00C0574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Design</w:t>
            </w:r>
          </w:p>
        </w:tc>
        <w:tc>
          <w:tcPr>
            <w:tcW w:w="878" w:type="dxa"/>
            <w:noWrap/>
            <w:hideMark/>
          </w:tcPr>
          <w:p w14:paraId="0C23F753" w14:textId="77777777" w:rsidR="00D05AB4" w:rsidRPr="00333A96" w:rsidRDefault="00D05AB4" w:rsidP="00C0574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18"/>
                <w:szCs w:val="18"/>
                <w:lang w:val="en-GB" w:eastAsia="nl-NL"/>
              </w:rPr>
            </w:pPr>
            <w:r w:rsidRPr="00333A96">
              <w:rPr>
                <w:rFonts w:ascii="Times New Roman" w:eastAsia="Times New Roman" w:hAnsi="Times New Roman" w:cs="Times New Roman"/>
                <w:i/>
                <w:iCs/>
                <w:sz w:val="18"/>
                <w:szCs w:val="18"/>
                <w:lang w:val="en-GB" w:eastAsia="nl-NL"/>
              </w:rPr>
              <w:t>N</w:t>
            </w:r>
          </w:p>
        </w:tc>
        <w:tc>
          <w:tcPr>
            <w:tcW w:w="1577" w:type="dxa"/>
            <w:hideMark/>
          </w:tcPr>
          <w:p w14:paraId="5AD3F268" w14:textId="77777777" w:rsidR="00D05AB4" w:rsidRPr="00333A96" w:rsidRDefault="00D05AB4" w:rsidP="00C0574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18"/>
                <w:szCs w:val="18"/>
                <w:lang w:val="en-GB" w:eastAsia="nl-NL"/>
              </w:rPr>
            </w:pPr>
            <w:r w:rsidRPr="00333A96">
              <w:rPr>
                <w:rFonts w:ascii="Times New Roman" w:eastAsia="Times New Roman" w:hAnsi="Times New Roman" w:cs="Times New Roman"/>
                <w:sz w:val="18"/>
                <w:szCs w:val="18"/>
                <w:lang w:val="en-GB" w:eastAsia="nl-NL"/>
              </w:rPr>
              <w:t xml:space="preserve">Age (years) </w:t>
            </w:r>
          </w:p>
          <w:p w14:paraId="10077605" w14:textId="77777777" w:rsidR="00D05AB4" w:rsidRDefault="00D05AB4" w:rsidP="00C0574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18"/>
                <w:szCs w:val="18"/>
                <w:lang w:val="en-GB" w:eastAsia="nl-NL"/>
              </w:rPr>
            </w:pPr>
            <w:r w:rsidRPr="00333A96">
              <w:rPr>
                <w:rFonts w:ascii="Times New Roman" w:eastAsia="Times New Roman" w:hAnsi="Times New Roman" w:cs="Times New Roman"/>
                <w:b w:val="0"/>
                <w:bCs w:val="0"/>
                <w:sz w:val="18"/>
                <w:szCs w:val="18"/>
                <w:lang w:val="en-GB" w:eastAsia="nl-NL"/>
              </w:rPr>
              <w:t xml:space="preserve">Range </w:t>
            </w:r>
          </w:p>
          <w:p w14:paraId="0947696C" w14:textId="77777777" w:rsidR="00D05AB4" w:rsidRPr="00333A96" w:rsidRDefault="00D05AB4" w:rsidP="00C0574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(average ± SD)</w:t>
            </w:r>
          </w:p>
        </w:tc>
        <w:tc>
          <w:tcPr>
            <w:tcW w:w="1794" w:type="dxa"/>
            <w:hideMark/>
          </w:tcPr>
          <w:p w14:paraId="13A41247" w14:textId="77777777" w:rsidR="00D05AB4" w:rsidRPr="00333A96" w:rsidRDefault="00D05AB4" w:rsidP="00C0574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Objectives</w:t>
            </w:r>
          </w:p>
        </w:tc>
        <w:tc>
          <w:tcPr>
            <w:tcW w:w="1365" w:type="dxa"/>
            <w:hideMark/>
          </w:tcPr>
          <w:p w14:paraId="185DF08F" w14:textId="77777777" w:rsidR="00D05AB4" w:rsidRPr="00333A96" w:rsidRDefault="00D05AB4" w:rsidP="00C0574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Collection method </w:t>
            </w:r>
          </w:p>
        </w:tc>
        <w:tc>
          <w:tcPr>
            <w:tcW w:w="1179" w:type="dxa"/>
            <w:hideMark/>
          </w:tcPr>
          <w:p w14:paraId="66E24B5B" w14:textId="77777777" w:rsidR="00D05AB4" w:rsidRPr="00333A96" w:rsidRDefault="00D05AB4" w:rsidP="00C0574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Collection device</w:t>
            </w:r>
          </w:p>
        </w:tc>
        <w:tc>
          <w:tcPr>
            <w:tcW w:w="1178" w:type="dxa"/>
            <w:hideMark/>
          </w:tcPr>
          <w:p w14:paraId="1271BEBF" w14:textId="77777777" w:rsidR="00D05AB4" w:rsidRPr="00333A96" w:rsidRDefault="00D05AB4" w:rsidP="00C0574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Salivary type </w:t>
            </w:r>
          </w:p>
        </w:tc>
        <w:tc>
          <w:tcPr>
            <w:tcW w:w="1307" w:type="dxa"/>
            <w:hideMark/>
          </w:tcPr>
          <w:p w14:paraId="30AF7350" w14:textId="77777777" w:rsidR="00D05AB4" w:rsidRPr="00333A96" w:rsidRDefault="00D05AB4" w:rsidP="00C0574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Remarks sampling</w:t>
            </w:r>
          </w:p>
        </w:tc>
        <w:tc>
          <w:tcPr>
            <w:tcW w:w="3215" w:type="dxa"/>
            <w:gridSpan w:val="2"/>
            <w:hideMark/>
          </w:tcPr>
          <w:p w14:paraId="55E79A4E" w14:textId="77777777" w:rsidR="00D05AB4" w:rsidRPr="00333A96" w:rsidRDefault="00D05AB4" w:rsidP="00C0574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Main outcome</w:t>
            </w:r>
            <w:r>
              <w:rPr>
                <w:rFonts w:ascii="Times New Roman" w:eastAsia="Times New Roman" w:hAnsi="Times New Roman" w:cs="Times New Roman"/>
                <w:sz w:val="18"/>
                <w:szCs w:val="18"/>
                <w:lang w:val="en-GB" w:eastAsia="nl-NL"/>
              </w:rPr>
              <w:t>(s)</w:t>
            </w:r>
          </w:p>
        </w:tc>
      </w:tr>
      <w:tr w:rsidR="00D05AB4" w:rsidRPr="00CC2F10" w14:paraId="6D21E5F2" w14:textId="77777777" w:rsidTr="00CC2F10">
        <w:trPr>
          <w:cnfStyle w:val="000000100000" w:firstRow="0" w:lastRow="0" w:firstColumn="0" w:lastColumn="0" w:oddVBand="0" w:evenVBand="0" w:oddHBand="1" w:evenHBand="0" w:firstRowFirstColumn="0" w:firstRowLastColumn="0" w:lastRowFirstColumn="0" w:lastRowLastColumn="0"/>
          <w:trHeight w:val="1979"/>
        </w:trPr>
        <w:tc>
          <w:tcPr>
            <w:cnfStyle w:val="001000000000" w:firstRow="0" w:lastRow="0" w:firstColumn="1" w:lastColumn="0" w:oddVBand="0" w:evenVBand="0" w:oddHBand="0" w:evenHBand="0" w:firstRowFirstColumn="0" w:firstRowLastColumn="0" w:lastRowFirstColumn="0" w:lastRowLastColumn="0"/>
            <w:tcW w:w="1560" w:type="dxa"/>
            <w:noWrap/>
            <w:hideMark/>
          </w:tcPr>
          <w:p w14:paraId="6D68377E"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Abdulla et al. 2015</w:t>
            </w:r>
          </w:p>
        </w:tc>
        <w:tc>
          <w:tcPr>
            <w:tcW w:w="1413" w:type="dxa"/>
            <w:noWrap/>
            <w:hideMark/>
          </w:tcPr>
          <w:p w14:paraId="5225BF61"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India</w:t>
            </w:r>
          </w:p>
        </w:tc>
        <w:tc>
          <w:tcPr>
            <w:tcW w:w="837" w:type="dxa"/>
            <w:noWrap/>
            <w:hideMark/>
          </w:tcPr>
          <w:p w14:paraId="0D2BC794"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63943C59"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100</w:t>
            </w:r>
          </w:p>
        </w:tc>
        <w:tc>
          <w:tcPr>
            <w:tcW w:w="1577" w:type="dxa"/>
            <w:hideMark/>
          </w:tcPr>
          <w:p w14:paraId="48DC1C64"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6-12 (?)</w:t>
            </w:r>
          </w:p>
        </w:tc>
        <w:tc>
          <w:tcPr>
            <w:tcW w:w="1794" w:type="dxa"/>
            <w:hideMark/>
          </w:tcPr>
          <w:p w14:paraId="3F39FE0C"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Determine the differences in salivary cortisol levels in children with autism and the effects on behaviour during non-invasive dental operations</w:t>
            </w:r>
          </w:p>
        </w:tc>
        <w:tc>
          <w:tcPr>
            <w:tcW w:w="1365" w:type="dxa"/>
            <w:hideMark/>
          </w:tcPr>
          <w:p w14:paraId="2ED3E468"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Spitting, suction </w:t>
            </w:r>
          </w:p>
        </w:tc>
        <w:tc>
          <w:tcPr>
            <w:tcW w:w="1179" w:type="dxa"/>
            <w:hideMark/>
          </w:tcPr>
          <w:p w14:paraId="11EE3FA7"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Plastic droppers</w:t>
            </w:r>
          </w:p>
        </w:tc>
        <w:tc>
          <w:tcPr>
            <w:tcW w:w="1178" w:type="dxa"/>
            <w:hideMark/>
          </w:tcPr>
          <w:p w14:paraId="7C0CA349"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307" w:type="dxa"/>
            <w:hideMark/>
          </w:tcPr>
          <w:p w14:paraId="0BE11B83"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 1) 1h fasting before sampling </w:t>
            </w:r>
            <w:r w:rsidRPr="00333A96">
              <w:rPr>
                <w:rFonts w:ascii="Times New Roman" w:eastAsia="Times New Roman" w:hAnsi="Times New Roman" w:cs="Times New Roman"/>
                <w:sz w:val="18"/>
                <w:szCs w:val="18"/>
                <w:lang w:val="en-GB" w:eastAsia="nl-NL"/>
              </w:rPr>
              <w:br/>
              <w:t>2) Uncooperative children: plastic droppers</w:t>
            </w:r>
          </w:p>
        </w:tc>
        <w:tc>
          <w:tcPr>
            <w:tcW w:w="3215" w:type="dxa"/>
            <w:gridSpan w:val="2"/>
            <w:hideMark/>
          </w:tcPr>
          <w:p w14:paraId="55E92AF5"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On both the days in the control group, morning to evening, generally there was an improvement in behaviour from negative to positive or definitely positive during minimum invasive dental treatment. </w:t>
            </w:r>
            <w:r w:rsidRPr="00333A96">
              <w:rPr>
                <w:rFonts w:ascii="Times New Roman" w:eastAsia="Times New Roman" w:hAnsi="Times New Roman" w:cs="Times New Roman"/>
                <w:sz w:val="18"/>
                <w:szCs w:val="18"/>
                <w:lang w:val="en-GB" w:eastAsia="nl-NL"/>
              </w:rPr>
              <w:br/>
              <w:t>2) No significant correlation between cortisol levels and behaviour in healthy children for both the days; So cortisol levels does not affect the behaviour in normal children</w:t>
            </w:r>
          </w:p>
        </w:tc>
      </w:tr>
      <w:tr w:rsidR="00D05AB4" w:rsidRPr="00CC2F10" w14:paraId="19121AD4" w14:textId="77777777" w:rsidTr="00CC2F10">
        <w:trPr>
          <w:trHeight w:val="624"/>
        </w:trPr>
        <w:tc>
          <w:tcPr>
            <w:cnfStyle w:val="001000000000" w:firstRow="0" w:lastRow="0" w:firstColumn="1" w:lastColumn="0" w:oddVBand="0" w:evenVBand="0" w:oddHBand="0" w:evenHBand="0" w:firstRowFirstColumn="0" w:firstRowLastColumn="0" w:lastRowFirstColumn="0" w:lastRowLastColumn="0"/>
            <w:tcW w:w="1560" w:type="dxa"/>
            <w:noWrap/>
            <w:hideMark/>
          </w:tcPr>
          <w:p w14:paraId="487F792A"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Adhikari et al. 2018</w:t>
            </w:r>
          </w:p>
        </w:tc>
        <w:tc>
          <w:tcPr>
            <w:tcW w:w="1413" w:type="dxa"/>
            <w:noWrap/>
            <w:hideMark/>
          </w:tcPr>
          <w:p w14:paraId="5D580AA9"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Nepal</w:t>
            </w:r>
          </w:p>
        </w:tc>
        <w:tc>
          <w:tcPr>
            <w:tcW w:w="837" w:type="dxa"/>
            <w:noWrap/>
            <w:hideMark/>
          </w:tcPr>
          <w:p w14:paraId="159DDD66"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64434A06"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46</w:t>
            </w:r>
          </w:p>
        </w:tc>
        <w:tc>
          <w:tcPr>
            <w:tcW w:w="1577" w:type="dxa"/>
            <w:hideMark/>
          </w:tcPr>
          <w:p w14:paraId="047BBC53"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0 (?)</w:t>
            </w:r>
          </w:p>
        </w:tc>
        <w:tc>
          <w:tcPr>
            <w:tcW w:w="1794" w:type="dxa"/>
            <w:hideMark/>
          </w:tcPr>
          <w:p w14:paraId="19F45E19"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Assess transmission of </w:t>
            </w:r>
            <w:r w:rsidRPr="00333A96">
              <w:rPr>
                <w:rFonts w:ascii="Times New Roman" w:eastAsia="Times New Roman" w:hAnsi="Times New Roman" w:cs="Times New Roman"/>
                <w:i/>
                <w:iCs/>
                <w:sz w:val="18"/>
                <w:szCs w:val="18"/>
                <w:lang w:val="en-GB" w:eastAsia="nl-NL"/>
              </w:rPr>
              <w:t>P.gingivalis</w:t>
            </w:r>
            <w:r w:rsidRPr="00333A96">
              <w:rPr>
                <w:rFonts w:ascii="Times New Roman" w:eastAsia="Times New Roman" w:hAnsi="Times New Roman" w:cs="Times New Roman"/>
                <w:sz w:val="18"/>
                <w:szCs w:val="18"/>
                <w:lang w:val="en-GB" w:eastAsia="nl-NL"/>
              </w:rPr>
              <w:t xml:space="preserve"> from pregnant women to their new born</w:t>
            </w:r>
          </w:p>
        </w:tc>
        <w:tc>
          <w:tcPr>
            <w:tcW w:w="1365" w:type="dxa"/>
            <w:hideMark/>
          </w:tcPr>
          <w:p w14:paraId="4ECAA36C"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Suction</w:t>
            </w:r>
          </w:p>
        </w:tc>
        <w:tc>
          <w:tcPr>
            <w:tcW w:w="1179" w:type="dxa"/>
            <w:hideMark/>
          </w:tcPr>
          <w:p w14:paraId="4EEC44DE"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Micropipette</w:t>
            </w:r>
          </w:p>
        </w:tc>
        <w:tc>
          <w:tcPr>
            <w:tcW w:w="1178" w:type="dxa"/>
            <w:hideMark/>
          </w:tcPr>
          <w:p w14:paraId="591AE24C"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307" w:type="dxa"/>
            <w:hideMark/>
          </w:tcPr>
          <w:p w14:paraId="77685BCB" w14:textId="0027F570" w:rsidR="00D05AB4" w:rsidRPr="00333A96" w:rsidRDefault="001E3817"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3215" w:type="dxa"/>
            <w:gridSpan w:val="2"/>
            <w:hideMark/>
          </w:tcPr>
          <w:p w14:paraId="799660F2"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Pr>
                <w:rFonts w:ascii="Times New Roman" w:eastAsia="Times New Roman" w:hAnsi="Times New Roman" w:cs="Times New Roman"/>
                <w:sz w:val="18"/>
                <w:szCs w:val="18"/>
                <w:lang w:val="en-GB" w:eastAsia="nl-NL"/>
              </w:rPr>
              <w:t>S</w:t>
            </w:r>
            <w:r w:rsidRPr="00333A96">
              <w:rPr>
                <w:rFonts w:ascii="Times New Roman" w:eastAsia="Times New Roman" w:hAnsi="Times New Roman" w:cs="Times New Roman"/>
                <w:sz w:val="18"/>
                <w:szCs w:val="18"/>
                <w:lang w:val="en-GB" w:eastAsia="nl-NL"/>
              </w:rPr>
              <w:t xml:space="preserve">aliva of the new born showed DNA copies of </w:t>
            </w:r>
            <w:r w:rsidRPr="00333A96">
              <w:rPr>
                <w:rFonts w:ascii="Times New Roman" w:eastAsia="Times New Roman" w:hAnsi="Times New Roman" w:cs="Times New Roman"/>
                <w:i/>
                <w:iCs/>
                <w:sz w:val="18"/>
                <w:szCs w:val="18"/>
                <w:lang w:val="en-GB" w:eastAsia="nl-NL"/>
              </w:rPr>
              <w:t>P.gingivalis</w:t>
            </w:r>
            <w:r w:rsidRPr="00333A96">
              <w:rPr>
                <w:rFonts w:ascii="Times New Roman" w:eastAsia="Times New Roman" w:hAnsi="Times New Roman" w:cs="Times New Roman"/>
                <w:sz w:val="18"/>
                <w:szCs w:val="18"/>
                <w:lang w:val="en-GB" w:eastAsia="nl-NL"/>
              </w:rPr>
              <w:t xml:space="preserve"> similar to that of their mother</w:t>
            </w:r>
          </w:p>
        </w:tc>
      </w:tr>
      <w:tr w:rsidR="00D05AB4" w:rsidRPr="00CC2F10" w14:paraId="2D52874B" w14:textId="77777777" w:rsidTr="00CC2F10">
        <w:trPr>
          <w:cnfStyle w:val="000000100000" w:firstRow="0" w:lastRow="0" w:firstColumn="0" w:lastColumn="0" w:oddVBand="0" w:evenVBand="0" w:oddHBand="1" w:evenHBand="0" w:firstRowFirstColumn="0" w:firstRowLastColumn="0" w:lastRowFirstColumn="0" w:lastRowLastColumn="0"/>
          <w:trHeight w:val="936"/>
        </w:trPr>
        <w:tc>
          <w:tcPr>
            <w:cnfStyle w:val="001000000000" w:firstRow="0" w:lastRow="0" w:firstColumn="1" w:lastColumn="0" w:oddVBand="0" w:evenVBand="0" w:oddHBand="0" w:evenHBand="0" w:firstRowFirstColumn="0" w:firstRowLastColumn="0" w:lastRowFirstColumn="0" w:lastRowLastColumn="0"/>
            <w:tcW w:w="1560" w:type="dxa"/>
            <w:noWrap/>
            <w:hideMark/>
          </w:tcPr>
          <w:p w14:paraId="669BF4AE"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Al Suwaidi et al. 2021</w:t>
            </w:r>
          </w:p>
        </w:tc>
        <w:tc>
          <w:tcPr>
            <w:tcW w:w="1413" w:type="dxa"/>
            <w:noWrap/>
            <w:hideMark/>
          </w:tcPr>
          <w:p w14:paraId="0806A3DC"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United Arab Emirates</w:t>
            </w:r>
          </w:p>
        </w:tc>
        <w:tc>
          <w:tcPr>
            <w:tcW w:w="837" w:type="dxa"/>
            <w:noWrap/>
            <w:hideMark/>
          </w:tcPr>
          <w:p w14:paraId="01C8F0F0"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14CFDBA4"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476</w:t>
            </w:r>
          </w:p>
        </w:tc>
        <w:tc>
          <w:tcPr>
            <w:tcW w:w="1577" w:type="dxa"/>
            <w:hideMark/>
          </w:tcPr>
          <w:p w14:paraId="0529DBC1"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3-18 (10.8±3.9)</w:t>
            </w:r>
          </w:p>
        </w:tc>
        <w:tc>
          <w:tcPr>
            <w:tcW w:w="1794" w:type="dxa"/>
            <w:hideMark/>
          </w:tcPr>
          <w:p w14:paraId="31E035EF"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Determine the accuracy of saliva for SARS-CoV-2 RT-PCR in ambulatory children</w:t>
            </w:r>
          </w:p>
        </w:tc>
        <w:tc>
          <w:tcPr>
            <w:tcW w:w="1365" w:type="dxa"/>
            <w:hideMark/>
          </w:tcPr>
          <w:p w14:paraId="0181DBDC"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Spitting</w:t>
            </w:r>
          </w:p>
        </w:tc>
        <w:tc>
          <w:tcPr>
            <w:tcW w:w="1179" w:type="dxa"/>
            <w:hideMark/>
          </w:tcPr>
          <w:p w14:paraId="6DDC25B7"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Sterile container</w:t>
            </w:r>
          </w:p>
        </w:tc>
        <w:tc>
          <w:tcPr>
            <w:tcW w:w="1178" w:type="dxa"/>
            <w:hideMark/>
          </w:tcPr>
          <w:p w14:paraId="319FD06C"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307" w:type="dxa"/>
            <w:hideMark/>
          </w:tcPr>
          <w:p w14:paraId="5B0B96AD"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30min fasting before sampling</w:t>
            </w:r>
          </w:p>
        </w:tc>
        <w:tc>
          <w:tcPr>
            <w:tcW w:w="3215" w:type="dxa"/>
            <w:gridSpan w:val="2"/>
            <w:hideMark/>
          </w:tcPr>
          <w:p w14:paraId="66A043B6"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Sensitivity and specificity of saliva RT-PCR was 87.7% (95%CI 78.5-93.9) and 98.5% (95%CI 96.8-99.5) respectively. Saliva is recommended as a diagnostic specimen for COVID-19 screening in children</w:t>
            </w:r>
          </w:p>
        </w:tc>
      </w:tr>
      <w:tr w:rsidR="00D05AB4" w:rsidRPr="00CC2F10" w14:paraId="3971B7E2" w14:textId="77777777" w:rsidTr="00CC2F10">
        <w:trPr>
          <w:trHeight w:val="1560"/>
        </w:trPr>
        <w:tc>
          <w:tcPr>
            <w:cnfStyle w:val="001000000000" w:firstRow="0" w:lastRow="0" w:firstColumn="1" w:lastColumn="0" w:oddVBand="0" w:evenVBand="0" w:oddHBand="0" w:evenHBand="0" w:firstRowFirstColumn="0" w:firstRowLastColumn="0" w:lastRowFirstColumn="0" w:lastRowLastColumn="0"/>
            <w:tcW w:w="1560" w:type="dxa"/>
            <w:noWrap/>
            <w:hideMark/>
          </w:tcPr>
          <w:p w14:paraId="521D0A7B"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Al-Batayneh et al. 2020</w:t>
            </w:r>
          </w:p>
        </w:tc>
        <w:tc>
          <w:tcPr>
            <w:tcW w:w="1413" w:type="dxa"/>
            <w:noWrap/>
            <w:hideMark/>
          </w:tcPr>
          <w:p w14:paraId="3F280067"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Jordan</w:t>
            </w:r>
          </w:p>
        </w:tc>
        <w:tc>
          <w:tcPr>
            <w:tcW w:w="837" w:type="dxa"/>
            <w:noWrap/>
            <w:hideMark/>
          </w:tcPr>
          <w:p w14:paraId="7CA44296"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RCT</w:t>
            </w:r>
          </w:p>
        </w:tc>
        <w:tc>
          <w:tcPr>
            <w:tcW w:w="878" w:type="dxa"/>
            <w:noWrap/>
            <w:hideMark/>
          </w:tcPr>
          <w:p w14:paraId="449B6629"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128</w:t>
            </w:r>
          </w:p>
        </w:tc>
        <w:tc>
          <w:tcPr>
            <w:tcW w:w="1577" w:type="dxa"/>
            <w:hideMark/>
          </w:tcPr>
          <w:p w14:paraId="18AAFB81"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4-5 (4.6±0.5)</w:t>
            </w:r>
          </w:p>
        </w:tc>
        <w:tc>
          <w:tcPr>
            <w:tcW w:w="1794" w:type="dxa"/>
            <w:hideMark/>
          </w:tcPr>
          <w:p w14:paraId="727F37B6"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Examine CPP-ACP's effectiveness at lowering salivary SM levels and contrast its impact as a dentifrice with that of using a fluoride dentifrice alone or with the sequential use of both agents in children</w:t>
            </w:r>
          </w:p>
        </w:tc>
        <w:tc>
          <w:tcPr>
            <w:tcW w:w="1365" w:type="dxa"/>
            <w:hideMark/>
          </w:tcPr>
          <w:p w14:paraId="158935A2"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Spitting</w:t>
            </w:r>
          </w:p>
        </w:tc>
        <w:tc>
          <w:tcPr>
            <w:tcW w:w="1179" w:type="dxa"/>
            <w:hideMark/>
          </w:tcPr>
          <w:p w14:paraId="4BDB4CB6"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GC Saliva-Check MutansTM kits</w:t>
            </w:r>
          </w:p>
        </w:tc>
        <w:tc>
          <w:tcPr>
            <w:tcW w:w="1178" w:type="dxa"/>
            <w:hideMark/>
          </w:tcPr>
          <w:p w14:paraId="371AB92F"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SS</w:t>
            </w:r>
          </w:p>
        </w:tc>
        <w:tc>
          <w:tcPr>
            <w:tcW w:w="1307" w:type="dxa"/>
            <w:hideMark/>
          </w:tcPr>
          <w:p w14:paraId="173F1C77" w14:textId="13364552" w:rsidR="00D05AB4" w:rsidRPr="00333A96" w:rsidRDefault="001E3817"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3215" w:type="dxa"/>
            <w:gridSpan w:val="2"/>
            <w:hideMark/>
          </w:tcPr>
          <w:p w14:paraId="6B33B348"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CPP-ACP showed the highest reduction in SMPC over 6-months</w:t>
            </w:r>
          </w:p>
        </w:tc>
      </w:tr>
      <w:tr w:rsidR="00D05AB4" w:rsidRPr="00CC2F10" w14:paraId="07C860D9" w14:textId="77777777" w:rsidTr="00CC2F10">
        <w:trPr>
          <w:cnfStyle w:val="000000100000" w:firstRow="0" w:lastRow="0" w:firstColumn="0" w:lastColumn="0" w:oddVBand="0" w:evenVBand="0" w:oddHBand="1" w:evenHBand="0" w:firstRowFirstColumn="0" w:firstRowLastColumn="0" w:lastRowFirstColumn="0" w:lastRowLastColumn="0"/>
          <w:trHeight w:val="936"/>
        </w:trPr>
        <w:tc>
          <w:tcPr>
            <w:cnfStyle w:val="001000000000" w:firstRow="0" w:lastRow="0" w:firstColumn="1" w:lastColumn="0" w:oddVBand="0" w:evenVBand="0" w:oddHBand="0" w:evenHBand="0" w:firstRowFirstColumn="0" w:firstRowLastColumn="0" w:lastRowFirstColumn="0" w:lastRowLastColumn="0"/>
            <w:tcW w:w="1560" w:type="dxa"/>
            <w:noWrap/>
            <w:hideMark/>
          </w:tcPr>
          <w:p w14:paraId="5AA83423"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Alamoudi et al. 2012</w:t>
            </w:r>
          </w:p>
        </w:tc>
        <w:tc>
          <w:tcPr>
            <w:tcW w:w="1413" w:type="dxa"/>
            <w:noWrap/>
            <w:hideMark/>
          </w:tcPr>
          <w:p w14:paraId="01E51728"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Saudi Arabia</w:t>
            </w:r>
          </w:p>
        </w:tc>
        <w:tc>
          <w:tcPr>
            <w:tcW w:w="837" w:type="dxa"/>
            <w:noWrap/>
            <w:hideMark/>
          </w:tcPr>
          <w:p w14:paraId="4CB61759"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00AA858F"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60</w:t>
            </w:r>
          </w:p>
        </w:tc>
        <w:tc>
          <w:tcPr>
            <w:tcW w:w="1577" w:type="dxa"/>
            <w:hideMark/>
          </w:tcPr>
          <w:p w14:paraId="28D2695C"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0-3 (?)</w:t>
            </w:r>
          </w:p>
        </w:tc>
        <w:tc>
          <w:tcPr>
            <w:tcW w:w="1794" w:type="dxa"/>
            <w:hideMark/>
          </w:tcPr>
          <w:p w14:paraId="2B20C0EC"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Examine the impact of xylitol on plaque build-up, caries activity, and MS </w:t>
            </w:r>
            <w:r w:rsidRPr="00333A96">
              <w:rPr>
                <w:rFonts w:ascii="Times New Roman" w:eastAsia="Times New Roman" w:hAnsi="Times New Roman" w:cs="Times New Roman"/>
                <w:sz w:val="18"/>
                <w:szCs w:val="18"/>
                <w:lang w:val="en-GB" w:eastAsia="nl-NL"/>
              </w:rPr>
              <w:lastRenderedPageBreak/>
              <w:t>transfer from mother to child</w:t>
            </w:r>
          </w:p>
        </w:tc>
        <w:tc>
          <w:tcPr>
            <w:tcW w:w="1365" w:type="dxa"/>
            <w:hideMark/>
          </w:tcPr>
          <w:p w14:paraId="2295DC30"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lastRenderedPageBreak/>
              <w:t>Suction</w:t>
            </w:r>
          </w:p>
        </w:tc>
        <w:tc>
          <w:tcPr>
            <w:tcW w:w="1179" w:type="dxa"/>
            <w:hideMark/>
          </w:tcPr>
          <w:p w14:paraId="6A2CF357"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Pipette (Dentocult (CRT) kit)</w:t>
            </w:r>
          </w:p>
        </w:tc>
        <w:tc>
          <w:tcPr>
            <w:tcW w:w="1178" w:type="dxa"/>
            <w:hideMark/>
          </w:tcPr>
          <w:p w14:paraId="59804741"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307" w:type="dxa"/>
            <w:hideMark/>
          </w:tcPr>
          <w:p w14:paraId="293A6753"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2h fasting before sampling</w:t>
            </w:r>
          </w:p>
        </w:tc>
        <w:tc>
          <w:tcPr>
            <w:tcW w:w="3215" w:type="dxa"/>
            <w:gridSpan w:val="2"/>
            <w:hideMark/>
          </w:tcPr>
          <w:p w14:paraId="409AA568" w14:textId="47FD776A"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No significant differences in salivary MS level between 6 months (baseline) and 12 as well as 18 months among both groups.</w:t>
            </w:r>
          </w:p>
        </w:tc>
      </w:tr>
      <w:tr w:rsidR="00D05AB4" w:rsidRPr="00CC2F10" w14:paraId="29973DF4" w14:textId="77777777" w:rsidTr="00CC2F10">
        <w:trPr>
          <w:trHeight w:val="936"/>
        </w:trPr>
        <w:tc>
          <w:tcPr>
            <w:cnfStyle w:val="001000000000" w:firstRow="0" w:lastRow="0" w:firstColumn="1" w:lastColumn="0" w:oddVBand="0" w:evenVBand="0" w:oddHBand="0" w:evenHBand="0" w:firstRowFirstColumn="0" w:firstRowLastColumn="0" w:lastRowFirstColumn="0" w:lastRowLastColumn="0"/>
            <w:tcW w:w="1560" w:type="dxa"/>
            <w:noWrap/>
            <w:hideMark/>
          </w:tcPr>
          <w:p w14:paraId="2D38250C"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Alghamdi et al. 2019</w:t>
            </w:r>
          </w:p>
        </w:tc>
        <w:tc>
          <w:tcPr>
            <w:tcW w:w="1413" w:type="dxa"/>
            <w:noWrap/>
            <w:hideMark/>
          </w:tcPr>
          <w:p w14:paraId="5DF20A62"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Saudi Arabia</w:t>
            </w:r>
          </w:p>
        </w:tc>
        <w:tc>
          <w:tcPr>
            <w:tcW w:w="837" w:type="dxa"/>
            <w:noWrap/>
            <w:hideMark/>
          </w:tcPr>
          <w:p w14:paraId="29854751"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790DAF9C"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15</w:t>
            </w:r>
          </w:p>
        </w:tc>
        <w:tc>
          <w:tcPr>
            <w:tcW w:w="1577" w:type="dxa"/>
            <w:hideMark/>
          </w:tcPr>
          <w:p w14:paraId="1D16F4ED"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6-15 (?)</w:t>
            </w:r>
          </w:p>
        </w:tc>
        <w:tc>
          <w:tcPr>
            <w:tcW w:w="1794" w:type="dxa"/>
            <w:hideMark/>
          </w:tcPr>
          <w:p w14:paraId="14BEE850"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Evaluate the impact of date eating on the pH of saliva</w:t>
            </w:r>
          </w:p>
        </w:tc>
        <w:tc>
          <w:tcPr>
            <w:tcW w:w="1365" w:type="dxa"/>
            <w:hideMark/>
          </w:tcPr>
          <w:p w14:paraId="7AE31216"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Spitting</w:t>
            </w:r>
          </w:p>
        </w:tc>
        <w:tc>
          <w:tcPr>
            <w:tcW w:w="1179" w:type="dxa"/>
            <w:hideMark/>
          </w:tcPr>
          <w:p w14:paraId="7439CBB4"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Sterile cup</w:t>
            </w:r>
          </w:p>
        </w:tc>
        <w:tc>
          <w:tcPr>
            <w:tcW w:w="1178" w:type="dxa"/>
            <w:hideMark/>
          </w:tcPr>
          <w:p w14:paraId="6848A004"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 &amp; SS</w:t>
            </w:r>
          </w:p>
        </w:tc>
        <w:tc>
          <w:tcPr>
            <w:tcW w:w="1307" w:type="dxa"/>
            <w:hideMark/>
          </w:tcPr>
          <w:p w14:paraId="452F9B62"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1h fasting before sampling US</w:t>
            </w:r>
          </w:p>
        </w:tc>
        <w:tc>
          <w:tcPr>
            <w:tcW w:w="3215" w:type="dxa"/>
            <w:gridSpan w:val="2"/>
            <w:hideMark/>
          </w:tcPr>
          <w:p w14:paraId="4E68E7F3"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Date fruit eating is not deleterious to oral health since it does not cause the salivary pH to reduce below a critical level</w:t>
            </w:r>
          </w:p>
        </w:tc>
      </w:tr>
      <w:tr w:rsidR="00D05AB4" w:rsidRPr="00CC2F10" w14:paraId="278EB9FC" w14:textId="77777777" w:rsidTr="00CC2F10">
        <w:trPr>
          <w:cnfStyle w:val="000000100000" w:firstRow="0" w:lastRow="0" w:firstColumn="0" w:lastColumn="0" w:oddVBand="0" w:evenVBand="0" w:oddHBand="1" w:evenHBand="0" w:firstRowFirstColumn="0" w:firstRowLastColumn="0" w:lastRowFirstColumn="0" w:lastRowLastColumn="0"/>
          <w:trHeight w:val="1248"/>
        </w:trPr>
        <w:tc>
          <w:tcPr>
            <w:cnfStyle w:val="001000000000" w:firstRow="0" w:lastRow="0" w:firstColumn="1" w:lastColumn="0" w:oddVBand="0" w:evenVBand="0" w:oddHBand="0" w:evenHBand="0" w:firstRowFirstColumn="0" w:firstRowLastColumn="0" w:lastRowFirstColumn="0" w:lastRowLastColumn="0"/>
            <w:tcW w:w="1560" w:type="dxa"/>
            <w:noWrap/>
            <w:hideMark/>
          </w:tcPr>
          <w:p w14:paraId="2A3089F7"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Amrollahi et al. 2021</w:t>
            </w:r>
          </w:p>
        </w:tc>
        <w:tc>
          <w:tcPr>
            <w:tcW w:w="1413" w:type="dxa"/>
            <w:noWrap/>
            <w:hideMark/>
          </w:tcPr>
          <w:p w14:paraId="232997C8"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Iran</w:t>
            </w:r>
          </w:p>
        </w:tc>
        <w:tc>
          <w:tcPr>
            <w:tcW w:w="837" w:type="dxa"/>
            <w:noWrap/>
            <w:hideMark/>
          </w:tcPr>
          <w:p w14:paraId="0DB09F56"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CC</w:t>
            </w:r>
          </w:p>
        </w:tc>
        <w:tc>
          <w:tcPr>
            <w:tcW w:w="878" w:type="dxa"/>
            <w:noWrap/>
            <w:hideMark/>
          </w:tcPr>
          <w:p w14:paraId="4BDD6B40"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82</w:t>
            </w:r>
          </w:p>
        </w:tc>
        <w:tc>
          <w:tcPr>
            <w:tcW w:w="1577" w:type="dxa"/>
            <w:hideMark/>
          </w:tcPr>
          <w:p w14:paraId="08685B42"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4-6 (?)</w:t>
            </w:r>
          </w:p>
        </w:tc>
        <w:tc>
          <w:tcPr>
            <w:tcW w:w="1794" w:type="dxa"/>
            <w:hideMark/>
          </w:tcPr>
          <w:p w14:paraId="2681A0C2"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Assess the MDA levels in saliva among children with ECC and CF</w:t>
            </w:r>
          </w:p>
        </w:tc>
        <w:tc>
          <w:tcPr>
            <w:tcW w:w="1365" w:type="dxa"/>
            <w:hideMark/>
          </w:tcPr>
          <w:p w14:paraId="56010BA4"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Spitting</w:t>
            </w:r>
          </w:p>
        </w:tc>
        <w:tc>
          <w:tcPr>
            <w:tcW w:w="1179" w:type="dxa"/>
            <w:hideMark/>
          </w:tcPr>
          <w:p w14:paraId="01287244" w14:textId="3E0A5029" w:rsidR="00D05AB4" w:rsidRPr="00333A96" w:rsidRDefault="001E3817"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1178" w:type="dxa"/>
            <w:hideMark/>
          </w:tcPr>
          <w:p w14:paraId="07B44C76"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US </w:t>
            </w:r>
          </w:p>
        </w:tc>
        <w:tc>
          <w:tcPr>
            <w:tcW w:w="1307" w:type="dxa"/>
            <w:hideMark/>
          </w:tcPr>
          <w:p w14:paraId="2AE5EF5C"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Fasting the night before sampling</w:t>
            </w:r>
          </w:p>
        </w:tc>
        <w:tc>
          <w:tcPr>
            <w:tcW w:w="3215" w:type="dxa"/>
            <w:gridSpan w:val="2"/>
            <w:hideMark/>
          </w:tcPr>
          <w:p w14:paraId="521C6D02" w14:textId="61DAEC2E"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1) No significant relationship between salivary MDA levels and gender </w:t>
            </w:r>
            <w:r w:rsidRPr="00333A96">
              <w:rPr>
                <w:rFonts w:ascii="Times New Roman" w:eastAsia="Times New Roman" w:hAnsi="Times New Roman" w:cs="Times New Roman"/>
                <w:sz w:val="18"/>
                <w:szCs w:val="18"/>
                <w:lang w:val="en-GB" w:eastAsia="nl-NL"/>
              </w:rPr>
              <w:br/>
              <w:t>2)</w:t>
            </w:r>
            <w:r>
              <w:rPr>
                <w:rFonts w:ascii="Times New Roman" w:eastAsia="Times New Roman" w:hAnsi="Times New Roman" w:cs="Times New Roman"/>
                <w:sz w:val="18"/>
                <w:szCs w:val="18"/>
                <w:lang w:val="en-GB" w:eastAsia="nl-NL"/>
              </w:rPr>
              <w:t xml:space="preserve"> </w:t>
            </w:r>
            <w:r w:rsidRPr="00333A96">
              <w:rPr>
                <w:rFonts w:ascii="Times New Roman" w:eastAsia="Times New Roman" w:hAnsi="Times New Roman" w:cs="Times New Roman"/>
                <w:sz w:val="18"/>
                <w:szCs w:val="18"/>
                <w:lang w:val="en-GB" w:eastAsia="nl-NL"/>
              </w:rPr>
              <w:t>The mean salivary MDA was significantly higher in the ECC group than the caries-free group; So salivary MDA levels could serve as a critical indicator in determining the status of caries in children.</w:t>
            </w:r>
          </w:p>
        </w:tc>
      </w:tr>
      <w:tr w:rsidR="00D05AB4" w:rsidRPr="00CC2F10" w14:paraId="2C796CB0" w14:textId="77777777" w:rsidTr="00CC2F10">
        <w:trPr>
          <w:trHeight w:val="1872"/>
        </w:trPr>
        <w:tc>
          <w:tcPr>
            <w:cnfStyle w:val="001000000000" w:firstRow="0" w:lastRow="0" w:firstColumn="1" w:lastColumn="0" w:oddVBand="0" w:evenVBand="0" w:oddHBand="0" w:evenHBand="0" w:firstRowFirstColumn="0" w:firstRowLastColumn="0" w:lastRowFirstColumn="0" w:lastRowLastColumn="0"/>
            <w:tcW w:w="1560" w:type="dxa"/>
            <w:noWrap/>
            <w:hideMark/>
          </w:tcPr>
          <w:p w14:paraId="2981C906"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Anandan et al. 2022</w:t>
            </w:r>
          </w:p>
        </w:tc>
        <w:tc>
          <w:tcPr>
            <w:tcW w:w="1413" w:type="dxa"/>
            <w:noWrap/>
            <w:hideMark/>
          </w:tcPr>
          <w:p w14:paraId="7309A1CD"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India</w:t>
            </w:r>
          </w:p>
        </w:tc>
        <w:tc>
          <w:tcPr>
            <w:tcW w:w="837" w:type="dxa"/>
            <w:noWrap/>
            <w:hideMark/>
          </w:tcPr>
          <w:p w14:paraId="53911F45"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01698631"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100</w:t>
            </w:r>
          </w:p>
        </w:tc>
        <w:tc>
          <w:tcPr>
            <w:tcW w:w="1577" w:type="dxa"/>
            <w:hideMark/>
          </w:tcPr>
          <w:p w14:paraId="484DBD66"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5-18 (?)</w:t>
            </w:r>
          </w:p>
        </w:tc>
        <w:tc>
          <w:tcPr>
            <w:tcW w:w="1794" w:type="dxa"/>
            <w:hideMark/>
          </w:tcPr>
          <w:p w14:paraId="6967C35A"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Assess children with Down syndrome and healthy controls for dental caries, salivary flow rate, pH, buffering capacity, proteins, and sialic acid levels.</w:t>
            </w:r>
          </w:p>
        </w:tc>
        <w:tc>
          <w:tcPr>
            <w:tcW w:w="1365" w:type="dxa"/>
            <w:hideMark/>
          </w:tcPr>
          <w:p w14:paraId="4CBE3C12"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Absorption</w:t>
            </w:r>
          </w:p>
        </w:tc>
        <w:tc>
          <w:tcPr>
            <w:tcW w:w="1179" w:type="dxa"/>
            <w:hideMark/>
          </w:tcPr>
          <w:p w14:paraId="3913595A"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Cotton rolls</w:t>
            </w:r>
          </w:p>
        </w:tc>
        <w:tc>
          <w:tcPr>
            <w:tcW w:w="1178" w:type="dxa"/>
            <w:hideMark/>
          </w:tcPr>
          <w:p w14:paraId="3657B13B"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SS</w:t>
            </w:r>
          </w:p>
        </w:tc>
        <w:tc>
          <w:tcPr>
            <w:tcW w:w="1307" w:type="dxa"/>
            <w:hideMark/>
          </w:tcPr>
          <w:p w14:paraId="5D36EE9C"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Children with DS are not competent to spit saliva by themselves in a container </w:t>
            </w:r>
          </w:p>
        </w:tc>
        <w:tc>
          <w:tcPr>
            <w:tcW w:w="3215" w:type="dxa"/>
            <w:gridSpan w:val="2"/>
            <w:hideMark/>
          </w:tcPr>
          <w:p w14:paraId="1F6CD022"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The mean proportional caries rate between the study group and the control group did not differ significantly</w:t>
            </w:r>
          </w:p>
        </w:tc>
      </w:tr>
      <w:tr w:rsidR="00D05AB4" w:rsidRPr="00CC2F10" w14:paraId="682B2C12" w14:textId="77777777" w:rsidTr="00CC2F10">
        <w:trPr>
          <w:cnfStyle w:val="000000100000" w:firstRow="0" w:lastRow="0" w:firstColumn="0" w:lastColumn="0" w:oddVBand="0" w:evenVBand="0" w:oddHBand="1" w:evenHBand="0" w:firstRowFirstColumn="0" w:firstRowLastColumn="0" w:lastRowFirstColumn="0" w:lastRowLastColumn="0"/>
          <w:trHeight w:val="1560"/>
        </w:trPr>
        <w:tc>
          <w:tcPr>
            <w:cnfStyle w:val="001000000000" w:firstRow="0" w:lastRow="0" w:firstColumn="1" w:lastColumn="0" w:oddVBand="0" w:evenVBand="0" w:oddHBand="0" w:evenHBand="0" w:firstRowFirstColumn="0" w:firstRowLastColumn="0" w:lastRowFirstColumn="0" w:lastRowLastColumn="0"/>
            <w:tcW w:w="1560" w:type="dxa"/>
            <w:noWrap/>
            <w:hideMark/>
          </w:tcPr>
          <w:p w14:paraId="494B6897"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Animireddy et al. 2014</w:t>
            </w:r>
          </w:p>
        </w:tc>
        <w:tc>
          <w:tcPr>
            <w:tcW w:w="1413" w:type="dxa"/>
            <w:noWrap/>
            <w:hideMark/>
          </w:tcPr>
          <w:p w14:paraId="6CF83BB9"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India</w:t>
            </w:r>
          </w:p>
        </w:tc>
        <w:tc>
          <w:tcPr>
            <w:tcW w:w="837" w:type="dxa"/>
            <w:noWrap/>
            <w:hideMark/>
          </w:tcPr>
          <w:p w14:paraId="0A18245E"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5B37DCE0"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75</w:t>
            </w:r>
          </w:p>
        </w:tc>
        <w:tc>
          <w:tcPr>
            <w:tcW w:w="1577" w:type="dxa"/>
            <w:hideMark/>
          </w:tcPr>
          <w:p w14:paraId="09215618"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4-12 (?)</w:t>
            </w:r>
          </w:p>
        </w:tc>
        <w:tc>
          <w:tcPr>
            <w:tcW w:w="1794" w:type="dxa"/>
            <w:hideMark/>
          </w:tcPr>
          <w:p w14:paraId="5EF08C97"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Measure the pH, buffering power, viscosity, and flow rate of saliva in CF, MF and nursing-caries children, and to assess how these factors relate to the activity of childhood caries.</w:t>
            </w:r>
          </w:p>
        </w:tc>
        <w:tc>
          <w:tcPr>
            <w:tcW w:w="1365" w:type="dxa"/>
            <w:hideMark/>
          </w:tcPr>
          <w:p w14:paraId="4D4E6DB2"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Spitting</w:t>
            </w:r>
          </w:p>
        </w:tc>
        <w:tc>
          <w:tcPr>
            <w:tcW w:w="1179" w:type="dxa"/>
            <w:hideMark/>
          </w:tcPr>
          <w:p w14:paraId="54D334A2"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Cylinder</w:t>
            </w:r>
          </w:p>
        </w:tc>
        <w:tc>
          <w:tcPr>
            <w:tcW w:w="1178" w:type="dxa"/>
            <w:hideMark/>
          </w:tcPr>
          <w:p w14:paraId="45970511"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307" w:type="dxa"/>
            <w:hideMark/>
          </w:tcPr>
          <w:p w14:paraId="4DAA2B53"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2h fasting before sampling</w:t>
            </w:r>
          </w:p>
        </w:tc>
        <w:tc>
          <w:tcPr>
            <w:tcW w:w="3215" w:type="dxa"/>
            <w:gridSpan w:val="2"/>
            <w:hideMark/>
          </w:tcPr>
          <w:p w14:paraId="144CFA4E" w14:textId="26A39646" w:rsidR="00D05AB4" w:rsidRPr="004B1A2C"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4B1A2C">
              <w:rPr>
                <w:rFonts w:ascii="Times New Roman" w:eastAsia="Times New Roman" w:hAnsi="Times New Roman" w:cs="Times New Roman"/>
                <w:sz w:val="18"/>
                <w:szCs w:val="18"/>
                <w:lang w:val="en-GB" w:eastAsia="nl-NL"/>
              </w:rPr>
              <w:t>1)</w:t>
            </w:r>
            <w:r>
              <w:rPr>
                <w:rFonts w:ascii="Times New Roman" w:eastAsia="Times New Roman" w:hAnsi="Times New Roman" w:cs="Times New Roman"/>
                <w:sz w:val="18"/>
                <w:szCs w:val="18"/>
                <w:lang w:val="en-GB" w:eastAsia="nl-NL"/>
              </w:rPr>
              <w:t xml:space="preserve"> </w:t>
            </w:r>
            <w:r w:rsidRPr="004B1A2C">
              <w:rPr>
                <w:rFonts w:ascii="Times New Roman" w:eastAsia="Times New Roman" w:hAnsi="Times New Roman" w:cs="Times New Roman"/>
                <w:sz w:val="18"/>
                <w:szCs w:val="18"/>
                <w:lang w:val="en-GB" w:eastAsia="nl-NL"/>
              </w:rPr>
              <w:t>Caries-free subjects had a significantly higher salivary flow rate, pH and buffering capacity, and lower viscosity compared to subjects with minimal caries and nursing caries</w:t>
            </w:r>
            <w:r w:rsidRPr="004B1A2C">
              <w:rPr>
                <w:rFonts w:ascii="Times New Roman" w:eastAsia="Times New Roman" w:hAnsi="Times New Roman" w:cs="Times New Roman"/>
                <w:sz w:val="18"/>
                <w:szCs w:val="18"/>
                <w:lang w:val="en-GB" w:eastAsia="nl-NL"/>
              </w:rPr>
              <w:br/>
            </w:r>
            <w:r>
              <w:rPr>
                <w:rFonts w:ascii="Times New Roman" w:eastAsia="Times New Roman" w:hAnsi="Times New Roman" w:cs="Times New Roman"/>
                <w:sz w:val="18"/>
                <w:szCs w:val="18"/>
                <w:lang w:val="en-GB" w:eastAsia="nl-NL"/>
              </w:rPr>
              <w:t xml:space="preserve">2) </w:t>
            </w:r>
            <w:r w:rsidRPr="004B1A2C">
              <w:rPr>
                <w:rFonts w:ascii="Times New Roman" w:eastAsia="Times New Roman" w:hAnsi="Times New Roman" w:cs="Times New Roman"/>
                <w:sz w:val="18"/>
                <w:szCs w:val="18"/>
                <w:lang w:val="en-GB" w:eastAsia="nl-NL"/>
              </w:rPr>
              <w:t>The physicochemical properties of saliva can be used as markers of caries activity in children</w:t>
            </w:r>
          </w:p>
        </w:tc>
      </w:tr>
      <w:tr w:rsidR="00D05AB4" w:rsidRPr="00CC2F10" w14:paraId="46C2117A" w14:textId="77777777" w:rsidTr="00CC2F10">
        <w:trPr>
          <w:trHeight w:val="1248"/>
        </w:trPr>
        <w:tc>
          <w:tcPr>
            <w:cnfStyle w:val="001000000000" w:firstRow="0" w:lastRow="0" w:firstColumn="1" w:lastColumn="0" w:oddVBand="0" w:evenVBand="0" w:oddHBand="0" w:evenHBand="0" w:firstRowFirstColumn="0" w:firstRowLastColumn="0" w:lastRowFirstColumn="0" w:lastRowLastColumn="0"/>
            <w:tcW w:w="1560" w:type="dxa"/>
            <w:noWrap/>
            <w:hideMark/>
          </w:tcPr>
          <w:p w14:paraId="5B468F0C"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Apriani et al. 2020</w:t>
            </w:r>
          </w:p>
        </w:tc>
        <w:tc>
          <w:tcPr>
            <w:tcW w:w="1413" w:type="dxa"/>
            <w:noWrap/>
            <w:hideMark/>
          </w:tcPr>
          <w:p w14:paraId="3CEA9767"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Indonesia</w:t>
            </w:r>
          </w:p>
        </w:tc>
        <w:tc>
          <w:tcPr>
            <w:tcW w:w="837" w:type="dxa"/>
            <w:noWrap/>
            <w:hideMark/>
          </w:tcPr>
          <w:p w14:paraId="0EBF0E4E"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RCT</w:t>
            </w:r>
          </w:p>
        </w:tc>
        <w:tc>
          <w:tcPr>
            <w:tcW w:w="878" w:type="dxa"/>
            <w:noWrap/>
            <w:hideMark/>
          </w:tcPr>
          <w:p w14:paraId="52948F8A"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60</w:t>
            </w:r>
          </w:p>
        </w:tc>
        <w:tc>
          <w:tcPr>
            <w:tcW w:w="1577" w:type="dxa"/>
            <w:hideMark/>
          </w:tcPr>
          <w:p w14:paraId="28538CBB"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8-9 (?)</w:t>
            </w:r>
          </w:p>
        </w:tc>
        <w:tc>
          <w:tcPr>
            <w:tcW w:w="1794" w:type="dxa"/>
            <w:hideMark/>
          </w:tcPr>
          <w:p w14:paraId="284AB57B"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Compare how CPP-ACP and fluoride varnish differ in terms of lowering saliva pH and caries activity</w:t>
            </w:r>
          </w:p>
        </w:tc>
        <w:tc>
          <w:tcPr>
            <w:tcW w:w="1365" w:type="dxa"/>
            <w:hideMark/>
          </w:tcPr>
          <w:p w14:paraId="5520F777"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Spitting</w:t>
            </w:r>
          </w:p>
        </w:tc>
        <w:tc>
          <w:tcPr>
            <w:tcW w:w="1179" w:type="dxa"/>
            <w:hideMark/>
          </w:tcPr>
          <w:p w14:paraId="6CC26A84"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Sterile falcon tube</w:t>
            </w:r>
          </w:p>
        </w:tc>
        <w:tc>
          <w:tcPr>
            <w:tcW w:w="1178" w:type="dxa"/>
            <w:hideMark/>
          </w:tcPr>
          <w:p w14:paraId="797D456F"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307" w:type="dxa"/>
            <w:hideMark/>
          </w:tcPr>
          <w:p w14:paraId="55DD9A5A"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2h fasting before sampling</w:t>
            </w:r>
          </w:p>
        </w:tc>
        <w:tc>
          <w:tcPr>
            <w:tcW w:w="3215" w:type="dxa"/>
            <w:gridSpan w:val="2"/>
            <w:hideMark/>
          </w:tcPr>
          <w:p w14:paraId="31773F3F" w14:textId="6FA1EA20"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There was a difference in saliva pH and caries activity before and after treatment with fluoride varnish</w:t>
            </w:r>
            <w:r w:rsidRPr="00333A96">
              <w:rPr>
                <w:rFonts w:ascii="Times New Roman" w:eastAsia="Times New Roman" w:hAnsi="Times New Roman" w:cs="Times New Roman"/>
                <w:sz w:val="18"/>
                <w:szCs w:val="18"/>
                <w:lang w:val="en-GB" w:eastAsia="nl-NL"/>
              </w:rPr>
              <w:br/>
              <w:t>2) No statistically difference between fluoride varnish and CPP‐ACP with</w:t>
            </w:r>
            <w:r>
              <w:rPr>
                <w:rFonts w:ascii="Times New Roman" w:eastAsia="Times New Roman" w:hAnsi="Times New Roman" w:cs="Times New Roman"/>
                <w:sz w:val="18"/>
                <w:szCs w:val="18"/>
                <w:lang w:val="en-GB" w:eastAsia="nl-NL"/>
              </w:rPr>
              <w:t xml:space="preserve"> </w:t>
            </w:r>
            <w:r w:rsidRPr="00333A96">
              <w:rPr>
                <w:rFonts w:ascii="Times New Roman" w:eastAsia="Times New Roman" w:hAnsi="Times New Roman" w:cs="Times New Roman"/>
                <w:sz w:val="18"/>
                <w:szCs w:val="18"/>
                <w:lang w:val="en-GB" w:eastAsia="nl-NL"/>
              </w:rPr>
              <w:t>regard to altering saliva pH and reducing caries activity</w:t>
            </w:r>
          </w:p>
        </w:tc>
      </w:tr>
      <w:tr w:rsidR="00D05AB4" w:rsidRPr="00CC2F10" w14:paraId="123388FF" w14:textId="77777777" w:rsidTr="00CC2F10">
        <w:trPr>
          <w:cnfStyle w:val="000000100000" w:firstRow="0" w:lastRow="0" w:firstColumn="0" w:lastColumn="0" w:oddVBand="0" w:evenVBand="0" w:oddHBand="1" w:evenHBand="0" w:firstRowFirstColumn="0" w:firstRowLastColumn="0" w:lastRowFirstColumn="0" w:lastRowLastColumn="0"/>
          <w:trHeight w:val="2184"/>
        </w:trPr>
        <w:tc>
          <w:tcPr>
            <w:cnfStyle w:val="001000000000" w:firstRow="0" w:lastRow="0" w:firstColumn="1" w:lastColumn="0" w:oddVBand="0" w:evenVBand="0" w:oddHBand="0" w:evenHBand="0" w:firstRowFirstColumn="0" w:firstRowLastColumn="0" w:lastRowFirstColumn="0" w:lastRowLastColumn="0"/>
            <w:tcW w:w="1560" w:type="dxa"/>
            <w:noWrap/>
            <w:hideMark/>
          </w:tcPr>
          <w:p w14:paraId="1E255B00"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lastRenderedPageBreak/>
              <w:t>Araujo et al. 2020</w:t>
            </w:r>
          </w:p>
        </w:tc>
        <w:tc>
          <w:tcPr>
            <w:tcW w:w="1413" w:type="dxa"/>
            <w:noWrap/>
            <w:hideMark/>
          </w:tcPr>
          <w:p w14:paraId="1A20D523"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Brazil</w:t>
            </w:r>
          </w:p>
        </w:tc>
        <w:tc>
          <w:tcPr>
            <w:tcW w:w="837" w:type="dxa"/>
            <w:noWrap/>
            <w:hideMark/>
          </w:tcPr>
          <w:p w14:paraId="789D53C9"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46A44F70"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120</w:t>
            </w:r>
          </w:p>
        </w:tc>
        <w:tc>
          <w:tcPr>
            <w:tcW w:w="1577" w:type="dxa"/>
            <w:hideMark/>
          </w:tcPr>
          <w:p w14:paraId="28885AA0"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1-3 (?)</w:t>
            </w:r>
          </w:p>
        </w:tc>
        <w:tc>
          <w:tcPr>
            <w:tcW w:w="1794" w:type="dxa"/>
            <w:hideMark/>
          </w:tcPr>
          <w:p w14:paraId="120964EC"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Evaluate the influence of dental caries severity on the levels of oxidative stress biomarkers in saliva from children</w:t>
            </w:r>
          </w:p>
        </w:tc>
        <w:tc>
          <w:tcPr>
            <w:tcW w:w="1365" w:type="dxa"/>
            <w:hideMark/>
          </w:tcPr>
          <w:p w14:paraId="0D717F70"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Absorption</w:t>
            </w:r>
          </w:p>
        </w:tc>
        <w:tc>
          <w:tcPr>
            <w:tcW w:w="1179" w:type="dxa"/>
            <w:hideMark/>
          </w:tcPr>
          <w:p w14:paraId="5632AD06"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Salivette cotton swab</w:t>
            </w:r>
          </w:p>
        </w:tc>
        <w:tc>
          <w:tcPr>
            <w:tcW w:w="1178" w:type="dxa"/>
            <w:hideMark/>
          </w:tcPr>
          <w:p w14:paraId="7124A800"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307" w:type="dxa"/>
            <w:hideMark/>
          </w:tcPr>
          <w:p w14:paraId="264E0CA0"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1) 2h fasting before sampling </w:t>
            </w:r>
            <w:r w:rsidRPr="00333A96">
              <w:rPr>
                <w:rFonts w:ascii="Times New Roman" w:eastAsia="Times New Roman" w:hAnsi="Times New Roman" w:cs="Times New Roman"/>
                <w:sz w:val="18"/>
                <w:szCs w:val="18"/>
                <w:lang w:val="en-GB" w:eastAsia="nl-NL"/>
              </w:rPr>
              <w:br/>
              <w:t>2) Children who were uncooperative: excluded</w:t>
            </w:r>
          </w:p>
        </w:tc>
        <w:tc>
          <w:tcPr>
            <w:tcW w:w="3215" w:type="dxa"/>
            <w:gridSpan w:val="2"/>
            <w:hideMark/>
          </w:tcPr>
          <w:p w14:paraId="1B471D16"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No significant difference was found in concentrations of total protein and oxidative stress biomarker in saliva from children with or without carious lesions</w:t>
            </w:r>
          </w:p>
        </w:tc>
      </w:tr>
      <w:tr w:rsidR="00D05AB4" w:rsidRPr="00CC2F10" w14:paraId="4B26A3FF" w14:textId="77777777" w:rsidTr="00CC2F10">
        <w:trPr>
          <w:trHeight w:val="1248"/>
        </w:trPr>
        <w:tc>
          <w:tcPr>
            <w:cnfStyle w:val="001000000000" w:firstRow="0" w:lastRow="0" w:firstColumn="1" w:lastColumn="0" w:oddVBand="0" w:evenVBand="0" w:oddHBand="0" w:evenHBand="0" w:firstRowFirstColumn="0" w:firstRowLastColumn="0" w:lastRowFirstColumn="0" w:lastRowLastColumn="0"/>
            <w:tcW w:w="1560" w:type="dxa"/>
            <w:noWrap/>
            <w:hideMark/>
          </w:tcPr>
          <w:p w14:paraId="5E1B545C"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Areias et al. 2013</w:t>
            </w:r>
          </w:p>
        </w:tc>
        <w:tc>
          <w:tcPr>
            <w:tcW w:w="1413" w:type="dxa"/>
            <w:noWrap/>
            <w:hideMark/>
          </w:tcPr>
          <w:p w14:paraId="59803053"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Portugal</w:t>
            </w:r>
          </w:p>
        </w:tc>
        <w:tc>
          <w:tcPr>
            <w:tcW w:w="837" w:type="dxa"/>
            <w:noWrap/>
            <w:hideMark/>
          </w:tcPr>
          <w:p w14:paraId="25CAD75D"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71B4E43F"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45</w:t>
            </w:r>
          </w:p>
        </w:tc>
        <w:tc>
          <w:tcPr>
            <w:tcW w:w="1577" w:type="dxa"/>
            <w:hideMark/>
          </w:tcPr>
          <w:p w14:paraId="43A54072"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6-18 (12.8±3.7)</w:t>
            </w:r>
          </w:p>
        </w:tc>
        <w:tc>
          <w:tcPr>
            <w:tcW w:w="1794" w:type="dxa"/>
            <w:hideMark/>
          </w:tcPr>
          <w:p w14:paraId="35A61D1F"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The connection between dental caries and phosphate, calcium, potassium, chloride, and -amylase levels in saliva from children with DS</w:t>
            </w:r>
          </w:p>
        </w:tc>
        <w:tc>
          <w:tcPr>
            <w:tcW w:w="1365" w:type="dxa"/>
            <w:hideMark/>
          </w:tcPr>
          <w:p w14:paraId="40B80195"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Spitting</w:t>
            </w:r>
          </w:p>
        </w:tc>
        <w:tc>
          <w:tcPr>
            <w:tcW w:w="1179" w:type="dxa"/>
            <w:hideMark/>
          </w:tcPr>
          <w:p w14:paraId="6E218A5E"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Sterile tube</w:t>
            </w:r>
          </w:p>
        </w:tc>
        <w:tc>
          <w:tcPr>
            <w:tcW w:w="1178" w:type="dxa"/>
            <w:hideMark/>
          </w:tcPr>
          <w:p w14:paraId="17C61ECE"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SS</w:t>
            </w:r>
          </w:p>
        </w:tc>
        <w:tc>
          <w:tcPr>
            <w:tcW w:w="1307" w:type="dxa"/>
            <w:hideMark/>
          </w:tcPr>
          <w:p w14:paraId="2698729E"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2h fasting before sampling</w:t>
            </w:r>
          </w:p>
        </w:tc>
        <w:tc>
          <w:tcPr>
            <w:tcW w:w="3215" w:type="dxa"/>
            <w:gridSpan w:val="2"/>
            <w:hideMark/>
          </w:tcPr>
          <w:p w14:paraId="4171F090"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Between DS and sibling children, there were no differences in the levels of calcium, phosphate, potassium, and chloride in the saliva (table 1).</w:t>
            </w:r>
            <w:r w:rsidRPr="00333A96">
              <w:rPr>
                <w:rFonts w:ascii="Times New Roman" w:eastAsia="Times New Roman" w:hAnsi="Times New Roman" w:cs="Times New Roman"/>
                <w:sz w:val="18"/>
                <w:szCs w:val="18"/>
                <w:lang w:val="en-GB" w:eastAsia="nl-NL"/>
              </w:rPr>
              <w:br/>
              <w:t>2) In DS children there was no relationship between dental caries and salivary ionic composition or -amylase secretion rate.</w:t>
            </w:r>
          </w:p>
        </w:tc>
      </w:tr>
      <w:tr w:rsidR="00D05AB4" w:rsidRPr="00CC2F10" w14:paraId="052D87B1" w14:textId="77777777" w:rsidTr="00CC2F10">
        <w:trPr>
          <w:cnfStyle w:val="000000100000" w:firstRow="0" w:lastRow="0" w:firstColumn="0" w:lastColumn="0" w:oddVBand="0" w:evenVBand="0" w:oddHBand="1" w:evenHBand="0" w:firstRowFirstColumn="0" w:firstRowLastColumn="0" w:lastRowFirstColumn="0" w:lastRowLastColumn="0"/>
          <w:trHeight w:val="1248"/>
        </w:trPr>
        <w:tc>
          <w:tcPr>
            <w:cnfStyle w:val="001000000000" w:firstRow="0" w:lastRow="0" w:firstColumn="1" w:lastColumn="0" w:oddVBand="0" w:evenVBand="0" w:oddHBand="0" w:evenHBand="0" w:firstRowFirstColumn="0" w:firstRowLastColumn="0" w:lastRowFirstColumn="0" w:lastRowLastColumn="0"/>
            <w:tcW w:w="1560" w:type="dxa"/>
            <w:noWrap/>
            <w:hideMark/>
          </w:tcPr>
          <w:p w14:paraId="246E45C1"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Armstrong et al. 2014</w:t>
            </w:r>
          </w:p>
        </w:tc>
        <w:tc>
          <w:tcPr>
            <w:tcW w:w="1413" w:type="dxa"/>
            <w:noWrap/>
            <w:hideMark/>
          </w:tcPr>
          <w:p w14:paraId="3576C7F8"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United States</w:t>
            </w:r>
          </w:p>
        </w:tc>
        <w:tc>
          <w:tcPr>
            <w:tcW w:w="837" w:type="dxa"/>
            <w:noWrap/>
            <w:hideMark/>
          </w:tcPr>
          <w:p w14:paraId="28E23A2E"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09DEBC53"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26</w:t>
            </w:r>
          </w:p>
        </w:tc>
        <w:tc>
          <w:tcPr>
            <w:tcW w:w="1577" w:type="dxa"/>
            <w:hideMark/>
          </w:tcPr>
          <w:p w14:paraId="40EB65D0"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0.5 (18.16m±2.81)</w:t>
            </w:r>
          </w:p>
        </w:tc>
        <w:tc>
          <w:tcPr>
            <w:tcW w:w="1794" w:type="dxa"/>
            <w:hideMark/>
          </w:tcPr>
          <w:p w14:paraId="21ADB61B"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Determine how much tissue can act as a substitute for another, especially for genes related to the developmental origins of illness/health in infancy.</w:t>
            </w:r>
          </w:p>
        </w:tc>
        <w:tc>
          <w:tcPr>
            <w:tcW w:w="1365" w:type="dxa"/>
            <w:hideMark/>
          </w:tcPr>
          <w:p w14:paraId="202FDF9C"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Absorption</w:t>
            </w:r>
          </w:p>
        </w:tc>
        <w:tc>
          <w:tcPr>
            <w:tcW w:w="1179" w:type="dxa"/>
            <w:hideMark/>
          </w:tcPr>
          <w:p w14:paraId="67A2272E"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Oragene Saliva Collection Kit</w:t>
            </w:r>
          </w:p>
        </w:tc>
        <w:tc>
          <w:tcPr>
            <w:tcW w:w="1178" w:type="dxa"/>
            <w:hideMark/>
          </w:tcPr>
          <w:p w14:paraId="52C602CD"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307" w:type="dxa"/>
            <w:hideMark/>
          </w:tcPr>
          <w:p w14:paraId="11664C51" w14:textId="4EA5DF61" w:rsidR="00D05AB4" w:rsidRPr="00333A96" w:rsidRDefault="001E3817"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3215" w:type="dxa"/>
            <w:gridSpan w:val="2"/>
            <w:hideMark/>
          </w:tcPr>
          <w:p w14:paraId="1C8A6ABD"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Methylation in saliva only negatively correlated with NR3C1 promoter methylation in cord blood</w:t>
            </w:r>
            <w:r w:rsidRPr="00333A96">
              <w:rPr>
                <w:rFonts w:ascii="Times New Roman" w:eastAsia="Times New Roman" w:hAnsi="Times New Roman" w:cs="Times New Roman"/>
                <w:sz w:val="18"/>
                <w:szCs w:val="18"/>
                <w:lang w:val="en-GB" w:eastAsia="nl-NL"/>
              </w:rPr>
              <w:br/>
              <w:t>2) To assess DNA methylation during infancy, placenta, cord blood, and saliva cannot be substituted for one another.</w:t>
            </w:r>
          </w:p>
        </w:tc>
      </w:tr>
      <w:tr w:rsidR="00D05AB4" w:rsidRPr="00CC2F10" w14:paraId="24911CF0" w14:textId="77777777" w:rsidTr="00CC2F10">
        <w:trPr>
          <w:trHeight w:val="1248"/>
        </w:trPr>
        <w:tc>
          <w:tcPr>
            <w:cnfStyle w:val="001000000000" w:firstRow="0" w:lastRow="0" w:firstColumn="1" w:lastColumn="0" w:oddVBand="0" w:evenVBand="0" w:oddHBand="0" w:evenHBand="0" w:firstRowFirstColumn="0" w:firstRowLastColumn="0" w:lastRowFirstColumn="0" w:lastRowLastColumn="0"/>
            <w:tcW w:w="1560" w:type="dxa"/>
            <w:noWrap/>
            <w:hideMark/>
          </w:tcPr>
          <w:p w14:paraId="3EBB392A"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Azurmendi et al. 2016</w:t>
            </w:r>
          </w:p>
        </w:tc>
        <w:tc>
          <w:tcPr>
            <w:tcW w:w="1413" w:type="dxa"/>
            <w:noWrap/>
            <w:hideMark/>
          </w:tcPr>
          <w:p w14:paraId="2F8CCC03"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Spain</w:t>
            </w:r>
          </w:p>
        </w:tc>
        <w:tc>
          <w:tcPr>
            <w:tcW w:w="837" w:type="dxa"/>
            <w:noWrap/>
            <w:hideMark/>
          </w:tcPr>
          <w:p w14:paraId="477B5B11"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62617C0E"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90</w:t>
            </w:r>
          </w:p>
        </w:tc>
        <w:tc>
          <w:tcPr>
            <w:tcW w:w="1577" w:type="dxa"/>
            <w:hideMark/>
          </w:tcPr>
          <w:p w14:paraId="50E11FF8"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8-10 (?)</w:t>
            </w:r>
          </w:p>
        </w:tc>
        <w:tc>
          <w:tcPr>
            <w:tcW w:w="1794" w:type="dxa"/>
            <w:hideMark/>
          </w:tcPr>
          <w:p w14:paraId="679442BC" w14:textId="2405190F"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Investigate the sex-related differences and the impact of specific hormones on the development of aggressive behaviour in school-aged children </w:t>
            </w:r>
          </w:p>
        </w:tc>
        <w:tc>
          <w:tcPr>
            <w:tcW w:w="1365" w:type="dxa"/>
            <w:hideMark/>
          </w:tcPr>
          <w:p w14:paraId="3DD117BD"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Drooling</w:t>
            </w:r>
          </w:p>
        </w:tc>
        <w:tc>
          <w:tcPr>
            <w:tcW w:w="1179" w:type="dxa"/>
            <w:hideMark/>
          </w:tcPr>
          <w:p w14:paraId="198887A7"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Sterile container</w:t>
            </w:r>
          </w:p>
        </w:tc>
        <w:tc>
          <w:tcPr>
            <w:tcW w:w="1178" w:type="dxa"/>
            <w:hideMark/>
          </w:tcPr>
          <w:p w14:paraId="25C8CAEA"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307" w:type="dxa"/>
            <w:hideMark/>
          </w:tcPr>
          <w:p w14:paraId="231D4428" w14:textId="4B068CB7" w:rsidR="00D05AB4" w:rsidRPr="00333A96" w:rsidRDefault="001E3817"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3215" w:type="dxa"/>
            <w:gridSpan w:val="2"/>
            <w:hideMark/>
          </w:tcPr>
          <w:p w14:paraId="34CC8182" w14:textId="5D920A92"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At age 8, there were no statistically significant differences in aggressive behaviour between boys and girls.</w:t>
            </w:r>
            <w:r w:rsidRPr="00333A96">
              <w:rPr>
                <w:rFonts w:ascii="Times New Roman" w:eastAsia="Times New Roman" w:hAnsi="Times New Roman" w:cs="Times New Roman"/>
                <w:sz w:val="18"/>
                <w:szCs w:val="18"/>
                <w:lang w:val="en-GB" w:eastAsia="nl-NL"/>
              </w:rPr>
              <w:br/>
              <w:t>2) At age 10, violent behaviour showed sex differences, with boys being more aggressive than girls</w:t>
            </w:r>
          </w:p>
        </w:tc>
      </w:tr>
      <w:tr w:rsidR="00D05AB4" w:rsidRPr="00CC2F10" w14:paraId="1E001732" w14:textId="77777777" w:rsidTr="00CC2F10">
        <w:trPr>
          <w:cnfStyle w:val="000000100000" w:firstRow="0" w:lastRow="0" w:firstColumn="0" w:lastColumn="0" w:oddVBand="0" w:evenVBand="0" w:oddHBand="1" w:evenHBand="0" w:firstRowFirstColumn="0" w:firstRowLastColumn="0" w:lastRowFirstColumn="0" w:lastRowLastColumn="0"/>
          <w:trHeight w:val="1560"/>
        </w:trPr>
        <w:tc>
          <w:tcPr>
            <w:cnfStyle w:val="001000000000" w:firstRow="0" w:lastRow="0" w:firstColumn="1" w:lastColumn="0" w:oddVBand="0" w:evenVBand="0" w:oddHBand="0" w:evenHBand="0" w:firstRowFirstColumn="0" w:firstRowLastColumn="0" w:lastRowFirstColumn="0" w:lastRowLastColumn="0"/>
            <w:tcW w:w="1560" w:type="dxa"/>
            <w:noWrap/>
            <w:hideMark/>
          </w:tcPr>
          <w:p w14:paraId="6E0FEC51"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Barsamian-Wunsch et al. 2004</w:t>
            </w:r>
          </w:p>
        </w:tc>
        <w:tc>
          <w:tcPr>
            <w:tcW w:w="1413" w:type="dxa"/>
            <w:noWrap/>
            <w:hideMark/>
          </w:tcPr>
          <w:p w14:paraId="73E9C40D"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United States</w:t>
            </w:r>
          </w:p>
        </w:tc>
        <w:tc>
          <w:tcPr>
            <w:tcW w:w="837" w:type="dxa"/>
            <w:noWrap/>
            <w:hideMark/>
          </w:tcPr>
          <w:p w14:paraId="6A1324D3"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7B78A776"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87</w:t>
            </w:r>
          </w:p>
        </w:tc>
        <w:tc>
          <w:tcPr>
            <w:tcW w:w="1577" w:type="dxa"/>
            <w:hideMark/>
          </w:tcPr>
          <w:p w14:paraId="5EBD60E3"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0.5-3 (?)</w:t>
            </w:r>
          </w:p>
        </w:tc>
        <w:tc>
          <w:tcPr>
            <w:tcW w:w="1794" w:type="dxa"/>
            <w:hideMark/>
          </w:tcPr>
          <w:p w14:paraId="223ACA98" w14:textId="16F37832"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Assess and contrast 5 oral sample techniques that could be easily obtained in a clinical context for the detection of MS and LB in children under the age of 3</w:t>
            </w:r>
          </w:p>
        </w:tc>
        <w:tc>
          <w:tcPr>
            <w:tcW w:w="1365" w:type="dxa"/>
            <w:hideMark/>
          </w:tcPr>
          <w:p w14:paraId="447AF2CC"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Absorption</w:t>
            </w:r>
          </w:p>
        </w:tc>
        <w:tc>
          <w:tcPr>
            <w:tcW w:w="1179" w:type="dxa"/>
            <w:hideMark/>
          </w:tcPr>
          <w:p w14:paraId="3BC1642F"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Cotton rolls</w:t>
            </w:r>
          </w:p>
        </w:tc>
        <w:tc>
          <w:tcPr>
            <w:tcW w:w="1178" w:type="dxa"/>
            <w:hideMark/>
          </w:tcPr>
          <w:p w14:paraId="052D4462"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SS</w:t>
            </w:r>
          </w:p>
        </w:tc>
        <w:tc>
          <w:tcPr>
            <w:tcW w:w="1307" w:type="dxa"/>
            <w:hideMark/>
          </w:tcPr>
          <w:p w14:paraId="34A506E5" w14:textId="7F3DCAD6"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Caregivers model the procedure of collection with a cotton roll </w:t>
            </w:r>
          </w:p>
        </w:tc>
        <w:tc>
          <w:tcPr>
            <w:tcW w:w="3215" w:type="dxa"/>
            <w:gridSpan w:val="2"/>
            <w:hideMark/>
          </w:tcPr>
          <w:p w14:paraId="3A0647DF"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Levels of MS and LB were consistently higher in plaque than in other sampling methods</w:t>
            </w:r>
            <w:r w:rsidRPr="00333A96">
              <w:rPr>
                <w:rFonts w:ascii="Times New Roman" w:eastAsia="Times New Roman" w:hAnsi="Times New Roman" w:cs="Times New Roman"/>
                <w:sz w:val="18"/>
                <w:szCs w:val="18"/>
                <w:lang w:val="en-GB" w:eastAsia="nl-NL"/>
              </w:rPr>
              <w:br/>
              <w:t>2) For microbial risk assessment tests in children under the age of three, all sample techniques were sufficient</w:t>
            </w:r>
            <w:r w:rsidRPr="00333A96">
              <w:rPr>
                <w:rFonts w:ascii="Times New Roman" w:eastAsia="Times New Roman" w:hAnsi="Times New Roman" w:cs="Times New Roman"/>
                <w:sz w:val="18"/>
                <w:szCs w:val="18"/>
                <w:lang w:val="en-GB" w:eastAsia="nl-NL"/>
              </w:rPr>
              <w:br/>
              <w:t>3) Compared to LB or TVC, MS was a better indication of caries status.</w:t>
            </w:r>
          </w:p>
        </w:tc>
      </w:tr>
      <w:tr w:rsidR="00D05AB4" w:rsidRPr="00CC2F10" w14:paraId="0D1EEFB4" w14:textId="77777777" w:rsidTr="00CC2F10">
        <w:trPr>
          <w:trHeight w:val="936"/>
        </w:trPr>
        <w:tc>
          <w:tcPr>
            <w:cnfStyle w:val="001000000000" w:firstRow="0" w:lastRow="0" w:firstColumn="1" w:lastColumn="0" w:oddVBand="0" w:evenVBand="0" w:oddHBand="0" w:evenHBand="0" w:firstRowFirstColumn="0" w:firstRowLastColumn="0" w:lastRowFirstColumn="0" w:lastRowLastColumn="0"/>
            <w:tcW w:w="1560" w:type="dxa"/>
            <w:noWrap/>
            <w:hideMark/>
          </w:tcPr>
          <w:p w14:paraId="0486A332"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lastRenderedPageBreak/>
              <w:t>Bekes et al. 2020</w:t>
            </w:r>
          </w:p>
        </w:tc>
        <w:tc>
          <w:tcPr>
            <w:tcW w:w="1413" w:type="dxa"/>
            <w:noWrap/>
            <w:hideMark/>
          </w:tcPr>
          <w:p w14:paraId="3C2F7A53"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Austria</w:t>
            </w:r>
          </w:p>
        </w:tc>
        <w:tc>
          <w:tcPr>
            <w:tcW w:w="837" w:type="dxa"/>
            <w:noWrap/>
            <w:hideMark/>
          </w:tcPr>
          <w:p w14:paraId="04748EBC"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Cohort</w:t>
            </w:r>
          </w:p>
        </w:tc>
        <w:tc>
          <w:tcPr>
            <w:tcW w:w="878" w:type="dxa"/>
            <w:noWrap/>
            <w:hideMark/>
          </w:tcPr>
          <w:p w14:paraId="069467D7"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10</w:t>
            </w:r>
          </w:p>
        </w:tc>
        <w:tc>
          <w:tcPr>
            <w:tcW w:w="1577" w:type="dxa"/>
            <w:hideMark/>
          </w:tcPr>
          <w:p w14:paraId="066056A9"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0-14 (10.73±0.54)</w:t>
            </w:r>
          </w:p>
        </w:tc>
        <w:tc>
          <w:tcPr>
            <w:tcW w:w="1794" w:type="dxa"/>
            <w:hideMark/>
          </w:tcPr>
          <w:p w14:paraId="38E943AC"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Determine whether salivary protein composition is associated with MIH</w:t>
            </w:r>
          </w:p>
        </w:tc>
        <w:tc>
          <w:tcPr>
            <w:tcW w:w="1365" w:type="dxa"/>
            <w:hideMark/>
          </w:tcPr>
          <w:p w14:paraId="67D5F2C0"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Absorption</w:t>
            </w:r>
          </w:p>
        </w:tc>
        <w:tc>
          <w:tcPr>
            <w:tcW w:w="1179" w:type="dxa"/>
            <w:hideMark/>
          </w:tcPr>
          <w:p w14:paraId="15CEA4B7"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Salivette cotton swab</w:t>
            </w:r>
          </w:p>
        </w:tc>
        <w:tc>
          <w:tcPr>
            <w:tcW w:w="1178" w:type="dxa"/>
            <w:hideMark/>
          </w:tcPr>
          <w:p w14:paraId="3391C8B6"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SS</w:t>
            </w:r>
          </w:p>
        </w:tc>
        <w:tc>
          <w:tcPr>
            <w:tcW w:w="1307" w:type="dxa"/>
            <w:hideMark/>
          </w:tcPr>
          <w:p w14:paraId="7ACDCBD9"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1h fasting before sampling </w:t>
            </w:r>
          </w:p>
        </w:tc>
        <w:tc>
          <w:tcPr>
            <w:tcW w:w="3215" w:type="dxa"/>
            <w:gridSpan w:val="2"/>
            <w:hideMark/>
          </w:tcPr>
          <w:p w14:paraId="44124CF3"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Children with MIH had saliva with a different protein composition</w:t>
            </w:r>
            <w:r w:rsidRPr="00333A96">
              <w:rPr>
                <w:rFonts w:ascii="Times New Roman" w:eastAsia="Times New Roman" w:hAnsi="Times New Roman" w:cs="Times New Roman"/>
                <w:sz w:val="18"/>
                <w:szCs w:val="18"/>
                <w:lang w:val="en-GB" w:eastAsia="nl-NL"/>
              </w:rPr>
              <w:br/>
              <w:t>2) In MIH patients, the protean composition of saliva is altered, revealing a catabolic environment connected to inflammation.</w:t>
            </w:r>
          </w:p>
        </w:tc>
      </w:tr>
      <w:tr w:rsidR="00D05AB4" w:rsidRPr="00CC2F10" w14:paraId="593CA3FA" w14:textId="77777777" w:rsidTr="00CC2F10">
        <w:trPr>
          <w:cnfStyle w:val="000000100000" w:firstRow="0" w:lastRow="0" w:firstColumn="0" w:lastColumn="0" w:oddVBand="0" w:evenVBand="0" w:oddHBand="1" w:evenHBand="0" w:firstRowFirstColumn="0" w:firstRowLastColumn="0" w:lastRowFirstColumn="0" w:lastRowLastColumn="0"/>
          <w:trHeight w:val="1248"/>
        </w:trPr>
        <w:tc>
          <w:tcPr>
            <w:cnfStyle w:val="001000000000" w:firstRow="0" w:lastRow="0" w:firstColumn="1" w:lastColumn="0" w:oddVBand="0" w:evenVBand="0" w:oddHBand="0" w:evenHBand="0" w:firstRowFirstColumn="0" w:firstRowLastColumn="0" w:lastRowFirstColumn="0" w:lastRowLastColumn="0"/>
            <w:tcW w:w="1560" w:type="dxa"/>
            <w:noWrap/>
            <w:hideMark/>
          </w:tcPr>
          <w:p w14:paraId="76DE95AB"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Belva et al. 2013</w:t>
            </w:r>
          </w:p>
        </w:tc>
        <w:tc>
          <w:tcPr>
            <w:tcW w:w="1413" w:type="dxa"/>
            <w:noWrap/>
            <w:hideMark/>
          </w:tcPr>
          <w:p w14:paraId="5420B3B0"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Belgium</w:t>
            </w:r>
          </w:p>
        </w:tc>
        <w:tc>
          <w:tcPr>
            <w:tcW w:w="837" w:type="dxa"/>
            <w:noWrap/>
            <w:hideMark/>
          </w:tcPr>
          <w:p w14:paraId="059A3671"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082735D1"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397</w:t>
            </w:r>
          </w:p>
        </w:tc>
        <w:tc>
          <w:tcPr>
            <w:tcW w:w="1577" w:type="dxa"/>
            <w:hideMark/>
          </w:tcPr>
          <w:p w14:paraId="63483F35"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14 (?)</w:t>
            </w:r>
          </w:p>
        </w:tc>
        <w:tc>
          <w:tcPr>
            <w:tcW w:w="1794" w:type="dxa"/>
            <w:hideMark/>
          </w:tcPr>
          <w:p w14:paraId="65ADBB81"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Determine if the HPA axis's final product differs among children conceived by assisted reproduction</w:t>
            </w:r>
          </w:p>
        </w:tc>
        <w:tc>
          <w:tcPr>
            <w:tcW w:w="1365" w:type="dxa"/>
            <w:hideMark/>
          </w:tcPr>
          <w:p w14:paraId="54FF293E"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Absorption</w:t>
            </w:r>
          </w:p>
        </w:tc>
        <w:tc>
          <w:tcPr>
            <w:tcW w:w="1179" w:type="dxa"/>
            <w:hideMark/>
          </w:tcPr>
          <w:p w14:paraId="5BDE0025"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Salivette</w:t>
            </w:r>
          </w:p>
        </w:tc>
        <w:tc>
          <w:tcPr>
            <w:tcW w:w="1178" w:type="dxa"/>
            <w:hideMark/>
          </w:tcPr>
          <w:p w14:paraId="6EB8765D"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307" w:type="dxa"/>
            <w:hideMark/>
          </w:tcPr>
          <w:p w14:paraId="35A1AF58" w14:textId="6957FC13" w:rsidR="00D05AB4" w:rsidRPr="00333A96" w:rsidRDefault="001E3817"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3215" w:type="dxa"/>
            <w:gridSpan w:val="2"/>
            <w:hideMark/>
          </w:tcPr>
          <w:p w14:paraId="16D089A1"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1) Mean salivary cortisol levels were lower in ICSI men than SC females also after adjusting for maternal traits, early life variables, and present characteristics. </w:t>
            </w:r>
            <w:r w:rsidRPr="00333A96">
              <w:rPr>
                <w:rFonts w:ascii="Times New Roman" w:eastAsia="Times New Roman" w:hAnsi="Times New Roman" w:cs="Times New Roman"/>
                <w:sz w:val="18"/>
                <w:szCs w:val="18"/>
                <w:lang w:val="en-GB" w:eastAsia="nl-NL"/>
              </w:rPr>
              <w:br/>
              <w:t>2) No difference in cortisol levels between the SC group and ICSI males.</w:t>
            </w:r>
          </w:p>
        </w:tc>
      </w:tr>
      <w:tr w:rsidR="00D05AB4" w:rsidRPr="00CC2F10" w14:paraId="1AB26D3F" w14:textId="77777777" w:rsidTr="00CC2F10">
        <w:trPr>
          <w:trHeight w:val="936"/>
        </w:trPr>
        <w:tc>
          <w:tcPr>
            <w:cnfStyle w:val="001000000000" w:firstRow="0" w:lastRow="0" w:firstColumn="1" w:lastColumn="0" w:oddVBand="0" w:evenVBand="0" w:oddHBand="0" w:evenHBand="0" w:firstRowFirstColumn="0" w:firstRowLastColumn="0" w:lastRowFirstColumn="0" w:lastRowLastColumn="0"/>
            <w:tcW w:w="1560" w:type="dxa"/>
            <w:noWrap/>
            <w:hideMark/>
          </w:tcPr>
          <w:p w14:paraId="066B9A65"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Bezerra et al. 2019</w:t>
            </w:r>
          </w:p>
        </w:tc>
        <w:tc>
          <w:tcPr>
            <w:tcW w:w="1413" w:type="dxa"/>
            <w:noWrap/>
            <w:hideMark/>
          </w:tcPr>
          <w:p w14:paraId="690ECFBC"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Brazil</w:t>
            </w:r>
          </w:p>
        </w:tc>
        <w:tc>
          <w:tcPr>
            <w:tcW w:w="837" w:type="dxa"/>
            <w:noWrap/>
            <w:hideMark/>
          </w:tcPr>
          <w:p w14:paraId="78443E3A"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6D143C97"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120</w:t>
            </w:r>
          </w:p>
        </w:tc>
        <w:tc>
          <w:tcPr>
            <w:tcW w:w="1577" w:type="dxa"/>
            <w:hideMark/>
          </w:tcPr>
          <w:p w14:paraId="3C656112"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3-18 (?)</w:t>
            </w:r>
          </w:p>
        </w:tc>
        <w:tc>
          <w:tcPr>
            <w:tcW w:w="1794" w:type="dxa"/>
            <w:hideMark/>
          </w:tcPr>
          <w:p w14:paraId="1849BEE4"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Verify differences between healthy young children and paediatric cancer patients' salivary flow before beginning antineoplastic therapy.</w:t>
            </w:r>
          </w:p>
        </w:tc>
        <w:tc>
          <w:tcPr>
            <w:tcW w:w="1365" w:type="dxa"/>
            <w:hideMark/>
          </w:tcPr>
          <w:p w14:paraId="602CF204"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Spitting</w:t>
            </w:r>
          </w:p>
        </w:tc>
        <w:tc>
          <w:tcPr>
            <w:tcW w:w="1179" w:type="dxa"/>
            <w:hideMark/>
          </w:tcPr>
          <w:p w14:paraId="374D5E58"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Sterile container</w:t>
            </w:r>
          </w:p>
        </w:tc>
        <w:tc>
          <w:tcPr>
            <w:tcW w:w="1178" w:type="dxa"/>
            <w:hideMark/>
          </w:tcPr>
          <w:p w14:paraId="2E29161C"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307" w:type="dxa"/>
            <w:hideMark/>
          </w:tcPr>
          <w:p w14:paraId="7941F63A" w14:textId="575BE8B4" w:rsidR="00D05AB4" w:rsidRPr="00333A96" w:rsidRDefault="001E3817"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3215" w:type="dxa"/>
            <w:gridSpan w:val="2"/>
            <w:hideMark/>
          </w:tcPr>
          <w:p w14:paraId="729008E7"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No significant difference was found in USFR of paediatric cancer patients before starting antineoplastic treatment compared with healthy paediatric patient</w:t>
            </w:r>
          </w:p>
        </w:tc>
      </w:tr>
      <w:tr w:rsidR="00D05AB4" w:rsidRPr="00CC2F10" w14:paraId="136C795E" w14:textId="77777777" w:rsidTr="00CC2F10">
        <w:trPr>
          <w:cnfStyle w:val="000000100000" w:firstRow="0" w:lastRow="0" w:firstColumn="0" w:lastColumn="0" w:oddVBand="0" w:evenVBand="0" w:oddHBand="1" w:evenHBand="0" w:firstRowFirstColumn="0" w:firstRowLastColumn="0" w:lastRowFirstColumn="0" w:lastRowLastColumn="0"/>
          <w:trHeight w:val="936"/>
        </w:trPr>
        <w:tc>
          <w:tcPr>
            <w:cnfStyle w:val="001000000000" w:firstRow="0" w:lastRow="0" w:firstColumn="1" w:lastColumn="0" w:oddVBand="0" w:evenVBand="0" w:oddHBand="0" w:evenHBand="0" w:firstRowFirstColumn="0" w:firstRowLastColumn="0" w:lastRowFirstColumn="0" w:lastRowLastColumn="0"/>
            <w:tcW w:w="1560" w:type="dxa"/>
            <w:noWrap/>
            <w:hideMark/>
          </w:tcPr>
          <w:p w14:paraId="4A15CFF2"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Bhalla et al. 2015</w:t>
            </w:r>
          </w:p>
        </w:tc>
        <w:tc>
          <w:tcPr>
            <w:tcW w:w="1413" w:type="dxa"/>
            <w:noWrap/>
            <w:hideMark/>
          </w:tcPr>
          <w:p w14:paraId="41D74A62"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India</w:t>
            </w:r>
          </w:p>
        </w:tc>
        <w:tc>
          <w:tcPr>
            <w:tcW w:w="837" w:type="dxa"/>
            <w:noWrap/>
            <w:hideMark/>
          </w:tcPr>
          <w:p w14:paraId="7B4D78C6"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661F48B3"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30</w:t>
            </w:r>
          </w:p>
        </w:tc>
        <w:tc>
          <w:tcPr>
            <w:tcW w:w="1577" w:type="dxa"/>
            <w:hideMark/>
          </w:tcPr>
          <w:p w14:paraId="5934F622"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12-14 (?)</w:t>
            </w:r>
          </w:p>
        </w:tc>
        <w:tc>
          <w:tcPr>
            <w:tcW w:w="1794" w:type="dxa"/>
            <w:hideMark/>
          </w:tcPr>
          <w:p w14:paraId="5FD360E6"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Evaluate the difference in salivary SM levels between intake of probiotic curd and non-consumption</w:t>
            </w:r>
          </w:p>
        </w:tc>
        <w:tc>
          <w:tcPr>
            <w:tcW w:w="1365" w:type="dxa"/>
            <w:hideMark/>
          </w:tcPr>
          <w:p w14:paraId="4B393CA2"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Spitting</w:t>
            </w:r>
          </w:p>
        </w:tc>
        <w:tc>
          <w:tcPr>
            <w:tcW w:w="1179" w:type="dxa"/>
            <w:hideMark/>
          </w:tcPr>
          <w:p w14:paraId="6DD7EDF6"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Sterile container</w:t>
            </w:r>
          </w:p>
        </w:tc>
        <w:tc>
          <w:tcPr>
            <w:tcW w:w="1178" w:type="dxa"/>
            <w:hideMark/>
          </w:tcPr>
          <w:p w14:paraId="0FD0F1C7"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307" w:type="dxa"/>
            <w:hideMark/>
          </w:tcPr>
          <w:p w14:paraId="5DD81910" w14:textId="55AE8702" w:rsidR="00D05AB4" w:rsidRPr="00333A96" w:rsidRDefault="001E3817"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3215" w:type="dxa"/>
            <w:gridSpan w:val="2"/>
            <w:hideMark/>
          </w:tcPr>
          <w:p w14:paraId="46465660"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Significant difference in the reduction of MS counts between probiotic curd and normal curd at 1h and on day 7</w:t>
            </w:r>
          </w:p>
        </w:tc>
      </w:tr>
      <w:tr w:rsidR="00D05AB4" w:rsidRPr="00CC2F10" w14:paraId="61D55A79" w14:textId="77777777" w:rsidTr="00CC2F10">
        <w:trPr>
          <w:trHeight w:val="1982"/>
        </w:trPr>
        <w:tc>
          <w:tcPr>
            <w:cnfStyle w:val="001000000000" w:firstRow="0" w:lastRow="0" w:firstColumn="1" w:lastColumn="0" w:oddVBand="0" w:evenVBand="0" w:oddHBand="0" w:evenHBand="0" w:firstRowFirstColumn="0" w:firstRowLastColumn="0" w:lastRowFirstColumn="0" w:lastRowLastColumn="0"/>
            <w:tcW w:w="1560" w:type="dxa"/>
            <w:noWrap/>
            <w:hideMark/>
          </w:tcPr>
          <w:p w14:paraId="4378D27B"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Bhat et al. 2021</w:t>
            </w:r>
          </w:p>
        </w:tc>
        <w:tc>
          <w:tcPr>
            <w:tcW w:w="1413" w:type="dxa"/>
            <w:noWrap/>
            <w:hideMark/>
          </w:tcPr>
          <w:p w14:paraId="0D2F8F87"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India</w:t>
            </w:r>
          </w:p>
        </w:tc>
        <w:tc>
          <w:tcPr>
            <w:tcW w:w="837" w:type="dxa"/>
            <w:noWrap/>
            <w:hideMark/>
          </w:tcPr>
          <w:p w14:paraId="74A1F586"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CC</w:t>
            </w:r>
          </w:p>
        </w:tc>
        <w:tc>
          <w:tcPr>
            <w:tcW w:w="878" w:type="dxa"/>
            <w:noWrap/>
            <w:hideMark/>
          </w:tcPr>
          <w:p w14:paraId="0454FA76"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172</w:t>
            </w:r>
          </w:p>
        </w:tc>
        <w:tc>
          <w:tcPr>
            <w:tcW w:w="1577" w:type="dxa"/>
            <w:hideMark/>
          </w:tcPr>
          <w:p w14:paraId="4B19402E"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6-18 (11.2±2.7)</w:t>
            </w:r>
          </w:p>
        </w:tc>
        <w:tc>
          <w:tcPr>
            <w:tcW w:w="1794" w:type="dxa"/>
            <w:hideMark/>
          </w:tcPr>
          <w:p w14:paraId="22C01136"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Estimate and compare the amounts of IgG4 in autistic children's blood and saliva.</w:t>
            </w:r>
          </w:p>
        </w:tc>
        <w:tc>
          <w:tcPr>
            <w:tcW w:w="1365" w:type="dxa"/>
            <w:hideMark/>
          </w:tcPr>
          <w:p w14:paraId="3D60F8B1"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Drooling, absorption</w:t>
            </w:r>
          </w:p>
        </w:tc>
        <w:tc>
          <w:tcPr>
            <w:tcW w:w="1179" w:type="dxa"/>
            <w:hideMark/>
          </w:tcPr>
          <w:p w14:paraId="4C31815B"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Sterile tube, cotton roll</w:t>
            </w:r>
          </w:p>
        </w:tc>
        <w:tc>
          <w:tcPr>
            <w:tcW w:w="1178" w:type="dxa"/>
            <w:hideMark/>
          </w:tcPr>
          <w:p w14:paraId="223C5ED8"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307" w:type="dxa"/>
            <w:hideMark/>
          </w:tcPr>
          <w:p w14:paraId="010F55B2"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1) 1h fasting before sampling </w:t>
            </w:r>
            <w:r w:rsidRPr="00333A96">
              <w:rPr>
                <w:rFonts w:ascii="Times New Roman" w:eastAsia="Times New Roman" w:hAnsi="Times New Roman" w:cs="Times New Roman"/>
                <w:sz w:val="18"/>
                <w:szCs w:val="18"/>
                <w:lang w:val="en-GB" w:eastAsia="nl-NL"/>
              </w:rPr>
              <w:br/>
              <w:t>2) Challenging patients: absorbent cotton roll</w:t>
            </w:r>
          </w:p>
        </w:tc>
        <w:tc>
          <w:tcPr>
            <w:tcW w:w="3215" w:type="dxa"/>
            <w:gridSpan w:val="2"/>
            <w:hideMark/>
          </w:tcPr>
          <w:p w14:paraId="44573D3E"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1) Children with ASD had significantly higher blood and salivary IgG4 levels. </w:t>
            </w:r>
            <w:r w:rsidRPr="00333A96">
              <w:rPr>
                <w:rFonts w:ascii="Times New Roman" w:eastAsia="Times New Roman" w:hAnsi="Times New Roman" w:cs="Times New Roman"/>
                <w:sz w:val="18"/>
                <w:szCs w:val="18"/>
                <w:lang w:val="en-GB" w:eastAsia="nl-NL"/>
              </w:rPr>
              <w:br/>
              <w:t>2) IgG4 levels in both blood and saliva exhibited a significant positive correlation.</w:t>
            </w:r>
            <w:r w:rsidRPr="00333A96">
              <w:rPr>
                <w:rFonts w:ascii="Times New Roman" w:eastAsia="Times New Roman" w:hAnsi="Times New Roman" w:cs="Times New Roman"/>
                <w:sz w:val="18"/>
                <w:szCs w:val="18"/>
                <w:lang w:val="en-GB" w:eastAsia="nl-NL"/>
              </w:rPr>
              <w:br/>
              <w:t xml:space="preserve">3) Children with autism could profit from using saliva as a non-invasive diagnostic method for health monitoring. </w:t>
            </w:r>
          </w:p>
        </w:tc>
      </w:tr>
      <w:tr w:rsidR="00D05AB4" w:rsidRPr="00CC2F10" w14:paraId="70C212A7" w14:textId="77777777" w:rsidTr="00CC2F10">
        <w:trPr>
          <w:cnfStyle w:val="000000100000" w:firstRow="0" w:lastRow="0" w:firstColumn="0" w:lastColumn="0" w:oddVBand="0" w:evenVBand="0" w:oddHBand="1" w:evenHBand="0" w:firstRowFirstColumn="0" w:firstRowLastColumn="0" w:lastRowFirstColumn="0" w:lastRowLastColumn="0"/>
          <w:trHeight w:val="1248"/>
        </w:trPr>
        <w:tc>
          <w:tcPr>
            <w:cnfStyle w:val="001000000000" w:firstRow="0" w:lastRow="0" w:firstColumn="1" w:lastColumn="0" w:oddVBand="0" w:evenVBand="0" w:oddHBand="0" w:evenHBand="0" w:firstRowFirstColumn="0" w:firstRowLastColumn="0" w:lastRowFirstColumn="0" w:lastRowLastColumn="0"/>
            <w:tcW w:w="1560" w:type="dxa"/>
            <w:noWrap/>
            <w:hideMark/>
          </w:tcPr>
          <w:p w14:paraId="50FCCF4A"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Bhayat et al. 2013</w:t>
            </w:r>
          </w:p>
        </w:tc>
        <w:tc>
          <w:tcPr>
            <w:tcW w:w="1413" w:type="dxa"/>
            <w:noWrap/>
            <w:hideMark/>
          </w:tcPr>
          <w:p w14:paraId="0DA922FA"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Saudi Arabia</w:t>
            </w:r>
          </w:p>
        </w:tc>
        <w:tc>
          <w:tcPr>
            <w:tcW w:w="837" w:type="dxa"/>
            <w:noWrap/>
            <w:hideMark/>
          </w:tcPr>
          <w:p w14:paraId="2CAF832C"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64480B38"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316</w:t>
            </w:r>
          </w:p>
        </w:tc>
        <w:tc>
          <w:tcPr>
            <w:tcW w:w="1577" w:type="dxa"/>
            <w:hideMark/>
          </w:tcPr>
          <w:p w14:paraId="3AE35430"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6-12 (?)</w:t>
            </w:r>
          </w:p>
        </w:tc>
        <w:tc>
          <w:tcPr>
            <w:tcW w:w="1794" w:type="dxa"/>
            <w:hideMark/>
          </w:tcPr>
          <w:p w14:paraId="3E217E0B"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Ascertain the frequency of caries, the quantity of MS and LB colony forming units, the amount of saliva that can be buffered, and </w:t>
            </w:r>
            <w:r w:rsidRPr="00333A96">
              <w:rPr>
                <w:rFonts w:ascii="Times New Roman" w:eastAsia="Times New Roman" w:hAnsi="Times New Roman" w:cs="Times New Roman"/>
                <w:sz w:val="18"/>
                <w:szCs w:val="18"/>
                <w:lang w:val="en-GB" w:eastAsia="nl-NL"/>
              </w:rPr>
              <w:lastRenderedPageBreak/>
              <w:t>the relationship between these variables.</w:t>
            </w:r>
          </w:p>
        </w:tc>
        <w:tc>
          <w:tcPr>
            <w:tcW w:w="1365" w:type="dxa"/>
            <w:hideMark/>
          </w:tcPr>
          <w:p w14:paraId="25ED4636"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lastRenderedPageBreak/>
              <w:t>Spitting</w:t>
            </w:r>
          </w:p>
        </w:tc>
        <w:tc>
          <w:tcPr>
            <w:tcW w:w="1179" w:type="dxa"/>
            <w:hideMark/>
          </w:tcPr>
          <w:p w14:paraId="1AAB53C5"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Disposable cup</w:t>
            </w:r>
          </w:p>
        </w:tc>
        <w:tc>
          <w:tcPr>
            <w:tcW w:w="1178" w:type="dxa"/>
            <w:hideMark/>
          </w:tcPr>
          <w:p w14:paraId="39B9715A"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SS</w:t>
            </w:r>
          </w:p>
        </w:tc>
        <w:tc>
          <w:tcPr>
            <w:tcW w:w="1307" w:type="dxa"/>
            <w:hideMark/>
          </w:tcPr>
          <w:p w14:paraId="1A3E59CC" w14:textId="25120B58" w:rsidR="00D05AB4" w:rsidRPr="00333A96" w:rsidRDefault="001E3817"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3215" w:type="dxa"/>
            <w:gridSpan w:val="2"/>
            <w:hideMark/>
          </w:tcPr>
          <w:p w14:paraId="6507A140" w14:textId="729F2C30"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High counts of LB and MS and the prevalence of dental caries are highly significant.</w:t>
            </w:r>
            <w:r w:rsidRPr="00333A96">
              <w:rPr>
                <w:rFonts w:ascii="Times New Roman" w:eastAsia="Times New Roman" w:hAnsi="Times New Roman" w:cs="Times New Roman"/>
                <w:sz w:val="18"/>
                <w:szCs w:val="18"/>
                <w:lang w:val="en-GB" w:eastAsia="nl-NL"/>
              </w:rPr>
              <w:br/>
              <w:t>2)</w:t>
            </w:r>
            <w:r>
              <w:rPr>
                <w:rFonts w:ascii="Times New Roman" w:eastAsia="Times New Roman" w:hAnsi="Times New Roman" w:cs="Times New Roman"/>
                <w:sz w:val="18"/>
                <w:szCs w:val="18"/>
                <w:lang w:val="en-GB" w:eastAsia="nl-NL"/>
              </w:rPr>
              <w:t xml:space="preserve"> </w:t>
            </w:r>
            <w:r w:rsidRPr="00333A96">
              <w:rPr>
                <w:rFonts w:ascii="Times New Roman" w:eastAsia="Times New Roman" w:hAnsi="Times New Roman" w:cs="Times New Roman"/>
                <w:sz w:val="18"/>
                <w:szCs w:val="18"/>
                <w:lang w:val="en-GB" w:eastAsia="nl-NL"/>
              </w:rPr>
              <w:t xml:space="preserve">Those with low salivary BC showed significantly greater caries rates. </w:t>
            </w:r>
          </w:p>
        </w:tc>
      </w:tr>
      <w:tr w:rsidR="00D05AB4" w:rsidRPr="00CC2F10" w14:paraId="66C84327" w14:textId="77777777" w:rsidTr="00CC2F10">
        <w:trPr>
          <w:trHeight w:val="1560"/>
        </w:trPr>
        <w:tc>
          <w:tcPr>
            <w:cnfStyle w:val="001000000000" w:firstRow="0" w:lastRow="0" w:firstColumn="1" w:lastColumn="0" w:oddVBand="0" w:evenVBand="0" w:oddHBand="0" w:evenHBand="0" w:firstRowFirstColumn="0" w:firstRowLastColumn="0" w:lastRowFirstColumn="0" w:lastRowLastColumn="0"/>
            <w:tcW w:w="1560" w:type="dxa"/>
            <w:noWrap/>
            <w:hideMark/>
          </w:tcPr>
          <w:p w14:paraId="60527AEA"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Biria et al. 2010</w:t>
            </w:r>
          </w:p>
        </w:tc>
        <w:tc>
          <w:tcPr>
            <w:tcW w:w="1413" w:type="dxa"/>
            <w:noWrap/>
            <w:hideMark/>
          </w:tcPr>
          <w:p w14:paraId="574252BA"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Iran</w:t>
            </w:r>
          </w:p>
        </w:tc>
        <w:tc>
          <w:tcPr>
            <w:tcW w:w="837" w:type="dxa"/>
            <w:noWrap/>
            <w:hideMark/>
          </w:tcPr>
          <w:p w14:paraId="266C7CBE"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2AFA5054"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40</w:t>
            </w:r>
          </w:p>
        </w:tc>
        <w:tc>
          <w:tcPr>
            <w:tcW w:w="1577" w:type="dxa"/>
            <w:hideMark/>
          </w:tcPr>
          <w:p w14:paraId="5FE86F0B"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3-6 (31.92m±26.26)</w:t>
            </w:r>
          </w:p>
        </w:tc>
        <w:tc>
          <w:tcPr>
            <w:tcW w:w="1794" w:type="dxa"/>
            <w:hideMark/>
          </w:tcPr>
          <w:p w14:paraId="72F8F29A"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Investigate the relationship between ECC and the presence of salivary sCD14</w:t>
            </w:r>
          </w:p>
        </w:tc>
        <w:tc>
          <w:tcPr>
            <w:tcW w:w="1365" w:type="dxa"/>
            <w:hideMark/>
          </w:tcPr>
          <w:p w14:paraId="537FF694"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Suction</w:t>
            </w:r>
          </w:p>
        </w:tc>
        <w:tc>
          <w:tcPr>
            <w:tcW w:w="1179" w:type="dxa"/>
            <w:hideMark/>
          </w:tcPr>
          <w:p w14:paraId="6F2376B0"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Needle-less syringe</w:t>
            </w:r>
          </w:p>
        </w:tc>
        <w:tc>
          <w:tcPr>
            <w:tcW w:w="1178" w:type="dxa"/>
            <w:hideMark/>
          </w:tcPr>
          <w:p w14:paraId="3E8D1F7F"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307" w:type="dxa"/>
            <w:hideMark/>
          </w:tcPr>
          <w:p w14:paraId="46FE11CB"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1h fasting before sampling </w:t>
            </w:r>
          </w:p>
        </w:tc>
        <w:tc>
          <w:tcPr>
            <w:tcW w:w="3215" w:type="dxa"/>
            <w:gridSpan w:val="2"/>
            <w:hideMark/>
          </w:tcPr>
          <w:p w14:paraId="1BFD7D9A"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Compared to children with CF, children with ECC had a significantly higher mean sCD14 concentration.</w:t>
            </w:r>
            <w:r w:rsidRPr="00333A96">
              <w:rPr>
                <w:rFonts w:ascii="Times New Roman" w:eastAsia="Times New Roman" w:hAnsi="Times New Roman" w:cs="Times New Roman"/>
                <w:sz w:val="18"/>
                <w:szCs w:val="18"/>
                <w:lang w:val="en-GB" w:eastAsia="nl-NL"/>
              </w:rPr>
              <w:br/>
              <w:t>2) Three months into the intervention, the mean concentration of sCD14 among the treated children reduced significantly, indicating a decline in the innate immune response and inflammation associated with ECC.</w:t>
            </w:r>
          </w:p>
        </w:tc>
      </w:tr>
      <w:tr w:rsidR="00D05AB4" w:rsidRPr="00CC2F10" w14:paraId="1B02E8C4" w14:textId="77777777" w:rsidTr="00CC2F10">
        <w:trPr>
          <w:cnfStyle w:val="000000100000" w:firstRow="0" w:lastRow="0" w:firstColumn="0" w:lastColumn="0" w:oddVBand="0" w:evenVBand="0" w:oddHBand="1" w:evenHBand="0" w:firstRowFirstColumn="0" w:firstRowLastColumn="0" w:lastRowFirstColumn="0" w:lastRowLastColumn="0"/>
          <w:trHeight w:val="1560"/>
        </w:trPr>
        <w:tc>
          <w:tcPr>
            <w:cnfStyle w:val="001000000000" w:firstRow="0" w:lastRow="0" w:firstColumn="1" w:lastColumn="0" w:oddVBand="0" w:evenVBand="0" w:oddHBand="0" w:evenHBand="0" w:firstRowFirstColumn="0" w:firstRowLastColumn="0" w:lastRowFirstColumn="0" w:lastRowLastColumn="0"/>
            <w:tcW w:w="1560" w:type="dxa"/>
            <w:noWrap/>
            <w:hideMark/>
          </w:tcPr>
          <w:p w14:paraId="2BC51094"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Bizjak et al. 2022</w:t>
            </w:r>
          </w:p>
        </w:tc>
        <w:tc>
          <w:tcPr>
            <w:tcW w:w="1413" w:type="dxa"/>
            <w:noWrap/>
            <w:hideMark/>
          </w:tcPr>
          <w:p w14:paraId="4219B656"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Germany</w:t>
            </w:r>
          </w:p>
        </w:tc>
        <w:tc>
          <w:tcPr>
            <w:tcW w:w="837" w:type="dxa"/>
            <w:noWrap/>
            <w:hideMark/>
          </w:tcPr>
          <w:p w14:paraId="6F74E066"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71D19D1E"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38</w:t>
            </w:r>
          </w:p>
        </w:tc>
        <w:tc>
          <w:tcPr>
            <w:tcW w:w="1577" w:type="dxa"/>
            <w:hideMark/>
          </w:tcPr>
          <w:p w14:paraId="11856FAD"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5-15 (?)</w:t>
            </w:r>
          </w:p>
        </w:tc>
        <w:tc>
          <w:tcPr>
            <w:tcW w:w="1794" w:type="dxa"/>
            <w:hideMark/>
          </w:tcPr>
          <w:p w14:paraId="471A095A"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Examine potential epigenetic risk factors and pro-inflammatory markers in saliva of obese children in comparison to lean controls.</w:t>
            </w:r>
          </w:p>
        </w:tc>
        <w:tc>
          <w:tcPr>
            <w:tcW w:w="1365" w:type="dxa"/>
            <w:hideMark/>
          </w:tcPr>
          <w:p w14:paraId="4CE5A2CD"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Drooling</w:t>
            </w:r>
          </w:p>
        </w:tc>
        <w:tc>
          <w:tcPr>
            <w:tcW w:w="1179" w:type="dxa"/>
            <w:hideMark/>
          </w:tcPr>
          <w:p w14:paraId="20A37BE6"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saliva tubes</w:t>
            </w:r>
          </w:p>
        </w:tc>
        <w:tc>
          <w:tcPr>
            <w:tcW w:w="1178" w:type="dxa"/>
            <w:hideMark/>
          </w:tcPr>
          <w:p w14:paraId="3AD4EFD6"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307" w:type="dxa"/>
            <w:hideMark/>
          </w:tcPr>
          <w:p w14:paraId="1601B0F2" w14:textId="2AE19096" w:rsidR="00D05AB4" w:rsidRPr="00333A96" w:rsidRDefault="001E3817"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3215" w:type="dxa"/>
            <w:gridSpan w:val="2"/>
            <w:hideMark/>
          </w:tcPr>
          <w:p w14:paraId="59EE0356"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Overweight/obese children showed significantly higher concentrations of CRP in saliva compared to lean control children.</w:t>
            </w:r>
            <w:r w:rsidRPr="00333A96">
              <w:rPr>
                <w:rFonts w:ascii="Times New Roman" w:eastAsia="Times New Roman" w:hAnsi="Times New Roman" w:cs="Times New Roman"/>
                <w:sz w:val="18"/>
                <w:szCs w:val="18"/>
                <w:lang w:val="en-GB" w:eastAsia="nl-NL"/>
              </w:rPr>
              <w:br/>
              <w:t>2) DNA methylation analysis of cheek swab samples revealed significant differences in methylation patterns between overweight/obese and lean children.</w:t>
            </w:r>
          </w:p>
        </w:tc>
      </w:tr>
      <w:tr w:rsidR="00D05AB4" w:rsidRPr="00CC2F10" w14:paraId="2DEF75B5" w14:textId="77777777" w:rsidTr="00CC2F10">
        <w:trPr>
          <w:trHeight w:val="2184"/>
        </w:trPr>
        <w:tc>
          <w:tcPr>
            <w:cnfStyle w:val="001000000000" w:firstRow="0" w:lastRow="0" w:firstColumn="1" w:lastColumn="0" w:oddVBand="0" w:evenVBand="0" w:oddHBand="0" w:evenHBand="0" w:firstRowFirstColumn="0" w:firstRowLastColumn="0" w:lastRowFirstColumn="0" w:lastRowLastColumn="0"/>
            <w:tcW w:w="1560" w:type="dxa"/>
            <w:noWrap/>
            <w:hideMark/>
          </w:tcPr>
          <w:p w14:paraId="59A8579B"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Björnstad et al. 2007</w:t>
            </w:r>
          </w:p>
        </w:tc>
        <w:tc>
          <w:tcPr>
            <w:tcW w:w="1413" w:type="dxa"/>
            <w:noWrap/>
            <w:hideMark/>
          </w:tcPr>
          <w:p w14:paraId="2A35BC30"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Norway</w:t>
            </w:r>
          </w:p>
        </w:tc>
        <w:tc>
          <w:tcPr>
            <w:tcW w:w="837" w:type="dxa"/>
            <w:noWrap/>
            <w:hideMark/>
          </w:tcPr>
          <w:p w14:paraId="6A813FF9"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7B8018AF"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50</w:t>
            </w:r>
          </w:p>
        </w:tc>
        <w:tc>
          <w:tcPr>
            <w:tcW w:w="1577" w:type="dxa"/>
            <w:hideMark/>
          </w:tcPr>
          <w:p w14:paraId="7C3FDA9F"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9-14(?)</w:t>
            </w:r>
          </w:p>
        </w:tc>
        <w:tc>
          <w:tcPr>
            <w:tcW w:w="1794" w:type="dxa"/>
            <w:hideMark/>
          </w:tcPr>
          <w:p w14:paraId="38B2F914"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Compare schoolchildren's eating habits, stimulated salivary flow rate, and buffer effect to determine whether the recent change in eating habits has affected these salivary features</w:t>
            </w:r>
          </w:p>
        </w:tc>
        <w:tc>
          <w:tcPr>
            <w:tcW w:w="1365" w:type="dxa"/>
            <w:hideMark/>
          </w:tcPr>
          <w:p w14:paraId="450A3CB9"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Spitting</w:t>
            </w:r>
          </w:p>
        </w:tc>
        <w:tc>
          <w:tcPr>
            <w:tcW w:w="1179" w:type="dxa"/>
            <w:hideMark/>
          </w:tcPr>
          <w:p w14:paraId="34C8517C"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Disposable cup</w:t>
            </w:r>
          </w:p>
        </w:tc>
        <w:tc>
          <w:tcPr>
            <w:tcW w:w="1178" w:type="dxa"/>
            <w:hideMark/>
          </w:tcPr>
          <w:p w14:paraId="03EAD871"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SS</w:t>
            </w:r>
          </w:p>
        </w:tc>
        <w:tc>
          <w:tcPr>
            <w:tcW w:w="1307" w:type="dxa"/>
            <w:hideMark/>
          </w:tcPr>
          <w:p w14:paraId="637E2B15"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1h fasting before sampling </w:t>
            </w:r>
          </w:p>
        </w:tc>
        <w:tc>
          <w:tcPr>
            <w:tcW w:w="3215" w:type="dxa"/>
            <w:gridSpan w:val="2"/>
            <w:hideMark/>
          </w:tcPr>
          <w:p w14:paraId="7A47C221"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Salivary flow rate and buffer effect were significantly higher in Greenlandic children compared to Swedish children.</w:t>
            </w:r>
            <w:r w:rsidRPr="00333A96">
              <w:rPr>
                <w:rFonts w:ascii="Times New Roman" w:eastAsia="Times New Roman" w:hAnsi="Times New Roman" w:cs="Times New Roman"/>
                <w:sz w:val="18"/>
                <w:szCs w:val="18"/>
                <w:lang w:val="en-GB" w:eastAsia="nl-NL"/>
              </w:rPr>
              <w:br/>
              <w:t>2) There was no clear correlation between the consumption frequency of different food products and salivary flow rate or buffer effect.</w:t>
            </w:r>
            <w:r w:rsidRPr="00333A96">
              <w:rPr>
                <w:rFonts w:ascii="Times New Roman" w:eastAsia="Times New Roman" w:hAnsi="Times New Roman" w:cs="Times New Roman"/>
                <w:sz w:val="18"/>
                <w:szCs w:val="18"/>
                <w:lang w:val="en-GB" w:eastAsia="nl-NL"/>
              </w:rPr>
              <w:br/>
              <w:t>3) Differences in salivary parameters between Greenlandic and Swedish children highlight the importance of considering cultural and ethnic factors when comparing reference data between different populations.</w:t>
            </w:r>
          </w:p>
        </w:tc>
      </w:tr>
      <w:tr w:rsidR="00D05AB4" w:rsidRPr="00CC2F10" w14:paraId="35621494" w14:textId="77777777" w:rsidTr="00CC2F10">
        <w:trPr>
          <w:cnfStyle w:val="000000100000" w:firstRow="0" w:lastRow="0" w:firstColumn="0" w:lastColumn="0" w:oddVBand="0" w:evenVBand="0" w:oddHBand="1" w:evenHBand="0" w:firstRowFirstColumn="0" w:firstRowLastColumn="0" w:lastRowFirstColumn="0" w:lastRowLastColumn="0"/>
          <w:trHeight w:val="2549"/>
        </w:trPr>
        <w:tc>
          <w:tcPr>
            <w:cnfStyle w:val="001000000000" w:firstRow="0" w:lastRow="0" w:firstColumn="1" w:lastColumn="0" w:oddVBand="0" w:evenVBand="0" w:oddHBand="0" w:evenHBand="0" w:firstRowFirstColumn="0" w:firstRowLastColumn="0" w:lastRowFirstColumn="0" w:lastRowLastColumn="0"/>
            <w:tcW w:w="1560" w:type="dxa"/>
            <w:noWrap/>
            <w:hideMark/>
          </w:tcPr>
          <w:p w14:paraId="56837532"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lastRenderedPageBreak/>
              <w:t>Blazquez-Gamero et al. 2020</w:t>
            </w:r>
          </w:p>
        </w:tc>
        <w:tc>
          <w:tcPr>
            <w:tcW w:w="1413" w:type="dxa"/>
            <w:noWrap/>
            <w:hideMark/>
          </w:tcPr>
          <w:p w14:paraId="0C33F435"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Spain</w:t>
            </w:r>
          </w:p>
        </w:tc>
        <w:tc>
          <w:tcPr>
            <w:tcW w:w="837" w:type="dxa"/>
            <w:noWrap/>
            <w:hideMark/>
          </w:tcPr>
          <w:p w14:paraId="402C3E17"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7C56D1F7"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3190</w:t>
            </w:r>
          </w:p>
        </w:tc>
        <w:tc>
          <w:tcPr>
            <w:tcW w:w="1577" w:type="dxa"/>
            <w:hideMark/>
          </w:tcPr>
          <w:p w14:paraId="29C1FA3A"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0 (?)</w:t>
            </w:r>
          </w:p>
        </w:tc>
        <w:tc>
          <w:tcPr>
            <w:tcW w:w="1794" w:type="dxa"/>
            <w:hideMark/>
          </w:tcPr>
          <w:p w14:paraId="11A9428A"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To assess the incidence of congenital CMV infection and related clinical abnormalities </w:t>
            </w:r>
          </w:p>
        </w:tc>
        <w:tc>
          <w:tcPr>
            <w:tcW w:w="1365" w:type="dxa"/>
            <w:hideMark/>
          </w:tcPr>
          <w:p w14:paraId="256A55D7"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Absorption</w:t>
            </w:r>
          </w:p>
        </w:tc>
        <w:tc>
          <w:tcPr>
            <w:tcW w:w="1179" w:type="dxa"/>
            <w:hideMark/>
          </w:tcPr>
          <w:p w14:paraId="7B6BEB4C"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Swab</w:t>
            </w:r>
          </w:p>
        </w:tc>
        <w:tc>
          <w:tcPr>
            <w:tcW w:w="1178" w:type="dxa"/>
            <w:hideMark/>
          </w:tcPr>
          <w:p w14:paraId="762ECCC6"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307" w:type="dxa"/>
            <w:hideMark/>
          </w:tcPr>
          <w:p w14:paraId="7C72C608" w14:textId="103C61D4" w:rsidR="00D05AB4" w:rsidRPr="00333A96" w:rsidRDefault="001E3817"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3215" w:type="dxa"/>
            <w:gridSpan w:val="2"/>
            <w:hideMark/>
          </w:tcPr>
          <w:p w14:paraId="5A2415B8"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Among the newborns examined, cCMV was determined to be 0.47% prevalent.</w:t>
            </w:r>
            <w:r w:rsidRPr="00333A96">
              <w:rPr>
                <w:rFonts w:ascii="Times New Roman" w:eastAsia="Times New Roman" w:hAnsi="Times New Roman" w:cs="Times New Roman"/>
                <w:sz w:val="18"/>
                <w:szCs w:val="18"/>
                <w:lang w:val="en-GB" w:eastAsia="nl-NL"/>
              </w:rPr>
              <w:br/>
              <w:t>2) 0.75 percent of the children had CMV viral loads in their saliva that could be detected, and this screening technique had a 62.5% positive predictive value.</w:t>
            </w:r>
            <w:r w:rsidRPr="00333A96">
              <w:rPr>
                <w:rFonts w:ascii="Times New Roman" w:eastAsia="Times New Roman" w:hAnsi="Times New Roman" w:cs="Times New Roman"/>
                <w:sz w:val="18"/>
                <w:szCs w:val="18"/>
                <w:lang w:val="en-GB" w:eastAsia="nl-NL"/>
              </w:rPr>
              <w:br/>
              <w:t>3) Blood and saliva virus loads were greater in newborns with MRI abnormalities.</w:t>
            </w:r>
            <w:r w:rsidRPr="00333A96">
              <w:rPr>
                <w:rFonts w:ascii="Times New Roman" w:eastAsia="Times New Roman" w:hAnsi="Times New Roman" w:cs="Times New Roman"/>
                <w:sz w:val="18"/>
                <w:szCs w:val="18"/>
                <w:lang w:val="en-GB" w:eastAsia="nl-NL"/>
              </w:rPr>
              <w:br/>
              <w:t>4) Screening for cCMV through viral load in saliva was deemed a simple and highly accepted method, but confirmation through CMV detection in urine is necessary.</w:t>
            </w:r>
          </w:p>
        </w:tc>
      </w:tr>
      <w:tr w:rsidR="00D05AB4" w:rsidRPr="00CC2F10" w14:paraId="665704F6" w14:textId="77777777" w:rsidTr="00CC2F10">
        <w:trPr>
          <w:trHeight w:val="1560"/>
        </w:trPr>
        <w:tc>
          <w:tcPr>
            <w:cnfStyle w:val="001000000000" w:firstRow="0" w:lastRow="0" w:firstColumn="1" w:lastColumn="0" w:oddVBand="0" w:evenVBand="0" w:oddHBand="0" w:evenHBand="0" w:firstRowFirstColumn="0" w:firstRowLastColumn="0" w:lastRowFirstColumn="0" w:lastRowLastColumn="0"/>
            <w:tcW w:w="1560" w:type="dxa"/>
            <w:noWrap/>
            <w:hideMark/>
          </w:tcPr>
          <w:p w14:paraId="0EBC385A"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Bonamico et al. 2011</w:t>
            </w:r>
          </w:p>
        </w:tc>
        <w:tc>
          <w:tcPr>
            <w:tcW w:w="1413" w:type="dxa"/>
            <w:noWrap/>
            <w:hideMark/>
          </w:tcPr>
          <w:p w14:paraId="65CA8C37"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Italy</w:t>
            </w:r>
          </w:p>
        </w:tc>
        <w:tc>
          <w:tcPr>
            <w:tcW w:w="837" w:type="dxa"/>
            <w:noWrap/>
            <w:hideMark/>
          </w:tcPr>
          <w:p w14:paraId="26720AAD"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00104985"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4048</w:t>
            </w:r>
          </w:p>
        </w:tc>
        <w:tc>
          <w:tcPr>
            <w:tcW w:w="1577" w:type="dxa"/>
            <w:hideMark/>
          </w:tcPr>
          <w:p w14:paraId="0BE12F6A"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5-8 (?)</w:t>
            </w:r>
          </w:p>
        </w:tc>
        <w:tc>
          <w:tcPr>
            <w:tcW w:w="1794" w:type="dxa"/>
            <w:hideMark/>
          </w:tcPr>
          <w:p w14:paraId="58E49C8C"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Recognize CD children in order to perform a prompt diagnosis of the condition, initiate a gluten-free diet in compliant children, reach the growth target, and avoid consequences from CD</w:t>
            </w:r>
          </w:p>
        </w:tc>
        <w:tc>
          <w:tcPr>
            <w:tcW w:w="1365" w:type="dxa"/>
            <w:hideMark/>
          </w:tcPr>
          <w:p w14:paraId="55568057"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Spitting</w:t>
            </w:r>
          </w:p>
        </w:tc>
        <w:tc>
          <w:tcPr>
            <w:tcW w:w="1179" w:type="dxa"/>
            <w:hideMark/>
          </w:tcPr>
          <w:p w14:paraId="72867D4B"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Plastic tube</w:t>
            </w:r>
          </w:p>
        </w:tc>
        <w:tc>
          <w:tcPr>
            <w:tcW w:w="1178" w:type="dxa"/>
            <w:hideMark/>
          </w:tcPr>
          <w:p w14:paraId="2C819178"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307" w:type="dxa"/>
            <w:hideMark/>
          </w:tcPr>
          <w:p w14:paraId="01B67FBD"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3h fasting before sampling</w:t>
            </w:r>
          </w:p>
        </w:tc>
        <w:tc>
          <w:tcPr>
            <w:tcW w:w="3215" w:type="dxa"/>
            <w:gridSpan w:val="2"/>
            <w:hideMark/>
          </w:tcPr>
          <w:p w14:paraId="514F32A7"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The ratio of screening-detected patients to those diagnosed before screening was 3:2, and the ratio of symptomatic to asymptomatic patients was 1:1.6.</w:t>
            </w:r>
            <w:r w:rsidRPr="00333A96">
              <w:rPr>
                <w:rFonts w:ascii="Times New Roman" w:eastAsia="Times New Roman" w:hAnsi="Times New Roman" w:cs="Times New Roman"/>
                <w:sz w:val="18"/>
                <w:szCs w:val="18"/>
                <w:lang w:val="en-GB" w:eastAsia="nl-NL"/>
              </w:rPr>
              <w:br/>
              <w:t>2) Saliva-based CD testing is well-accepted and produces accurate findings.</w:t>
            </w:r>
          </w:p>
        </w:tc>
      </w:tr>
      <w:tr w:rsidR="00D05AB4" w:rsidRPr="00CC2F10" w14:paraId="73DE545D" w14:textId="77777777" w:rsidTr="00CC2F10">
        <w:trPr>
          <w:cnfStyle w:val="000000100000" w:firstRow="0" w:lastRow="0" w:firstColumn="0" w:lastColumn="0" w:oddVBand="0" w:evenVBand="0" w:oddHBand="1" w:evenHBand="0" w:firstRowFirstColumn="0" w:firstRowLastColumn="0" w:lastRowFirstColumn="0" w:lastRowLastColumn="0"/>
          <w:trHeight w:val="2184"/>
        </w:trPr>
        <w:tc>
          <w:tcPr>
            <w:cnfStyle w:val="001000000000" w:firstRow="0" w:lastRow="0" w:firstColumn="1" w:lastColumn="0" w:oddVBand="0" w:evenVBand="0" w:oddHBand="0" w:evenHBand="0" w:firstRowFirstColumn="0" w:firstRowLastColumn="0" w:lastRowFirstColumn="0" w:lastRowLastColumn="0"/>
            <w:tcW w:w="1560" w:type="dxa"/>
            <w:noWrap/>
            <w:hideMark/>
          </w:tcPr>
          <w:p w14:paraId="33664F79"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Borges et al. 2015</w:t>
            </w:r>
          </w:p>
        </w:tc>
        <w:tc>
          <w:tcPr>
            <w:tcW w:w="1413" w:type="dxa"/>
            <w:noWrap/>
            <w:hideMark/>
          </w:tcPr>
          <w:p w14:paraId="7703A354"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Brazil</w:t>
            </w:r>
          </w:p>
        </w:tc>
        <w:tc>
          <w:tcPr>
            <w:tcW w:w="837" w:type="dxa"/>
            <w:noWrap/>
            <w:hideMark/>
          </w:tcPr>
          <w:p w14:paraId="619DCD91"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7DE41DD9"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123</w:t>
            </w:r>
          </w:p>
        </w:tc>
        <w:tc>
          <w:tcPr>
            <w:tcW w:w="1577" w:type="dxa"/>
            <w:hideMark/>
          </w:tcPr>
          <w:p w14:paraId="3359F66F"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0 (?)</w:t>
            </w:r>
          </w:p>
        </w:tc>
        <w:tc>
          <w:tcPr>
            <w:tcW w:w="1794" w:type="dxa"/>
            <w:hideMark/>
          </w:tcPr>
          <w:p w14:paraId="1D4FC9AE"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Measure saliva levels of IgA and IgM and characterized the specificity of IgA against Ags of several streptococcal species found early in development</w:t>
            </w:r>
          </w:p>
        </w:tc>
        <w:tc>
          <w:tcPr>
            <w:tcW w:w="1365" w:type="dxa"/>
            <w:hideMark/>
          </w:tcPr>
          <w:p w14:paraId="18F8EB62"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Suction</w:t>
            </w:r>
          </w:p>
        </w:tc>
        <w:tc>
          <w:tcPr>
            <w:tcW w:w="1179" w:type="dxa"/>
            <w:hideMark/>
          </w:tcPr>
          <w:p w14:paraId="206AD9E8"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Pipettes</w:t>
            </w:r>
          </w:p>
        </w:tc>
        <w:tc>
          <w:tcPr>
            <w:tcW w:w="1178" w:type="dxa"/>
            <w:hideMark/>
          </w:tcPr>
          <w:p w14:paraId="3E3661D0"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307" w:type="dxa"/>
            <w:hideMark/>
          </w:tcPr>
          <w:p w14:paraId="47533BCF"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2h fasting before sampling</w:t>
            </w:r>
          </w:p>
        </w:tc>
        <w:tc>
          <w:tcPr>
            <w:tcW w:w="3215" w:type="dxa"/>
            <w:gridSpan w:val="2"/>
            <w:hideMark/>
          </w:tcPr>
          <w:p w14:paraId="5F2A4678"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No significant differences in salivary levels of IgA and IgM between FT and PT babies. At T3, mean salivary IgA values were similar between FT and PT groups, while salivary IgM levels were significantly higher in PT babies compared to FT babies.</w:t>
            </w:r>
            <w:r w:rsidRPr="00333A96">
              <w:rPr>
                <w:rFonts w:ascii="Times New Roman" w:eastAsia="Times New Roman" w:hAnsi="Times New Roman" w:cs="Times New Roman"/>
                <w:sz w:val="18"/>
                <w:szCs w:val="18"/>
                <w:lang w:val="en-GB" w:eastAsia="nl-NL"/>
              </w:rPr>
              <w:br/>
              <w:t>2) Analysis of the sIgA antibody response against Ags of different streptococcal species revealed an increase in complexity from birth to T3 in both PT and FT babies</w:t>
            </w:r>
          </w:p>
        </w:tc>
      </w:tr>
      <w:tr w:rsidR="00D05AB4" w:rsidRPr="00CC2F10" w14:paraId="149E1D83" w14:textId="77777777" w:rsidTr="00CC2F10">
        <w:trPr>
          <w:trHeight w:val="1872"/>
        </w:trPr>
        <w:tc>
          <w:tcPr>
            <w:cnfStyle w:val="001000000000" w:firstRow="0" w:lastRow="0" w:firstColumn="1" w:lastColumn="0" w:oddVBand="0" w:evenVBand="0" w:oddHBand="0" w:evenHBand="0" w:firstRowFirstColumn="0" w:firstRowLastColumn="0" w:lastRowFirstColumn="0" w:lastRowLastColumn="0"/>
            <w:tcW w:w="1560" w:type="dxa"/>
            <w:noWrap/>
            <w:hideMark/>
          </w:tcPr>
          <w:p w14:paraId="33576DC5"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lastRenderedPageBreak/>
              <w:t>Bottcher et al. 2002</w:t>
            </w:r>
          </w:p>
        </w:tc>
        <w:tc>
          <w:tcPr>
            <w:tcW w:w="1413" w:type="dxa"/>
            <w:noWrap/>
            <w:hideMark/>
          </w:tcPr>
          <w:p w14:paraId="3C1AED51"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Sweden</w:t>
            </w:r>
          </w:p>
        </w:tc>
        <w:tc>
          <w:tcPr>
            <w:tcW w:w="837" w:type="dxa"/>
            <w:noWrap/>
            <w:hideMark/>
          </w:tcPr>
          <w:p w14:paraId="700F1297"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0D4926B7"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80</w:t>
            </w:r>
          </w:p>
        </w:tc>
        <w:tc>
          <w:tcPr>
            <w:tcW w:w="1577" w:type="dxa"/>
            <w:hideMark/>
          </w:tcPr>
          <w:p w14:paraId="4A5EF7B2"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0-2 (?)</w:t>
            </w:r>
          </w:p>
        </w:tc>
        <w:tc>
          <w:tcPr>
            <w:tcW w:w="1794" w:type="dxa"/>
            <w:hideMark/>
          </w:tcPr>
          <w:p w14:paraId="385150DD"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Determine if the development of allergy in infants is correlated with salivary levels of total IgA, SIgA, and allergen-specific IgA antibodies</w:t>
            </w:r>
          </w:p>
        </w:tc>
        <w:tc>
          <w:tcPr>
            <w:tcW w:w="1365" w:type="dxa"/>
            <w:hideMark/>
          </w:tcPr>
          <w:p w14:paraId="22980907"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Suction</w:t>
            </w:r>
          </w:p>
        </w:tc>
        <w:tc>
          <w:tcPr>
            <w:tcW w:w="1179" w:type="dxa"/>
            <w:hideMark/>
          </w:tcPr>
          <w:p w14:paraId="3D9F03BF"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Hand-pump connected to plastic tube</w:t>
            </w:r>
          </w:p>
        </w:tc>
        <w:tc>
          <w:tcPr>
            <w:tcW w:w="1178" w:type="dxa"/>
            <w:hideMark/>
          </w:tcPr>
          <w:p w14:paraId="185F84B1"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307" w:type="dxa"/>
            <w:hideMark/>
          </w:tcPr>
          <w:p w14:paraId="237226A9" w14:textId="6703FA7B" w:rsidR="00D05AB4" w:rsidRPr="00333A96" w:rsidRDefault="001E3817"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3215" w:type="dxa"/>
            <w:gridSpan w:val="2"/>
            <w:hideMark/>
          </w:tcPr>
          <w:p w14:paraId="6D41E940"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Aging was associated with higher levels of both total and specific IgA antibodies against allergens.</w:t>
            </w:r>
            <w:r w:rsidRPr="00333A96">
              <w:rPr>
                <w:rFonts w:ascii="Times New Roman" w:eastAsia="Times New Roman" w:hAnsi="Times New Roman" w:cs="Times New Roman"/>
                <w:sz w:val="18"/>
                <w:szCs w:val="18"/>
                <w:lang w:val="en-GB" w:eastAsia="nl-NL"/>
              </w:rPr>
              <w:br/>
              <w:t>2) Allergic infants showed greater levels of both total and allergen-specific IgA.</w:t>
            </w:r>
            <w:r w:rsidRPr="00333A96">
              <w:rPr>
                <w:rFonts w:ascii="Times New Roman" w:eastAsia="Times New Roman" w:hAnsi="Times New Roman" w:cs="Times New Roman"/>
                <w:sz w:val="18"/>
                <w:szCs w:val="18"/>
                <w:lang w:val="en-GB" w:eastAsia="nl-NL"/>
              </w:rPr>
              <w:br/>
              <w:t>3) SIgA levels were greater in non-allergic children, and infants with high SIgA levels were less likely to experience allergy symptoms.</w:t>
            </w:r>
          </w:p>
        </w:tc>
      </w:tr>
      <w:tr w:rsidR="00D05AB4" w:rsidRPr="00CC2F10" w14:paraId="3683CBD2" w14:textId="77777777" w:rsidTr="00CC2F10">
        <w:trPr>
          <w:cnfStyle w:val="000000100000" w:firstRow="0" w:lastRow="0" w:firstColumn="0" w:lastColumn="0" w:oddVBand="0" w:evenVBand="0" w:oddHBand="1" w:evenHBand="0" w:firstRowFirstColumn="0" w:firstRowLastColumn="0" w:lastRowFirstColumn="0" w:lastRowLastColumn="0"/>
          <w:trHeight w:val="2496"/>
        </w:trPr>
        <w:tc>
          <w:tcPr>
            <w:cnfStyle w:val="001000000000" w:firstRow="0" w:lastRow="0" w:firstColumn="1" w:lastColumn="0" w:oddVBand="0" w:evenVBand="0" w:oddHBand="0" w:evenHBand="0" w:firstRowFirstColumn="0" w:firstRowLastColumn="0" w:lastRowFirstColumn="0" w:lastRowLastColumn="0"/>
            <w:tcW w:w="1560" w:type="dxa"/>
            <w:noWrap/>
            <w:hideMark/>
          </w:tcPr>
          <w:p w14:paraId="10DED561"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Boustedt et al. 2015</w:t>
            </w:r>
          </w:p>
        </w:tc>
        <w:tc>
          <w:tcPr>
            <w:tcW w:w="1413" w:type="dxa"/>
            <w:noWrap/>
            <w:hideMark/>
          </w:tcPr>
          <w:p w14:paraId="4FAC92D9"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Sweden</w:t>
            </w:r>
          </w:p>
        </w:tc>
        <w:tc>
          <w:tcPr>
            <w:tcW w:w="837" w:type="dxa"/>
            <w:noWrap/>
            <w:hideMark/>
          </w:tcPr>
          <w:p w14:paraId="2A8A79E8"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CC</w:t>
            </w:r>
          </w:p>
        </w:tc>
        <w:tc>
          <w:tcPr>
            <w:tcW w:w="878" w:type="dxa"/>
            <w:noWrap/>
            <w:hideMark/>
          </w:tcPr>
          <w:p w14:paraId="1D73826A"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149</w:t>
            </w:r>
          </w:p>
        </w:tc>
        <w:tc>
          <w:tcPr>
            <w:tcW w:w="1577" w:type="dxa"/>
            <w:hideMark/>
          </w:tcPr>
          <w:p w14:paraId="735EDAC5"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0 (?)</w:t>
            </w:r>
          </w:p>
        </w:tc>
        <w:tc>
          <w:tcPr>
            <w:tcW w:w="1794" w:type="dxa"/>
            <w:hideMark/>
          </w:tcPr>
          <w:p w14:paraId="18FBB599"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Examine saliva samples from infants born through C-section over the first six months of their lives in order to look for specific important bacteria</w:t>
            </w:r>
          </w:p>
        </w:tc>
        <w:tc>
          <w:tcPr>
            <w:tcW w:w="1365" w:type="dxa"/>
            <w:hideMark/>
          </w:tcPr>
          <w:p w14:paraId="0B727624"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Absorption</w:t>
            </w:r>
          </w:p>
        </w:tc>
        <w:tc>
          <w:tcPr>
            <w:tcW w:w="1179" w:type="dxa"/>
            <w:hideMark/>
          </w:tcPr>
          <w:p w14:paraId="412B0876"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Cotton bud</w:t>
            </w:r>
          </w:p>
        </w:tc>
        <w:tc>
          <w:tcPr>
            <w:tcW w:w="1178" w:type="dxa"/>
            <w:hideMark/>
          </w:tcPr>
          <w:p w14:paraId="2AF0785A"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307" w:type="dxa"/>
            <w:hideMark/>
          </w:tcPr>
          <w:p w14:paraId="6645D43C" w14:textId="5A73B821" w:rsidR="00D05AB4" w:rsidRPr="00333A96" w:rsidRDefault="001E3817"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3215" w:type="dxa"/>
            <w:gridSpan w:val="2"/>
            <w:hideMark/>
          </w:tcPr>
          <w:p w14:paraId="1FEBDCD6"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Both groups' predominant bacteria were gram-positive streptococci, but the vaginally delivered group had a higher microbial diversity.</w:t>
            </w:r>
            <w:r w:rsidRPr="00333A96">
              <w:rPr>
                <w:rFonts w:ascii="Times New Roman" w:eastAsia="Times New Roman" w:hAnsi="Times New Roman" w:cs="Times New Roman"/>
                <w:sz w:val="18"/>
                <w:szCs w:val="18"/>
                <w:lang w:val="en-GB" w:eastAsia="nl-NL"/>
              </w:rPr>
              <w:br/>
              <w:t>2) Vaginally delivered babies were the only ones where specific bacteria were found.</w:t>
            </w:r>
            <w:r w:rsidRPr="00333A96">
              <w:rPr>
                <w:rFonts w:ascii="Times New Roman" w:eastAsia="Times New Roman" w:hAnsi="Times New Roman" w:cs="Times New Roman"/>
                <w:sz w:val="18"/>
                <w:szCs w:val="18"/>
                <w:lang w:val="en-GB" w:eastAsia="nl-NL"/>
              </w:rPr>
              <w:br/>
              <w:t xml:space="preserve">3) In both groups, the prevalence of certain bacteria increased with age, although it was significantly lower in the C-section group. Additionally, there was a connection between mothers' salivary microbial profiles and those of their children. </w:t>
            </w:r>
          </w:p>
        </w:tc>
      </w:tr>
      <w:tr w:rsidR="00D05AB4" w:rsidRPr="00CC2F10" w14:paraId="772DDBC1" w14:textId="77777777" w:rsidTr="00CC2F10">
        <w:trPr>
          <w:trHeight w:val="1248"/>
        </w:trPr>
        <w:tc>
          <w:tcPr>
            <w:cnfStyle w:val="001000000000" w:firstRow="0" w:lastRow="0" w:firstColumn="1" w:lastColumn="0" w:oddVBand="0" w:evenVBand="0" w:oddHBand="0" w:evenHBand="0" w:firstRowFirstColumn="0" w:firstRowLastColumn="0" w:lastRowFirstColumn="0" w:lastRowLastColumn="0"/>
            <w:tcW w:w="1560" w:type="dxa"/>
            <w:noWrap/>
            <w:hideMark/>
          </w:tcPr>
          <w:p w14:paraId="792EF51A"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Brennan et al. 2008</w:t>
            </w:r>
          </w:p>
        </w:tc>
        <w:tc>
          <w:tcPr>
            <w:tcW w:w="1413" w:type="dxa"/>
            <w:noWrap/>
            <w:hideMark/>
          </w:tcPr>
          <w:p w14:paraId="197DE108"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United States</w:t>
            </w:r>
          </w:p>
        </w:tc>
        <w:tc>
          <w:tcPr>
            <w:tcW w:w="837" w:type="dxa"/>
            <w:noWrap/>
            <w:hideMark/>
          </w:tcPr>
          <w:p w14:paraId="0D2EA9AE"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52302D69"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171</w:t>
            </w:r>
          </w:p>
        </w:tc>
        <w:tc>
          <w:tcPr>
            <w:tcW w:w="1577" w:type="dxa"/>
            <w:hideMark/>
          </w:tcPr>
          <w:p w14:paraId="1D4AEDA3"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0 (180d±17)</w:t>
            </w:r>
          </w:p>
        </w:tc>
        <w:tc>
          <w:tcPr>
            <w:tcW w:w="1794" w:type="dxa"/>
            <w:hideMark/>
          </w:tcPr>
          <w:p w14:paraId="5E8B4D8C"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Investigate the influence of maternal depression on infant HPA axis activity while looking at a variety of potential confounding factors</w:t>
            </w:r>
          </w:p>
        </w:tc>
        <w:tc>
          <w:tcPr>
            <w:tcW w:w="1365" w:type="dxa"/>
            <w:hideMark/>
          </w:tcPr>
          <w:p w14:paraId="212ACAB4"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Absorption</w:t>
            </w:r>
          </w:p>
        </w:tc>
        <w:tc>
          <w:tcPr>
            <w:tcW w:w="1179" w:type="dxa"/>
            <w:hideMark/>
          </w:tcPr>
          <w:p w14:paraId="01AF22E0"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Cotton rolls</w:t>
            </w:r>
          </w:p>
        </w:tc>
        <w:tc>
          <w:tcPr>
            <w:tcW w:w="1178" w:type="dxa"/>
            <w:hideMark/>
          </w:tcPr>
          <w:p w14:paraId="36D9A9CB"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307" w:type="dxa"/>
            <w:hideMark/>
          </w:tcPr>
          <w:p w14:paraId="57538FFD" w14:textId="51A937E0" w:rsidR="00D05AB4" w:rsidRPr="00333A96" w:rsidRDefault="001E3817"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3215" w:type="dxa"/>
            <w:gridSpan w:val="2"/>
            <w:hideMark/>
          </w:tcPr>
          <w:p w14:paraId="3BC7B314"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Maternal depression, both lifetime history and peripartum, was associated with increased baseline and average infant cortisol levels</w:t>
            </w:r>
            <w:r w:rsidRPr="00333A96">
              <w:rPr>
                <w:rFonts w:ascii="Times New Roman" w:eastAsia="Times New Roman" w:hAnsi="Times New Roman" w:cs="Times New Roman"/>
                <w:sz w:val="18"/>
                <w:szCs w:val="18"/>
                <w:lang w:val="en-GB" w:eastAsia="nl-NL"/>
              </w:rPr>
              <w:br/>
              <w:t>2) The presence of comorbid anxiety disorder in mothers was related to higher infant cortisol reactivity.</w:t>
            </w:r>
          </w:p>
        </w:tc>
      </w:tr>
      <w:tr w:rsidR="00D05AB4" w:rsidRPr="00CC2F10" w14:paraId="021AD2FD" w14:textId="77777777" w:rsidTr="00CC2F10">
        <w:trPr>
          <w:cnfStyle w:val="000000100000" w:firstRow="0" w:lastRow="0" w:firstColumn="0" w:lastColumn="0" w:oddVBand="0" w:evenVBand="0" w:oddHBand="1" w:evenHBand="0" w:firstRowFirstColumn="0" w:firstRowLastColumn="0" w:lastRowFirstColumn="0" w:lastRowLastColumn="0"/>
          <w:trHeight w:val="1560"/>
        </w:trPr>
        <w:tc>
          <w:tcPr>
            <w:cnfStyle w:val="001000000000" w:firstRow="0" w:lastRow="0" w:firstColumn="1" w:lastColumn="0" w:oddVBand="0" w:evenVBand="0" w:oddHBand="0" w:evenHBand="0" w:firstRowFirstColumn="0" w:firstRowLastColumn="0" w:lastRowFirstColumn="0" w:lastRowLastColumn="0"/>
            <w:tcW w:w="1560" w:type="dxa"/>
            <w:noWrap/>
            <w:hideMark/>
          </w:tcPr>
          <w:p w14:paraId="355484FB"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Brossaud et al. 2021</w:t>
            </w:r>
          </w:p>
        </w:tc>
        <w:tc>
          <w:tcPr>
            <w:tcW w:w="1413" w:type="dxa"/>
            <w:noWrap/>
            <w:hideMark/>
          </w:tcPr>
          <w:p w14:paraId="067E736B"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France</w:t>
            </w:r>
          </w:p>
        </w:tc>
        <w:tc>
          <w:tcPr>
            <w:tcW w:w="837" w:type="dxa"/>
            <w:noWrap/>
            <w:hideMark/>
          </w:tcPr>
          <w:p w14:paraId="3C1E885E"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7A625656"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75</w:t>
            </w:r>
          </w:p>
        </w:tc>
        <w:tc>
          <w:tcPr>
            <w:tcW w:w="1577" w:type="dxa"/>
            <w:hideMark/>
          </w:tcPr>
          <w:p w14:paraId="2997196E"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6-12 (?)</w:t>
            </w:r>
          </w:p>
        </w:tc>
        <w:tc>
          <w:tcPr>
            <w:tcW w:w="1794" w:type="dxa"/>
            <w:hideMark/>
          </w:tcPr>
          <w:p w14:paraId="24B751ED"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Measure cortisol metabolism in prepubertal children with T1DM.</w:t>
            </w:r>
          </w:p>
        </w:tc>
        <w:tc>
          <w:tcPr>
            <w:tcW w:w="1365" w:type="dxa"/>
            <w:hideMark/>
          </w:tcPr>
          <w:p w14:paraId="27CEB715"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Absorption</w:t>
            </w:r>
          </w:p>
        </w:tc>
        <w:tc>
          <w:tcPr>
            <w:tcW w:w="1179" w:type="dxa"/>
            <w:hideMark/>
          </w:tcPr>
          <w:p w14:paraId="40526D22"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Salivette cotton swab</w:t>
            </w:r>
          </w:p>
        </w:tc>
        <w:tc>
          <w:tcPr>
            <w:tcW w:w="1178" w:type="dxa"/>
            <w:hideMark/>
          </w:tcPr>
          <w:p w14:paraId="35317649"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307" w:type="dxa"/>
            <w:hideMark/>
          </w:tcPr>
          <w:p w14:paraId="4593AC8E" w14:textId="2A3BEB12" w:rsidR="00D05AB4" w:rsidRPr="00333A96" w:rsidRDefault="001E3817"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3215" w:type="dxa"/>
            <w:gridSpan w:val="2"/>
            <w:hideMark/>
          </w:tcPr>
          <w:p w14:paraId="4D4F9BDA"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Prepubertal children with T1DM exhibited significant lower levels of urine glucocorticoid metabolites, indicating altered nocturnal cortisol metabolism.</w:t>
            </w:r>
            <w:r w:rsidRPr="00333A96">
              <w:rPr>
                <w:rFonts w:ascii="Times New Roman" w:eastAsia="Times New Roman" w:hAnsi="Times New Roman" w:cs="Times New Roman"/>
                <w:sz w:val="18"/>
                <w:szCs w:val="18"/>
                <w:lang w:val="en-GB" w:eastAsia="nl-NL"/>
              </w:rPr>
              <w:br/>
              <w:t>2) sE levels varied significantly between awakening and 30 minutes later, suggesting that children with T1DM had altered morning HPA axis activity.</w:t>
            </w:r>
          </w:p>
        </w:tc>
      </w:tr>
      <w:tr w:rsidR="00D05AB4" w:rsidRPr="00CC2F10" w14:paraId="0A005804" w14:textId="77777777" w:rsidTr="00CC2F10">
        <w:trPr>
          <w:trHeight w:val="2184"/>
        </w:trPr>
        <w:tc>
          <w:tcPr>
            <w:cnfStyle w:val="001000000000" w:firstRow="0" w:lastRow="0" w:firstColumn="1" w:lastColumn="0" w:oddVBand="0" w:evenVBand="0" w:oddHBand="0" w:evenHBand="0" w:firstRowFirstColumn="0" w:firstRowLastColumn="0" w:lastRowFirstColumn="0" w:lastRowLastColumn="0"/>
            <w:tcW w:w="1560" w:type="dxa"/>
            <w:noWrap/>
            <w:hideMark/>
          </w:tcPr>
          <w:p w14:paraId="5A1CF0C0"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lastRenderedPageBreak/>
              <w:t>Cao et al. 2009</w:t>
            </w:r>
          </w:p>
        </w:tc>
        <w:tc>
          <w:tcPr>
            <w:tcW w:w="1413" w:type="dxa"/>
            <w:noWrap/>
            <w:hideMark/>
          </w:tcPr>
          <w:p w14:paraId="234CE27A"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United States</w:t>
            </w:r>
          </w:p>
        </w:tc>
        <w:tc>
          <w:tcPr>
            <w:tcW w:w="837" w:type="dxa"/>
            <w:noWrap/>
            <w:hideMark/>
          </w:tcPr>
          <w:p w14:paraId="57991BF0"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27D1BA2E"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166</w:t>
            </w:r>
          </w:p>
        </w:tc>
        <w:tc>
          <w:tcPr>
            <w:tcW w:w="1577" w:type="dxa"/>
            <w:hideMark/>
          </w:tcPr>
          <w:p w14:paraId="33E03115"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0-1 (?)</w:t>
            </w:r>
          </w:p>
        </w:tc>
        <w:tc>
          <w:tcPr>
            <w:tcW w:w="1794" w:type="dxa"/>
            <w:hideMark/>
          </w:tcPr>
          <w:p w14:paraId="3AC7B936"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Demonstrate the effectiveness of sample collecting techniques, to confirm the significant difference in isoflavone excretion between newborns fed soy and any other diet, and to evaluate the relationship between the isoflavone concentrations in the three biological metrics.</w:t>
            </w:r>
          </w:p>
        </w:tc>
        <w:tc>
          <w:tcPr>
            <w:tcW w:w="1365" w:type="dxa"/>
            <w:hideMark/>
          </w:tcPr>
          <w:p w14:paraId="1B192A81"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Suction</w:t>
            </w:r>
          </w:p>
        </w:tc>
        <w:tc>
          <w:tcPr>
            <w:tcW w:w="1179" w:type="dxa"/>
            <w:hideMark/>
          </w:tcPr>
          <w:p w14:paraId="2F806132"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Vacuum collection device</w:t>
            </w:r>
          </w:p>
        </w:tc>
        <w:tc>
          <w:tcPr>
            <w:tcW w:w="1178" w:type="dxa"/>
            <w:hideMark/>
          </w:tcPr>
          <w:p w14:paraId="6B1D75D5"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307" w:type="dxa"/>
            <w:hideMark/>
          </w:tcPr>
          <w:p w14:paraId="643E4ED5"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1h fasting before sampling </w:t>
            </w:r>
          </w:p>
        </w:tc>
        <w:tc>
          <w:tcPr>
            <w:tcW w:w="3215" w:type="dxa"/>
            <w:gridSpan w:val="2"/>
            <w:hideMark/>
          </w:tcPr>
          <w:p w14:paraId="4563354B" w14:textId="321DED1C"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Infants who were breastfed or given cow milk formula had nearly undetectable amounts of daidzein and genistein in their blood and saliva.</w:t>
            </w:r>
            <w:r w:rsidRPr="00333A96">
              <w:rPr>
                <w:rFonts w:ascii="Times New Roman" w:eastAsia="Times New Roman" w:hAnsi="Times New Roman" w:cs="Times New Roman"/>
                <w:sz w:val="18"/>
                <w:szCs w:val="18"/>
                <w:lang w:val="en-GB" w:eastAsia="nl-NL"/>
              </w:rPr>
              <w:br/>
              <w:t>2) No significant correlations were found between isoflavone concentrations and hormone levels in children fed soy formula.</w:t>
            </w:r>
          </w:p>
        </w:tc>
      </w:tr>
      <w:tr w:rsidR="00D05AB4" w:rsidRPr="00CC2F10" w14:paraId="02F10341" w14:textId="77777777" w:rsidTr="00CC2F10">
        <w:trPr>
          <w:cnfStyle w:val="000000100000" w:firstRow="0" w:lastRow="0" w:firstColumn="0" w:lastColumn="0" w:oddVBand="0" w:evenVBand="0" w:oddHBand="1" w:evenHBand="0" w:firstRowFirstColumn="0" w:firstRowLastColumn="0" w:lastRowFirstColumn="0" w:lastRowLastColumn="0"/>
          <w:trHeight w:val="1560"/>
        </w:trPr>
        <w:tc>
          <w:tcPr>
            <w:cnfStyle w:val="001000000000" w:firstRow="0" w:lastRow="0" w:firstColumn="1" w:lastColumn="0" w:oddVBand="0" w:evenVBand="0" w:oddHBand="0" w:evenHBand="0" w:firstRowFirstColumn="0" w:firstRowLastColumn="0" w:lastRowFirstColumn="0" w:lastRowLastColumn="0"/>
            <w:tcW w:w="1560" w:type="dxa"/>
            <w:noWrap/>
            <w:hideMark/>
          </w:tcPr>
          <w:p w14:paraId="4A3D35CB"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Carlsson et al. 2020</w:t>
            </w:r>
          </w:p>
        </w:tc>
        <w:tc>
          <w:tcPr>
            <w:tcW w:w="1413" w:type="dxa"/>
            <w:noWrap/>
            <w:hideMark/>
          </w:tcPr>
          <w:p w14:paraId="29458A42"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Sweden</w:t>
            </w:r>
          </w:p>
        </w:tc>
        <w:tc>
          <w:tcPr>
            <w:tcW w:w="837" w:type="dxa"/>
            <w:noWrap/>
            <w:hideMark/>
          </w:tcPr>
          <w:p w14:paraId="6BD5D3D3"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052C3B4B"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45</w:t>
            </w:r>
          </w:p>
        </w:tc>
        <w:tc>
          <w:tcPr>
            <w:tcW w:w="1577" w:type="dxa"/>
            <w:hideMark/>
          </w:tcPr>
          <w:p w14:paraId="0CEB669E"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6-16 (?)</w:t>
            </w:r>
          </w:p>
        </w:tc>
        <w:tc>
          <w:tcPr>
            <w:tcW w:w="1794" w:type="dxa"/>
            <w:hideMark/>
          </w:tcPr>
          <w:p w14:paraId="3DCC81FB"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Develop a collecting method for unstimulated parotid saliva in JIA patients and healthy children and investigate if inflammatory biomarkers could be detected in these samples</w:t>
            </w:r>
          </w:p>
        </w:tc>
        <w:tc>
          <w:tcPr>
            <w:tcW w:w="1365" w:type="dxa"/>
            <w:hideMark/>
          </w:tcPr>
          <w:p w14:paraId="69A35811"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Drooling</w:t>
            </w:r>
          </w:p>
        </w:tc>
        <w:tc>
          <w:tcPr>
            <w:tcW w:w="1179" w:type="dxa"/>
            <w:hideMark/>
          </w:tcPr>
          <w:p w14:paraId="3A7674DE"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Carlson-Crittenden collector</w:t>
            </w:r>
          </w:p>
        </w:tc>
        <w:tc>
          <w:tcPr>
            <w:tcW w:w="1178" w:type="dxa"/>
            <w:hideMark/>
          </w:tcPr>
          <w:p w14:paraId="6D6E49AE"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UPS</w:t>
            </w:r>
          </w:p>
        </w:tc>
        <w:tc>
          <w:tcPr>
            <w:tcW w:w="1307" w:type="dxa"/>
            <w:hideMark/>
          </w:tcPr>
          <w:p w14:paraId="3B0D7AAB" w14:textId="6C43325C" w:rsidR="00D05AB4" w:rsidRPr="00333A96" w:rsidRDefault="001E3817"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3215" w:type="dxa"/>
            <w:gridSpan w:val="2"/>
            <w:hideMark/>
          </w:tcPr>
          <w:p w14:paraId="0F27BFAD"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Compared to controls, saliva sample volume and flow rate were significantly lower in JIA patients.</w:t>
            </w:r>
            <w:r w:rsidRPr="00333A96">
              <w:rPr>
                <w:rFonts w:ascii="Times New Roman" w:eastAsia="Times New Roman" w:hAnsi="Times New Roman" w:cs="Times New Roman"/>
                <w:sz w:val="18"/>
                <w:szCs w:val="18"/>
                <w:lang w:val="en-GB" w:eastAsia="nl-NL"/>
              </w:rPr>
              <w:br/>
              <w:t>2) The saliva sampling technique can capture sufficient amounts from children, and the saliva may be used to test for a variety of inflammatory biomarkers.</w:t>
            </w:r>
          </w:p>
        </w:tc>
      </w:tr>
      <w:tr w:rsidR="00D05AB4" w:rsidRPr="00CC2F10" w14:paraId="0CF01C04" w14:textId="77777777" w:rsidTr="00CC2F10">
        <w:trPr>
          <w:trHeight w:val="891"/>
        </w:trPr>
        <w:tc>
          <w:tcPr>
            <w:cnfStyle w:val="001000000000" w:firstRow="0" w:lastRow="0" w:firstColumn="1" w:lastColumn="0" w:oddVBand="0" w:evenVBand="0" w:oddHBand="0" w:evenHBand="0" w:firstRowFirstColumn="0" w:firstRowLastColumn="0" w:lastRowFirstColumn="0" w:lastRowLastColumn="0"/>
            <w:tcW w:w="1560" w:type="dxa"/>
            <w:noWrap/>
            <w:hideMark/>
          </w:tcPr>
          <w:p w14:paraId="731678F3"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Carvalho et al. 2003</w:t>
            </w:r>
          </w:p>
        </w:tc>
        <w:tc>
          <w:tcPr>
            <w:tcW w:w="1413" w:type="dxa"/>
            <w:noWrap/>
            <w:hideMark/>
          </w:tcPr>
          <w:p w14:paraId="402B0627"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Brazil</w:t>
            </w:r>
          </w:p>
        </w:tc>
        <w:tc>
          <w:tcPr>
            <w:tcW w:w="837" w:type="dxa"/>
            <w:noWrap/>
            <w:hideMark/>
          </w:tcPr>
          <w:p w14:paraId="4D97EB19"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5822EB42"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16</w:t>
            </w:r>
          </w:p>
        </w:tc>
        <w:tc>
          <w:tcPr>
            <w:tcW w:w="1577" w:type="dxa"/>
            <w:hideMark/>
          </w:tcPr>
          <w:p w14:paraId="4EA82043"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5-7 (?)</w:t>
            </w:r>
          </w:p>
        </w:tc>
        <w:tc>
          <w:tcPr>
            <w:tcW w:w="1794" w:type="dxa"/>
            <w:hideMark/>
          </w:tcPr>
          <w:p w14:paraId="22EA89A7"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Assess MS in the saliva after applying the ART method</w:t>
            </w:r>
          </w:p>
        </w:tc>
        <w:tc>
          <w:tcPr>
            <w:tcW w:w="1365" w:type="dxa"/>
            <w:hideMark/>
          </w:tcPr>
          <w:p w14:paraId="1AAF80F2"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Drooling</w:t>
            </w:r>
          </w:p>
        </w:tc>
        <w:tc>
          <w:tcPr>
            <w:tcW w:w="1179" w:type="dxa"/>
            <w:hideMark/>
          </w:tcPr>
          <w:p w14:paraId="59F27D02"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Test tube</w:t>
            </w:r>
          </w:p>
        </w:tc>
        <w:tc>
          <w:tcPr>
            <w:tcW w:w="1178" w:type="dxa"/>
            <w:hideMark/>
          </w:tcPr>
          <w:p w14:paraId="46B29F4D"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SS</w:t>
            </w:r>
          </w:p>
        </w:tc>
        <w:tc>
          <w:tcPr>
            <w:tcW w:w="1307" w:type="dxa"/>
            <w:hideMark/>
          </w:tcPr>
          <w:p w14:paraId="4D962430" w14:textId="29660E1D" w:rsidR="00D05AB4" w:rsidRPr="00333A96" w:rsidRDefault="001E3817"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3215" w:type="dxa"/>
            <w:gridSpan w:val="2"/>
            <w:hideMark/>
          </w:tcPr>
          <w:p w14:paraId="13F72FC4"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 significant decrease in MS levels in saliva after comparing the outcomes prior to therapy with those attained one week, four weeks, and one year following ART.</w:t>
            </w:r>
          </w:p>
        </w:tc>
      </w:tr>
      <w:tr w:rsidR="00D05AB4" w:rsidRPr="00CC2F10" w14:paraId="39E5ADC6" w14:textId="77777777" w:rsidTr="00CC2F10">
        <w:trPr>
          <w:cnfStyle w:val="000000100000" w:firstRow="0" w:lastRow="0" w:firstColumn="0" w:lastColumn="0" w:oddVBand="0" w:evenVBand="0" w:oddHBand="1" w:evenHBand="0" w:firstRowFirstColumn="0" w:firstRowLastColumn="0" w:lastRowFirstColumn="0" w:lastRowLastColumn="0"/>
          <w:trHeight w:val="936"/>
        </w:trPr>
        <w:tc>
          <w:tcPr>
            <w:cnfStyle w:val="001000000000" w:firstRow="0" w:lastRow="0" w:firstColumn="1" w:lastColumn="0" w:oddVBand="0" w:evenVBand="0" w:oddHBand="0" w:evenHBand="0" w:firstRowFirstColumn="0" w:firstRowLastColumn="0" w:lastRowFirstColumn="0" w:lastRowLastColumn="0"/>
            <w:tcW w:w="1560" w:type="dxa"/>
            <w:noWrap/>
            <w:hideMark/>
          </w:tcPr>
          <w:p w14:paraId="726F8690"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Castelo et al. 2012</w:t>
            </w:r>
          </w:p>
        </w:tc>
        <w:tc>
          <w:tcPr>
            <w:tcW w:w="1413" w:type="dxa"/>
            <w:noWrap/>
            <w:hideMark/>
          </w:tcPr>
          <w:p w14:paraId="3B8A3C99"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Brazil</w:t>
            </w:r>
          </w:p>
        </w:tc>
        <w:tc>
          <w:tcPr>
            <w:tcW w:w="837" w:type="dxa"/>
            <w:noWrap/>
            <w:hideMark/>
          </w:tcPr>
          <w:p w14:paraId="41437DD8"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553F8D27"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100</w:t>
            </w:r>
          </w:p>
        </w:tc>
        <w:tc>
          <w:tcPr>
            <w:tcW w:w="1577" w:type="dxa"/>
            <w:hideMark/>
          </w:tcPr>
          <w:p w14:paraId="0216E82A"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6-8 (7.23 ± 0.64)</w:t>
            </w:r>
          </w:p>
        </w:tc>
        <w:tc>
          <w:tcPr>
            <w:tcW w:w="1794" w:type="dxa"/>
            <w:hideMark/>
          </w:tcPr>
          <w:p w14:paraId="43D54250"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Assess the relationship between SB and heart rate, salivary cortisol levels, and other parafunctional habits. </w:t>
            </w:r>
          </w:p>
        </w:tc>
        <w:tc>
          <w:tcPr>
            <w:tcW w:w="1365" w:type="dxa"/>
            <w:hideMark/>
          </w:tcPr>
          <w:p w14:paraId="675DD399"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Absorption</w:t>
            </w:r>
          </w:p>
        </w:tc>
        <w:tc>
          <w:tcPr>
            <w:tcW w:w="1179" w:type="dxa"/>
            <w:hideMark/>
          </w:tcPr>
          <w:p w14:paraId="158B91F1"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Salivette </w:t>
            </w:r>
          </w:p>
        </w:tc>
        <w:tc>
          <w:tcPr>
            <w:tcW w:w="1178" w:type="dxa"/>
            <w:hideMark/>
          </w:tcPr>
          <w:p w14:paraId="266A799C"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SS</w:t>
            </w:r>
          </w:p>
        </w:tc>
        <w:tc>
          <w:tcPr>
            <w:tcW w:w="1307" w:type="dxa"/>
            <w:hideMark/>
          </w:tcPr>
          <w:p w14:paraId="5DC80BD8" w14:textId="2D97F13E" w:rsidR="00D05AB4" w:rsidRPr="00333A96" w:rsidRDefault="001E3817"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3215" w:type="dxa"/>
            <w:gridSpan w:val="2"/>
            <w:hideMark/>
          </w:tcPr>
          <w:p w14:paraId="5E7B43D2" w14:textId="411E2490"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AURC did not correlate with BMI and heart rate.</w:t>
            </w:r>
            <w:r w:rsidRPr="00333A96">
              <w:rPr>
                <w:rFonts w:ascii="Times New Roman" w:eastAsia="Times New Roman" w:hAnsi="Times New Roman" w:cs="Times New Roman"/>
                <w:sz w:val="18"/>
                <w:szCs w:val="18"/>
                <w:lang w:val="en-GB" w:eastAsia="nl-NL"/>
              </w:rPr>
              <w:br/>
              <w:t>2) AURC showed a significant negative association with SB.</w:t>
            </w:r>
          </w:p>
        </w:tc>
      </w:tr>
      <w:tr w:rsidR="00D05AB4" w:rsidRPr="00CC2F10" w14:paraId="5BDFB3AB" w14:textId="77777777" w:rsidTr="00CC2F10">
        <w:trPr>
          <w:trHeight w:val="2496"/>
        </w:trPr>
        <w:tc>
          <w:tcPr>
            <w:cnfStyle w:val="001000000000" w:firstRow="0" w:lastRow="0" w:firstColumn="1" w:lastColumn="0" w:oddVBand="0" w:evenVBand="0" w:oddHBand="0" w:evenHBand="0" w:firstRowFirstColumn="0" w:firstRowLastColumn="0" w:lastRowFirstColumn="0" w:lastRowLastColumn="0"/>
            <w:tcW w:w="1560" w:type="dxa"/>
            <w:noWrap/>
            <w:hideMark/>
          </w:tcPr>
          <w:p w14:paraId="3B4860A4"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lastRenderedPageBreak/>
              <w:t>Celik et al. 2022</w:t>
            </w:r>
          </w:p>
        </w:tc>
        <w:tc>
          <w:tcPr>
            <w:tcW w:w="1413" w:type="dxa"/>
            <w:noWrap/>
            <w:hideMark/>
          </w:tcPr>
          <w:p w14:paraId="62B05A01"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Turkey</w:t>
            </w:r>
          </w:p>
        </w:tc>
        <w:tc>
          <w:tcPr>
            <w:tcW w:w="837" w:type="dxa"/>
            <w:noWrap/>
            <w:hideMark/>
          </w:tcPr>
          <w:p w14:paraId="2279BDD1"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3373D285"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80</w:t>
            </w:r>
          </w:p>
        </w:tc>
        <w:tc>
          <w:tcPr>
            <w:tcW w:w="1577" w:type="dxa"/>
            <w:hideMark/>
          </w:tcPr>
          <w:p w14:paraId="7D5FF8C0"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0-15 (?)</w:t>
            </w:r>
          </w:p>
        </w:tc>
        <w:tc>
          <w:tcPr>
            <w:tcW w:w="1794" w:type="dxa"/>
            <w:hideMark/>
          </w:tcPr>
          <w:p w14:paraId="65D6E60B"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Compare the saliva reaction with the systemic response and to examine the levels of C-reactive protein, procalcitonin, calprotectin, IL-1, IL-6, and TNF- in both saliva and serum in children with community-acquired pneumonia.</w:t>
            </w:r>
          </w:p>
        </w:tc>
        <w:tc>
          <w:tcPr>
            <w:tcW w:w="1365" w:type="dxa"/>
            <w:hideMark/>
          </w:tcPr>
          <w:p w14:paraId="00441D6D"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Drooling, suction</w:t>
            </w:r>
          </w:p>
        </w:tc>
        <w:tc>
          <w:tcPr>
            <w:tcW w:w="1179" w:type="dxa"/>
            <w:hideMark/>
          </w:tcPr>
          <w:p w14:paraId="50298183"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Needle-less syringe</w:t>
            </w:r>
          </w:p>
        </w:tc>
        <w:tc>
          <w:tcPr>
            <w:tcW w:w="1178" w:type="dxa"/>
            <w:hideMark/>
          </w:tcPr>
          <w:p w14:paraId="635A7128"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307" w:type="dxa"/>
            <w:hideMark/>
          </w:tcPr>
          <w:p w14:paraId="1FB3E958"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Children &lt;3: Suction method</w:t>
            </w:r>
          </w:p>
        </w:tc>
        <w:tc>
          <w:tcPr>
            <w:tcW w:w="3215" w:type="dxa"/>
            <w:gridSpan w:val="2"/>
            <w:hideMark/>
          </w:tcPr>
          <w:p w14:paraId="540B9854"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Children with pneumonia had greater WBC levels, neutrophil and PLT counts, whereas lymphocyte counts were lower than in the healthy controls</w:t>
            </w:r>
            <w:r w:rsidRPr="00333A96">
              <w:rPr>
                <w:rFonts w:ascii="Times New Roman" w:eastAsia="Times New Roman" w:hAnsi="Times New Roman" w:cs="Times New Roman"/>
                <w:sz w:val="18"/>
                <w:szCs w:val="18"/>
                <w:lang w:val="en-GB" w:eastAsia="nl-NL"/>
              </w:rPr>
              <w:br/>
              <w:t>2) Serum and salivary inflammatory cytokines were all higher on admission, with the exception of salivary IL-1</w:t>
            </w:r>
            <w:r w:rsidRPr="00333A96">
              <w:rPr>
                <w:rFonts w:ascii="Times New Roman" w:eastAsia="Times New Roman" w:hAnsi="Times New Roman" w:cs="Times New Roman"/>
                <w:sz w:val="18"/>
                <w:szCs w:val="18"/>
                <w:lang w:val="en-GB" w:eastAsia="nl-NL"/>
              </w:rPr>
              <w:br/>
              <w:t>3) Saliva may be used as a reliable diagnostic method to determine whether CAP in children is in an inflammatory state.</w:t>
            </w:r>
          </w:p>
        </w:tc>
      </w:tr>
      <w:tr w:rsidR="00D05AB4" w:rsidRPr="00CC2F10" w14:paraId="04A9F161" w14:textId="77777777" w:rsidTr="00CC2F10">
        <w:trPr>
          <w:cnfStyle w:val="000000100000" w:firstRow="0" w:lastRow="0" w:firstColumn="0" w:lastColumn="0" w:oddVBand="0" w:evenVBand="0" w:oddHBand="1" w:evenHBand="0" w:firstRowFirstColumn="0" w:firstRowLastColumn="0" w:lastRowFirstColumn="0" w:lastRowLastColumn="0"/>
          <w:trHeight w:val="1560"/>
        </w:trPr>
        <w:tc>
          <w:tcPr>
            <w:cnfStyle w:val="001000000000" w:firstRow="0" w:lastRow="0" w:firstColumn="1" w:lastColumn="0" w:oddVBand="0" w:evenVBand="0" w:oddHBand="0" w:evenHBand="0" w:firstRowFirstColumn="0" w:firstRowLastColumn="0" w:lastRowFirstColumn="0" w:lastRowLastColumn="0"/>
            <w:tcW w:w="1560" w:type="dxa"/>
            <w:noWrap/>
            <w:hideMark/>
          </w:tcPr>
          <w:p w14:paraId="2FFC8934"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Chahine et al. 2020</w:t>
            </w:r>
          </w:p>
        </w:tc>
        <w:tc>
          <w:tcPr>
            <w:tcW w:w="1413" w:type="dxa"/>
            <w:noWrap/>
            <w:hideMark/>
          </w:tcPr>
          <w:p w14:paraId="062860D1"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Saudi Arabia</w:t>
            </w:r>
          </w:p>
        </w:tc>
        <w:tc>
          <w:tcPr>
            <w:tcW w:w="837" w:type="dxa"/>
            <w:noWrap/>
            <w:hideMark/>
          </w:tcPr>
          <w:p w14:paraId="5616EBFF"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486866B5"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100</w:t>
            </w:r>
          </w:p>
        </w:tc>
        <w:tc>
          <w:tcPr>
            <w:tcW w:w="1577" w:type="dxa"/>
            <w:hideMark/>
          </w:tcPr>
          <w:p w14:paraId="68391C1F"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12-17 (?)</w:t>
            </w:r>
          </w:p>
        </w:tc>
        <w:tc>
          <w:tcPr>
            <w:tcW w:w="1794" w:type="dxa"/>
            <w:hideMark/>
          </w:tcPr>
          <w:p w14:paraId="71F8C074"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Determine if providing adolescents oral supplements of natural antioxidants and vitamins before the winter months can lower the incidence of URTI.</w:t>
            </w:r>
          </w:p>
        </w:tc>
        <w:tc>
          <w:tcPr>
            <w:tcW w:w="1365" w:type="dxa"/>
            <w:hideMark/>
          </w:tcPr>
          <w:p w14:paraId="6EFC1142"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Spitting</w:t>
            </w:r>
          </w:p>
        </w:tc>
        <w:tc>
          <w:tcPr>
            <w:tcW w:w="1179" w:type="dxa"/>
            <w:hideMark/>
          </w:tcPr>
          <w:p w14:paraId="572EF933"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Plastic tube</w:t>
            </w:r>
          </w:p>
        </w:tc>
        <w:tc>
          <w:tcPr>
            <w:tcW w:w="1178" w:type="dxa"/>
            <w:hideMark/>
          </w:tcPr>
          <w:p w14:paraId="401B0CD8"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307" w:type="dxa"/>
            <w:hideMark/>
          </w:tcPr>
          <w:p w14:paraId="68C882D9" w14:textId="33CA3334" w:rsidR="00D05AB4" w:rsidRPr="00333A96" w:rsidRDefault="001E3817"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3215" w:type="dxa"/>
            <w:gridSpan w:val="2"/>
            <w:hideMark/>
          </w:tcPr>
          <w:p w14:paraId="6F50AA80"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After supplementation, the supplemented group's saliva had a greater capacity to scavenge free radicals.</w:t>
            </w:r>
            <w:r w:rsidRPr="00333A96">
              <w:rPr>
                <w:rFonts w:ascii="Times New Roman" w:eastAsia="Times New Roman" w:hAnsi="Times New Roman" w:cs="Times New Roman"/>
                <w:sz w:val="18"/>
                <w:szCs w:val="18"/>
                <w:lang w:val="en-GB" w:eastAsia="nl-NL"/>
              </w:rPr>
              <w:br/>
              <w:t>2) Supplementation enhanced salivary levels of glutathione, ascorbic acid, and overall antioxidant activity, which may have a protective impact against URTI.</w:t>
            </w:r>
          </w:p>
        </w:tc>
      </w:tr>
      <w:tr w:rsidR="00D05AB4" w:rsidRPr="00CC2F10" w14:paraId="37E64D4D" w14:textId="77777777" w:rsidTr="00CC2F10">
        <w:trPr>
          <w:trHeight w:val="936"/>
        </w:trPr>
        <w:tc>
          <w:tcPr>
            <w:cnfStyle w:val="001000000000" w:firstRow="0" w:lastRow="0" w:firstColumn="1" w:lastColumn="0" w:oddVBand="0" w:evenVBand="0" w:oddHBand="0" w:evenHBand="0" w:firstRowFirstColumn="0" w:firstRowLastColumn="0" w:lastRowFirstColumn="0" w:lastRowLastColumn="0"/>
            <w:tcW w:w="1560" w:type="dxa"/>
            <w:noWrap/>
            <w:hideMark/>
          </w:tcPr>
          <w:p w14:paraId="069DD9E7"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Chakraborty et al. 2021</w:t>
            </w:r>
          </w:p>
        </w:tc>
        <w:tc>
          <w:tcPr>
            <w:tcW w:w="1413" w:type="dxa"/>
            <w:noWrap/>
            <w:hideMark/>
          </w:tcPr>
          <w:p w14:paraId="70BD2737"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India</w:t>
            </w:r>
          </w:p>
        </w:tc>
        <w:tc>
          <w:tcPr>
            <w:tcW w:w="837" w:type="dxa"/>
            <w:noWrap/>
            <w:hideMark/>
          </w:tcPr>
          <w:p w14:paraId="239660F1"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5B11D00C"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20</w:t>
            </w:r>
          </w:p>
        </w:tc>
        <w:tc>
          <w:tcPr>
            <w:tcW w:w="1577" w:type="dxa"/>
            <w:hideMark/>
          </w:tcPr>
          <w:p w14:paraId="556735AC"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3-10 (?)</w:t>
            </w:r>
          </w:p>
        </w:tc>
        <w:tc>
          <w:tcPr>
            <w:tcW w:w="1794" w:type="dxa"/>
            <w:hideMark/>
          </w:tcPr>
          <w:p w14:paraId="7382F51A" w14:textId="4E6957E2"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Analyse the SDF's ability to prevent dental caries and how long it lasts, as well as the SM count in saliva</w:t>
            </w:r>
          </w:p>
        </w:tc>
        <w:tc>
          <w:tcPr>
            <w:tcW w:w="1365" w:type="dxa"/>
            <w:hideMark/>
          </w:tcPr>
          <w:p w14:paraId="0201DCB0"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Drooling</w:t>
            </w:r>
          </w:p>
        </w:tc>
        <w:tc>
          <w:tcPr>
            <w:tcW w:w="1179" w:type="dxa"/>
            <w:hideMark/>
          </w:tcPr>
          <w:p w14:paraId="1C7BF154"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Plastic tube</w:t>
            </w:r>
          </w:p>
        </w:tc>
        <w:tc>
          <w:tcPr>
            <w:tcW w:w="1178" w:type="dxa"/>
            <w:hideMark/>
          </w:tcPr>
          <w:p w14:paraId="59E5EF7E"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307" w:type="dxa"/>
            <w:hideMark/>
          </w:tcPr>
          <w:p w14:paraId="6521ACA8" w14:textId="7314DF73" w:rsidR="00D05AB4" w:rsidRPr="00333A96" w:rsidRDefault="001E3817"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3215" w:type="dxa"/>
            <w:gridSpan w:val="2"/>
            <w:hideMark/>
          </w:tcPr>
          <w:p w14:paraId="57E99AD9"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At 1, 3, and 6 months, SDF significantly reduced the number of SM</w:t>
            </w:r>
            <w:r w:rsidRPr="00333A96">
              <w:rPr>
                <w:rFonts w:ascii="Times New Roman" w:eastAsia="Times New Roman" w:hAnsi="Times New Roman" w:cs="Times New Roman"/>
                <w:sz w:val="18"/>
                <w:szCs w:val="18"/>
                <w:lang w:val="en-GB" w:eastAsia="nl-NL"/>
              </w:rPr>
              <w:br/>
              <w:t>2) The highest outcomes in caries prevention and arrest were obtained with SDF treatment applied every 3 months.</w:t>
            </w:r>
          </w:p>
        </w:tc>
      </w:tr>
      <w:tr w:rsidR="00D05AB4" w:rsidRPr="00CC2F10" w14:paraId="62300E43" w14:textId="77777777" w:rsidTr="00CC2F10">
        <w:trPr>
          <w:cnfStyle w:val="000000100000" w:firstRow="0" w:lastRow="0" w:firstColumn="0" w:lastColumn="0" w:oddVBand="0" w:evenVBand="0" w:oddHBand="1" w:evenHBand="0" w:firstRowFirstColumn="0" w:firstRowLastColumn="0" w:lastRowFirstColumn="0" w:lastRowLastColumn="0"/>
          <w:trHeight w:val="1560"/>
        </w:trPr>
        <w:tc>
          <w:tcPr>
            <w:cnfStyle w:val="001000000000" w:firstRow="0" w:lastRow="0" w:firstColumn="1" w:lastColumn="0" w:oddVBand="0" w:evenVBand="0" w:oddHBand="0" w:evenHBand="0" w:firstRowFirstColumn="0" w:firstRowLastColumn="0" w:lastRowFirstColumn="0" w:lastRowLastColumn="0"/>
            <w:tcW w:w="1560" w:type="dxa"/>
            <w:noWrap/>
            <w:hideMark/>
          </w:tcPr>
          <w:p w14:paraId="19304DFB"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Chao et al. 2020</w:t>
            </w:r>
          </w:p>
        </w:tc>
        <w:tc>
          <w:tcPr>
            <w:tcW w:w="1413" w:type="dxa"/>
            <w:noWrap/>
            <w:hideMark/>
          </w:tcPr>
          <w:p w14:paraId="6D2C42D7"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United States</w:t>
            </w:r>
          </w:p>
        </w:tc>
        <w:tc>
          <w:tcPr>
            <w:tcW w:w="837" w:type="dxa"/>
            <w:noWrap/>
            <w:hideMark/>
          </w:tcPr>
          <w:p w14:paraId="560D15D6"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4F0B8397"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40</w:t>
            </w:r>
          </w:p>
        </w:tc>
        <w:tc>
          <w:tcPr>
            <w:tcW w:w="1577" w:type="dxa"/>
            <w:hideMark/>
          </w:tcPr>
          <w:p w14:paraId="07C41153"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3-17 (?)</w:t>
            </w:r>
          </w:p>
        </w:tc>
        <w:tc>
          <w:tcPr>
            <w:tcW w:w="1794" w:type="dxa"/>
            <w:hideMark/>
          </w:tcPr>
          <w:p w14:paraId="07D94BFC"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Get a basic understanding of the ranges of salivary cortisol that are considered typical in healthy children at dawn, bedtime, and midnight.</w:t>
            </w:r>
          </w:p>
        </w:tc>
        <w:tc>
          <w:tcPr>
            <w:tcW w:w="1365" w:type="dxa"/>
            <w:hideMark/>
          </w:tcPr>
          <w:p w14:paraId="3644CA2E"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Absorption</w:t>
            </w:r>
          </w:p>
        </w:tc>
        <w:tc>
          <w:tcPr>
            <w:tcW w:w="1179" w:type="dxa"/>
            <w:hideMark/>
          </w:tcPr>
          <w:p w14:paraId="080D1311"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Swab (SalivaBio, Salimetrics)</w:t>
            </w:r>
          </w:p>
        </w:tc>
        <w:tc>
          <w:tcPr>
            <w:tcW w:w="1178" w:type="dxa"/>
            <w:hideMark/>
          </w:tcPr>
          <w:p w14:paraId="78A12A2C"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307" w:type="dxa"/>
            <w:hideMark/>
          </w:tcPr>
          <w:p w14:paraId="59DBC043"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1) 30min fasting before sampling </w:t>
            </w:r>
            <w:r w:rsidRPr="00333A96">
              <w:rPr>
                <w:rFonts w:ascii="Times New Roman" w:eastAsia="Times New Roman" w:hAnsi="Times New Roman" w:cs="Times New Roman"/>
                <w:sz w:val="18"/>
                <w:szCs w:val="18"/>
                <w:lang w:val="en-GB" w:eastAsia="nl-NL"/>
              </w:rPr>
              <w:br/>
              <w:t>2) Children &lt; 6y: SalivaBio</w:t>
            </w:r>
          </w:p>
        </w:tc>
        <w:tc>
          <w:tcPr>
            <w:tcW w:w="3215" w:type="dxa"/>
            <w:gridSpan w:val="2"/>
            <w:hideMark/>
          </w:tcPr>
          <w:p w14:paraId="5E6BA1EE"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1) Normal children's salivary cortisol levels were significantly higher in the morning and reduced at bedtime and at midnight. </w:t>
            </w:r>
            <w:r w:rsidRPr="00333A96">
              <w:rPr>
                <w:rFonts w:ascii="Times New Roman" w:eastAsia="Times New Roman" w:hAnsi="Times New Roman" w:cs="Times New Roman"/>
                <w:sz w:val="18"/>
                <w:szCs w:val="18"/>
                <w:lang w:val="en-GB" w:eastAsia="nl-NL"/>
              </w:rPr>
              <w:br/>
              <w:t>2) Measurements of salivary cortisol during an ACTH stimulation test have a significant correlation with blood cortisol, which allows for precise diagnosis of adrenal sufficiency.</w:t>
            </w:r>
          </w:p>
        </w:tc>
      </w:tr>
      <w:tr w:rsidR="00D05AB4" w:rsidRPr="00CC2F10" w14:paraId="6C3165B9" w14:textId="77777777" w:rsidTr="00CC2F10">
        <w:trPr>
          <w:trHeight w:val="1872"/>
        </w:trPr>
        <w:tc>
          <w:tcPr>
            <w:cnfStyle w:val="001000000000" w:firstRow="0" w:lastRow="0" w:firstColumn="1" w:lastColumn="0" w:oddVBand="0" w:evenVBand="0" w:oddHBand="0" w:evenHBand="0" w:firstRowFirstColumn="0" w:firstRowLastColumn="0" w:lastRowFirstColumn="0" w:lastRowLastColumn="0"/>
            <w:tcW w:w="1560" w:type="dxa"/>
            <w:noWrap/>
            <w:hideMark/>
          </w:tcPr>
          <w:p w14:paraId="68A00245"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lastRenderedPageBreak/>
              <w:t>Chee et al. 1993</w:t>
            </w:r>
          </w:p>
        </w:tc>
        <w:tc>
          <w:tcPr>
            <w:tcW w:w="1413" w:type="dxa"/>
            <w:noWrap/>
            <w:hideMark/>
          </w:tcPr>
          <w:p w14:paraId="5D83FA6A"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Australia</w:t>
            </w:r>
          </w:p>
        </w:tc>
        <w:tc>
          <w:tcPr>
            <w:tcW w:w="837" w:type="dxa"/>
            <w:noWrap/>
            <w:hideMark/>
          </w:tcPr>
          <w:p w14:paraId="2B2A9D2F"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1CDCE466"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40</w:t>
            </w:r>
          </w:p>
        </w:tc>
        <w:tc>
          <w:tcPr>
            <w:tcW w:w="1577" w:type="dxa"/>
            <w:hideMark/>
          </w:tcPr>
          <w:p w14:paraId="6132EC1A"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2-15 (?)</w:t>
            </w:r>
          </w:p>
        </w:tc>
        <w:tc>
          <w:tcPr>
            <w:tcW w:w="1794" w:type="dxa"/>
            <w:hideMark/>
          </w:tcPr>
          <w:p w14:paraId="7998937C"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Create a quick, portable home saliva collection method, to confirm the relationship between saliva containing CBZ and CBZ-Ein and plasma samples that were also obtained at the same time, and to test the stability of CBZ and CBZ-E after a month of storage in a domestic freezer</w:t>
            </w:r>
          </w:p>
        </w:tc>
        <w:tc>
          <w:tcPr>
            <w:tcW w:w="1365" w:type="dxa"/>
            <w:hideMark/>
          </w:tcPr>
          <w:p w14:paraId="6D5EE76B"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Absorption</w:t>
            </w:r>
          </w:p>
        </w:tc>
        <w:tc>
          <w:tcPr>
            <w:tcW w:w="1179" w:type="dxa"/>
            <w:hideMark/>
          </w:tcPr>
          <w:p w14:paraId="6CE0D8F2"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Cotton wool ball</w:t>
            </w:r>
          </w:p>
        </w:tc>
        <w:tc>
          <w:tcPr>
            <w:tcW w:w="1178" w:type="dxa"/>
            <w:hideMark/>
          </w:tcPr>
          <w:p w14:paraId="08EFBD78"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307" w:type="dxa"/>
            <w:hideMark/>
          </w:tcPr>
          <w:p w14:paraId="70445A51" w14:textId="08A3DA6D" w:rsidR="00D05AB4" w:rsidRPr="00333A96" w:rsidRDefault="001E3817"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3215" w:type="dxa"/>
            <w:gridSpan w:val="2"/>
            <w:hideMark/>
          </w:tcPr>
          <w:p w14:paraId="0949B856"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No adsorption of CBZ and CBZ-E</w:t>
            </w:r>
            <w:r w:rsidRPr="00333A96">
              <w:rPr>
                <w:rFonts w:ascii="Times New Roman" w:eastAsia="Times New Roman" w:hAnsi="Times New Roman" w:cs="Times New Roman"/>
                <w:sz w:val="18"/>
                <w:szCs w:val="18"/>
                <w:lang w:val="en-GB" w:eastAsia="nl-NL"/>
              </w:rPr>
              <w:br/>
              <w:t>2) The amounts of free CBZ and CBZ-E in plasma and saliva were strongly correlated</w:t>
            </w:r>
          </w:p>
        </w:tc>
      </w:tr>
      <w:tr w:rsidR="00D05AB4" w:rsidRPr="00CC2F10" w14:paraId="13564AF5" w14:textId="77777777" w:rsidTr="00CC2F10">
        <w:trPr>
          <w:cnfStyle w:val="000000100000" w:firstRow="0" w:lastRow="0" w:firstColumn="0" w:lastColumn="0" w:oddVBand="0" w:evenVBand="0" w:oddHBand="1" w:evenHBand="0" w:firstRowFirstColumn="0" w:firstRowLastColumn="0" w:lastRowFirstColumn="0" w:lastRowLastColumn="0"/>
          <w:trHeight w:val="1248"/>
        </w:trPr>
        <w:tc>
          <w:tcPr>
            <w:cnfStyle w:val="001000000000" w:firstRow="0" w:lastRow="0" w:firstColumn="1" w:lastColumn="0" w:oddVBand="0" w:evenVBand="0" w:oddHBand="0" w:evenHBand="0" w:firstRowFirstColumn="0" w:firstRowLastColumn="0" w:lastRowFirstColumn="0" w:lastRowLastColumn="0"/>
            <w:tcW w:w="1560" w:type="dxa"/>
            <w:noWrap/>
            <w:hideMark/>
          </w:tcPr>
          <w:p w14:paraId="3E186A09"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Chicharro et al. 1995</w:t>
            </w:r>
          </w:p>
        </w:tc>
        <w:tc>
          <w:tcPr>
            <w:tcW w:w="1413" w:type="dxa"/>
            <w:noWrap/>
            <w:hideMark/>
          </w:tcPr>
          <w:p w14:paraId="49A8B09D"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Spain</w:t>
            </w:r>
          </w:p>
        </w:tc>
        <w:tc>
          <w:tcPr>
            <w:tcW w:w="837" w:type="dxa"/>
            <w:noWrap/>
            <w:hideMark/>
          </w:tcPr>
          <w:p w14:paraId="678C4C9A"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0C639A6C"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25</w:t>
            </w:r>
          </w:p>
        </w:tc>
        <w:tc>
          <w:tcPr>
            <w:tcW w:w="1577" w:type="dxa"/>
            <w:hideMark/>
          </w:tcPr>
          <w:p w14:paraId="6427D8FB"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(10.5±1.6)</w:t>
            </w:r>
          </w:p>
        </w:tc>
        <w:tc>
          <w:tcPr>
            <w:tcW w:w="1794" w:type="dxa"/>
            <w:hideMark/>
          </w:tcPr>
          <w:p w14:paraId="67BBF46A" w14:textId="2CEFAEEF"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Analyse the saliva that was collected during field tests in order to determine the children's anaerobic threshold. </w:t>
            </w:r>
          </w:p>
        </w:tc>
        <w:tc>
          <w:tcPr>
            <w:tcW w:w="1365" w:type="dxa"/>
            <w:hideMark/>
          </w:tcPr>
          <w:p w14:paraId="309C818B"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Spitting</w:t>
            </w:r>
          </w:p>
        </w:tc>
        <w:tc>
          <w:tcPr>
            <w:tcW w:w="1179" w:type="dxa"/>
            <w:hideMark/>
          </w:tcPr>
          <w:p w14:paraId="7F226EB5"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Receptacle</w:t>
            </w:r>
          </w:p>
        </w:tc>
        <w:tc>
          <w:tcPr>
            <w:tcW w:w="1178" w:type="dxa"/>
            <w:hideMark/>
          </w:tcPr>
          <w:p w14:paraId="66FE2551"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307" w:type="dxa"/>
            <w:hideMark/>
          </w:tcPr>
          <w:p w14:paraId="3EEA6F2A"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4h fasting before sampling</w:t>
            </w:r>
          </w:p>
        </w:tc>
        <w:tc>
          <w:tcPr>
            <w:tcW w:w="3215" w:type="dxa"/>
            <w:gridSpan w:val="2"/>
            <w:hideMark/>
          </w:tcPr>
          <w:p w14:paraId="42B776D3"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No significant differences between Thh and Tha values, whether heart rate or running speed were used.</w:t>
            </w:r>
            <w:r w:rsidRPr="00333A96">
              <w:rPr>
                <w:rFonts w:ascii="Times New Roman" w:eastAsia="Times New Roman" w:hAnsi="Times New Roman" w:cs="Times New Roman"/>
                <w:sz w:val="18"/>
                <w:szCs w:val="18"/>
                <w:lang w:val="en-GB" w:eastAsia="nl-NL"/>
              </w:rPr>
              <w:br/>
              <w:t>2) When reported as heart rate or running velocity, Thsa and Thla showed significant connections.</w:t>
            </w:r>
          </w:p>
        </w:tc>
      </w:tr>
      <w:tr w:rsidR="00D05AB4" w:rsidRPr="00CC2F10" w14:paraId="32F23177" w14:textId="77777777" w:rsidTr="00CC2F10">
        <w:trPr>
          <w:trHeight w:val="1742"/>
        </w:trPr>
        <w:tc>
          <w:tcPr>
            <w:cnfStyle w:val="001000000000" w:firstRow="0" w:lastRow="0" w:firstColumn="1" w:lastColumn="0" w:oddVBand="0" w:evenVBand="0" w:oddHBand="0" w:evenHBand="0" w:firstRowFirstColumn="0" w:firstRowLastColumn="0" w:lastRowFirstColumn="0" w:lastRowLastColumn="0"/>
            <w:tcW w:w="1560" w:type="dxa"/>
            <w:noWrap/>
            <w:hideMark/>
          </w:tcPr>
          <w:p w14:paraId="7086455C"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Cho et al. 2012</w:t>
            </w:r>
          </w:p>
        </w:tc>
        <w:tc>
          <w:tcPr>
            <w:tcW w:w="1413" w:type="dxa"/>
            <w:noWrap/>
            <w:hideMark/>
          </w:tcPr>
          <w:p w14:paraId="6A1FC8A4"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United States</w:t>
            </w:r>
          </w:p>
        </w:tc>
        <w:tc>
          <w:tcPr>
            <w:tcW w:w="837" w:type="dxa"/>
            <w:noWrap/>
            <w:hideMark/>
          </w:tcPr>
          <w:p w14:paraId="60611CE9"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089EEE9D"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101</w:t>
            </w:r>
          </w:p>
        </w:tc>
        <w:tc>
          <w:tcPr>
            <w:tcW w:w="1577" w:type="dxa"/>
            <w:hideMark/>
          </w:tcPr>
          <w:p w14:paraId="5434B9F3"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0 (?)</w:t>
            </w:r>
          </w:p>
        </w:tc>
        <w:tc>
          <w:tcPr>
            <w:tcW w:w="1794" w:type="dxa"/>
            <w:hideMark/>
          </w:tcPr>
          <w:p w14:paraId="05CE92F8"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Investigate the possible connection between postnatal salivary testosterone/cortisol levels and the results of newborn health/growth.</w:t>
            </w:r>
          </w:p>
        </w:tc>
        <w:tc>
          <w:tcPr>
            <w:tcW w:w="1365" w:type="dxa"/>
            <w:hideMark/>
          </w:tcPr>
          <w:p w14:paraId="60E8F8F3"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Suction</w:t>
            </w:r>
          </w:p>
        </w:tc>
        <w:tc>
          <w:tcPr>
            <w:tcW w:w="1179" w:type="dxa"/>
            <w:hideMark/>
          </w:tcPr>
          <w:p w14:paraId="64A37FB5"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Needle-less syringe</w:t>
            </w:r>
          </w:p>
        </w:tc>
        <w:tc>
          <w:tcPr>
            <w:tcW w:w="1178" w:type="dxa"/>
            <w:hideMark/>
          </w:tcPr>
          <w:p w14:paraId="6F671F23"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307" w:type="dxa"/>
            <w:hideMark/>
          </w:tcPr>
          <w:p w14:paraId="6222807E"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1h fasting before sampling </w:t>
            </w:r>
          </w:p>
        </w:tc>
        <w:tc>
          <w:tcPr>
            <w:tcW w:w="3215" w:type="dxa"/>
            <w:gridSpan w:val="2"/>
            <w:hideMark/>
          </w:tcPr>
          <w:p w14:paraId="60A84880"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Postnatal salivary testosterone levels and salivary cortisol levels were both positively correlated with neonatal health issues, as were growth delays and neonatal health issues.</w:t>
            </w:r>
            <w:r w:rsidRPr="00333A96">
              <w:rPr>
                <w:rFonts w:ascii="Times New Roman" w:eastAsia="Times New Roman" w:hAnsi="Times New Roman" w:cs="Times New Roman"/>
                <w:sz w:val="18"/>
                <w:szCs w:val="18"/>
                <w:lang w:val="en-GB" w:eastAsia="nl-NL"/>
              </w:rPr>
              <w:br/>
              <w:t>2) Compared to salivary cortisol, salivary testosterone is a more accurate measure for evaluating neonatal health and growth outcomes.</w:t>
            </w:r>
          </w:p>
        </w:tc>
      </w:tr>
      <w:tr w:rsidR="00D05AB4" w:rsidRPr="00CC2F10" w14:paraId="3A19CECA" w14:textId="77777777" w:rsidTr="00CC2F10">
        <w:trPr>
          <w:cnfStyle w:val="000000100000" w:firstRow="0" w:lastRow="0" w:firstColumn="0" w:lastColumn="0" w:oddVBand="0" w:evenVBand="0" w:oddHBand="1" w:evenHBand="0" w:firstRowFirstColumn="0" w:firstRowLastColumn="0" w:lastRowFirstColumn="0" w:lastRowLastColumn="0"/>
          <w:trHeight w:val="1560"/>
        </w:trPr>
        <w:tc>
          <w:tcPr>
            <w:cnfStyle w:val="001000000000" w:firstRow="0" w:lastRow="0" w:firstColumn="1" w:lastColumn="0" w:oddVBand="0" w:evenVBand="0" w:oddHBand="0" w:evenHBand="0" w:firstRowFirstColumn="0" w:firstRowLastColumn="0" w:lastRowFirstColumn="0" w:lastRowLastColumn="0"/>
            <w:tcW w:w="1560" w:type="dxa"/>
            <w:noWrap/>
            <w:hideMark/>
          </w:tcPr>
          <w:p w14:paraId="10606957"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Chung et al. 2022</w:t>
            </w:r>
          </w:p>
        </w:tc>
        <w:tc>
          <w:tcPr>
            <w:tcW w:w="1413" w:type="dxa"/>
            <w:noWrap/>
            <w:hideMark/>
          </w:tcPr>
          <w:p w14:paraId="5DB5F08A"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Australia</w:t>
            </w:r>
          </w:p>
        </w:tc>
        <w:tc>
          <w:tcPr>
            <w:tcW w:w="837" w:type="dxa"/>
            <w:noWrap/>
            <w:hideMark/>
          </w:tcPr>
          <w:p w14:paraId="27D9D858"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6B4D6542"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63</w:t>
            </w:r>
          </w:p>
        </w:tc>
        <w:tc>
          <w:tcPr>
            <w:tcW w:w="1577" w:type="dxa"/>
            <w:hideMark/>
          </w:tcPr>
          <w:p w14:paraId="13328526"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8-17 (13.7±2.5)</w:t>
            </w:r>
          </w:p>
        </w:tc>
        <w:tc>
          <w:tcPr>
            <w:tcW w:w="1794" w:type="dxa"/>
            <w:hideMark/>
          </w:tcPr>
          <w:p w14:paraId="142AB323"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Examine the patterns of activation of the hypothalamic-pituitary-adrenal axis and sympathetic system in children with functional neurological impairment</w:t>
            </w:r>
          </w:p>
        </w:tc>
        <w:tc>
          <w:tcPr>
            <w:tcW w:w="1365" w:type="dxa"/>
            <w:hideMark/>
          </w:tcPr>
          <w:p w14:paraId="4526FF43"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Absorption</w:t>
            </w:r>
          </w:p>
        </w:tc>
        <w:tc>
          <w:tcPr>
            <w:tcW w:w="1179" w:type="dxa"/>
            <w:hideMark/>
          </w:tcPr>
          <w:p w14:paraId="041B7400"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Salivette</w:t>
            </w:r>
          </w:p>
        </w:tc>
        <w:tc>
          <w:tcPr>
            <w:tcW w:w="1178" w:type="dxa"/>
            <w:hideMark/>
          </w:tcPr>
          <w:p w14:paraId="2C3DE27E"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307" w:type="dxa"/>
            <w:hideMark/>
          </w:tcPr>
          <w:p w14:paraId="5D26C1FB"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Fasting the night before sampling</w:t>
            </w:r>
          </w:p>
        </w:tc>
        <w:tc>
          <w:tcPr>
            <w:tcW w:w="3215" w:type="dxa"/>
            <w:gridSpan w:val="2"/>
            <w:hideMark/>
          </w:tcPr>
          <w:p w14:paraId="32EC9B97"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1) The cortisol waking response was significantly reduced in patients with functional neurological disorders, whereas it was significantly increased in controls. </w:t>
            </w:r>
            <w:r w:rsidRPr="00333A96">
              <w:rPr>
                <w:rFonts w:ascii="Times New Roman" w:eastAsia="Times New Roman" w:hAnsi="Times New Roman" w:cs="Times New Roman"/>
                <w:sz w:val="18"/>
                <w:szCs w:val="18"/>
                <w:lang w:val="en-GB" w:eastAsia="nl-NL"/>
              </w:rPr>
              <w:br/>
              <w:t xml:space="preserve">2) Negative childhood experiences and subjective distress were significantly inversely related with the cortisol awakening response. </w:t>
            </w:r>
          </w:p>
        </w:tc>
      </w:tr>
      <w:tr w:rsidR="00D05AB4" w:rsidRPr="00CC2F10" w14:paraId="67159D4B" w14:textId="77777777" w:rsidTr="00CC2F10">
        <w:trPr>
          <w:trHeight w:val="1560"/>
        </w:trPr>
        <w:tc>
          <w:tcPr>
            <w:cnfStyle w:val="001000000000" w:firstRow="0" w:lastRow="0" w:firstColumn="1" w:lastColumn="0" w:oddVBand="0" w:evenVBand="0" w:oddHBand="0" w:evenHBand="0" w:firstRowFirstColumn="0" w:firstRowLastColumn="0" w:lastRowFirstColumn="0" w:lastRowLastColumn="0"/>
            <w:tcW w:w="1560" w:type="dxa"/>
            <w:noWrap/>
            <w:hideMark/>
          </w:tcPr>
          <w:p w14:paraId="0B1EFA8C"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lastRenderedPageBreak/>
              <w:t>Colceriu-Simon et al. 2019</w:t>
            </w:r>
          </w:p>
        </w:tc>
        <w:tc>
          <w:tcPr>
            <w:tcW w:w="1413" w:type="dxa"/>
            <w:noWrap/>
            <w:hideMark/>
          </w:tcPr>
          <w:p w14:paraId="3E7E7432"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United States</w:t>
            </w:r>
          </w:p>
        </w:tc>
        <w:tc>
          <w:tcPr>
            <w:tcW w:w="837" w:type="dxa"/>
            <w:noWrap/>
            <w:hideMark/>
          </w:tcPr>
          <w:p w14:paraId="143C89DE"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7181CC1B"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10</w:t>
            </w:r>
          </w:p>
        </w:tc>
        <w:tc>
          <w:tcPr>
            <w:tcW w:w="1577" w:type="dxa"/>
            <w:hideMark/>
          </w:tcPr>
          <w:p w14:paraId="1B802C6F"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12-17 (?)</w:t>
            </w:r>
          </w:p>
        </w:tc>
        <w:tc>
          <w:tcPr>
            <w:tcW w:w="1794" w:type="dxa"/>
            <w:hideMark/>
          </w:tcPr>
          <w:p w14:paraId="1F356549"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Compare the salivary SER spectra of pediatric patients before and after low-dose IR exposure.</w:t>
            </w:r>
          </w:p>
        </w:tc>
        <w:tc>
          <w:tcPr>
            <w:tcW w:w="1365" w:type="dxa"/>
            <w:hideMark/>
          </w:tcPr>
          <w:p w14:paraId="5E7B5585"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Drooling</w:t>
            </w:r>
          </w:p>
        </w:tc>
        <w:tc>
          <w:tcPr>
            <w:tcW w:w="1179" w:type="dxa"/>
            <w:hideMark/>
          </w:tcPr>
          <w:p w14:paraId="3C8CAB67"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Saliva Collection Aid (SCA) Salimetrics</w:t>
            </w:r>
          </w:p>
        </w:tc>
        <w:tc>
          <w:tcPr>
            <w:tcW w:w="1178" w:type="dxa"/>
            <w:hideMark/>
          </w:tcPr>
          <w:p w14:paraId="7B987152"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307" w:type="dxa"/>
            <w:hideMark/>
          </w:tcPr>
          <w:p w14:paraId="22404E01"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30min fasting before sampling</w:t>
            </w:r>
          </w:p>
        </w:tc>
        <w:tc>
          <w:tcPr>
            <w:tcW w:w="3215" w:type="dxa"/>
            <w:gridSpan w:val="2"/>
            <w:hideMark/>
          </w:tcPr>
          <w:p w14:paraId="17FD2F8B"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The bending and stretching vibrations of SCN- correlate to three distinct vibrational bands that are mostly present in salivary SER spectra.</w:t>
            </w:r>
            <w:r w:rsidRPr="00333A96">
              <w:rPr>
                <w:rFonts w:ascii="Times New Roman" w:eastAsia="Times New Roman" w:hAnsi="Times New Roman" w:cs="Times New Roman"/>
                <w:sz w:val="18"/>
                <w:szCs w:val="18"/>
                <w:lang w:val="en-GB" w:eastAsia="nl-NL"/>
              </w:rPr>
              <w:br/>
              <w:t>2) All samples displayed an instantaneous rise in vibrational bands linked to SCN- after exposure, most likely as a result of the interaction between IR and the oral cavity.</w:t>
            </w:r>
          </w:p>
        </w:tc>
      </w:tr>
      <w:tr w:rsidR="00D05AB4" w:rsidRPr="00CC2F10" w14:paraId="7023F54D" w14:textId="77777777" w:rsidTr="00CC2F10">
        <w:trPr>
          <w:cnfStyle w:val="000000100000" w:firstRow="0" w:lastRow="0" w:firstColumn="0" w:lastColumn="0" w:oddVBand="0" w:evenVBand="0" w:oddHBand="1" w:evenHBand="0" w:firstRowFirstColumn="0" w:firstRowLastColumn="0" w:lastRowFirstColumn="0" w:lastRowLastColumn="0"/>
          <w:trHeight w:val="1560"/>
        </w:trPr>
        <w:tc>
          <w:tcPr>
            <w:cnfStyle w:val="001000000000" w:firstRow="0" w:lastRow="0" w:firstColumn="1" w:lastColumn="0" w:oddVBand="0" w:evenVBand="0" w:oddHBand="0" w:evenHBand="0" w:firstRowFirstColumn="0" w:firstRowLastColumn="0" w:lastRowFirstColumn="0" w:lastRowLastColumn="0"/>
            <w:tcW w:w="1560" w:type="dxa"/>
            <w:noWrap/>
            <w:hideMark/>
          </w:tcPr>
          <w:p w14:paraId="4340301F"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Corbett et al. 2006</w:t>
            </w:r>
          </w:p>
        </w:tc>
        <w:tc>
          <w:tcPr>
            <w:tcW w:w="1413" w:type="dxa"/>
            <w:noWrap/>
            <w:hideMark/>
          </w:tcPr>
          <w:p w14:paraId="1082E1FE"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Romania</w:t>
            </w:r>
          </w:p>
        </w:tc>
        <w:tc>
          <w:tcPr>
            <w:tcW w:w="837" w:type="dxa"/>
            <w:noWrap/>
            <w:hideMark/>
          </w:tcPr>
          <w:p w14:paraId="082480C1"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7B6C176B"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22</w:t>
            </w:r>
          </w:p>
        </w:tc>
        <w:tc>
          <w:tcPr>
            <w:tcW w:w="1577" w:type="dxa"/>
            <w:hideMark/>
          </w:tcPr>
          <w:p w14:paraId="7CCB639F"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6-11 (9.2 ± ?)</w:t>
            </w:r>
          </w:p>
        </w:tc>
        <w:tc>
          <w:tcPr>
            <w:tcW w:w="1794" w:type="dxa"/>
            <w:hideMark/>
          </w:tcPr>
          <w:p w14:paraId="21B9BF6D"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Assess the HPA axis' responsiveness in a group of autistic children who have relatively high functioning</w:t>
            </w:r>
          </w:p>
        </w:tc>
        <w:tc>
          <w:tcPr>
            <w:tcW w:w="1365" w:type="dxa"/>
            <w:hideMark/>
          </w:tcPr>
          <w:p w14:paraId="6DF18B64"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Spitting</w:t>
            </w:r>
          </w:p>
        </w:tc>
        <w:tc>
          <w:tcPr>
            <w:tcW w:w="1179" w:type="dxa"/>
            <w:hideMark/>
          </w:tcPr>
          <w:p w14:paraId="667D7084"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Trackcap container</w:t>
            </w:r>
          </w:p>
        </w:tc>
        <w:tc>
          <w:tcPr>
            <w:tcW w:w="1178" w:type="dxa"/>
            <w:hideMark/>
          </w:tcPr>
          <w:p w14:paraId="75525516"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SS</w:t>
            </w:r>
          </w:p>
        </w:tc>
        <w:tc>
          <w:tcPr>
            <w:tcW w:w="1307" w:type="dxa"/>
            <w:hideMark/>
          </w:tcPr>
          <w:p w14:paraId="729724BA"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Straw placed in mouth and the end of it in tube </w:t>
            </w:r>
          </w:p>
        </w:tc>
        <w:tc>
          <w:tcPr>
            <w:tcW w:w="3215" w:type="dxa"/>
            <w:gridSpan w:val="2"/>
            <w:hideMark/>
          </w:tcPr>
          <w:p w14:paraId="2B68D79A"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The circadian rhythms of the autistic children were more variable, and they also experienced statistically significant cortisol increases after being exposed to novel, nonsocial stimuli.</w:t>
            </w:r>
            <w:r w:rsidRPr="00333A96">
              <w:rPr>
                <w:rFonts w:ascii="Times New Roman" w:eastAsia="Times New Roman" w:hAnsi="Times New Roman" w:cs="Times New Roman"/>
                <w:sz w:val="18"/>
                <w:szCs w:val="18"/>
                <w:lang w:val="en-GB" w:eastAsia="nl-NL"/>
              </w:rPr>
              <w:br/>
              <w:t>2) Children with autism process and react uniquely to unfamiliar and stressful situations, which causes an excessive cortisol response.</w:t>
            </w:r>
          </w:p>
        </w:tc>
      </w:tr>
      <w:tr w:rsidR="00D05AB4" w:rsidRPr="00CC2F10" w14:paraId="2B4BEA00" w14:textId="77777777" w:rsidTr="00CC2F10">
        <w:trPr>
          <w:trHeight w:val="1560"/>
        </w:trPr>
        <w:tc>
          <w:tcPr>
            <w:cnfStyle w:val="001000000000" w:firstRow="0" w:lastRow="0" w:firstColumn="1" w:lastColumn="0" w:oddVBand="0" w:evenVBand="0" w:oddHBand="0" w:evenHBand="0" w:firstRowFirstColumn="0" w:firstRowLastColumn="0" w:lastRowFirstColumn="0" w:lastRowLastColumn="0"/>
            <w:tcW w:w="1560" w:type="dxa"/>
            <w:noWrap/>
            <w:hideMark/>
          </w:tcPr>
          <w:p w14:paraId="2E867A51"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Cornejo et al. 2022</w:t>
            </w:r>
          </w:p>
        </w:tc>
        <w:tc>
          <w:tcPr>
            <w:tcW w:w="1413" w:type="dxa"/>
            <w:noWrap/>
            <w:hideMark/>
          </w:tcPr>
          <w:p w14:paraId="780F4C44"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Argentina</w:t>
            </w:r>
          </w:p>
        </w:tc>
        <w:tc>
          <w:tcPr>
            <w:tcW w:w="837" w:type="dxa"/>
            <w:noWrap/>
            <w:hideMark/>
          </w:tcPr>
          <w:p w14:paraId="7DEDBA8B"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241A71CA"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11</w:t>
            </w:r>
          </w:p>
        </w:tc>
        <w:tc>
          <w:tcPr>
            <w:tcW w:w="1577" w:type="dxa"/>
            <w:hideMark/>
          </w:tcPr>
          <w:p w14:paraId="258C1FA3"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0-2 (?)</w:t>
            </w:r>
          </w:p>
        </w:tc>
        <w:tc>
          <w:tcPr>
            <w:tcW w:w="1794" w:type="dxa"/>
            <w:hideMark/>
          </w:tcPr>
          <w:p w14:paraId="0BA66E1C"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Assess the effectiveness of two techniques of saliva sampling from infants under 2 years of age for CS count</w:t>
            </w:r>
          </w:p>
        </w:tc>
        <w:tc>
          <w:tcPr>
            <w:tcW w:w="1365" w:type="dxa"/>
            <w:hideMark/>
          </w:tcPr>
          <w:p w14:paraId="0ADADD00"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Absorption, suction</w:t>
            </w:r>
          </w:p>
        </w:tc>
        <w:tc>
          <w:tcPr>
            <w:tcW w:w="1179" w:type="dxa"/>
            <w:hideMark/>
          </w:tcPr>
          <w:p w14:paraId="095CFEA7"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Cotton swab, syringe</w:t>
            </w:r>
          </w:p>
        </w:tc>
        <w:tc>
          <w:tcPr>
            <w:tcW w:w="1178" w:type="dxa"/>
            <w:hideMark/>
          </w:tcPr>
          <w:p w14:paraId="4FA2023E"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307" w:type="dxa"/>
            <w:hideMark/>
          </w:tcPr>
          <w:p w14:paraId="153CD97F" w14:textId="6FD73FE5" w:rsidR="00D05AB4" w:rsidRPr="00333A96" w:rsidRDefault="001E3817"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3215" w:type="dxa"/>
            <w:gridSpan w:val="2"/>
            <w:hideMark/>
          </w:tcPr>
          <w:p w14:paraId="5A708FDD"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The CFU/ml counts in MSMG showed a significant difference between the two methods of collection</w:t>
            </w:r>
            <w:r w:rsidRPr="00333A96">
              <w:rPr>
                <w:rFonts w:ascii="Times New Roman" w:eastAsia="Times New Roman" w:hAnsi="Times New Roman" w:cs="Times New Roman"/>
                <w:sz w:val="18"/>
                <w:szCs w:val="18"/>
                <w:lang w:val="en-GB" w:eastAsia="nl-NL"/>
              </w:rPr>
              <w:br/>
              <w:t>2) The oral swab saliva samples was more successful at recovering microorganisms and had no effect on the molecular methods used to identify the presence of CS.</w:t>
            </w:r>
          </w:p>
        </w:tc>
      </w:tr>
      <w:tr w:rsidR="00D05AB4" w:rsidRPr="00CC2F10" w14:paraId="08D5B0E6" w14:textId="77777777" w:rsidTr="00CC2F10">
        <w:trPr>
          <w:cnfStyle w:val="000000100000" w:firstRow="0" w:lastRow="0" w:firstColumn="0" w:lastColumn="0" w:oddVBand="0" w:evenVBand="0" w:oddHBand="1" w:evenHBand="0" w:firstRowFirstColumn="0" w:firstRowLastColumn="0" w:lastRowFirstColumn="0" w:lastRowLastColumn="0"/>
          <w:trHeight w:val="2184"/>
        </w:trPr>
        <w:tc>
          <w:tcPr>
            <w:cnfStyle w:val="001000000000" w:firstRow="0" w:lastRow="0" w:firstColumn="1" w:lastColumn="0" w:oddVBand="0" w:evenVBand="0" w:oddHBand="0" w:evenHBand="0" w:firstRowFirstColumn="0" w:firstRowLastColumn="0" w:lastRowFirstColumn="0" w:lastRowLastColumn="0"/>
            <w:tcW w:w="1560" w:type="dxa"/>
            <w:noWrap/>
            <w:hideMark/>
          </w:tcPr>
          <w:p w14:paraId="1A5CDE3D"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Costa et al. 2020</w:t>
            </w:r>
          </w:p>
        </w:tc>
        <w:tc>
          <w:tcPr>
            <w:tcW w:w="1413" w:type="dxa"/>
            <w:noWrap/>
            <w:hideMark/>
          </w:tcPr>
          <w:p w14:paraId="77C694A3"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Brazil</w:t>
            </w:r>
          </w:p>
        </w:tc>
        <w:tc>
          <w:tcPr>
            <w:tcW w:w="837" w:type="dxa"/>
            <w:noWrap/>
            <w:hideMark/>
          </w:tcPr>
          <w:p w14:paraId="18412030"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NRCT</w:t>
            </w:r>
          </w:p>
        </w:tc>
        <w:tc>
          <w:tcPr>
            <w:tcW w:w="878" w:type="dxa"/>
            <w:noWrap/>
            <w:hideMark/>
          </w:tcPr>
          <w:p w14:paraId="157C855E"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60</w:t>
            </w:r>
          </w:p>
        </w:tc>
        <w:tc>
          <w:tcPr>
            <w:tcW w:w="1577" w:type="dxa"/>
            <w:hideMark/>
          </w:tcPr>
          <w:p w14:paraId="651515E7" w14:textId="38F7161E"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5-12</w:t>
            </w:r>
            <w:r>
              <w:rPr>
                <w:rFonts w:ascii="Times New Roman" w:eastAsia="Times New Roman" w:hAnsi="Times New Roman" w:cs="Times New Roman"/>
                <w:sz w:val="18"/>
                <w:szCs w:val="18"/>
                <w:lang w:val="en-GB" w:eastAsia="nl-NL"/>
              </w:rPr>
              <w:t xml:space="preserve"> </w:t>
            </w:r>
            <w:r w:rsidRPr="00333A96">
              <w:rPr>
                <w:rFonts w:ascii="Times New Roman" w:eastAsia="Times New Roman" w:hAnsi="Times New Roman" w:cs="Times New Roman"/>
                <w:sz w:val="18"/>
                <w:szCs w:val="18"/>
                <w:lang w:val="en-GB" w:eastAsia="nl-NL"/>
              </w:rPr>
              <w:t>(8.4±1.5)</w:t>
            </w:r>
          </w:p>
        </w:tc>
        <w:tc>
          <w:tcPr>
            <w:tcW w:w="1794" w:type="dxa"/>
            <w:hideMark/>
          </w:tcPr>
          <w:p w14:paraId="74F625F1"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Compare a newly created pediatric sialometer's effectiveness and acceptability as an alternative to the traditional spitting method</w:t>
            </w:r>
          </w:p>
        </w:tc>
        <w:tc>
          <w:tcPr>
            <w:tcW w:w="1365" w:type="dxa"/>
            <w:hideMark/>
          </w:tcPr>
          <w:p w14:paraId="221A8564"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Spitting, suction </w:t>
            </w:r>
          </w:p>
        </w:tc>
        <w:tc>
          <w:tcPr>
            <w:tcW w:w="1179" w:type="dxa"/>
            <w:hideMark/>
          </w:tcPr>
          <w:p w14:paraId="6E7C0419"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Tube, Sialometer</w:t>
            </w:r>
          </w:p>
        </w:tc>
        <w:tc>
          <w:tcPr>
            <w:tcW w:w="1178" w:type="dxa"/>
            <w:hideMark/>
          </w:tcPr>
          <w:p w14:paraId="26B62AD2"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307" w:type="dxa"/>
            <w:hideMark/>
          </w:tcPr>
          <w:p w14:paraId="359577F5"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Device is coated with a monkey cover</w:t>
            </w:r>
          </w:p>
        </w:tc>
        <w:tc>
          <w:tcPr>
            <w:tcW w:w="3215" w:type="dxa"/>
            <w:gridSpan w:val="2"/>
            <w:hideMark/>
          </w:tcPr>
          <w:p w14:paraId="4227B849"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No significant difference in US salivary flow between G1 and G2 (spitting vs new method)</w:t>
            </w:r>
            <w:r w:rsidRPr="00333A96">
              <w:rPr>
                <w:rFonts w:ascii="Times New Roman" w:eastAsia="Times New Roman" w:hAnsi="Times New Roman" w:cs="Times New Roman"/>
                <w:sz w:val="18"/>
                <w:szCs w:val="18"/>
                <w:lang w:val="en-GB" w:eastAsia="nl-NL"/>
              </w:rPr>
              <w:br/>
              <w:t>2) The pediatric sialometer is clearer and has less obvious contamination than the spitting method.</w:t>
            </w:r>
            <w:r w:rsidRPr="00333A96">
              <w:rPr>
                <w:rFonts w:ascii="Times New Roman" w:eastAsia="Times New Roman" w:hAnsi="Times New Roman" w:cs="Times New Roman"/>
                <w:sz w:val="18"/>
                <w:szCs w:val="18"/>
                <w:lang w:val="en-GB" w:eastAsia="nl-NL"/>
              </w:rPr>
              <w:br/>
              <w:t xml:space="preserve">3) The pediatric sialometer was well accepted and evaluated positively in terms of acceptance even among children with more challenging conditioning, </w:t>
            </w:r>
          </w:p>
        </w:tc>
      </w:tr>
      <w:tr w:rsidR="00D05AB4" w:rsidRPr="00CC2F10" w14:paraId="70EC4682" w14:textId="77777777" w:rsidTr="00CC2F10">
        <w:trPr>
          <w:trHeight w:val="1872"/>
        </w:trPr>
        <w:tc>
          <w:tcPr>
            <w:cnfStyle w:val="001000000000" w:firstRow="0" w:lastRow="0" w:firstColumn="1" w:lastColumn="0" w:oddVBand="0" w:evenVBand="0" w:oddHBand="0" w:evenHBand="0" w:firstRowFirstColumn="0" w:firstRowLastColumn="0" w:lastRowFirstColumn="0" w:lastRowLastColumn="0"/>
            <w:tcW w:w="1560" w:type="dxa"/>
            <w:noWrap/>
            <w:hideMark/>
          </w:tcPr>
          <w:p w14:paraId="08F01C02"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lastRenderedPageBreak/>
              <w:t>Cui et al. 2021</w:t>
            </w:r>
          </w:p>
        </w:tc>
        <w:tc>
          <w:tcPr>
            <w:tcW w:w="1413" w:type="dxa"/>
            <w:noWrap/>
            <w:hideMark/>
          </w:tcPr>
          <w:p w14:paraId="7E6F31E5"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China</w:t>
            </w:r>
          </w:p>
        </w:tc>
        <w:tc>
          <w:tcPr>
            <w:tcW w:w="837" w:type="dxa"/>
            <w:noWrap/>
            <w:hideMark/>
          </w:tcPr>
          <w:p w14:paraId="0ADA0EBD"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6A74158A"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16</w:t>
            </w:r>
          </w:p>
        </w:tc>
        <w:tc>
          <w:tcPr>
            <w:tcW w:w="1577" w:type="dxa"/>
            <w:hideMark/>
          </w:tcPr>
          <w:p w14:paraId="026B47C5"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4-5 (?)</w:t>
            </w:r>
          </w:p>
        </w:tc>
        <w:tc>
          <w:tcPr>
            <w:tcW w:w="1794" w:type="dxa"/>
            <w:hideMark/>
          </w:tcPr>
          <w:p w14:paraId="68AD14F9"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Examine the mycobiome's variations in various spatial niches both with and without S-ECC</w:t>
            </w:r>
          </w:p>
        </w:tc>
        <w:tc>
          <w:tcPr>
            <w:tcW w:w="1365" w:type="dxa"/>
            <w:hideMark/>
          </w:tcPr>
          <w:p w14:paraId="530A8E71"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Spitting</w:t>
            </w:r>
          </w:p>
        </w:tc>
        <w:tc>
          <w:tcPr>
            <w:tcW w:w="1179" w:type="dxa"/>
            <w:hideMark/>
          </w:tcPr>
          <w:p w14:paraId="57076ACD"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Sterile tube</w:t>
            </w:r>
          </w:p>
        </w:tc>
        <w:tc>
          <w:tcPr>
            <w:tcW w:w="1178" w:type="dxa"/>
            <w:hideMark/>
          </w:tcPr>
          <w:p w14:paraId="52992DF0"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307" w:type="dxa"/>
            <w:hideMark/>
          </w:tcPr>
          <w:p w14:paraId="59842681"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2h fasting before sampling</w:t>
            </w:r>
          </w:p>
        </w:tc>
        <w:tc>
          <w:tcPr>
            <w:tcW w:w="3215" w:type="dxa"/>
            <w:gridSpan w:val="2"/>
            <w:hideMark/>
          </w:tcPr>
          <w:p w14:paraId="3DC6064B"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Significant differences in fungal communities between children with S-ECC and caries-free children, with CA showing higher abundance in S-ECC children.</w:t>
            </w:r>
            <w:r w:rsidRPr="00333A96">
              <w:rPr>
                <w:rFonts w:ascii="Times New Roman" w:eastAsia="Times New Roman" w:hAnsi="Times New Roman" w:cs="Times New Roman"/>
                <w:sz w:val="18"/>
                <w:szCs w:val="18"/>
                <w:lang w:val="en-GB" w:eastAsia="nl-NL"/>
              </w:rPr>
              <w:br/>
              <w:t>2) CA exhibited an increasing trend in abundance from healthy supragingival plaque to mixed plaque from decayed teeth and carious lesions in S-ECC children.</w:t>
            </w:r>
          </w:p>
        </w:tc>
      </w:tr>
      <w:tr w:rsidR="00D05AB4" w:rsidRPr="00CC2F10" w14:paraId="4CA621B9" w14:textId="77777777" w:rsidTr="00CC2F10">
        <w:trPr>
          <w:cnfStyle w:val="000000100000" w:firstRow="0" w:lastRow="0" w:firstColumn="0" w:lastColumn="0" w:oddVBand="0" w:evenVBand="0" w:oddHBand="1" w:evenHBand="0" w:firstRowFirstColumn="0" w:firstRowLastColumn="0" w:lastRowFirstColumn="0" w:lastRowLastColumn="0"/>
          <w:trHeight w:val="565"/>
        </w:trPr>
        <w:tc>
          <w:tcPr>
            <w:cnfStyle w:val="001000000000" w:firstRow="0" w:lastRow="0" w:firstColumn="1" w:lastColumn="0" w:oddVBand="0" w:evenVBand="0" w:oddHBand="0" w:evenHBand="0" w:firstRowFirstColumn="0" w:firstRowLastColumn="0" w:lastRowFirstColumn="0" w:lastRowLastColumn="0"/>
            <w:tcW w:w="1560" w:type="dxa"/>
            <w:noWrap/>
            <w:hideMark/>
          </w:tcPr>
          <w:p w14:paraId="3359CC35"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da Silva et al. 2015</w:t>
            </w:r>
          </w:p>
        </w:tc>
        <w:tc>
          <w:tcPr>
            <w:tcW w:w="1413" w:type="dxa"/>
            <w:noWrap/>
            <w:hideMark/>
          </w:tcPr>
          <w:p w14:paraId="16FBE526"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Brazil</w:t>
            </w:r>
          </w:p>
        </w:tc>
        <w:tc>
          <w:tcPr>
            <w:tcW w:w="837" w:type="dxa"/>
            <w:noWrap/>
            <w:hideMark/>
          </w:tcPr>
          <w:p w14:paraId="589298C0"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0AFAF590"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64</w:t>
            </w:r>
          </w:p>
        </w:tc>
        <w:tc>
          <w:tcPr>
            <w:tcW w:w="1577" w:type="dxa"/>
            <w:hideMark/>
          </w:tcPr>
          <w:p w14:paraId="58AB59CC"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11-12 (?)</w:t>
            </w:r>
          </w:p>
        </w:tc>
        <w:tc>
          <w:tcPr>
            <w:tcW w:w="1794" w:type="dxa"/>
            <w:hideMark/>
          </w:tcPr>
          <w:p w14:paraId="40A0C1B3"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Assess the relationships between childhood gingivitis, emotional health, and quality of life</w:t>
            </w:r>
          </w:p>
        </w:tc>
        <w:tc>
          <w:tcPr>
            <w:tcW w:w="1365" w:type="dxa"/>
            <w:hideMark/>
          </w:tcPr>
          <w:p w14:paraId="7233BAA7"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Absorption</w:t>
            </w:r>
          </w:p>
        </w:tc>
        <w:tc>
          <w:tcPr>
            <w:tcW w:w="1179" w:type="dxa"/>
            <w:hideMark/>
          </w:tcPr>
          <w:p w14:paraId="458C9593"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Salivette</w:t>
            </w:r>
          </w:p>
        </w:tc>
        <w:tc>
          <w:tcPr>
            <w:tcW w:w="1178" w:type="dxa"/>
            <w:hideMark/>
          </w:tcPr>
          <w:p w14:paraId="3D52FA73"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SS</w:t>
            </w:r>
          </w:p>
        </w:tc>
        <w:tc>
          <w:tcPr>
            <w:tcW w:w="1307" w:type="dxa"/>
            <w:hideMark/>
          </w:tcPr>
          <w:p w14:paraId="335EE3A5" w14:textId="3C88DA3D" w:rsidR="00D05AB4" w:rsidRPr="00333A96" w:rsidRDefault="001E3817"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3215" w:type="dxa"/>
            <w:gridSpan w:val="2"/>
            <w:hideMark/>
          </w:tcPr>
          <w:p w14:paraId="5A5010EC"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A significant positive correlation between anxiety and depression in both clinical groups</w:t>
            </w:r>
            <w:r w:rsidRPr="00333A96">
              <w:rPr>
                <w:rFonts w:ascii="Times New Roman" w:eastAsia="Times New Roman" w:hAnsi="Times New Roman" w:cs="Times New Roman"/>
                <w:sz w:val="18"/>
                <w:szCs w:val="18"/>
                <w:lang w:val="en-GB" w:eastAsia="nl-NL"/>
              </w:rPr>
              <w:br/>
              <w:t xml:space="preserve">2) The presence of gingivitis in children is associated with poorer psychological well-being, which could potentially impact their overall </w:t>
            </w:r>
            <w:r>
              <w:rPr>
                <w:rFonts w:ascii="Times New Roman" w:eastAsia="Times New Roman" w:hAnsi="Times New Roman" w:cs="Times New Roman"/>
                <w:sz w:val="18"/>
                <w:szCs w:val="18"/>
                <w:lang w:val="en-GB" w:eastAsia="nl-NL"/>
              </w:rPr>
              <w:t>quality of life</w:t>
            </w:r>
          </w:p>
        </w:tc>
      </w:tr>
      <w:tr w:rsidR="00D05AB4" w:rsidRPr="00CC2F10" w14:paraId="05032AFB" w14:textId="77777777" w:rsidTr="00CC2F10">
        <w:trPr>
          <w:trHeight w:val="1560"/>
        </w:trPr>
        <w:tc>
          <w:tcPr>
            <w:cnfStyle w:val="001000000000" w:firstRow="0" w:lastRow="0" w:firstColumn="1" w:lastColumn="0" w:oddVBand="0" w:evenVBand="0" w:oddHBand="0" w:evenHBand="0" w:firstRowFirstColumn="0" w:firstRowLastColumn="0" w:lastRowFirstColumn="0" w:lastRowLastColumn="0"/>
            <w:tcW w:w="1560" w:type="dxa"/>
            <w:noWrap/>
            <w:hideMark/>
          </w:tcPr>
          <w:p w14:paraId="1C6896F1"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Darmiani et al. 2022</w:t>
            </w:r>
          </w:p>
        </w:tc>
        <w:tc>
          <w:tcPr>
            <w:tcW w:w="1413" w:type="dxa"/>
            <w:noWrap/>
            <w:hideMark/>
          </w:tcPr>
          <w:p w14:paraId="73736221"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Iran</w:t>
            </w:r>
          </w:p>
        </w:tc>
        <w:tc>
          <w:tcPr>
            <w:tcW w:w="837" w:type="dxa"/>
            <w:noWrap/>
            <w:hideMark/>
          </w:tcPr>
          <w:p w14:paraId="2C88903D"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RCT</w:t>
            </w:r>
          </w:p>
        </w:tc>
        <w:tc>
          <w:tcPr>
            <w:tcW w:w="878" w:type="dxa"/>
            <w:noWrap/>
            <w:hideMark/>
          </w:tcPr>
          <w:p w14:paraId="0E123E91"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36</w:t>
            </w:r>
          </w:p>
        </w:tc>
        <w:tc>
          <w:tcPr>
            <w:tcW w:w="1577" w:type="dxa"/>
            <w:hideMark/>
          </w:tcPr>
          <w:p w14:paraId="6CF70250"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7-10 (?)</w:t>
            </w:r>
          </w:p>
        </w:tc>
        <w:tc>
          <w:tcPr>
            <w:tcW w:w="1794" w:type="dxa"/>
            <w:hideMark/>
          </w:tcPr>
          <w:p w14:paraId="5B209565"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Evaluate the antibacterial effects of fluoride varnish and diode laser irradiation on SM counts in saliva</w:t>
            </w:r>
          </w:p>
        </w:tc>
        <w:tc>
          <w:tcPr>
            <w:tcW w:w="1365" w:type="dxa"/>
            <w:hideMark/>
          </w:tcPr>
          <w:p w14:paraId="0C1037E9"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Suction</w:t>
            </w:r>
          </w:p>
        </w:tc>
        <w:tc>
          <w:tcPr>
            <w:tcW w:w="1179" w:type="dxa"/>
            <w:hideMark/>
          </w:tcPr>
          <w:p w14:paraId="653D8E8E"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Needle-less syringe</w:t>
            </w:r>
          </w:p>
        </w:tc>
        <w:tc>
          <w:tcPr>
            <w:tcW w:w="1178" w:type="dxa"/>
            <w:hideMark/>
          </w:tcPr>
          <w:p w14:paraId="0592BE2C"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307" w:type="dxa"/>
            <w:hideMark/>
          </w:tcPr>
          <w:p w14:paraId="699656A1"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2h fasting before sampling</w:t>
            </w:r>
          </w:p>
        </w:tc>
        <w:tc>
          <w:tcPr>
            <w:tcW w:w="3215" w:type="dxa"/>
            <w:gridSpan w:val="2"/>
            <w:hideMark/>
          </w:tcPr>
          <w:p w14:paraId="4786449E"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1) Fluoride varnish and diode laser irradiation both significantly reduced the number of SM bacterial colonies in saliva. The highest reduction was with a combination of both. </w:t>
            </w:r>
            <w:r w:rsidRPr="00333A96">
              <w:rPr>
                <w:rFonts w:ascii="Times New Roman" w:eastAsia="Times New Roman" w:hAnsi="Times New Roman" w:cs="Times New Roman"/>
                <w:sz w:val="18"/>
                <w:szCs w:val="18"/>
                <w:lang w:val="en-GB" w:eastAsia="nl-NL"/>
              </w:rPr>
              <w:br/>
              <w:t>2) Using the laser in conjunction with fluoride varnish, could be useful with antimicrobial therapy and dental caries prevention</w:t>
            </w:r>
          </w:p>
        </w:tc>
      </w:tr>
      <w:tr w:rsidR="00D05AB4" w:rsidRPr="00CC2F10" w14:paraId="279FDB0F" w14:textId="77777777" w:rsidTr="00CC2F10">
        <w:trPr>
          <w:cnfStyle w:val="000000100000" w:firstRow="0" w:lastRow="0" w:firstColumn="0" w:lastColumn="0" w:oddVBand="0" w:evenVBand="0" w:oddHBand="1" w:evenHBand="0" w:firstRowFirstColumn="0" w:firstRowLastColumn="0" w:lastRowFirstColumn="0" w:lastRowLastColumn="0"/>
          <w:trHeight w:val="1560"/>
        </w:trPr>
        <w:tc>
          <w:tcPr>
            <w:cnfStyle w:val="001000000000" w:firstRow="0" w:lastRow="0" w:firstColumn="1" w:lastColumn="0" w:oddVBand="0" w:evenVBand="0" w:oddHBand="0" w:evenHBand="0" w:firstRowFirstColumn="0" w:firstRowLastColumn="0" w:lastRowFirstColumn="0" w:lastRowLastColumn="0"/>
            <w:tcW w:w="1560" w:type="dxa"/>
            <w:noWrap/>
            <w:hideMark/>
          </w:tcPr>
          <w:p w14:paraId="6594A0E5"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Davidovich et al. 2021</w:t>
            </w:r>
          </w:p>
        </w:tc>
        <w:tc>
          <w:tcPr>
            <w:tcW w:w="1413" w:type="dxa"/>
            <w:noWrap/>
            <w:hideMark/>
          </w:tcPr>
          <w:p w14:paraId="11ED567F"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Israel</w:t>
            </w:r>
          </w:p>
        </w:tc>
        <w:tc>
          <w:tcPr>
            <w:tcW w:w="837" w:type="dxa"/>
            <w:noWrap/>
            <w:hideMark/>
          </w:tcPr>
          <w:p w14:paraId="591C0FCA"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2496A76E"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60</w:t>
            </w:r>
          </w:p>
        </w:tc>
        <w:tc>
          <w:tcPr>
            <w:tcW w:w="1577" w:type="dxa"/>
            <w:hideMark/>
          </w:tcPr>
          <w:p w14:paraId="42A1E1C8"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(10.8±4.0)</w:t>
            </w:r>
          </w:p>
        </w:tc>
        <w:tc>
          <w:tcPr>
            <w:tcW w:w="1794" w:type="dxa"/>
            <w:hideMark/>
          </w:tcPr>
          <w:p w14:paraId="575F7FAF"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Assess the salivary cytokine profile in children with liver transplants and healthy children as a potential replacement for blood testing</w:t>
            </w:r>
          </w:p>
        </w:tc>
        <w:tc>
          <w:tcPr>
            <w:tcW w:w="1365" w:type="dxa"/>
            <w:hideMark/>
          </w:tcPr>
          <w:p w14:paraId="05B2481A"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Spitting</w:t>
            </w:r>
          </w:p>
        </w:tc>
        <w:tc>
          <w:tcPr>
            <w:tcW w:w="1179" w:type="dxa"/>
            <w:hideMark/>
          </w:tcPr>
          <w:p w14:paraId="2384B3A9"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Test tube</w:t>
            </w:r>
          </w:p>
        </w:tc>
        <w:tc>
          <w:tcPr>
            <w:tcW w:w="1178" w:type="dxa"/>
            <w:hideMark/>
          </w:tcPr>
          <w:p w14:paraId="34ED264C"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307" w:type="dxa"/>
            <w:hideMark/>
          </w:tcPr>
          <w:p w14:paraId="08E30B87"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1h fasting before sampling </w:t>
            </w:r>
          </w:p>
        </w:tc>
        <w:tc>
          <w:tcPr>
            <w:tcW w:w="3215" w:type="dxa"/>
            <w:gridSpan w:val="2"/>
            <w:hideMark/>
          </w:tcPr>
          <w:p w14:paraId="093DEC53"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Children who had received liver transplants exhibited lower blood levels of inflammatory markers than healthy children, which may indicate a reduction in systemic inflammation.</w:t>
            </w:r>
            <w:r w:rsidRPr="00333A96">
              <w:rPr>
                <w:rFonts w:ascii="Times New Roman" w:eastAsia="Times New Roman" w:hAnsi="Times New Roman" w:cs="Times New Roman"/>
                <w:sz w:val="18"/>
                <w:szCs w:val="18"/>
                <w:lang w:val="en-GB" w:eastAsia="nl-NL"/>
              </w:rPr>
              <w:br/>
              <w:t>2) Children who had liver transplants showed a similar trend in salivary cytokine measures to serum inflammatory levels</w:t>
            </w:r>
          </w:p>
        </w:tc>
      </w:tr>
      <w:tr w:rsidR="00D05AB4" w:rsidRPr="00CC2F10" w14:paraId="79BBDE74" w14:textId="77777777" w:rsidTr="00CC2F10">
        <w:trPr>
          <w:trHeight w:val="1560"/>
        </w:trPr>
        <w:tc>
          <w:tcPr>
            <w:cnfStyle w:val="001000000000" w:firstRow="0" w:lastRow="0" w:firstColumn="1" w:lastColumn="0" w:oddVBand="0" w:evenVBand="0" w:oddHBand="0" w:evenHBand="0" w:firstRowFirstColumn="0" w:firstRowLastColumn="0" w:lastRowFirstColumn="0" w:lastRowLastColumn="0"/>
            <w:tcW w:w="1560" w:type="dxa"/>
            <w:noWrap/>
            <w:hideMark/>
          </w:tcPr>
          <w:p w14:paraId="3AA39D0D"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de Freitas et al. 2018</w:t>
            </w:r>
          </w:p>
        </w:tc>
        <w:tc>
          <w:tcPr>
            <w:tcW w:w="1413" w:type="dxa"/>
            <w:noWrap/>
            <w:hideMark/>
          </w:tcPr>
          <w:p w14:paraId="31CCC3F4"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Brazil</w:t>
            </w:r>
          </w:p>
        </w:tc>
        <w:tc>
          <w:tcPr>
            <w:tcW w:w="837" w:type="dxa"/>
            <w:noWrap/>
            <w:hideMark/>
          </w:tcPr>
          <w:p w14:paraId="17864561"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RCT</w:t>
            </w:r>
          </w:p>
        </w:tc>
        <w:tc>
          <w:tcPr>
            <w:tcW w:w="878" w:type="dxa"/>
            <w:noWrap/>
            <w:hideMark/>
          </w:tcPr>
          <w:p w14:paraId="152056A2"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43</w:t>
            </w:r>
          </w:p>
        </w:tc>
        <w:tc>
          <w:tcPr>
            <w:tcW w:w="1577" w:type="dxa"/>
            <w:hideMark/>
          </w:tcPr>
          <w:p w14:paraId="14A847C4"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0 (?)</w:t>
            </w:r>
          </w:p>
        </w:tc>
        <w:tc>
          <w:tcPr>
            <w:tcW w:w="1794" w:type="dxa"/>
            <w:hideMark/>
          </w:tcPr>
          <w:p w14:paraId="16D5E58D"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Compare the preterm infant’s body temperature, HR, Spo2, salivary cortisol levels, and sleep-wake states during and after </w:t>
            </w:r>
            <w:r w:rsidRPr="00333A96">
              <w:rPr>
                <w:rFonts w:ascii="Times New Roman" w:eastAsia="Times New Roman" w:hAnsi="Times New Roman" w:cs="Times New Roman"/>
                <w:sz w:val="18"/>
                <w:szCs w:val="18"/>
                <w:lang w:val="en-GB" w:eastAsia="nl-NL"/>
              </w:rPr>
              <w:lastRenderedPageBreak/>
              <w:t>swaddled and traditional tub baths</w:t>
            </w:r>
          </w:p>
        </w:tc>
        <w:tc>
          <w:tcPr>
            <w:tcW w:w="1365" w:type="dxa"/>
            <w:hideMark/>
          </w:tcPr>
          <w:p w14:paraId="26D4004E"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lastRenderedPageBreak/>
              <w:t>Absorption</w:t>
            </w:r>
          </w:p>
        </w:tc>
        <w:tc>
          <w:tcPr>
            <w:tcW w:w="1179" w:type="dxa"/>
            <w:hideMark/>
          </w:tcPr>
          <w:p w14:paraId="2E1C7F03"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Sponge swab (Merocel)</w:t>
            </w:r>
          </w:p>
        </w:tc>
        <w:tc>
          <w:tcPr>
            <w:tcW w:w="1178" w:type="dxa"/>
            <w:hideMark/>
          </w:tcPr>
          <w:p w14:paraId="1641654B"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307" w:type="dxa"/>
            <w:hideMark/>
          </w:tcPr>
          <w:p w14:paraId="65D7A17F" w14:textId="7DAF795D" w:rsidR="00D05AB4" w:rsidRPr="00333A96" w:rsidRDefault="001E3817"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3215" w:type="dxa"/>
            <w:gridSpan w:val="2"/>
            <w:hideMark/>
          </w:tcPr>
          <w:p w14:paraId="1C5B6845" w14:textId="7A184786"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No significant differences between the bath types in the mean body temperature, HR, Spo2, salivary cortisol levels, and sleep-wake states in the first 20min.</w:t>
            </w:r>
            <w:r w:rsidRPr="00333A96">
              <w:rPr>
                <w:rFonts w:ascii="Times New Roman" w:eastAsia="Times New Roman" w:hAnsi="Times New Roman" w:cs="Times New Roman"/>
                <w:sz w:val="18"/>
                <w:szCs w:val="18"/>
                <w:lang w:val="en-GB" w:eastAsia="nl-NL"/>
              </w:rPr>
              <w:br/>
              <w:t>2) Salivary cortisol levels increased regardless of bath type in a non-statistically significant way</w:t>
            </w:r>
          </w:p>
        </w:tc>
      </w:tr>
      <w:tr w:rsidR="00D05AB4" w:rsidRPr="00CC2F10" w14:paraId="4DAFE924" w14:textId="77777777" w:rsidTr="00CC2F10">
        <w:trPr>
          <w:cnfStyle w:val="000000100000" w:firstRow="0" w:lastRow="0" w:firstColumn="0" w:lastColumn="0" w:oddVBand="0" w:evenVBand="0" w:oddHBand="1" w:evenHBand="0" w:firstRowFirstColumn="0" w:firstRowLastColumn="0" w:lastRowFirstColumn="0" w:lastRowLastColumn="0"/>
          <w:trHeight w:val="1248"/>
        </w:trPr>
        <w:tc>
          <w:tcPr>
            <w:cnfStyle w:val="001000000000" w:firstRow="0" w:lastRow="0" w:firstColumn="1" w:lastColumn="0" w:oddVBand="0" w:evenVBand="0" w:oddHBand="0" w:evenHBand="0" w:firstRowFirstColumn="0" w:firstRowLastColumn="0" w:lastRowFirstColumn="0" w:lastRowLastColumn="0"/>
            <w:tcW w:w="1560" w:type="dxa"/>
            <w:noWrap/>
            <w:hideMark/>
          </w:tcPr>
          <w:p w14:paraId="3751FB9B"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de Weger et al. 2022</w:t>
            </w:r>
          </w:p>
        </w:tc>
        <w:tc>
          <w:tcPr>
            <w:tcW w:w="1413" w:type="dxa"/>
            <w:noWrap/>
            <w:hideMark/>
          </w:tcPr>
          <w:p w14:paraId="5F2E3FB3"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The Netherlands</w:t>
            </w:r>
          </w:p>
        </w:tc>
        <w:tc>
          <w:tcPr>
            <w:tcW w:w="837" w:type="dxa"/>
            <w:noWrap/>
            <w:hideMark/>
          </w:tcPr>
          <w:p w14:paraId="0C4EA06E"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3F6D4CBD"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30</w:t>
            </w:r>
          </w:p>
        </w:tc>
        <w:tc>
          <w:tcPr>
            <w:tcW w:w="1577" w:type="dxa"/>
            <w:hideMark/>
          </w:tcPr>
          <w:p w14:paraId="5F25D203"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3-18 (?)</w:t>
            </w:r>
          </w:p>
        </w:tc>
        <w:tc>
          <w:tcPr>
            <w:tcW w:w="1794" w:type="dxa"/>
            <w:hideMark/>
          </w:tcPr>
          <w:p w14:paraId="48F6B7BF"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Determine if tryptase can be found in children's saliva after OFC</w:t>
            </w:r>
          </w:p>
        </w:tc>
        <w:tc>
          <w:tcPr>
            <w:tcW w:w="1365" w:type="dxa"/>
            <w:hideMark/>
          </w:tcPr>
          <w:p w14:paraId="3BF4017D"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Absorption</w:t>
            </w:r>
          </w:p>
        </w:tc>
        <w:tc>
          <w:tcPr>
            <w:tcW w:w="1179" w:type="dxa"/>
            <w:hideMark/>
          </w:tcPr>
          <w:p w14:paraId="1AE9EFDB"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Salivette cotton swab</w:t>
            </w:r>
          </w:p>
        </w:tc>
        <w:tc>
          <w:tcPr>
            <w:tcW w:w="1178" w:type="dxa"/>
            <w:hideMark/>
          </w:tcPr>
          <w:p w14:paraId="1BA35710"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SS</w:t>
            </w:r>
          </w:p>
        </w:tc>
        <w:tc>
          <w:tcPr>
            <w:tcW w:w="1307" w:type="dxa"/>
            <w:hideMark/>
          </w:tcPr>
          <w:p w14:paraId="644FC49F" w14:textId="72CFFFC4" w:rsidR="00D05AB4" w:rsidRPr="00333A96" w:rsidRDefault="001E3817"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3215" w:type="dxa"/>
            <w:gridSpan w:val="2"/>
            <w:hideMark/>
          </w:tcPr>
          <w:p w14:paraId="6336F05C" w14:textId="33F4CBFC"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w:t>
            </w:r>
            <w:r>
              <w:rPr>
                <w:rFonts w:ascii="Times New Roman" w:eastAsia="Times New Roman" w:hAnsi="Times New Roman" w:cs="Times New Roman"/>
                <w:sz w:val="18"/>
                <w:szCs w:val="18"/>
                <w:lang w:val="en-GB" w:eastAsia="nl-NL"/>
              </w:rPr>
              <w:t xml:space="preserve"> </w:t>
            </w:r>
            <w:r w:rsidRPr="00333A96">
              <w:rPr>
                <w:rFonts w:ascii="Times New Roman" w:eastAsia="Times New Roman" w:hAnsi="Times New Roman" w:cs="Times New Roman"/>
                <w:sz w:val="18"/>
                <w:szCs w:val="18"/>
                <w:lang w:val="en-GB" w:eastAsia="nl-NL"/>
              </w:rPr>
              <w:t>Patients with a positive OFC outcome compared to a negative outcome had significantly different means for the change in baseline tryptase value to each saliva collecting time point.</w:t>
            </w:r>
            <w:r w:rsidRPr="00333A96">
              <w:rPr>
                <w:rFonts w:ascii="Times New Roman" w:eastAsia="Times New Roman" w:hAnsi="Times New Roman" w:cs="Times New Roman"/>
                <w:sz w:val="18"/>
                <w:szCs w:val="18"/>
                <w:lang w:val="en-GB" w:eastAsia="nl-NL"/>
              </w:rPr>
              <w:br/>
              <w:t>2) Tryptase levels in saliva can help in food allergy diagnosis.</w:t>
            </w:r>
          </w:p>
        </w:tc>
      </w:tr>
      <w:tr w:rsidR="00D05AB4" w:rsidRPr="00CC2F10" w14:paraId="6A2CCCA0" w14:textId="77777777" w:rsidTr="00CC2F10">
        <w:trPr>
          <w:trHeight w:val="1560"/>
        </w:trPr>
        <w:tc>
          <w:tcPr>
            <w:cnfStyle w:val="001000000000" w:firstRow="0" w:lastRow="0" w:firstColumn="1" w:lastColumn="0" w:oddVBand="0" w:evenVBand="0" w:oddHBand="0" w:evenHBand="0" w:firstRowFirstColumn="0" w:firstRowLastColumn="0" w:lastRowFirstColumn="0" w:lastRowLastColumn="0"/>
            <w:tcW w:w="1560" w:type="dxa"/>
            <w:noWrap/>
            <w:hideMark/>
          </w:tcPr>
          <w:p w14:paraId="708FDD3F"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de Wildt et al. 2001</w:t>
            </w:r>
          </w:p>
        </w:tc>
        <w:tc>
          <w:tcPr>
            <w:tcW w:w="1413" w:type="dxa"/>
            <w:noWrap/>
            <w:hideMark/>
          </w:tcPr>
          <w:p w14:paraId="5A27AB8D"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The Netherlands</w:t>
            </w:r>
          </w:p>
        </w:tc>
        <w:tc>
          <w:tcPr>
            <w:tcW w:w="837" w:type="dxa"/>
            <w:noWrap/>
            <w:hideMark/>
          </w:tcPr>
          <w:p w14:paraId="3EED2F31"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2C384504"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237</w:t>
            </w:r>
          </w:p>
        </w:tc>
        <w:tc>
          <w:tcPr>
            <w:tcW w:w="1577" w:type="dxa"/>
            <w:hideMark/>
          </w:tcPr>
          <w:p w14:paraId="05BC789B"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0 (?)</w:t>
            </w:r>
          </w:p>
        </w:tc>
        <w:tc>
          <w:tcPr>
            <w:tcW w:w="1794" w:type="dxa"/>
            <w:hideMark/>
          </w:tcPr>
          <w:p w14:paraId="2A6B9718"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Investigate the feasibility of utilizing a reproducible and practical method of saliva collection to replace plasma in routine TDM of caffeine in preterm new-borns</w:t>
            </w:r>
          </w:p>
        </w:tc>
        <w:tc>
          <w:tcPr>
            <w:tcW w:w="1365" w:type="dxa"/>
            <w:hideMark/>
          </w:tcPr>
          <w:p w14:paraId="7C9043D0"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Absorption</w:t>
            </w:r>
          </w:p>
        </w:tc>
        <w:tc>
          <w:tcPr>
            <w:tcW w:w="1179" w:type="dxa"/>
            <w:hideMark/>
          </w:tcPr>
          <w:p w14:paraId="4586896F"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Cotton swab</w:t>
            </w:r>
          </w:p>
        </w:tc>
        <w:tc>
          <w:tcPr>
            <w:tcW w:w="1178" w:type="dxa"/>
            <w:hideMark/>
          </w:tcPr>
          <w:p w14:paraId="55533F5D"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 &amp; SS</w:t>
            </w:r>
          </w:p>
        </w:tc>
        <w:tc>
          <w:tcPr>
            <w:tcW w:w="1307" w:type="dxa"/>
            <w:hideMark/>
          </w:tcPr>
          <w:p w14:paraId="75B2BD08" w14:textId="02B790E1" w:rsidR="00D05AB4" w:rsidRPr="00333A96" w:rsidRDefault="001E3817"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3215" w:type="dxa"/>
            <w:gridSpan w:val="2"/>
            <w:hideMark/>
          </w:tcPr>
          <w:p w14:paraId="650ACB79"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1) The plots of the plasma/saliva results indicated linear associations for all collection techniques.  </w:t>
            </w:r>
            <w:r w:rsidRPr="00333A96">
              <w:rPr>
                <w:rFonts w:ascii="Times New Roman" w:eastAsia="Times New Roman" w:hAnsi="Times New Roman" w:cs="Times New Roman"/>
                <w:sz w:val="18"/>
                <w:szCs w:val="18"/>
                <w:lang w:val="en-GB" w:eastAsia="nl-NL"/>
              </w:rPr>
              <w:br/>
              <w:t xml:space="preserve">2) The use of citric acid in the cheek pouch to stimulate saliva production improved the association between caffeine concentrations in plasma and saliva and the reliability of saliva samples. </w:t>
            </w:r>
          </w:p>
        </w:tc>
      </w:tr>
      <w:tr w:rsidR="00D05AB4" w:rsidRPr="00CC2F10" w14:paraId="45858982" w14:textId="77777777" w:rsidTr="00CC2F10">
        <w:trPr>
          <w:cnfStyle w:val="000000100000" w:firstRow="0" w:lastRow="0" w:firstColumn="0" w:lastColumn="0" w:oddVBand="0" w:evenVBand="0" w:oddHBand="1" w:evenHBand="0" w:firstRowFirstColumn="0" w:firstRowLastColumn="0" w:lastRowFirstColumn="0" w:lastRowLastColumn="0"/>
          <w:trHeight w:val="1248"/>
        </w:trPr>
        <w:tc>
          <w:tcPr>
            <w:cnfStyle w:val="001000000000" w:firstRow="0" w:lastRow="0" w:firstColumn="1" w:lastColumn="0" w:oddVBand="0" w:evenVBand="0" w:oddHBand="0" w:evenHBand="0" w:firstRowFirstColumn="0" w:firstRowLastColumn="0" w:lastRowFirstColumn="0" w:lastRowLastColumn="0"/>
            <w:tcW w:w="1560" w:type="dxa"/>
            <w:noWrap/>
            <w:hideMark/>
          </w:tcPr>
          <w:p w14:paraId="53B31700"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Demirci et al. 2019</w:t>
            </w:r>
          </w:p>
        </w:tc>
        <w:tc>
          <w:tcPr>
            <w:tcW w:w="1413" w:type="dxa"/>
            <w:noWrap/>
            <w:hideMark/>
          </w:tcPr>
          <w:p w14:paraId="18864507"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Turkey</w:t>
            </w:r>
          </w:p>
        </w:tc>
        <w:tc>
          <w:tcPr>
            <w:tcW w:w="837" w:type="dxa"/>
            <w:noWrap/>
            <w:hideMark/>
          </w:tcPr>
          <w:p w14:paraId="7212D1D7"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CC</w:t>
            </w:r>
          </w:p>
        </w:tc>
        <w:tc>
          <w:tcPr>
            <w:tcW w:w="878" w:type="dxa"/>
            <w:noWrap/>
            <w:hideMark/>
          </w:tcPr>
          <w:p w14:paraId="57091D11"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76</w:t>
            </w:r>
          </w:p>
        </w:tc>
        <w:tc>
          <w:tcPr>
            <w:tcW w:w="1577" w:type="dxa"/>
            <w:hideMark/>
          </w:tcPr>
          <w:p w14:paraId="13ACE7AD"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3-10 (5.50±2.05)</w:t>
            </w:r>
          </w:p>
        </w:tc>
        <w:tc>
          <w:tcPr>
            <w:tcW w:w="1794" w:type="dxa"/>
            <w:hideMark/>
          </w:tcPr>
          <w:p w14:paraId="6B408ACC"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Ascertain whether Sia levels are causally related to ASD</w:t>
            </w:r>
          </w:p>
        </w:tc>
        <w:tc>
          <w:tcPr>
            <w:tcW w:w="1365" w:type="dxa"/>
            <w:hideMark/>
          </w:tcPr>
          <w:p w14:paraId="2619A1BB"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Spitting</w:t>
            </w:r>
          </w:p>
        </w:tc>
        <w:tc>
          <w:tcPr>
            <w:tcW w:w="1179" w:type="dxa"/>
            <w:hideMark/>
          </w:tcPr>
          <w:p w14:paraId="405E52E2"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Plastic tube</w:t>
            </w:r>
          </w:p>
        </w:tc>
        <w:tc>
          <w:tcPr>
            <w:tcW w:w="1178" w:type="dxa"/>
            <w:hideMark/>
          </w:tcPr>
          <w:p w14:paraId="7D9E7AAB"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307" w:type="dxa"/>
            <w:hideMark/>
          </w:tcPr>
          <w:p w14:paraId="43D4F8C4"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2h fasting before sampling</w:t>
            </w:r>
          </w:p>
        </w:tc>
        <w:tc>
          <w:tcPr>
            <w:tcW w:w="3215" w:type="dxa"/>
            <w:gridSpan w:val="2"/>
            <w:hideMark/>
          </w:tcPr>
          <w:p w14:paraId="5C5860C7"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Sia levels were significantly lower in children with ASD and there was no correlation between the severity of ASD.</w:t>
            </w:r>
            <w:r w:rsidRPr="00333A96">
              <w:rPr>
                <w:rFonts w:ascii="Times New Roman" w:eastAsia="Times New Roman" w:hAnsi="Times New Roman" w:cs="Times New Roman"/>
                <w:sz w:val="18"/>
                <w:szCs w:val="18"/>
                <w:lang w:val="en-GB" w:eastAsia="nl-NL"/>
              </w:rPr>
              <w:br/>
              <w:t>2) Negative correlations were observed between Sia levels and autism-like behaviours, specifically stereotypes and hyperactivity.</w:t>
            </w:r>
          </w:p>
        </w:tc>
      </w:tr>
      <w:tr w:rsidR="00D05AB4" w:rsidRPr="00CC2F10" w14:paraId="64196CC2" w14:textId="77777777" w:rsidTr="00CC2F10">
        <w:trPr>
          <w:trHeight w:val="1248"/>
        </w:trPr>
        <w:tc>
          <w:tcPr>
            <w:cnfStyle w:val="001000000000" w:firstRow="0" w:lastRow="0" w:firstColumn="1" w:lastColumn="0" w:oddVBand="0" w:evenVBand="0" w:oddHBand="0" w:evenHBand="0" w:firstRowFirstColumn="0" w:firstRowLastColumn="0" w:lastRowFirstColumn="0" w:lastRowLastColumn="0"/>
            <w:tcW w:w="1560" w:type="dxa"/>
            <w:noWrap/>
            <w:hideMark/>
          </w:tcPr>
          <w:p w14:paraId="2EF92A8D"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Demortier et al. 2021</w:t>
            </w:r>
          </w:p>
        </w:tc>
        <w:tc>
          <w:tcPr>
            <w:tcW w:w="1413" w:type="dxa"/>
            <w:noWrap/>
            <w:hideMark/>
          </w:tcPr>
          <w:p w14:paraId="27E23366"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France</w:t>
            </w:r>
          </w:p>
        </w:tc>
        <w:tc>
          <w:tcPr>
            <w:tcW w:w="837" w:type="dxa"/>
            <w:noWrap/>
            <w:hideMark/>
          </w:tcPr>
          <w:p w14:paraId="2BDA912B"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7AFFF28A"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1042</w:t>
            </w:r>
          </w:p>
        </w:tc>
        <w:tc>
          <w:tcPr>
            <w:tcW w:w="1577" w:type="dxa"/>
            <w:hideMark/>
          </w:tcPr>
          <w:p w14:paraId="480882C1"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0 (?)</w:t>
            </w:r>
          </w:p>
        </w:tc>
        <w:tc>
          <w:tcPr>
            <w:tcW w:w="1794" w:type="dxa"/>
            <w:hideMark/>
          </w:tcPr>
          <w:p w14:paraId="098D123D"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Assess the interest in and viability/acceptability of universal cCMV screening at birth, as well as the incidence of cCMV</w:t>
            </w:r>
          </w:p>
        </w:tc>
        <w:tc>
          <w:tcPr>
            <w:tcW w:w="1365" w:type="dxa"/>
            <w:hideMark/>
          </w:tcPr>
          <w:p w14:paraId="040165C3"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Absorption</w:t>
            </w:r>
          </w:p>
        </w:tc>
        <w:tc>
          <w:tcPr>
            <w:tcW w:w="1179" w:type="dxa"/>
            <w:hideMark/>
          </w:tcPr>
          <w:p w14:paraId="44A994C6"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Swab (eNAT Collection Kit)</w:t>
            </w:r>
          </w:p>
        </w:tc>
        <w:tc>
          <w:tcPr>
            <w:tcW w:w="1178" w:type="dxa"/>
            <w:hideMark/>
          </w:tcPr>
          <w:p w14:paraId="38BD4CD7"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307" w:type="dxa"/>
            <w:hideMark/>
          </w:tcPr>
          <w:p w14:paraId="5139B6EF" w14:textId="0D5E733E" w:rsidR="00D05AB4" w:rsidRPr="00333A96" w:rsidRDefault="001E3817"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3215" w:type="dxa"/>
            <w:gridSpan w:val="2"/>
            <w:hideMark/>
          </w:tcPr>
          <w:p w14:paraId="2E2BDF11" w14:textId="5DA4E3FA"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Saliva swab-based universal newborn CMV screening has been implemented into place and demonstrated to be both acceptable and practical.</w:t>
            </w:r>
          </w:p>
        </w:tc>
      </w:tr>
      <w:tr w:rsidR="00D05AB4" w:rsidRPr="00CC2F10" w14:paraId="0B57343F" w14:textId="77777777" w:rsidTr="00CC2F10">
        <w:trPr>
          <w:cnfStyle w:val="000000100000" w:firstRow="0" w:lastRow="0" w:firstColumn="0" w:lastColumn="0" w:oddVBand="0" w:evenVBand="0" w:oddHBand="1" w:evenHBand="0" w:firstRowFirstColumn="0" w:firstRowLastColumn="0" w:lastRowFirstColumn="0" w:lastRowLastColumn="0"/>
          <w:trHeight w:val="1248"/>
        </w:trPr>
        <w:tc>
          <w:tcPr>
            <w:cnfStyle w:val="001000000000" w:firstRow="0" w:lastRow="0" w:firstColumn="1" w:lastColumn="0" w:oddVBand="0" w:evenVBand="0" w:oddHBand="0" w:evenHBand="0" w:firstRowFirstColumn="0" w:firstRowLastColumn="0" w:lastRowFirstColumn="0" w:lastRowLastColumn="0"/>
            <w:tcW w:w="1560" w:type="dxa"/>
            <w:noWrap/>
            <w:hideMark/>
          </w:tcPr>
          <w:p w14:paraId="3E6E49A9"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Dodwad et al. 2011</w:t>
            </w:r>
          </w:p>
        </w:tc>
        <w:tc>
          <w:tcPr>
            <w:tcW w:w="1413" w:type="dxa"/>
            <w:noWrap/>
            <w:hideMark/>
          </w:tcPr>
          <w:p w14:paraId="280CA38D"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India</w:t>
            </w:r>
          </w:p>
        </w:tc>
        <w:tc>
          <w:tcPr>
            <w:tcW w:w="837" w:type="dxa"/>
            <w:noWrap/>
            <w:hideMark/>
          </w:tcPr>
          <w:p w14:paraId="07EB12D2"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603DB769"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120</w:t>
            </w:r>
          </w:p>
        </w:tc>
        <w:tc>
          <w:tcPr>
            <w:tcW w:w="1577" w:type="dxa"/>
            <w:hideMark/>
          </w:tcPr>
          <w:p w14:paraId="3AB22F08"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7-14 (?)</w:t>
            </w:r>
          </w:p>
        </w:tc>
        <w:tc>
          <w:tcPr>
            <w:tcW w:w="1794" w:type="dxa"/>
            <w:hideMark/>
          </w:tcPr>
          <w:p w14:paraId="60C3115B"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Compare the levels of all antioxidants in children with and without caries</w:t>
            </w:r>
          </w:p>
        </w:tc>
        <w:tc>
          <w:tcPr>
            <w:tcW w:w="1365" w:type="dxa"/>
            <w:hideMark/>
          </w:tcPr>
          <w:p w14:paraId="367DCCE4"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Suction</w:t>
            </w:r>
          </w:p>
        </w:tc>
        <w:tc>
          <w:tcPr>
            <w:tcW w:w="1179" w:type="dxa"/>
            <w:hideMark/>
          </w:tcPr>
          <w:p w14:paraId="132A11D6" w14:textId="46EB467A" w:rsidR="00D05AB4" w:rsidRPr="00333A96" w:rsidRDefault="001E3817"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1178" w:type="dxa"/>
            <w:hideMark/>
          </w:tcPr>
          <w:p w14:paraId="4FFAEB66"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307" w:type="dxa"/>
            <w:hideMark/>
          </w:tcPr>
          <w:p w14:paraId="68258BC8" w14:textId="282207EE" w:rsidR="00D05AB4" w:rsidRPr="00333A96" w:rsidRDefault="001E3817"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3215" w:type="dxa"/>
            <w:gridSpan w:val="2"/>
            <w:hideMark/>
          </w:tcPr>
          <w:p w14:paraId="03706ECC"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Children with active caries exhibited significantly higher total antioxidant capacity in their saliva than children without active caries.</w:t>
            </w:r>
            <w:r w:rsidRPr="00333A96">
              <w:rPr>
                <w:rFonts w:ascii="Times New Roman" w:eastAsia="Times New Roman" w:hAnsi="Times New Roman" w:cs="Times New Roman"/>
                <w:sz w:val="18"/>
                <w:szCs w:val="18"/>
                <w:lang w:val="en-GB" w:eastAsia="nl-NL"/>
              </w:rPr>
              <w:br/>
              <w:t xml:space="preserve">2) Saliva's physicochemical </w:t>
            </w:r>
            <w:r w:rsidRPr="00333A96">
              <w:rPr>
                <w:rFonts w:ascii="Times New Roman" w:eastAsia="Times New Roman" w:hAnsi="Times New Roman" w:cs="Times New Roman"/>
                <w:sz w:val="18"/>
                <w:szCs w:val="18"/>
                <w:lang w:val="en-GB" w:eastAsia="nl-NL"/>
              </w:rPr>
              <w:lastRenderedPageBreak/>
              <w:t>characteristics, may have a role in the development of caries.</w:t>
            </w:r>
          </w:p>
        </w:tc>
      </w:tr>
      <w:tr w:rsidR="00D05AB4" w:rsidRPr="00CC2F10" w14:paraId="111F0672" w14:textId="77777777" w:rsidTr="00CC2F10">
        <w:trPr>
          <w:trHeight w:val="936"/>
        </w:trPr>
        <w:tc>
          <w:tcPr>
            <w:cnfStyle w:val="001000000000" w:firstRow="0" w:lastRow="0" w:firstColumn="1" w:lastColumn="0" w:oddVBand="0" w:evenVBand="0" w:oddHBand="0" w:evenHBand="0" w:firstRowFirstColumn="0" w:firstRowLastColumn="0" w:lastRowFirstColumn="0" w:lastRowLastColumn="0"/>
            <w:tcW w:w="1560" w:type="dxa"/>
            <w:noWrap/>
            <w:hideMark/>
          </w:tcPr>
          <w:p w14:paraId="2B7C07D7"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lastRenderedPageBreak/>
              <w:t>Dollard et al. 2021</w:t>
            </w:r>
          </w:p>
        </w:tc>
        <w:tc>
          <w:tcPr>
            <w:tcW w:w="1413" w:type="dxa"/>
            <w:noWrap/>
            <w:hideMark/>
          </w:tcPr>
          <w:p w14:paraId="50458A5D"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United States</w:t>
            </w:r>
          </w:p>
        </w:tc>
        <w:tc>
          <w:tcPr>
            <w:tcW w:w="837" w:type="dxa"/>
            <w:noWrap/>
            <w:hideMark/>
          </w:tcPr>
          <w:p w14:paraId="16D9E1A9"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Cohort</w:t>
            </w:r>
          </w:p>
        </w:tc>
        <w:tc>
          <w:tcPr>
            <w:tcW w:w="878" w:type="dxa"/>
            <w:noWrap/>
            <w:hideMark/>
          </w:tcPr>
          <w:p w14:paraId="3FB2DBFF"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12554</w:t>
            </w:r>
          </w:p>
        </w:tc>
        <w:tc>
          <w:tcPr>
            <w:tcW w:w="1577" w:type="dxa"/>
            <w:hideMark/>
          </w:tcPr>
          <w:p w14:paraId="4BAEAA0A"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0 (?)</w:t>
            </w:r>
          </w:p>
        </w:tc>
        <w:tc>
          <w:tcPr>
            <w:tcW w:w="1794" w:type="dxa"/>
            <w:hideMark/>
          </w:tcPr>
          <w:p w14:paraId="06BE2AC3" w14:textId="19CACA0F"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Using saliva as the screening reference standard for cCMV infection, evaluate the sensitivity of DBS PCR for newborn screening</w:t>
            </w:r>
          </w:p>
        </w:tc>
        <w:tc>
          <w:tcPr>
            <w:tcW w:w="1365" w:type="dxa"/>
            <w:hideMark/>
          </w:tcPr>
          <w:p w14:paraId="487B283F"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Absorption</w:t>
            </w:r>
          </w:p>
        </w:tc>
        <w:tc>
          <w:tcPr>
            <w:tcW w:w="1179" w:type="dxa"/>
            <w:hideMark/>
          </w:tcPr>
          <w:p w14:paraId="37C3D593"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Puritan swab </w:t>
            </w:r>
          </w:p>
        </w:tc>
        <w:tc>
          <w:tcPr>
            <w:tcW w:w="1178" w:type="dxa"/>
            <w:hideMark/>
          </w:tcPr>
          <w:p w14:paraId="6EE53653"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307" w:type="dxa"/>
            <w:hideMark/>
          </w:tcPr>
          <w:p w14:paraId="6A620AC1" w14:textId="6A1654A7" w:rsidR="00D05AB4" w:rsidRPr="00333A96" w:rsidRDefault="001E3817"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3215" w:type="dxa"/>
            <w:gridSpan w:val="2"/>
            <w:hideMark/>
          </w:tcPr>
          <w:p w14:paraId="4E439103"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DBS PCR exhibited an 85.7% sensitivity for cCMV infection detection, whereas saliva swab testing had a 92.9% sensitivity. </w:t>
            </w:r>
          </w:p>
        </w:tc>
      </w:tr>
      <w:tr w:rsidR="00D05AB4" w:rsidRPr="00CC2F10" w14:paraId="3318D555" w14:textId="77777777" w:rsidTr="00CC2F10">
        <w:trPr>
          <w:cnfStyle w:val="000000100000" w:firstRow="0" w:lastRow="0" w:firstColumn="0" w:lastColumn="0" w:oddVBand="0" w:evenVBand="0" w:oddHBand="1" w:evenHBand="0" w:firstRowFirstColumn="0" w:firstRowLastColumn="0" w:lastRowFirstColumn="0" w:lastRowLastColumn="0"/>
          <w:trHeight w:val="936"/>
        </w:trPr>
        <w:tc>
          <w:tcPr>
            <w:cnfStyle w:val="001000000000" w:firstRow="0" w:lastRow="0" w:firstColumn="1" w:lastColumn="0" w:oddVBand="0" w:evenVBand="0" w:oddHBand="0" w:evenHBand="0" w:firstRowFirstColumn="0" w:firstRowLastColumn="0" w:lastRowFirstColumn="0" w:lastRowLastColumn="0"/>
            <w:tcW w:w="1560" w:type="dxa"/>
            <w:noWrap/>
            <w:hideMark/>
          </w:tcPr>
          <w:p w14:paraId="6E46FB88"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Domingues et al. 2017</w:t>
            </w:r>
          </w:p>
        </w:tc>
        <w:tc>
          <w:tcPr>
            <w:tcW w:w="1413" w:type="dxa"/>
            <w:noWrap/>
            <w:hideMark/>
          </w:tcPr>
          <w:p w14:paraId="342C927C"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Brazil</w:t>
            </w:r>
          </w:p>
        </w:tc>
        <w:tc>
          <w:tcPr>
            <w:tcW w:w="837" w:type="dxa"/>
            <w:noWrap/>
            <w:hideMark/>
          </w:tcPr>
          <w:p w14:paraId="2CFC5F1D"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68D99A9F"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14394</w:t>
            </w:r>
          </w:p>
        </w:tc>
        <w:tc>
          <w:tcPr>
            <w:tcW w:w="1577" w:type="dxa"/>
            <w:hideMark/>
          </w:tcPr>
          <w:p w14:paraId="7F0DC3B6"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6-12 (?)</w:t>
            </w:r>
          </w:p>
        </w:tc>
        <w:tc>
          <w:tcPr>
            <w:tcW w:w="1794" w:type="dxa"/>
            <w:hideMark/>
          </w:tcPr>
          <w:p w14:paraId="4E1A2A48"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Investigate the differences in salivary characteristics between children with and without DS</w:t>
            </w:r>
          </w:p>
        </w:tc>
        <w:tc>
          <w:tcPr>
            <w:tcW w:w="1365" w:type="dxa"/>
            <w:hideMark/>
          </w:tcPr>
          <w:p w14:paraId="5CD4EE16"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Suction</w:t>
            </w:r>
          </w:p>
        </w:tc>
        <w:tc>
          <w:tcPr>
            <w:tcW w:w="1179" w:type="dxa"/>
            <w:hideMark/>
          </w:tcPr>
          <w:p w14:paraId="6FBEAB57"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Vacuum aspirator (Aspiramax) </w:t>
            </w:r>
          </w:p>
        </w:tc>
        <w:tc>
          <w:tcPr>
            <w:tcW w:w="1178" w:type="dxa"/>
            <w:hideMark/>
          </w:tcPr>
          <w:p w14:paraId="00C01149"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SS</w:t>
            </w:r>
          </w:p>
        </w:tc>
        <w:tc>
          <w:tcPr>
            <w:tcW w:w="1307" w:type="dxa"/>
            <w:hideMark/>
          </w:tcPr>
          <w:p w14:paraId="6363C78D" w14:textId="483CC97C" w:rsidR="00D05AB4" w:rsidRPr="00333A96" w:rsidRDefault="001E3817"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3215" w:type="dxa"/>
            <w:gridSpan w:val="2"/>
            <w:hideMark/>
          </w:tcPr>
          <w:p w14:paraId="05EB689C"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Salivary flow rate was significantly reduced in the DS group compared to the controls, and there was a significant rise in the difference between the DS group's total protein dose, SOD, and MDA levels. </w:t>
            </w:r>
          </w:p>
        </w:tc>
      </w:tr>
      <w:tr w:rsidR="00D05AB4" w:rsidRPr="00CC2F10" w14:paraId="198A9A33" w14:textId="77777777" w:rsidTr="00CC2F10">
        <w:trPr>
          <w:trHeight w:val="1560"/>
        </w:trPr>
        <w:tc>
          <w:tcPr>
            <w:cnfStyle w:val="001000000000" w:firstRow="0" w:lastRow="0" w:firstColumn="1" w:lastColumn="0" w:oddVBand="0" w:evenVBand="0" w:oddHBand="0" w:evenHBand="0" w:firstRowFirstColumn="0" w:firstRowLastColumn="0" w:lastRowFirstColumn="0" w:lastRowLastColumn="0"/>
            <w:tcW w:w="1560" w:type="dxa"/>
            <w:noWrap/>
            <w:hideMark/>
          </w:tcPr>
          <w:p w14:paraId="5ABCDB3E"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Durán-Carabali et al. 2021</w:t>
            </w:r>
          </w:p>
        </w:tc>
        <w:tc>
          <w:tcPr>
            <w:tcW w:w="1413" w:type="dxa"/>
            <w:noWrap/>
            <w:hideMark/>
          </w:tcPr>
          <w:p w14:paraId="1A33D0A9"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Colombia</w:t>
            </w:r>
          </w:p>
        </w:tc>
        <w:tc>
          <w:tcPr>
            <w:tcW w:w="837" w:type="dxa"/>
            <w:noWrap/>
            <w:hideMark/>
          </w:tcPr>
          <w:p w14:paraId="50D8B5E4"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24C6C525"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86</w:t>
            </w:r>
          </w:p>
        </w:tc>
        <w:tc>
          <w:tcPr>
            <w:tcW w:w="1577" w:type="dxa"/>
            <w:hideMark/>
          </w:tcPr>
          <w:p w14:paraId="7885E3B2"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0-6 (49.28m± 18.42)</w:t>
            </w:r>
          </w:p>
        </w:tc>
        <w:tc>
          <w:tcPr>
            <w:tcW w:w="1794" w:type="dxa"/>
            <w:hideMark/>
          </w:tcPr>
          <w:p w14:paraId="437D19E7"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Evaluate the baseline levels of stress biomarkers in CP patients and healthy children, and to determine whether an NDT-based physical therapy session affects these levels</w:t>
            </w:r>
          </w:p>
        </w:tc>
        <w:tc>
          <w:tcPr>
            <w:tcW w:w="1365" w:type="dxa"/>
            <w:hideMark/>
          </w:tcPr>
          <w:p w14:paraId="31577EAC"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Suction</w:t>
            </w:r>
          </w:p>
        </w:tc>
        <w:tc>
          <w:tcPr>
            <w:tcW w:w="1179" w:type="dxa"/>
            <w:hideMark/>
          </w:tcPr>
          <w:p w14:paraId="04A35877"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Needle-less syringe</w:t>
            </w:r>
          </w:p>
        </w:tc>
        <w:tc>
          <w:tcPr>
            <w:tcW w:w="1178" w:type="dxa"/>
            <w:hideMark/>
          </w:tcPr>
          <w:p w14:paraId="098587C1"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307" w:type="dxa"/>
            <w:hideMark/>
          </w:tcPr>
          <w:p w14:paraId="62B5A544"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30min fasting before sampling</w:t>
            </w:r>
          </w:p>
        </w:tc>
        <w:tc>
          <w:tcPr>
            <w:tcW w:w="3215" w:type="dxa"/>
            <w:gridSpan w:val="2"/>
            <w:hideMark/>
          </w:tcPr>
          <w:p w14:paraId="6D921DB5"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1) Higher basal cortisol concentration was found in CP children when compared to HC group. </w:t>
            </w:r>
            <w:r w:rsidRPr="00333A96">
              <w:rPr>
                <w:rFonts w:ascii="Times New Roman" w:eastAsia="Times New Roman" w:hAnsi="Times New Roman" w:cs="Times New Roman"/>
                <w:sz w:val="18"/>
                <w:szCs w:val="18"/>
                <w:lang w:val="en-GB" w:eastAsia="nl-NL"/>
              </w:rPr>
              <w:br/>
              <w:t>2) CP children showed a significant reduction in cortisol levels after NPT</w:t>
            </w:r>
          </w:p>
        </w:tc>
      </w:tr>
      <w:tr w:rsidR="00D05AB4" w:rsidRPr="00CC2F10" w14:paraId="67F566B7" w14:textId="77777777" w:rsidTr="00CC2F10">
        <w:trPr>
          <w:cnfStyle w:val="000000100000" w:firstRow="0" w:lastRow="0" w:firstColumn="0" w:lastColumn="0" w:oddVBand="0" w:evenVBand="0" w:oddHBand="1" w:evenHBand="0" w:firstRowFirstColumn="0" w:firstRowLastColumn="0" w:lastRowFirstColumn="0" w:lastRowLastColumn="0"/>
          <w:trHeight w:val="1248"/>
        </w:trPr>
        <w:tc>
          <w:tcPr>
            <w:cnfStyle w:val="001000000000" w:firstRow="0" w:lastRow="0" w:firstColumn="1" w:lastColumn="0" w:oddVBand="0" w:evenVBand="0" w:oddHBand="0" w:evenHBand="0" w:firstRowFirstColumn="0" w:firstRowLastColumn="0" w:lastRowFirstColumn="0" w:lastRowLastColumn="0"/>
            <w:tcW w:w="1560" w:type="dxa"/>
            <w:noWrap/>
            <w:hideMark/>
          </w:tcPr>
          <w:p w14:paraId="754A4A4D"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El-Farrash et al. 2020</w:t>
            </w:r>
          </w:p>
        </w:tc>
        <w:tc>
          <w:tcPr>
            <w:tcW w:w="1413" w:type="dxa"/>
            <w:noWrap/>
            <w:hideMark/>
          </w:tcPr>
          <w:p w14:paraId="3E115985"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Egypt</w:t>
            </w:r>
          </w:p>
        </w:tc>
        <w:tc>
          <w:tcPr>
            <w:tcW w:w="837" w:type="dxa"/>
            <w:noWrap/>
            <w:hideMark/>
          </w:tcPr>
          <w:p w14:paraId="3AA40C5F"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RCT</w:t>
            </w:r>
          </w:p>
        </w:tc>
        <w:tc>
          <w:tcPr>
            <w:tcW w:w="878" w:type="dxa"/>
            <w:noWrap/>
            <w:hideMark/>
          </w:tcPr>
          <w:p w14:paraId="427B762C"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120</w:t>
            </w:r>
          </w:p>
        </w:tc>
        <w:tc>
          <w:tcPr>
            <w:tcW w:w="1577" w:type="dxa"/>
            <w:hideMark/>
          </w:tcPr>
          <w:p w14:paraId="157151C6"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0 (?)</w:t>
            </w:r>
          </w:p>
        </w:tc>
        <w:tc>
          <w:tcPr>
            <w:tcW w:w="1794" w:type="dxa"/>
            <w:hideMark/>
          </w:tcPr>
          <w:p w14:paraId="375ADFF6"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Examine how long kangaroo care lasts and how it affects a premature infant's neurobehavioral skills, stress reaction, ability to nurse, and vital signs</w:t>
            </w:r>
          </w:p>
        </w:tc>
        <w:tc>
          <w:tcPr>
            <w:tcW w:w="1365" w:type="dxa"/>
            <w:hideMark/>
          </w:tcPr>
          <w:p w14:paraId="344EC1B3"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Suction</w:t>
            </w:r>
          </w:p>
        </w:tc>
        <w:tc>
          <w:tcPr>
            <w:tcW w:w="1179" w:type="dxa"/>
            <w:hideMark/>
          </w:tcPr>
          <w:p w14:paraId="4C69C7FE"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Pipettes</w:t>
            </w:r>
          </w:p>
        </w:tc>
        <w:tc>
          <w:tcPr>
            <w:tcW w:w="1178" w:type="dxa"/>
            <w:hideMark/>
          </w:tcPr>
          <w:p w14:paraId="112A3E8E"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307" w:type="dxa"/>
            <w:hideMark/>
          </w:tcPr>
          <w:p w14:paraId="1CAE9AEA"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30min fasting before sampling</w:t>
            </w:r>
          </w:p>
        </w:tc>
        <w:tc>
          <w:tcPr>
            <w:tcW w:w="3215" w:type="dxa"/>
            <w:gridSpan w:val="2"/>
            <w:hideMark/>
          </w:tcPr>
          <w:p w14:paraId="7179C7DD"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Infants in the KC groups had significantly better neurobehavioral functioning, greater nursing success rates, quicker attainment of complete enteral feeds, and lower stress levels as compared to infants who received standard care. </w:t>
            </w:r>
          </w:p>
        </w:tc>
      </w:tr>
      <w:tr w:rsidR="00D05AB4" w:rsidRPr="00CC2F10" w14:paraId="3D8B78FB" w14:textId="77777777" w:rsidTr="00CC2F10">
        <w:trPr>
          <w:trHeight w:val="936"/>
        </w:trPr>
        <w:tc>
          <w:tcPr>
            <w:cnfStyle w:val="001000000000" w:firstRow="0" w:lastRow="0" w:firstColumn="1" w:lastColumn="0" w:oddVBand="0" w:evenVBand="0" w:oddHBand="0" w:evenHBand="0" w:firstRowFirstColumn="0" w:firstRowLastColumn="0" w:lastRowFirstColumn="0" w:lastRowLastColumn="0"/>
            <w:tcW w:w="1560" w:type="dxa"/>
            <w:noWrap/>
            <w:hideMark/>
          </w:tcPr>
          <w:p w14:paraId="4C725704"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Fahimzad et al. 2013</w:t>
            </w:r>
          </w:p>
        </w:tc>
        <w:tc>
          <w:tcPr>
            <w:tcW w:w="1413" w:type="dxa"/>
            <w:noWrap/>
            <w:hideMark/>
          </w:tcPr>
          <w:p w14:paraId="59811ACE"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Iran</w:t>
            </w:r>
          </w:p>
        </w:tc>
        <w:tc>
          <w:tcPr>
            <w:tcW w:w="837" w:type="dxa"/>
            <w:noWrap/>
            <w:hideMark/>
          </w:tcPr>
          <w:p w14:paraId="48EE2F52"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749A3880"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620</w:t>
            </w:r>
          </w:p>
        </w:tc>
        <w:tc>
          <w:tcPr>
            <w:tcW w:w="1577" w:type="dxa"/>
            <w:hideMark/>
          </w:tcPr>
          <w:p w14:paraId="5B766CED"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0 (?)</w:t>
            </w:r>
          </w:p>
        </w:tc>
        <w:tc>
          <w:tcPr>
            <w:tcW w:w="1794" w:type="dxa"/>
            <w:hideMark/>
          </w:tcPr>
          <w:p w14:paraId="693DA5A0" w14:textId="28F43064"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Determine the CMV prevalence in infants’ saliva using a DNA PCR assay.</w:t>
            </w:r>
          </w:p>
        </w:tc>
        <w:tc>
          <w:tcPr>
            <w:tcW w:w="1365" w:type="dxa"/>
            <w:hideMark/>
          </w:tcPr>
          <w:p w14:paraId="7D07C9AE"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Absorption</w:t>
            </w:r>
          </w:p>
        </w:tc>
        <w:tc>
          <w:tcPr>
            <w:tcW w:w="1179" w:type="dxa"/>
            <w:hideMark/>
          </w:tcPr>
          <w:p w14:paraId="2ED12142"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Swab </w:t>
            </w:r>
          </w:p>
        </w:tc>
        <w:tc>
          <w:tcPr>
            <w:tcW w:w="1178" w:type="dxa"/>
            <w:hideMark/>
          </w:tcPr>
          <w:p w14:paraId="27F59CFF"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307" w:type="dxa"/>
            <w:hideMark/>
          </w:tcPr>
          <w:p w14:paraId="1494A913"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30min fasting before sampling</w:t>
            </w:r>
          </w:p>
        </w:tc>
        <w:tc>
          <w:tcPr>
            <w:tcW w:w="3215" w:type="dxa"/>
            <w:gridSpan w:val="2"/>
            <w:hideMark/>
          </w:tcPr>
          <w:p w14:paraId="2626E77D"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The PCR assay detected CMV in 0.3% (asymptomatic at birth and follow-up)</w:t>
            </w:r>
          </w:p>
        </w:tc>
      </w:tr>
      <w:tr w:rsidR="00D05AB4" w:rsidRPr="00CC2F10" w14:paraId="3EAE861C" w14:textId="77777777" w:rsidTr="00CC2F10">
        <w:trPr>
          <w:cnfStyle w:val="000000100000" w:firstRow="0" w:lastRow="0" w:firstColumn="0" w:lastColumn="0" w:oddVBand="0" w:evenVBand="0" w:oddHBand="1" w:evenHBand="0" w:firstRowFirstColumn="0" w:firstRowLastColumn="0" w:lastRowFirstColumn="0" w:lastRowLastColumn="0"/>
          <w:trHeight w:val="936"/>
        </w:trPr>
        <w:tc>
          <w:tcPr>
            <w:cnfStyle w:val="001000000000" w:firstRow="0" w:lastRow="0" w:firstColumn="1" w:lastColumn="0" w:oddVBand="0" w:evenVBand="0" w:oddHBand="0" w:evenHBand="0" w:firstRowFirstColumn="0" w:firstRowLastColumn="0" w:lastRowFirstColumn="0" w:lastRowLastColumn="0"/>
            <w:tcW w:w="1560" w:type="dxa"/>
            <w:noWrap/>
            <w:hideMark/>
          </w:tcPr>
          <w:p w14:paraId="2AAD1578"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lastRenderedPageBreak/>
              <w:t>Fastman et al. 2020</w:t>
            </w:r>
          </w:p>
        </w:tc>
        <w:tc>
          <w:tcPr>
            <w:tcW w:w="1413" w:type="dxa"/>
            <w:noWrap/>
            <w:hideMark/>
          </w:tcPr>
          <w:p w14:paraId="4D1D5FBB"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Argentina</w:t>
            </w:r>
          </w:p>
        </w:tc>
        <w:tc>
          <w:tcPr>
            <w:tcW w:w="837" w:type="dxa"/>
            <w:noWrap/>
            <w:hideMark/>
          </w:tcPr>
          <w:p w14:paraId="7AEE592E"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24E02828"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183</w:t>
            </w:r>
          </w:p>
        </w:tc>
        <w:tc>
          <w:tcPr>
            <w:tcW w:w="1577" w:type="dxa"/>
            <w:hideMark/>
          </w:tcPr>
          <w:p w14:paraId="4671567B"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0-1 (?)</w:t>
            </w:r>
          </w:p>
        </w:tc>
        <w:tc>
          <w:tcPr>
            <w:tcW w:w="1794" w:type="dxa"/>
            <w:hideMark/>
          </w:tcPr>
          <w:p w14:paraId="050F7F42"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Establish reference ranges for healthy new-borns’ salivary cortisol levels </w:t>
            </w:r>
          </w:p>
        </w:tc>
        <w:tc>
          <w:tcPr>
            <w:tcW w:w="1365" w:type="dxa"/>
            <w:hideMark/>
          </w:tcPr>
          <w:p w14:paraId="3E91C0E6"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Absorption</w:t>
            </w:r>
          </w:p>
        </w:tc>
        <w:tc>
          <w:tcPr>
            <w:tcW w:w="1179" w:type="dxa"/>
            <w:hideMark/>
          </w:tcPr>
          <w:p w14:paraId="78A1FAB0"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Cotton swab</w:t>
            </w:r>
          </w:p>
        </w:tc>
        <w:tc>
          <w:tcPr>
            <w:tcW w:w="1178" w:type="dxa"/>
            <w:hideMark/>
          </w:tcPr>
          <w:p w14:paraId="791B288C"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307" w:type="dxa"/>
            <w:hideMark/>
          </w:tcPr>
          <w:p w14:paraId="21EF7161"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30min fasting before sampling</w:t>
            </w:r>
          </w:p>
        </w:tc>
        <w:tc>
          <w:tcPr>
            <w:tcW w:w="3215" w:type="dxa"/>
            <w:gridSpan w:val="2"/>
            <w:hideMark/>
          </w:tcPr>
          <w:p w14:paraId="79DD6D14"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No correlation between salivary cortisol levels and age</w:t>
            </w:r>
            <w:r w:rsidRPr="00333A96">
              <w:rPr>
                <w:rFonts w:ascii="Times New Roman" w:eastAsia="Times New Roman" w:hAnsi="Times New Roman" w:cs="Times New Roman"/>
                <w:sz w:val="18"/>
                <w:szCs w:val="18"/>
                <w:lang w:val="en-GB" w:eastAsia="nl-NL"/>
              </w:rPr>
              <w:br/>
              <w:t>2) No significant differences were found based on sex, gestational age, birth weight, type of delivery, or type of feeding.</w:t>
            </w:r>
          </w:p>
        </w:tc>
      </w:tr>
      <w:tr w:rsidR="00D05AB4" w:rsidRPr="00CC2F10" w14:paraId="45C451D9" w14:textId="77777777" w:rsidTr="00CC2F10">
        <w:trPr>
          <w:trHeight w:val="1872"/>
        </w:trPr>
        <w:tc>
          <w:tcPr>
            <w:cnfStyle w:val="001000000000" w:firstRow="0" w:lastRow="0" w:firstColumn="1" w:lastColumn="0" w:oddVBand="0" w:evenVBand="0" w:oddHBand="0" w:evenHBand="0" w:firstRowFirstColumn="0" w:firstRowLastColumn="0" w:lastRowFirstColumn="0" w:lastRowLastColumn="0"/>
            <w:tcW w:w="1560" w:type="dxa"/>
            <w:noWrap/>
            <w:hideMark/>
          </w:tcPr>
          <w:p w14:paraId="485BC51A"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Feldman et al. 2010</w:t>
            </w:r>
          </w:p>
        </w:tc>
        <w:tc>
          <w:tcPr>
            <w:tcW w:w="1413" w:type="dxa"/>
            <w:noWrap/>
            <w:hideMark/>
          </w:tcPr>
          <w:p w14:paraId="03A543A0"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Israel</w:t>
            </w:r>
          </w:p>
        </w:tc>
        <w:tc>
          <w:tcPr>
            <w:tcW w:w="837" w:type="dxa"/>
            <w:noWrap/>
            <w:hideMark/>
          </w:tcPr>
          <w:p w14:paraId="7620080B"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45E193AB"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53</w:t>
            </w:r>
          </w:p>
        </w:tc>
        <w:tc>
          <w:tcPr>
            <w:tcW w:w="1577" w:type="dxa"/>
            <w:hideMark/>
          </w:tcPr>
          <w:p w14:paraId="79EAE2C1"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0 (25.65m±1.30) </w:t>
            </w:r>
          </w:p>
        </w:tc>
        <w:tc>
          <w:tcPr>
            <w:tcW w:w="1794" w:type="dxa"/>
            <w:hideMark/>
          </w:tcPr>
          <w:p w14:paraId="430A0BEF"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Investigate how maternal touch affects the baby's stress response when the mother isn't present</w:t>
            </w:r>
          </w:p>
        </w:tc>
        <w:tc>
          <w:tcPr>
            <w:tcW w:w="1365" w:type="dxa"/>
            <w:hideMark/>
          </w:tcPr>
          <w:p w14:paraId="7378B98C"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Absorption</w:t>
            </w:r>
          </w:p>
        </w:tc>
        <w:tc>
          <w:tcPr>
            <w:tcW w:w="1179" w:type="dxa"/>
            <w:hideMark/>
          </w:tcPr>
          <w:p w14:paraId="79731502"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Salivette cotton swab</w:t>
            </w:r>
          </w:p>
        </w:tc>
        <w:tc>
          <w:tcPr>
            <w:tcW w:w="1178" w:type="dxa"/>
            <w:hideMark/>
          </w:tcPr>
          <w:p w14:paraId="4EF9F652"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SS</w:t>
            </w:r>
          </w:p>
        </w:tc>
        <w:tc>
          <w:tcPr>
            <w:tcW w:w="1307" w:type="dxa"/>
            <w:hideMark/>
          </w:tcPr>
          <w:p w14:paraId="666B86B9" w14:textId="3183C17D" w:rsidR="00D05AB4" w:rsidRPr="00333A96" w:rsidRDefault="001E3817"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3215" w:type="dxa"/>
            <w:gridSpan w:val="2"/>
            <w:hideMark/>
          </w:tcPr>
          <w:p w14:paraId="461C465E" w14:textId="5F54D3ED"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Compared to infants in the SF+T group, infants in the SF condition had increased cortisol reactivity.</w:t>
            </w:r>
            <w:r w:rsidRPr="00333A96">
              <w:rPr>
                <w:rFonts w:ascii="Times New Roman" w:eastAsia="Times New Roman" w:hAnsi="Times New Roman" w:cs="Times New Roman"/>
                <w:sz w:val="18"/>
                <w:szCs w:val="18"/>
                <w:lang w:val="en-GB" w:eastAsia="nl-NL"/>
              </w:rPr>
              <w:br/>
              <w:t>2) Cortisol levels decreased at recovery for the SF+T group, whereas those in the SF condition experienced an increase. So,</w:t>
            </w:r>
            <w:r>
              <w:rPr>
                <w:rFonts w:ascii="Times New Roman" w:eastAsia="Times New Roman" w:hAnsi="Times New Roman" w:cs="Times New Roman"/>
                <w:sz w:val="18"/>
                <w:szCs w:val="18"/>
                <w:lang w:val="en-GB" w:eastAsia="nl-NL"/>
              </w:rPr>
              <w:t xml:space="preserve"> i</w:t>
            </w:r>
            <w:r w:rsidRPr="00333A96">
              <w:rPr>
                <w:rFonts w:ascii="Times New Roman" w:eastAsia="Times New Roman" w:hAnsi="Times New Roman" w:cs="Times New Roman"/>
                <w:sz w:val="18"/>
                <w:szCs w:val="18"/>
                <w:lang w:val="en-GB" w:eastAsia="nl-NL"/>
              </w:rPr>
              <w:t>n times of parental absence, providing infants contact reduces their physiological sensitivity to stress.</w:t>
            </w:r>
          </w:p>
        </w:tc>
      </w:tr>
      <w:tr w:rsidR="00D05AB4" w:rsidRPr="00CC2F10" w14:paraId="7E2B8DCF" w14:textId="77777777" w:rsidTr="00CC2F10">
        <w:trPr>
          <w:cnfStyle w:val="000000100000" w:firstRow="0" w:lastRow="0" w:firstColumn="0" w:lastColumn="0" w:oddVBand="0" w:evenVBand="0" w:oddHBand="1" w:evenHBand="0" w:firstRowFirstColumn="0" w:firstRowLastColumn="0" w:lastRowFirstColumn="0" w:lastRowLastColumn="0"/>
          <w:trHeight w:val="936"/>
        </w:trPr>
        <w:tc>
          <w:tcPr>
            <w:cnfStyle w:val="001000000000" w:firstRow="0" w:lastRow="0" w:firstColumn="1" w:lastColumn="0" w:oddVBand="0" w:evenVBand="0" w:oddHBand="0" w:evenHBand="0" w:firstRowFirstColumn="0" w:firstRowLastColumn="0" w:lastRowFirstColumn="0" w:lastRowLastColumn="0"/>
            <w:tcW w:w="1560" w:type="dxa"/>
            <w:noWrap/>
            <w:hideMark/>
          </w:tcPr>
          <w:p w14:paraId="1784D989"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Fernandez-Baizan et al. 2020</w:t>
            </w:r>
          </w:p>
        </w:tc>
        <w:tc>
          <w:tcPr>
            <w:tcW w:w="1413" w:type="dxa"/>
            <w:noWrap/>
            <w:hideMark/>
          </w:tcPr>
          <w:p w14:paraId="5E9A1F3B"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Spain</w:t>
            </w:r>
          </w:p>
        </w:tc>
        <w:tc>
          <w:tcPr>
            <w:tcW w:w="837" w:type="dxa"/>
            <w:noWrap/>
            <w:hideMark/>
          </w:tcPr>
          <w:p w14:paraId="59ACF8B1"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5BCD8B78"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62</w:t>
            </w:r>
          </w:p>
        </w:tc>
        <w:tc>
          <w:tcPr>
            <w:tcW w:w="1577" w:type="dxa"/>
            <w:hideMark/>
          </w:tcPr>
          <w:p w14:paraId="776C6D61"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5-7 (?)</w:t>
            </w:r>
          </w:p>
        </w:tc>
        <w:tc>
          <w:tcPr>
            <w:tcW w:w="1794" w:type="dxa"/>
            <w:hideMark/>
          </w:tcPr>
          <w:p w14:paraId="15AD2CEF" w14:textId="7A3180B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Examine the egocentric and allocentric spatial memory performance in children using two </w:t>
            </w:r>
            <w:r w:rsidR="00FF3BEF" w:rsidRPr="00333A96">
              <w:rPr>
                <w:rFonts w:ascii="Times New Roman" w:eastAsia="Times New Roman" w:hAnsi="Times New Roman" w:cs="Times New Roman"/>
                <w:sz w:val="18"/>
                <w:szCs w:val="18"/>
                <w:lang w:val="en-GB" w:eastAsia="nl-NL"/>
              </w:rPr>
              <w:t>experimental</w:t>
            </w:r>
            <w:r w:rsidRPr="00333A96">
              <w:rPr>
                <w:rFonts w:ascii="Times New Roman" w:eastAsia="Times New Roman" w:hAnsi="Times New Roman" w:cs="Times New Roman"/>
                <w:sz w:val="18"/>
                <w:szCs w:val="18"/>
                <w:lang w:val="en-GB" w:eastAsia="nl-NL"/>
              </w:rPr>
              <w:t xml:space="preserve"> memory card-placing tasks</w:t>
            </w:r>
          </w:p>
        </w:tc>
        <w:tc>
          <w:tcPr>
            <w:tcW w:w="1365" w:type="dxa"/>
            <w:hideMark/>
          </w:tcPr>
          <w:p w14:paraId="2FA188B1"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Absorption</w:t>
            </w:r>
          </w:p>
        </w:tc>
        <w:tc>
          <w:tcPr>
            <w:tcW w:w="1179" w:type="dxa"/>
            <w:hideMark/>
          </w:tcPr>
          <w:p w14:paraId="6305CD28"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Salivette cotton swab</w:t>
            </w:r>
          </w:p>
        </w:tc>
        <w:tc>
          <w:tcPr>
            <w:tcW w:w="1178" w:type="dxa"/>
            <w:hideMark/>
          </w:tcPr>
          <w:p w14:paraId="709C7615"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SS</w:t>
            </w:r>
          </w:p>
        </w:tc>
        <w:tc>
          <w:tcPr>
            <w:tcW w:w="1307" w:type="dxa"/>
            <w:hideMark/>
          </w:tcPr>
          <w:p w14:paraId="3D6AFBD0"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2h fasting before sampling</w:t>
            </w:r>
          </w:p>
        </w:tc>
        <w:tc>
          <w:tcPr>
            <w:tcW w:w="3215" w:type="dxa"/>
            <w:gridSpan w:val="2"/>
            <w:hideMark/>
          </w:tcPr>
          <w:p w14:paraId="4C4B41E3"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The correlation between cortisol levels and allocentric performance suggests a possible relationship between stress hormones and spatial memory.</w:t>
            </w:r>
          </w:p>
        </w:tc>
      </w:tr>
      <w:tr w:rsidR="00D05AB4" w:rsidRPr="00CC2F10" w14:paraId="4F69ABF9" w14:textId="77777777" w:rsidTr="00CC2F10">
        <w:trPr>
          <w:trHeight w:val="1560"/>
        </w:trPr>
        <w:tc>
          <w:tcPr>
            <w:cnfStyle w:val="001000000000" w:firstRow="0" w:lastRow="0" w:firstColumn="1" w:lastColumn="0" w:oddVBand="0" w:evenVBand="0" w:oddHBand="0" w:evenHBand="0" w:firstRowFirstColumn="0" w:firstRowLastColumn="0" w:lastRowFirstColumn="0" w:lastRowLastColumn="0"/>
            <w:tcW w:w="1560" w:type="dxa"/>
            <w:noWrap/>
            <w:hideMark/>
          </w:tcPr>
          <w:p w14:paraId="67EC3110"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Ferrara et al. 2013</w:t>
            </w:r>
          </w:p>
        </w:tc>
        <w:tc>
          <w:tcPr>
            <w:tcW w:w="1413" w:type="dxa"/>
            <w:noWrap/>
            <w:hideMark/>
          </w:tcPr>
          <w:p w14:paraId="6B231E2F"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Italy</w:t>
            </w:r>
          </w:p>
        </w:tc>
        <w:tc>
          <w:tcPr>
            <w:tcW w:w="837" w:type="dxa"/>
            <w:noWrap/>
            <w:hideMark/>
          </w:tcPr>
          <w:p w14:paraId="3D49D614"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54A69169"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23</w:t>
            </w:r>
          </w:p>
        </w:tc>
        <w:tc>
          <w:tcPr>
            <w:tcW w:w="1577" w:type="dxa"/>
            <w:hideMark/>
          </w:tcPr>
          <w:p w14:paraId="15254250"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5-12 (9.2±?)</w:t>
            </w:r>
          </w:p>
        </w:tc>
        <w:tc>
          <w:tcPr>
            <w:tcW w:w="1794" w:type="dxa"/>
            <w:hideMark/>
          </w:tcPr>
          <w:p w14:paraId="516DB062"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Assess pain perception in children with epilepsy during an invasive procedure such as collecting venous blood through sAA activity determination</w:t>
            </w:r>
          </w:p>
        </w:tc>
        <w:tc>
          <w:tcPr>
            <w:tcW w:w="1365" w:type="dxa"/>
            <w:hideMark/>
          </w:tcPr>
          <w:p w14:paraId="781477B7"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Absorption</w:t>
            </w:r>
          </w:p>
        </w:tc>
        <w:tc>
          <w:tcPr>
            <w:tcW w:w="1179" w:type="dxa"/>
            <w:hideMark/>
          </w:tcPr>
          <w:p w14:paraId="444198B2"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Salivette cotton swab</w:t>
            </w:r>
          </w:p>
        </w:tc>
        <w:tc>
          <w:tcPr>
            <w:tcW w:w="1178" w:type="dxa"/>
            <w:hideMark/>
          </w:tcPr>
          <w:p w14:paraId="238BD030"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307" w:type="dxa"/>
            <w:hideMark/>
          </w:tcPr>
          <w:p w14:paraId="45BE8E04" w14:textId="5B292B0F" w:rsidR="00D05AB4" w:rsidRPr="00333A96" w:rsidRDefault="001E3817"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3215" w:type="dxa"/>
            <w:gridSpan w:val="2"/>
            <w:hideMark/>
          </w:tcPr>
          <w:p w14:paraId="3A5AFB5B" w14:textId="73601956"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1) </w:t>
            </w:r>
            <w:r w:rsidR="00FF3BEF" w:rsidRPr="00333A96">
              <w:rPr>
                <w:rFonts w:ascii="Times New Roman" w:eastAsia="Times New Roman" w:hAnsi="Times New Roman" w:cs="Times New Roman"/>
                <w:sz w:val="18"/>
                <w:szCs w:val="18"/>
                <w:lang w:val="en-GB" w:eastAsia="nl-NL"/>
              </w:rPr>
              <w:t>Epileptic</w:t>
            </w:r>
            <w:r w:rsidRPr="00333A96">
              <w:rPr>
                <w:rFonts w:ascii="Times New Roman" w:eastAsia="Times New Roman" w:hAnsi="Times New Roman" w:cs="Times New Roman"/>
                <w:sz w:val="18"/>
                <w:szCs w:val="18"/>
                <w:lang w:val="en-GB" w:eastAsia="nl-NL"/>
              </w:rPr>
              <w:t xml:space="preserve"> children had a statistically significant increase in sAA activity 15 minutes after the blood withdrawal, indicating enhanced pain sensitivity.</w:t>
            </w:r>
            <w:r w:rsidRPr="00333A96">
              <w:rPr>
                <w:rFonts w:ascii="Times New Roman" w:eastAsia="Times New Roman" w:hAnsi="Times New Roman" w:cs="Times New Roman"/>
                <w:sz w:val="18"/>
                <w:szCs w:val="18"/>
                <w:lang w:val="en-GB" w:eastAsia="nl-NL"/>
              </w:rPr>
              <w:br/>
              <w:t>2) No discernible difference in sAA activity was seen during the process (t1), indicating that both groups were similarly induced to experience stress.</w:t>
            </w:r>
          </w:p>
        </w:tc>
      </w:tr>
      <w:tr w:rsidR="00D05AB4" w:rsidRPr="00CC2F10" w14:paraId="213F112D" w14:textId="77777777" w:rsidTr="00CC2F10">
        <w:trPr>
          <w:cnfStyle w:val="000000100000" w:firstRow="0" w:lastRow="0" w:firstColumn="0" w:lastColumn="0" w:oddVBand="0" w:evenVBand="0" w:oddHBand="1" w:evenHBand="0" w:firstRowFirstColumn="0" w:firstRowLastColumn="0" w:lastRowFirstColumn="0" w:lastRowLastColumn="0"/>
          <w:trHeight w:val="1248"/>
        </w:trPr>
        <w:tc>
          <w:tcPr>
            <w:cnfStyle w:val="001000000000" w:firstRow="0" w:lastRow="0" w:firstColumn="1" w:lastColumn="0" w:oddVBand="0" w:evenVBand="0" w:oddHBand="0" w:evenHBand="0" w:firstRowFirstColumn="0" w:firstRowLastColumn="0" w:lastRowFirstColumn="0" w:lastRowLastColumn="0"/>
            <w:tcW w:w="1560" w:type="dxa"/>
            <w:noWrap/>
            <w:hideMark/>
          </w:tcPr>
          <w:p w14:paraId="23F74819"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Fillman et al. 2016</w:t>
            </w:r>
          </w:p>
        </w:tc>
        <w:tc>
          <w:tcPr>
            <w:tcW w:w="1413" w:type="dxa"/>
            <w:noWrap/>
            <w:hideMark/>
          </w:tcPr>
          <w:p w14:paraId="6095BC59"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Nepal</w:t>
            </w:r>
          </w:p>
        </w:tc>
        <w:tc>
          <w:tcPr>
            <w:tcW w:w="837" w:type="dxa"/>
            <w:noWrap/>
            <w:hideMark/>
          </w:tcPr>
          <w:p w14:paraId="6B67974B"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002406D8"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351</w:t>
            </w:r>
          </w:p>
        </w:tc>
        <w:tc>
          <w:tcPr>
            <w:tcW w:w="1577" w:type="dxa"/>
            <w:hideMark/>
          </w:tcPr>
          <w:p w14:paraId="012743D8"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12-16 (14±1)</w:t>
            </w:r>
          </w:p>
        </w:tc>
        <w:tc>
          <w:tcPr>
            <w:tcW w:w="1794" w:type="dxa"/>
            <w:hideMark/>
          </w:tcPr>
          <w:p w14:paraId="5A6271DC"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Study the impact of cadmium and arsenic on salivary telomere length</w:t>
            </w:r>
          </w:p>
        </w:tc>
        <w:tc>
          <w:tcPr>
            <w:tcW w:w="1365" w:type="dxa"/>
            <w:hideMark/>
          </w:tcPr>
          <w:p w14:paraId="0DB6FC93"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Drooling</w:t>
            </w:r>
          </w:p>
        </w:tc>
        <w:tc>
          <w:tcPr>
            <w:tcW w:w="1179" w:type="dxa"/>
            <w:hideMark/>
          </w:tcPr>
          <w:p w14:paraId="40043E90"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Tube</w:t>
            </w:r>
          </w:p>
        </w:tc>
        <w:tc>
          <w:tcPr>
            <w:tcW w:w="1178" w:type="dxa"/>
            <w:hideMark/>
          </w:tcPr>
          <w:p w14:paraId="7DE0E5C3"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307" w:type="dxa"/>
            <w:hideMark/>
          </w:tcPr>
          <w:p w14:paraId="37DB66AC"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1h fasting before sampling </w:t>
            </w:r>
          </w:p>
        </w:tc>
        <w:tc>
          <w:tcPr>
            <w:tcW w:w="3215" w:type="dxa"/>
            <w:gridSpan w:val="2"/>
            <w:hideMark/>
          </w:tcPr>
          <w:p w14:paraId="76FE9FA2" w14:textId="1FA39A74"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Teenagers' salivary telomere length was negatively correlated with urinary cadmium levels.</w:t>
            </w:r>
            <w:r w:rsidRPr="00333A96">
              <w:rPr>
                <w:rFonts w:ascii="Times New Roman" w:eastAsia="Times New Roman" w:hAnsi="Times New Roman" w:cs="Times New Roman"/>
                <w:sz w:val="18"/>
                <w:szCs w:val="18"/>
                <w:lang w:val="en-GB" w:eastAsia="nl-NL"/>
              </w:rPr>
              <w:br/>
              <w:t xml:space="preserve">2) Although arsenic and telomere length revealed a </w:t>
            </w:r>
            <w:r w:rsidR="00FF3BEF" w:rsidRPr="00333A96">
              <w:rPr>
                <w:rFonts w:ascii="Times New Roman" w:eastAsia="Times New Roman" w:hAnsi="Times New Roman" w:cs="Times New Roman"/>
                <w:sz w:val="18"/>
                <w:szCs w:val="18"/>
                <w:lang w:val="en-GB" w:eastAsia="nl-NL"/>
              </w:rPr>
              <w:t>favourable</w:t>
            </w:r>
            <w:r w:rsidRPr="00333A96">
              <w:rPr>
                <w:rFonts w:ascii="Times New Roman" w:eastAsia="Times New Roman" w:hAnsi="Times New Roman" w:cs="Times New Roman"/>
                <w:sz w:val="18"/>
                <w:szCs w:val="18"/>
                <w:lang w:val="en-GB" w:eastAsia="nl-NL"/>
              </w:rPr>
              <w:t xml:space="preserve"> correlation, the correlation did not achieve statistical significance.</w:t>
            </w:r>
          </w:p>
        </w:tc>
      </w:tr>
      <w:tr w:rsidR="00D05AB4" w:rsidRPr="00CC2F10" w14:paraId="66B9A033" w14:textId="77777777" w:rsidTr="00CC2F10">
        <w:trPr>
          <w:trHeight w:val="1248"/>
        </w:trPr>
        <w:tc>
          <w:tcPr>
            <w:cnfStyle w:val="001000000000" w:firstRow="0" w:lastRow="0" w:firstColumn="1" w:lastColumn="0" w:oddVBand="0" w:evenVBand="0" w:oddHBand="0" w:evenHBand="0" w:firstRowFirstColumn="0" w:firstRowLastColumn="0" w:lastRowFirstColumn="0" w:lastRowLastColumn="0"/>
            <w:tcW w:w="1560" w:type="dxa"/>
            <w:noWrap/>
            <w:hideMark/>
          </w:tcPr>
          <w:p w14:paraId="0B82A0A0"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lastRenderedPageBreak/>
              <w:t>Forcella et al. 2018</w:t>
            </w:r>
          </w:p>
        </w:tc>
        <w:tc>
          <w:tcPr>
            <w:tcW w:w="1413" w:type="dxa"/>
            <w:noWrap/>
            <w:hideMark/>
          </w:tcPr>
          <w:p w14:paraId="2D58D339"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Switzerland</w:t>
            </w:r>
          </w:p>
        </w:tc>
        <w:tc>
          <w:tcPr>
            <w:tcW w:w="837" w:type="dxa"/>
            <w:noWrap/>
            <w:hideMark/>
          </w:tcPr>
          <w:p w14:paraId="43ABF4EB"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36DFB297"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274</w:t>
            </w:r>
          </w:p>
        </w:tc>
        <w:tc>
          <w:tcPr>
            <w:tcW w:w="1577" w:type="dxa"/>
            <w:hideMark/>
          </w:tcPr>
          <w:p w14:paraId="3ED30ED1"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6-15 (10.5±2.2)</w:t>
            </w:r>
          </w:p>
        </w:tc>
        <w:tc>
          <w:tcPr>
            <w:tcW w:w="1794" w:type="dxa"/>
            <w:hideMark/>
          </w:tcPr>
          <w:p w14:paraId="41EC3819"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Measure uSFR, pH, and buffer capacity in healthy children to use as benchmarks for follow-up research, particularly to establish thresholds for abnormality</w:t>
            </w:r>
          </w:p>
        </w:tc>
        <w:tc>
          <w:tcPr>
            <w:tcW w:w="1365" w:type="dxa"/>
            <w:hideMark/>
          </w:tcPr>
          <w:p w14:paraId="1E30FE8F"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Spitting</w:t>
            </w:r>
          </w:p>
        </w:tc>
        <w:tc>
          <w:tcPr>
            <w:tcW w:w="1179" w:type="dxa"/>
            <w:hideMark/>
          </w:tcPr>
          <w:p w14:paraId="58A287DE"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Cups</w:t>
            </w:r>
          </w:p>
        </w:tc>
        <w:tc>
          <w:tcPr>
            <w:tcW w:w="1178" w:type="dxa"/>
            <w:hideMark/>
          </w:tcPr>
          <w:p w14:paraId="6E433A45"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307" w:type="dxa"/>
            <w:hideMark/>
          </w:tcPr>
          <w:p w14:paraId="241F551D" w14:textId="3FA7EDBB" w:rsidR="00D05AB4" w:rsidRPr="00333A96" w:rsidRDefault="001E3817"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3215" w:type="dxa"/>
            <w:gridSpan w:val="2"/>
            <w:hideMark/>
          </w:tcPr>
          <w:p w14:paraId="611110AD"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 statistically significant difference in genders was identified in the correlation between the uSFR (boys&lt;girls) and pH value, as well as the correlation between the uSFR and buffer capacity.</w:t>
            </w:r>
          </w:p>
        </w:tc>
      </w:tr>
      <w:tr w:rsidR="00D05AB4" w:rsidRPr="00CC2F10" w14:paraId="6EF435C9" w14:textId="77777777" w:rsidTr="00CC2F10">
        <w:trPr>
          <w:cnfStyle w:val="000000100000" w:firstRow="0" w:lastRow="0" w:firstColumn="0" w:lastColumn="0" w:oddVBand="0" w:evenVBand="0" w:oddHBand="1" w:evenHBand="0" w:firstRowFirstColumn="0" w:firstRowLastColumn="0" w:lastRowFirstColumn="0" w:lastRowLastColumn="0"/>
          <w:trHeight w:val="1872"/>
        </w:trPr>
        <w:tc>
          <w:tcPr>
            <w:cnfStyle w:val="001000000000" w:firstRow="0" w:lastRow="0" w:firstColumn="1" w:lastColumn="0" w:oddVBand="0" w:evenVBand="0" w:oddHBand="0" w:evenHBand="0" w:firstRowFirstColumn="0" w:firstRowLastColumn="0" w:lastRowFirstColumn="0" w:lastRowLastColumn="0"/>
            <w:tcW w:w="1560" w:type="dxa"/>
            <w:noWrap/>
            <w:hideMark/>
          </w:tcPr>
          <w:p w14:paraId="7A43BF2F"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Fortunato et al. 2017</w:t>
            </w:r>
          </w:p>
        </w:tc>
        <w:tc>
          <w:tcPr>
            <w:tcW w:w="1413" w:type="dxa"/>
            <w:noWrap/>
            <w:hideMark/>
          </w:tcPr>
          <w:p w14:paraId="140A552E"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United States</w:t>
            </w:r>
          </w:p>
        </w:tc>
        <w:tc>
          <w:tcPr>
            <w:tcW w:w="837" w:type="dxa"/>
            <w:noWrap/>
            <w:hideMark/>
          </w:tcPr>
          <w:p w14:paraId="6B7276C9"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2143FC40"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720</w:t>
            </w:r>
          </w:p>
        </w:tc>
        <w:tc>
          <w:tcPr>
            <w:tcW w:w="1577" w:type="dxa"/>
            <w:hideMark/>
          </w:tcPr>
          <w:p w14:paraId="4830E736"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0-18 (?)</w:t>
            </w:r>
          </w:p>
        </w:tc>
        <w:tc>
          <w:tcPr>
            <w:tcW w:w="1794" w:type="dxa"/>
            <w:hideMark/>
          </w:tcPr>
          <w:p w14:paraId="1722D2CB"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Examine individual's saliva samples for the presence of gastric pepsin after impedance-detected GER episodes</w:t>
            </w:r>
          </w:p>
        </w:tc>
        <w:tc>
          <w:tcPr>
            <w:tcW w:w="1365" w:type="dxa"/>
            <w:hideMark/>
          </w:tcPr>
          <w:p w14:paraId="2DFD76DC"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Absorption</w:t>
            </w:r>
          </w:p>
        </w:tc>
        <w:tc>
          <w:tcPr>
            <w:tcW w:w="1179" w:type="dxa"/>
            <w:hideMark/>
          </w:tcPr>
          <w:p w14:paraId="6FC5A9D7" w14:textId="6C271E10" w:rsidR="00D05AB4" w:rsidRPr="00333A96" w:rsidRDefault="001E3817"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Pr>
                <w:rFonts w:ascii="Times New Roman" w:eastAsia="Times New Roman" w:hAnsi="Times New Roman" w:cs="Times New Roman"/>
                <w:sz w:val="18"/>
                <w:szCs w:val="18"/>
                <w:lang w:val="en-GB" w:eastAsia="nl-NL"/>
              </w:rPr>
              <w:t>Ey</w:t>
            </w:r>
            <w:r w:rsidR="00D05AB4" w:rsidRPr="00333A96">
              <w:rPr>
                <w:rFonts w:ascii="Times New Roman" w:eastAsia="Times New Roman" w:hAnsi="Times New Roman" w:cs="Times New Roman"/>
                <w:sz w:val="18"/>
                <w:szCs w:val="18"/>
                <w:lang w:val="en-GB" w:eastAsia="nl-NL"/>
              </w:rPr>
              <w:t>e sponges</w:t>
            </w:r>
          </w:p>
        </w:tc>
        <w:tc>
          <w:tcPr>
            <w:tcW w:w="1178" w:type="dxa"/>
            <w:hideMark/>
          </w:tcPr>
          <w:p w14:paraId="0D1187BB"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307" w:type="dxa"/>
            <w:hideMark/>
          </w:tcPr>
          <w:p w14:paraId="7490D6B0" w14:textId="7059C023" w:rsidR="00D05AB4" w:rsidRPr="00333A96" w:rsidRDefault="001E3817"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3215" w:type="dxa"/>
            <w:gridSpan w:val="2"/>
            <w:hideMark/>
          </w:tcPr>
          <w:p w14:paraId="73892242"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Pepsin is a possible biomarker for oropharyngeal reflux and was detected in at least one saliva sample from 85.6% of patients who underwent 24-hour MII/pH monitoring.</w:t>
            </w:r>
            <w:r w:rsidRPr="00333A96">
              <w:rPr>
                <w:rFonts w:ascii="Times New Roman" w:eastAsia="Times New Roman" w:hAnsi="Times New Roman" w:cs="Times New Roman"/>
                <w:sz w:val="18"/>
                <w:szCs w:val="18"/>
                <w:lang w:val="en-GB" w:eastAsia="nl-NL"/>
              </w:rPr>
              <w:br/>
              <w:t>2) The variability in salivary pepsin concentration over a 24-hour period suggests the necessity for timely saliva sample collection following reflux episodes in order to precisely evaluate pepsin levels.</w:t>
            </w:r>
          </w:p>
        </w:tc>
      </w:tr>
      <w:tr w:rsidR="00D05AB4" w:rsidRPr="00CC2F10" w14:paraId="0871897F" w14:textId="77777777" w:rsidTr="00CC2F10">
        <w:trPr>
          <w:trHeight w:val="1560"/>
        </w:trPr>
        <w:tc>
          <w:tcPr>
            <w:cnfStyle w:val="001000000000" w:firstRow="0" w:lastRow="0" w:firstColumn="1" w:lastColumn="0" w:oddVBand="0" w:evenVBand="0" w:oddHBand="0" w:evenHBand="0" w:firstRowFirstColumn="0" w:firstRowLastColumn="0" w:lastRowFirstColumn="0" w:lastRowLastColumn="0"/>
            <w:tcW w:w="1560" w:type="dxa"/>
            <w:noWrap/>
            <w:hideMark/>
          </w:tcPr>
          <w:p w14:paraId="29C04AF2"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Franca et al. 2022</w:t>
            </w:r>
          </w:p>
        </w:tc>
        <w:tc>
          <w:tcPr>
            <w:tcW w:w="1413" w:type="dxa"/>
            <w:noWrap/>
            <w:hideMark/>
          </w:tcPr>
          <w:p w14:paraId="5107E12E"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Brazil</w:t>
            </w:r>
          </w:p>
        </w:tc>
        <w:tc>
          <w:tcPr>
            <w:tcW w:w="837" w:type="dxa"/>
            <w:noWrap/>
            <w:hideMark/>
          </w:tcPr>
          <w:p w14:paraId="3656958D"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32B41505"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30</w:t>
            </w:r>
          </w:p>
        </w:tc>
        <w:tc>
          <w:tcPr>
            <w:tcW w:w="1577" w:type="dxa"/>
            <w:hideMark/>
          </w:tcPr>
          <w:p w14:paraId="41972FA4"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4-10 (?)</w:t>
            </w:r>
          </w:p>
        </w:tc>
        <w:tc>
          <w:tcPr>
            <w:tcW w:w="1794" w:type="dxa"/>
            <w:hideMark/>
          </w:tcPr>
          <w:p w14:paraId="600B83B6"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Compare the composition of saliva and dental plaque in home-care-dependent impaired children with a control group, and to relate those findings to systemic and oral health variables</w:t>
            </w:r>
          </w:p>
        </w:tc>
        <w:tc>
          <w:tcPr>
            <w:tcW w:w="1365" w:type="dxa"/>
            <w:hideMark/>
          </w:tcPr>
          <w:p w14:paraId="34C8D4DB"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Absorption</w:t>
            </w:r>
          </w:p>
        </w:tc>
        <w:tc>
          <w:tcPr>
            <w:tcW w:w="1179" w:type="dxa"/>
            <w:hideMark/>
          </w:tcPr>
          <w:p w14:paraId="179A9314"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Aspiramax </w:t>
            </w:r>
          </w:p>
        </w:tc>
        <w:tc>
          <w:tcPr>
            <w:tcW w:w="1178" w:type="dxa"/>
            <w:hideMark/>
          </w:tcPr>
          <w:p w14:paraId="20091E9D"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US </w:t>
            </w:r>
          </w:p>
        </w:tc>
        <w:tc>
          <w:tcPr>
            <w:tcW w:w="1307" w:type="dxa"/>
            <w:hideMark/>
          </w:tcPr>
          <w:p w14:paraId="18E8374B"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2h fasting before sampling</w:t>
            </w:r>
          </w:p>
        </w:tc>
        <w:tc>
          <w:tcPr>
            <w:tcW w:w="3215" w:type="dxa"/>
            <w:gridSpan w:val="2"/>
            <w:hideMark/>
          </w:tcPr>
          <w:p w14:paraId="1F9DEBF3"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Compared to the CG, DCHC had salivary composition that was different, containing significant more lipids, collagen, and less carbohydrates.</w:t>
            </w:r>
            <w:r w:rsidRPr="00333A96">
              <w:rPr>
                <w:rFonts w:ascii="Times New Roman" w:eastAsia="Times New Roman" w:hAnsi="Times New Roman" w:cs="Times New Roman"/>
                <w:sz w:val="18"/>
                <w:szCs w:val="18"/>
                <w:lang w:val="en-GB" w:eastAsia="nl-NL"/>
              </w:rPr>
              <w:br/>
              <w:t>So comprehensive dental care is crucial for DCHC, and salivary composition may serve as a biomarker for the state of their oral health.</w:t>
            </w:r>
          </w:p>
        </w:tc>
      </w:tr>
      <w:tr w:rsidR="00D05AB4" w:rsidRPr="00CC2F10" w14:paraId="083D2FCB" w14:textId="77777777" w:rsidTr="00CC2F10">
        <w:trPr>
          <w:cnfStyle w:val="000000100000" w:firstRow="0" w:lastRow="0" w:firstColumn="0" w:lastColumn="0" w:oddVBand="0" w:evenVBand="0" w:oddHBand="1" w:evenHBand="0" w:firstRowFirstColumn="0" w:firstRowLastColumn="0" w:lastRowFirstColumn="0" w:lastRowLastColumn="0"/>
          <w:trHeight w:val="1248"/>
        </w:trPr>
        <w:tc>
          <w:tcPr>
            <w:cnfStyle w:val="001000000000" w:firstRow="0" w:lastRow="0" w:firstColumn="1" w:lastColumn="0" w:oddVBand="0" w:evenVBand="0" w:oddHBand="0" w:evenHBand="0" w:firstRowFirstColumn="0" w:firstRowLastColumn="0" w:lastRowFirstColumn="0" w:lastRowLastColumn="0"/>
            <w:tcW w:w="1560" w:type="dxa"/>
            <w:noWrap/>
            <w:hideMark/>
          </w:tcPr>
          <w:p w14:paraId="06B473CE"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Franklin et al. 2015</w:t>
            </w:r>
          </w:p>
        </w:tc>
        <w:tc>
          <w:tcPr>
            <w:tcW w:w="1413" w:type="dxa"/>
            <w:noWrap/>
            <w:hideMark/>
          </w:tcPr>
          <w:p w14:paraId="53CB4ED2"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India</w:t>
            </w:r>
          </w:p>
        </w:tc>
        <w:tc>
          <w:tcPr>
            <w:tcW w:w="837" w:type="dxa"/>
            <w:noWrap/>
            <w:hideMark/>
          </w:tcPr>
          <w:p w14:paraId="399BB5D7"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NRCT</w:t>
            </w:r>
          </w:p>
        </w:tc>
        <w:tc>
          <w:tcPr>
            <w:tcW w:w="878" w:type="dxa"/>
            <w:noWrap/>
            <w:hideMark/>
          </w:tcPr>
          <w:p w14:paraId="259BD3FF"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100</w:t>
            </w:r>
          </w:p>
        </w:tc>
        <w:tc>
          <w:tcPr>
            <w:tcW w:w="1577" w:type="dxa"/>
            <w:hideMark/>
          </w:tcPr>
          <w:p w14:paraId="66209DC6"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10-14 (?)</w:t>
            </w:r>
          </w:p>
        </w:tc>
        <w:tc>
          <w:tcPr>
            <w:tcW w:w="1794" w:type="dxa"/>
            <w:hideMark/>
          </w:tcPr>
          <w:p w14:paraId="0C51A15B" w14:textId="25028A72"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Ascertain the impact of calcium fortification on oral pH alterations and </w:t>
            </w:r>
            <w:r w:rsidR="00FF3BEF" w:rsidRPr="00333A96">
              <w:rPr>
                <w:rFonts w:ascii="Times New Roman" w:eastAsia="Times New Roman" w:hAnsi="Times New Roman" w:cs="Times New Roman"/>
                <w:sz w:val="18"/>
                <w:szCs w:val="18"/>
                <w:lang w:val="en-GB" w:eastAsia="nl-NL"/>
              </w:rPr>
              <w:t>flavour</w:t>
            </w:r>
            <w:r w:rsidRPr="00333A96">
              <w:rPr>
                <w:rFonts w:ascii="Times New Roman" w:eastAsia="Times New Roman" w:hAnsi="Times New Roman" w:cs="Times New Roman"/>
                <w:sz w:val="18"/>
                <w:szCs w:val="18"/>
                <w:lang w:val="en-GB" w:eastAsia="nl-NL"/>
              </w:rPr>
              <w:t xml:space="preserve"> perception in children when drinking a commercially available mixed-fruit juice</w:t>
            </w:r>
          </w:p>
        </w:tc>
        <w:tc>
          <w:tcPr>
            <w:tcW w:w="1365" w:type="dxa"/>
            <w:hideMark/>
          </w:tcPr>
          <w:p w14:paraId="32A7CD2B"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Spitting</w:t>
            </w:r>
          </w:p>
        </w:tc>
        <w:tc>
          <w:tcPr>
            <w:tcW w:w="1179" w:type="dxa"/>
            <w:hideMark/>
          </w:tcPr>
          <w:p w14:paraId="6A76AB6F"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sterile beaker</w:t>
            </w:r>
          </w:p>
        </w:tc>
        <w:tc>
          <w:tcPr>
            <w:tcW w:w="1178" w:type="dxa"/>
            <w:hideMark/>
          </w:tcPr>
          <w:p w14:paraId="659B9FBB"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307" w:type="dxa"/>
            <w:hideMark/>
          </w:tcPr>
          <w:p w14:paraId="1E4BC40B" w14:textId="0D53FCB1" w:rsidR="00D05AB4" w:rsidRPr="00333A96" w:rsidRDefault="001E3817"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3215" w:type="dxa"/>
            <w:gridSpan w:val="2"/>
            <w:hideMark/>
          </w:tcPr>
          <w:p w14:paraId="5BAC9E2E" w14:textId="676692D0"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After calcium modified fruit juice, there was a substantial reduction in the individuals' perception of </w:t>
            </w:r>
            <w:r w:rsidR="00FF3BEF" w:rsidRPr="00333A96">
              <w:rPr>
                <w:rFonts w:ascii="Times New Roman" w:eastAsia="Times New Roman" w:hAnsi="Times New Roman" w:cs="Times New Roman"/>
                <w:sz w:val="18"/>
                <w:szCs w:val="18"/>
                <w:lang w:val="en-GB" w:eastAsia="nl-NL"/>
              </w:rPr>
              <w:t>flavo</w:t>
            </w:r>
            <w:r w:rsidR="00FF3BEF">
              <w:rPr>
                <w:rFonts w:ascii="Times New Roman" w:eastAsia="Times New Roman" w:hAnsi="Times New Roman" w:cs="Times New Roman"/>
                <w:sz w:val="18"/>
                <w:szCs w:val="18"/>
                <w:lang w:val="en-GB" w:eastAsia="nl-NL"/>
              </w:rPr>
              <w:t xml:space="preserve">ur </w:t>
            </w:r>
            <w:r w:rsidRPr="00333A96">
              <w:rPr>
                <w:rFonts w:ascii="Times New Roman" w:eastAsia="Times New Roman" w:hAnsi="Times New Roman" w:cs="Times New Roman"/>
                <w:sz w:val="18"/>
                <w:szCs w:val="18"/>
                <w:lang w:val="en-GB" w:eastAsia="nl-NL"/>
              </w:rPr>
              <w:t>and a lesser drop in salivary and plaque pH.</w:t>
            </w:r>
          </w:p>
        </w:tc>
      </w:tr>
      <w:tr w:rsidR="00D05AB4" w:rsidRPr="00CC2F10" w14:paraId="683C13E7" w14:textId="77777777" w:rsidTr="00CC2F10">
        <w:trPr>
          <w:trHeight w:val="1560"/>
        </w:trPr>
        <w:tc>
          <w:tcPr>
            <w:cnfStyle w:val="001000000000" w:firstRow="0" w:lastRow="0" w:firstColumn="1" w:lastColumn="0" w:oddVBand="0" w:evenVBand="0" w:oddHBand="0" w:evenHBand="0" w:firstRowFirstColumn="0" w:firstRowLastColumn="0" w:lastRowFirstColumn="0" w:lastRowLastColumn="0"/>
            <w:tcW w:w="1560" w:type="dxa"/>
            <w:noWrap/>
            <w:hideMark/>
          </w:tcPr>
          <w:p w14:paraId="2E5F337F"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lastRenderedPageBreak/>
              <w:t>Furlan et al. 2012</w:t>
            </w:r>
          </w:p>
        </w:tc>
        <w:tc>
          <w:tcPr>
            <w:tcW w:w="1413" w:type="dxa"/>
            <w:noWrap/>
            <w:hideMark/>
          </w:tcPr>
          <w:p w14:paraId="1547642F"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Brazil</w:t>
            </w:r>
          </w:p>
        </w:tc>
        <w:tc>
          <w:tcPr>
            <w:tcW w:w="837" w:type="dxa"/>
            <w:noWrap/>
            <w:hideMark/>
          </w:tcPr>
          <w:p w14:paraId="6EDB18C4"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66521229"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31</w:t>
            </w:r>
          </w:p>
        </w:tc>
        <w:tc>
          <w:tcPr>
            <w:tcW w:w="1577" w:type="dxa"/>
            <w:hideMark/>
          </w:tcPr>
          <w:p w14:paraId="758F8B94"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7-8 (?)</w:t>
            </w:r>
          </w:p>
        </w:tc>
        <w:tc>
          <w:tcPr>
            <w:tcW w:w="1794" w:type="dxa"/>
            <w:hideMark/>
          </w:tcPr>
          <w:p w14:paraId="1EEAA10F"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Examine the levels of salivary cortisol, alpha-amylase, and heart rate in children getting a minor dental procedure</w:t>
            </w:r>
          </w:p>
        </w:tc>
        <w:tc>
          <w:tcPr>
            <w:tcW w:w="1365" w:type="dxa"/>
            <w:hideMark/>
          </w:tcPr>
          <w:p w14:paraId="2A316C54"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Absorption</w:t>
            </w:r>
          </w:p>
        </w:tc>
        <w:tc>
          <w:tcPr>
            <w:tcW w:w="1179" w:type="dxa"/>
            <w:hideMark/>
          </w:tcPr>
          <w:p w14:paraId="4515AEFA"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Salivette</w:t>
            </w:r>
          </w:p>
        </w:tc>
        <w:tc>
          <w:tcPr>
            <w:tcW w:w="1178" w:type="dxa"/>
            <w:hideMark/>
          </w:tcPr>
          <w:p w14:paraId="6BE68C34"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SS</w:t>
            </w:r>
          </w:p>
        </w:tc>
        <w:tc>
          <w:tcPr>
            <w:tcW w:w="1307" w:type="dxa"/>
            <w:hideMark/>
          </w:tcPr>
          <w:p w14:paraId="069D8980" w14:textId="02CA6F66" w:rsidR="00D05AB4" w:rsidRPr="00333A96" w:rsidRDefault="001E3817"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3215" w:type="dxa"/>
            <w:gridSpan w:val="2"/>
            <w:hideMark/>
          </w:tcPr>
          <w:p w14:paraId="64B0A879"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1) Children receiving dental prophylaxis had greater salivary cortisol and alpha-amylase levels before to the treatment, indicating anxiety brought on by anticipation. </w:t>
            </w:r>
            <w:r w:rsidRPr="00333A96">
              <w:rPr>
                <w:rFonts w:ascii="Times New Roman" w:eastAsia="Times New Roman" w:hAnsi="Times New Roman" w:cs="Times New Roman"/>
                <w:sz w:val="18"/>
                <w:szCs w:val="18"/>
                <w:lang w:val="en-GB" w:eastAsia="nl-NL"/>
              </w:rPr>
              <w:br/>
              <w:t>2) Alpha-amylase levels and heart rate additionally showed a significant positive correlation.</w:t>
            </w:r>
          </w:p>
        </w:tc>
      </w:tr>
      <w:tr w:rsidR="00D05AB4" w:rsidRPr="00CC2F10" w14:paraId="106BA1F9" w14:textId="77777777" w:rsidTr="00CC2F10">
        <w:trPr>
          <w:cnfStyle w:val="000000100000" w:firstRow="0" w:lastRow="0" w:firstColumn="0" w:lastColumn="0" w:oddVBand="0" w:evenVBand="0" w:oddHBand="1" w:evenHBand="0" w:firstRowFirstColumn="0" w:firstRowLastColumn="0" w:lastRowFirstColumn="0" w:lastRowLastColumn="0"/>
          <w:trHeight w:val="1872"/>
        </w:trPr>
        <w:tc>
          <w:tcPr>
            <w:cnfStyle w:val="001000000000" w:firstRow="0" w:lastRow="0" w:firstColumn="1" w:lastColumn="0" w:oddVBand="0" w:evenVBand="0" w:oddHBand="0" w:evenHBand="0" w:firstRowFirstColumn="0" w:firstRowLastColumn="0" w:lastRowFirstColumn="0" w:lastRowLastColumn="0"/>
            <w:tcW w:w="1560" w:type="dxa"/>
            <w:noWrap/>
            <w:hideMark/>
          </w:tcPr>
          <w:p w14:paraId="63D47EF9"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Garrison-Desany et al. 2021</w:t>
            </w:r>
          </w:p>
        </w:tc>
        <w:tc>
          <w:tcPr>
            <w:tcW w:w="1413" w:type="dxa"/>
            <w:noWrap/>
            <w:hideMark/>
          </w:tcPr>
          <w:p w14:paraId="6A181289"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United States</w:t>
            </w:r>
          </w:p>
        </w:tc>
        <w:tc>
          <w:tcPr>
            <w:tcW w:w="837" w:type="dxa"/>
            <w:noWrap/>
            <w:hideMark/>
          </w:tcPr>
          <w:p w14:paraId="388C0A2E"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6F6F5C94"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267</w:t>
            </w:r>
          </w:p>
        </w:tc>
        <w:tc>
          <w:tcPr>
            <w:tcW w:w="1577" w:type="dxa"/>
            <w:hideMark/>
          </w:tcPr>
          <w:p w14:paraId="1E3F79C0"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1-2 (?)</w:t>
            </w:r>
          </w:p>
        </w:tc>
        <w:tc>
          <w:tcPr>
            <w:tcW w:w="1794" w:type="dxa"/>
            <w:hideMark/>
          </w:tcPr>
          <w:p w14:paraId="042E8874" w14:textId="6D85F6F3"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Determine whether total IgG and anti-TT</w:t>
            </w:r>
            <w:r w:rsidR="00FF3BEF">
              <w:rPr>
                <w:rFonts w:ascii="Times New Roman" w:eastAsia="Times New Roman" w:hAnsi="Times New Roman" w:cs="Times New Roman"/>
                <w:sz w:val="18"/>
                <w:szCs w:val="18"/>
                <w:lang w:val="en-GB" w:eastAsia="nl-NL"/>
              </w:rPr>
              <w:t xml:space="preserve"> </w:t>
            </w:r>
            <w:r w:rsidRPr="00333A96">
              <w:rPr>
                <w:rFonts w:ascii="Times New Roman" w:eastAsia="Times New Roman" w:hAnsi="Times New Roman" w:cs="Times New Roman"/>
                <w:sz w:val="18"/>
                <w:szCs w:val="18"/>
                <w:lang w:val="en-GB" w:eastAsia="nl-NL"/>
              </w:rPr>
              <w:t>IgG levels assessed in oral fluid and corrected for specimen quality and collection issues are related, and to determine whether correcting for these factors statistically improves prediction of anti-TT IgG in serum</w:t>
            </w:r>
          </w:p>
        </w:tc>
        <w:tc>
          <w:tcPr>
            <w:tcW w:w="1365" w:type="dxa"/>
            <w:hideMark/>
          </w:tcPr>
          <w:p w14:paraId="08358B7B"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Absorption</w:t>
            </w:r>
          </w:p>
        </w:tc>
        <w:tc>
          <w:tcPr>
            <w:tcW w:w="1179" w:type="dxa"/>
            <w:hideMark/>
          </w:tcPr>
          <w:p w14:paraId="0934B026"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Oracol Plus swab</w:t>
            </w:r>
          </w:p>
        </w:tc>
        <w:tc>
          <w:tcPr>
            <w:tcW w:w="1178" w:type="dxa"/>
            <w:hideMark/>
          </w:tcPr>
          <w:p w14:paraId="455659B4"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307" w:type="dxa"/>
            <w:hideMark/>
          </w:tcPr>
          <w:p w14:paraId="1CBC1533" w14:textId="217F5BAD" w:rsidR="00D05AB4" w:rsidRPr="00333A96" w:rsidRDefault="001E3817"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3215" w:type="dxa"/>
            <w:gridSpan w:val="2"/>
            <w:hideMark/>
          </w:tcPr>
          <w:p w14:paraId="768611F4"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Measurement of anti-TT IgG in oral fluid is unaffected by collection challenges and specimen quality, making it a trustworthy substitute for serosurveys.</w:t>
            </w:r>
          </w:p>
        </w:tc>
      </w:tr>
      <w:tr w:rsidR="00D05AB4" w:rsidRPr="00CC2F10" w14:paraId="3083DB55" w14:textId="77777777" w:rsidTr="00CC2F10">
        <w:trPr>
          <w:trHeight w:val="1248"/>
        </w:trPr>
        <w:tc>
          <w:tcPr>
            <w:cnfStyle w:val="001000000000" w:firstRow="0" w:lastRow="0" w:firstColumn="1" w:lastColumn="0" w:oddVBand="0" w:evenVBand="0" w:oddHBand="0" w:evenHBand="0" w:firstRowFirstColumn="0" w:firstRowLastColumn="0" w:lastRowFirstColumn="0" w:lastRowLastColumn="0"/>
            <w:tcW w:w="1560" w:type="dxa"/>
            <w:noWrap/>
            <w:hideMark/>
          </w:tcPr>
          <w:p w14:paraId="0C318954"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Gil et al. 2015</w:t>
            </w:r>
          </w:p>
        </w:tc>
        <w:tc>
          <w:tcPr>
            <w:tcW w:w="1413" w:type="dxa"/>
            <w:noWrap/>
            <w:hideMark/>
          </w:tcPr>
          <w:p w14:paraId="636E1402"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Brazil</w:t>
            </w:r>
          </w:p>
        </w:tc>
        <w:tc>
          <w:tcPr>
            <w:tcW w:w="837" w:type="dxa"/>
            <w:noWrap/>
            <w:hideMark/>
          </w:tcPr>
          <w:p w14:paraId="11028F49"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2A3F8EFB"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589</w:t>
            </w:r>
          </w:p>
        </w:tc>
        <w:tc>
          <w:tcPr>
            <w:tcW w:w="1577" w:type="dxa"/>
            <w:hideMark/>
          </w:tcPr>
          <w:p w14:paraId="635CF425"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12 (?)</w:t>
            </w:r>
          </w:p>
        </w:tc>
        <w:tc>
          <w:tcPr>
            <w:tcW w:w="1794" w:type="dxa"/>
            <w:hideMark/>
          </w:tcPr>
          <w:p w14:paraId="000F1BCB"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Determine if self-reported brushing frequency may be utilized in epidemiological studies on dental caries in adolescents as a substitute for clinical oral hygiene indices</w:t>
            </w:r>
          </w:p>
        </w:tc>
        <w:tc>
          <w:tcPr>
            <w:tcW w:w="1365" w:type="dxa"/>
            <w:hideMark/>
          </w:tcPr>
          <w:p w14:paraId="5EA9E0E2"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Spitting</w:t>
            </w:r>
          </w:p>
        </w:tc>
        <w:tc>
          <w:tcPr>
            <w:tcW w:w="1179" w:type="dxa"/>
            <w:hideMark/>
          </w:tcPr>
          <w:p w14:paraId="36252967"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Plastic container</w:t>
            </w:r>
          </w:p>
        </w:tc>
        <w:tc>
          <w:tcPr>
            <w:tcW w:w="1178" w:type="dxa"/>
            <w:hideMark/>
          </w:tcPr>
          <w:p w14:paraId="4AB219BA"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SS</w:t>
            </w:r>
          </w:p>
        </w:tc>
        <w:tc>
          <w:tcPr>
            <w:tcW w:w="1307" w:type="dxa"/>
            <w:hideMark/>
          </w:tcPr>
          <w:p w14:paraId="2D91CF16" w14:textId="39EE7542" w:rsidR="00D05AB4" w:rsidRPr="00333A96" w:rsidRDefault="001E3817"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3215" w:type="dxa"/>
            <w:gridSpan w:val="2"/>
            <w:hideMark/>
          </w:tcPr>
          <w:p w14:paraId="4DC242A7"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 significant association between the clinical indices and self-reported toothbrushing frequency</w:t>
            </w:r>
          </w:p>
        </w:tc>
      </w:tr>
      <w:tr w:rsidR="00D05AB4" w:rsidRPr="00CC2F10" w14:paraId="3FA4A932" w14:textId="77777777" w:rsidTr="00CC2F10">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1560" w:type="dxa"/>
            <w:noWrap/>
            <w:hideMark/>
          </w:tcPr>
          <w:p w14:paraId="4D821D7A"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Giménez et al. 2003</w:t>
            </w:r>
          </w:p>
        </w:tc>
        <w:tc>
          <w:tcPr>
            <w:tcW w:w="1413" w:type="dxa"/>
            <w:noWrap/>
            <w:hideMark/>
          </w:tcPr>
          <w:p w14:paraId="13B1A3BF"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Spain</w:t>
            </w:r>
          </w:p>
        </w:tc>
        <w:tc>
          <w:tcPr>
            <w:tcW w:w="837" w:type="dxa"/>
            <w:noWrap/>
            <w:hideMark/>
          </w:tcPr>
          <w:p w14:paraId="20E3825F"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530D41E4"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547</w:t>
            </w:r>
          </w:p>
        </w:tc>
        <w:tc>
          <w:tcPr>
            <w:tcW w:w="1577" w:type="dxa"/>
            <w:hideMark/>
          </w:tcPr>
          <w:p w14:paraId="3EA59754"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(15.7m±1.41)</w:t>
            </w:r>
          </w:p>
        </w:tc>
        <w:tc>
          <w:tcPr>
            <w:tcW w:w="1794" w:type="dxa"/>
            <w:hideMark/>
          </w:tcPr>
          <w:p w14:paraId="71AB40A3"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Ascertain the degree to which salivary activity can affect adolescent's SNC content in saliva</w:t>
            </w:r>
          </w:p>
        </w:tc>
        <w:tc>
          <w:tcPr>
            <w:tcW w:w="1365" w:type="dxa"/>
            <w:hideMark/>
          </w:tcPr>
          <w:p w14:paraId="51DBA639"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Absorption</w:t>
            </w:r>
          </w:p>
        </w:tc>
        <w:tc>
          <w:tcPr>
            <w:tcW w:w="1179" w:type="dxa"/>
            <w:hideMark/>
          </w:tcPr>
          <w:p w14:paraId="7284C008"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Cotton rolls</w:t>
            </w:r>
          </w:p>
        </w:tc>
        <w:tc>
          <w:tcPr>
            <w:tcW w:w="1178" w:type="dxa"/>
            <w:hideMark/>
          </w:tcPr>
          <w:p w14:paraId="69C7DF40"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307" w:type="dxa"/>
            <w:hideMark/>
          </w:tcPr>
          <w:p w14:paraId="33CC8D44" w14:textId="56E245A6" w:rsidR="00D05AB4" w:rsidRPr="00333A96" w:rsidRDefault="001E3817"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3215" w:type="dxa"/>
            <w:gridSpan w:val="2"/>
            <w:hideMark/>
          </w:tcPr>
          <w:p w14:paraId="49543C93"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No significant effect of salivary activity on SCN levels.</w:t>
            </w:r>
          </w:p>
        </w:tc>
      </w:tr>
      <w:tr w:rsidR="00D05AB4" w:rsidRPr="00CC2F10" w14:paraId="32ED95CE" w14:textId="77777777" w:rsidTr="00CC2F10">
        <w:trPr>
          <w:trHeight w:val="1248"/>
        </w:trPr>
        <w:tc>
          <w:tcPr>
            <w:cnfStyle w:val="001000000000" w:firstRow="0" w:lastRow="0" w:firstColumn="1" w:lastColumn="0" w:oddVBand="0" w:evenVBand="0" w:oddHBand="0" w:evenHBand="0" w:firstRowFirstColumn="0" w:firstRowLastColumn="0" w:lastRowFirstColumn="0" w:lastRowLastColumn="0"/>
            <w:tcW w:w="1560" w:type="dxa"/>
            <w:noWrap/>
            <w:hideMark/>
          </w:tcPr>
          <w:p w14:paraId="2AFBBC2E"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Gomes et al. 2015</w:t>
            </w:r>
          </w:p>
        </w:tc>
        <w:tc>
          <w:tcPr>
            <w:tcW w:w="1413" w:type="dxa"/>
            <w:noWrap/>
            <w:hideMark/>
          </w:tcPr>
          <w:p w14:paraId="166F0276"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Brazil</w:t>
            </w:r>
          </w:p>
        </w:tc>
        <w:tc>
          <w:tcPr>
            <w:tcW w:w="837" w:type="dxa"/>
            <w:noWrap/>
            <w:hideMark/>
          </w:tcPr>
          <w:p w14:paraId="3BBE22DD"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RCT</w:t>
            </w:r>
          </w:p>
        </w:tc>
        <w:tc>
          <w:tcPr>
            <w:tcW w:w="878" w:type="dxa"/>
            <w:noWrap/>
            <w:hideMark/>
          </w:tcPr>
          <w:p w14:paraId="084C4265"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18</w:t>
            </w:r>
          </w:p>
        </w:tc>
        <w:tc>
          <w:tcPr>
            <w:tcW w:w="1577" w:type="dxa"/>
            <w:hideMark/>
          </w:tcPr>
          <w:p w14:paraId="709BC274"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(46.8m±13.9)</w:t>
            </w:r>
          </w:p>
        </w:tc>
        <w:tc>
          <w:tcPr>
            <w:tcW w:w="1794" w:type="dxa"/>
            <w:hideMark/>
          </w:tcPr>
          <w:p w14:paraId="227FCAF6"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Assess how midazolam sedation affects salivary cortisol and how it relates to the way children behave </w:t>
            </w:r>
            <w:r w:rsidRPr="00333A96">
              <w:rPr>
                <w:rFonts w:ascii="Times New Roman" w:eastAsia="Times New Roman" w:hAnsi="Times New Roman" w:cs="Times New Roman"/>
                <w:sz w:val="18"/>
                <w:szCs w:val="18"/>
                <w:lang w:val="en-GB" w:eastAsia="nl-NL"/>
              </w:rPr>
              <w:lastRenderedPageBreak/>
              <w:t>during restorative dental treatments</w:t>
            </w:r>
          </w:p>
        </w:tc>
        <w:tc>
          <w:tcPr>
            <w:tcW w:w="1365" w:type="dxa"/>
            <w:hideMark/>
          </w:tcPr>
          <w:p w14:paraId="1B9A0BB9"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lastRenderedPageBreak/>
              <w:t>Absorption</w:t>
            </w:r>
          </w:p>
        </w:tc>
        <w:tc>
          <w:tcPr>
            <w:tcW w:w="1179" w:type="dxa"/>
            <w:hideMark/>
          </w:tcPr>
          <w:p w14:paraId="7FC06F33"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Salivette</w:t>
            </w:r>
          </w:p>
        </w:tc>
        <w:tc>
          <w:tcPr>
            <w:tcW w:w="1178" w:type="dxa"/>
            <w:hideMark/>
          </w:tcPr>
          <w:p w14:paraId="1477042C"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307" w:type="dxa"/>
            <w:hideMark/>
          </w:tcPr>
          <w:p w14:paraId="34E7BD37" w14:textId="619EAB9E" w:rsidR="00D05AB4" w:rsidRPr="00333A96" w:rsidRDefault="001E3817"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3215" w:type="dxa"/>
            <w:gridSpan w:val="2"/>
            <w:hideMark/>
          </w:tcPr>
          <w:p w14:paraId="3952A76B"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1) The amount of salivary cortisol in children who got MS during anaesthetic administration was significantly decreased. </w:t>
            </w:r>
            <w:r w:rsidRPr="00333A96">
              <w:rPr>
                <w:rFonts w:ascii="Times New Roman" w:eastAsia="Times New Roman" w:hAnsi="Times New Roman" w:cs="Times New Roman"/>
                <w:sz w:val="18"/>
                <w:szCs w:val="18"/>
                <w:lang w:val="en-GB" w:eastAsia="nl-NL"/>
              </w:rPr>
              <w:br/>
              <w:t xml:space="preserve">2) MS had no significant effect on </w:t>
            </w:r>
            <w:r w:rsidRPr="00333A96">
              <w:rPr>
                <w:rFonts w:ascii="Times New Roman" w:eastAsia="Times New Roman" w:hAnsi="Times New Roman" w:cs="Times New Roman"/>
                <w:sz w:val="18"/>
                <w:szCs w:val="18"/>
                <w:lang w:val="en-GB" w:eastAsia="nl-NL"/>
              </w:rPr>
              <w:lastRenderedPageBreak/>
              <w:t>children's behaviour while receiving restorative dental care.</w:t>
            </w:r>
          </w:p>
        </w:tc>
      </w:tr>
      <w:tr w:rsidR="00D05AB4" w:rsidRPr="00CC2F10" w14:paraId="3181F7DF" w14:textId="77777777" w:rsidTr="00CC2F10">
        <w:trPr>
          <w:cnfStyle w:val="000000100000" w:firstRow="0" w:lastRow="0" w:firstColumn="0" w:lastColumn="0" w:oddVBand="0" w:evenVBand="0" w:oddHBand="1" w:evenHBand="0" w:firstRowFirstColumn="0" w:firstRowLastColumn="0" w:lastRowFirstColumn="0" w:lastRowLastColumn="0"/>
          <w:trHeight w:val="936"/>
        </w:trPr>
        <w:tc>
          <w:tcPr>
            <w:cnfStyle w:val="001000000000" w:firstRow="0" w:lastRow="0" w:firstColumn="1" w:lastColumn="0" w:oddVBand="0" w:evenVBand="0" w:oddHBand="0" w:evenHBand="0" w:firstRowFirstColumn="0" w:firstRowLastColumn="0" w:lastRowFirstColumn="0" w:lastRowLastColumn="0"/>
            <w:tcW w:w="1560" w:type="dxa"/>
            <w:noWrap/>
            <w:hideMark/>
          </w:tcPr>
          <w:p w14:paraId="5F98C2D2"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lastRenderedPageBreak/>
              <w:t>Gomes et al. 2016</w:t>
            </w:r>
          </w:p>
        </w:tc>
        <w:tc>
          <w:tcPr>
            <w:tcW w:w="1413" w:type="dxa"/>
            <w:noWrap/>
            <w:hideMark/>
          </w:tcPr>
          <w:p w14:paraId="0276DAF8"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Brazil</w:t>
            </w:r>
          </w:p>
        </w:tc>
        <w:tc>
          <w:tcPr>
            <w:tcW w:w="837" w:type="dxa"/>
            <w:noWrap/>
            <w:hideMark/>
          </w:tcPr>
          <w:p w14:paraId="24BB060E"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35E41623"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39</w:t>
            </w:r>
          </w:p>
        </w:tc>
        <w:tc>
          <w:tcPr>
            <w:tcW w:w="1577" w:type="dxa"/>
            <w:hideMark/>
          </w:tcPr>
          <w:p w14:paraId="0A321F66"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2-5 (45.1m±14.3)</w:t>
            </w:r>
          </w:p>
        </w:tc>
        <w:tc>
          <w:tcPr>
            <w:tcW w:w="1794" w:type="dxa"/>
            <w:hideMark/>
          </w:tcPr>
          <w:p w14:paraId="3FEB47FF"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Assess if DP changes a physiological stress marker in children with DBMP who were referred for dental treatment under sedation</w:t>
            </w:r>
          </w:p>
        </w:tc>
        <w:tc>
          <w:tcPr>
            <w:tcW w:w="1365" w:type="dxa"/>
            <w:hideMark/>
          </w:tcPr>
          <w:p w14:paraId="4035E777"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Absorption</w:t>
            </w:r>
          </w:p>
        </w:tc>
        <w:tc>
          <w:tcPr>
            <w:tcW w:w="1179" w:type="dxa"/>
            <w:hideMark/>
          </w:tcPr>
          <w:p w14:paraId="6EFD944C"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Salivette </w:t>
            </w:r>
          </w:p>
        </w:tc>
        <w:tc>
          <w:tcPr>
            <w:tcW w:w="1178" w:type="dxa"/>
            <w:hideMark/>
          </w:tcPr>
          <w:p w14:paraId="112F202C"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307" w:type="dxa"/>
            <w:hideMark/>
          </w:tcPr>
          <w:p w14:paraId="57F1F580" w14:textId="5BEFF110" w:rsidR="00D05AB4" w:rsidRPr="00333A96" w:rsidRDefault="001E3817"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3215" w:type="dxa"/>
            <w:gridSpan w:val="2"/>
            <w:hideMark/>
          </w:tcPr>
          <w:p w14:paraId="78640E35"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Children with DBMP salivary cortisol levels reduced upon awakening, increased upon arriving at the dentist's office and during DP.</w:t>
            </w:r>
          </w:p>
        </w:tc>
      </w:tr>
      <w:tr w:rsidR="00D05AB4" w:rsidRPr="00CC2F10" w14:paraId="71BF3218" w14:textId="77777777" w:rsidTr="00CC2F10">
        <w:trPr>
          <w:trHeight w:val="936"/>
        </w:trPr>
        <w:tc>
          <w:tcPr>
            <w:cnfStyle w:val="001000000000" w:firstRow="0" w:lastRow="0" w:firstColumn="1" w:lastColumn="0" w:oddVBand="0" w:evenVBand="0" w:oddHBand="0" w:evenHBand="0" w:firstRowFirstColumn="0" w:firstRowLastColumn="0" w:lastRowFirstColumn="0" w:lastRowLastColumn="0"/>
            <w:tcW w:w="1560" w:type="dxa"/>
            <w:noWrap/>
            <w:hideMark/>
          </w:tcPr>
          <w:p w14:paraId="620F0026"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Goyal et al. 2017</w:t>
            </w:r>
          </w:p>
        </w:tc>
        <w:tc>
          <w:tcPr>
            <w:tcW w:w="1413" w:type="dxa"/>
            <w:noWrap/>
            <w:hideMark/>
          </w:tcPr>
          <w:p w14:paraId="74859F59"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India</w:t>
            </w:r>
          </w:p>
        </w:tc>
        <w:tc>
          <w:tcPr>
            <w:tcW w:w="837" w:type="dxa"/>
            <w:noWrap/>
            <w:hideMark/>
          </w:tcPr>
          <w:p w14:paraId="453F089A"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1E39CBBF"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30</w:t>
            </w:r>
          </w:p>
        </w:tc>
        <w:tc>
          <w:tcPr>
            <w:tcW w:w="1577" w:type="dxa"/>
            <w:hideMark/>
          </w:tcPr>
          <w:p w14:paraId="2A4A2306"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7-12 (?)</w:t>
            </w:r>
          </w:p>
        </w:tc>
        <w:tc>
          <w:tcPr>
            <w:tcW w:w="1794" w:type="dxa"/>
            <w:hideMark/>
          </w:tcPr>
          <w:p w14:paraId="792E5F57"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Assess and contrast the antibacterial effectiveness of green tea catechin as a mouthwash on SM colony count in children </w:t>
            </w:r>
          </w:p>
        </w:tc>
        <w:tc>
          <w:tcPr>
            <w:tcW w:w="1365" w:type="dxa"/>
            <w:hideMark/>
          </w:tcPr>
          <w:p w14:paraId="030C755C"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Absorption</w:t>
            </w:r>
          </w:p>
        </w:tc>
        <w:tc>
          <w:tcPr>
            <w:tcW w:w="1179" w:type="dxa"/>
            <w:hideMark/>
          </w:tcPr>
          <w:p w14:paraId="0FFEFB81"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Salivary strips</w:t>
            </w:r>
          </w:p>
        </w:tc>
        <w:tc>
          <w:tcPr>
            <w:tcW w:w="1178" w:type="dxa"/>
            <w:hideMark/>
          </w:tcPr>
          <w:p w14:paraId="4403365E"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SS</w:t>
            </w:r>
          </w:p>
        </w:tc>
        <w:tc>
          <w:tcPr>
            <w:tcW w:w="1307" w:type="dxa"/>
            <w:hideMark/>
          </w:tcPr>
          <w:p w14:paraId="4A498EF6" w14:textId="05040104" w:rsidR="00D05AB4" w:rsidRPr="00333A96" w:rsidRDefault="001E3817"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3215" w:type="dxa"/>
            <w:gridSpan w:val="2"/>
            <w:hideMark/>
          </w:tcPr>
          <w:p w14:paraId="02FE52E8"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Green tea catechin mouthwash significantly reduced the SM count in plaque and saliva samples of children.</w:t>
            </w:r>
          </w:p>
        </w:tc>
      </w:tr>
      <w:tr w:rsidR="00D05AB4" w:rsidRPr="00CC2F10" w14:paraId="72E1ACB3" w14:textId="77777777" w:rsidTr="00CC2F10">
        <w:trPr>
          <w:cnfStyle w:val="000000100000" w:firstRow="0" w:lastRow="0" w:firstColumn="0" w:lastColumn="0" w:oddVBand="0" w:evenVBand="0" w:oddHBand="1" w:evenHBand="0" w:firstRowFirstColumn="0" w:firstRowLastColumn="0" w:lastRowFirstColumn="0" w:lastRowLastColumn="0"/>
          <w:trHeight w:val="1248"/>
        </w:trPr>
        <w:tc>
          <w:tcPr>
            <w:cnfStyle w:val="001000000000" w:firstRow="0" w:lastRow="0" w:firstColumn="1" w:lastColumn="0" w:oddVBand="0" w:evenVBand="0" w:oddHBand="0" w:evenHBand="0" w:firstRowFirstColumn="0" w:firstRowLastColumn="0" w:lastRowFirstColumn="0" w:lastRowLastColumn="0"/>
            <w:tcW w:w="1560" w:type="dxa"/>
            <w:noWrap/>
            <w:hideMark/>
          </w:tcPr>
          <w:p w14:paraId="4EF1BC2E"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Granger et al. 2007</w:t>
            </w:r>
          </w:p>
        </w:tc>
        <w:tc>
          <w:tcPr>
            <w:tcW w:w="1413" w:type="dxa"/>
            <w:noWrap/>
            <w:hideMark/>
          </w:tcPr>
          <w:p w14:paraId="2ACD0C0D"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United States</w:t>
            </w:r>
          </w:p>
        </w:tc>
        <w:tc>
          <w:tcPr>
            <w:tcW w:w="837" w:type="dxa"/>
            <w:noWrap/>
            <w:hideMark/>
          </w:tcPr>
          <w:p w14:paraId="17541250"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0F4F3466"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209</w:t>
            </w:r>
          </w:p>
        </w:tc>
        <w:tc>
          <w:tcPr>
            <w:tcW w:w="1577" w:type="dxa"/>
            <w:hideMark/>
          </w:tcPr>
          <w:p w14:paraId="6C99DC68"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6-13 (9.2 ± ?)</w:t>
            </w:r>
          </w:p>
        </w:tc>
        <w:tc>
          <w:tcPr>
            <w:tcW w:w="1794" w:type="dxa"/>
            <w:hideMark/>
          </w:tcPr>
          <w:p w14:paraId="65A97A30" w14:textId="40C8E65D"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Investigate the frequency, stability, and effects of blood contamination on the detection of three of the </w:t>
            </w:r>
            <w:r w:rsidR="00FF3BEF" w:rsidRPr="00333A96">
              <w:rPr>
                <w:rFonts w:ascii="Times New Roman" w:eastAsia="Times New Roman" w:hAnsi="Times New Roman" w:cs="Times New Roman"/>
                <w:sz w:val="18"/>
                <w:szCs w:val="18"/>
                <w:lang w:val="en-GB" w:eastAsia="nl-NL"/>
              </w:rPr>
              <w:t>most measured</w:t>
            </w:r>
            <w:r w:rsidRPr="00333A96">
              <w:rPr>
                <w:rFonts w:ascii="Times New Roman" w:eastAsia="Times New Roman" w:hAnsi="Times New Roman" w:cs="Times New Roman"/>
                <w:sz w:val="18"/>
                <w:szCs w:val="18"/>
                <w:lang w:val="en-GB" w:eastAsia="nl-NL"/>
              </w:rPr>
              <w:t xml:space="preserve"> hormones in children's saliva </w:t>
            </w:r>
          </w:p>
        </w:tc>
        <w:tc>
          <w:tcPr>
            <w:tcW w:w="1365" w:type="dxa"/>
            <w:hideMark/>
          </w:tcPr>
          <w:p w14:paraId="31C17FBF"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Drooling</w:t>
            </w:r>
          </w:p>
        </w:tc>
        <w:tc>
          <w:tcPr>
            <w:tcW w:w="1179" w:type="dxa"/>
            <w:hideMark/>
          </w:tcPr>
          <w:p w14:paraId="674E82F9"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straw and plastic vial</w:t>
            </w:r>
          </w:p>
        </w:tc>
        <w:tc>
          <w:tcPr>
            <w:tcW w:w="1178" w:type="dxa"/>
            <w:hideMark/>
          </w:tcPr>
          <w:p w14:paraId="4A037A53"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SS</w:t>
            </w:r>
          </w:p>
        </w:tc>
        <w:tc>
          <w:tcPr>
            <w:tcW w:w="1307" w:type="dxa"/>
            <w:hideMark/>
          </w:tcPr>
          <w:p w14:paraId="0278A343"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30min fasting before sampling</w:t>
            </w:r>
          </w:p>
        </w:tc>
        <w:tc>
          <w:tcPr>
            <w:tcW w:w="3215" w:type="dxa"/>
            <w:gridSpan w:val="2"/>
            <w:hideMark/>
          </w:tcPr>
          <w:p w14:paraId="691C0466"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Due to the limited correlation between transferrin levels and hormone levels, blood contamination has little effect on the detection of salivary hormones.</w:t>
            </w:r>
          </w:p>
        </w:tc>
      </w:tr>
      <w:tr w:rsidR="00D05AB4" w:rsidRPr="00CC2F10" w14:paraId="2BD0BD55" w14:textId="77777777" w:rsidTr="00CC2F10">
        <w:trPr>
          <w:trHeight w:val="1248"/>
        </w:trPr>
        <w:tc>
          <w:tcPr>
            <w:cnfStyle w:val="001000000000" w:firstRow="0" w:lastRow="0" w:firstColumn="1" w:lastColumn="0" w:oddVBand="0" w:evenVBand="0" w:oddHBand="0" w:evenHBand="0" w:firstRowFirstColumn="0" w:firstRowLastColumn="0" w:lastRowFirstColumn="0" w:lastRowLastColumn="0"/>
            <w:tcW w:w="1560" w:type="dxa"/>
            <w:noWrap/>
            <w:hideMark/>
          </w:tcPr>
          <w:p w14:paraId="56AB323B"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Gudino et al. 2007</w:t>
            </w:r>
          </w:p>
        </w:tc>
        <w:tc>
          <w:tcPr>
            <w:tcW w:w="1413" w:type="dxa"/>
            <w:noWrap/>
            <w:hideMark/>
          </w:tcPr>
          <w:p w14:paraId="00B2EE29"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Puerto Rico</w:t>
            </w:r>
          </w:p>
        </w:tc>
        <w:tc>
          <w:tcPr>
            <w:tcW w:w="837" w:type="dxa"/>
            <w:noWrap/>
            <w:hideMark/>
          </w:tcPr>
          <w:p w14:paraId="6B673D82"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72AFA148"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68</w:t>
            </w:r>
          </w:p>
        </w:tc>
        <w:tc>
          <w:tcPr>
            <w:tcW w:w="1577" w:type="dxa"/>
            <w:hideMark/>
          </w:tcPr>
          <w:p w14:paraId="56CB32AD"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0-1 (13m ± ?)</w:t>
            </w:r>
          </w:p>
        </w:tc>
        <w:tc>
          <w:tcPr>
            <w:tcW w:w="1794" w:type="dxa"/>
            <w:hideMark/>
          </w:tcPr>
          <w:p w14:paraId="4C6409DD"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Identify the presence of SM in the dental biofilm and saliva of young people from high-risk groups who have low socioeconomic status</w:t>
            </w:r>
          </w:p>
        </w:tc>
        <w:tc>
          <w:tcPr>
            <w:tcW w:w="1365" w:type="dxa"/>
            <w:hideMark/>
          </w:tcPr>
          <w:p w14:paraId="34DB3628"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Absorption</w:t>
            </w:r>
          </w:p>
        </w:tc>
        <w:tc>
          <w:tcPr>
            <w:tcW w:w="1179" w:type="dxa"/>
            <w:hideMark/>
          </w:tcPr>
          <w:p w14:paraId="58B97253"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Cotton swab</w:t>
            </w:r>
          </w:p>
        </w:tc>
        <w:tc>
          <w:tcPr>
            <w:tcW w:w="1178" w:type="dxa"/>
            <w:hideMark/>
          </w:tcPr>
          <w:p w14:paraId="5D63B32A"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307" w:type="dxa"/>
            <w:hideMark/>
          </w:tcPr>
          <w:p w14:paraId="54DD4A5E" w14:textId="7CBFDBBC" w:rsidR="00D05AB4" w:rsidRPr="00333A96" w:rsidRDefault="001E3817"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3215" w:type="dxa"/>
            <w:gridSpan w:val="2"/>
            <w:hideMark/>
          </w:tcPr>
          <w:p w14:paraId="487AD882" w14:textId="763A4291"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In high caries risk infants, the density of MS colonization was significantly correlated with the number of erupted primary molars, indicating a relationship between dental development and MS colonization.</w:t>
            </w:r>
          </w:p>
        </w:tc>
      </w:tr>
      <w:tr w:rsidR="00D05AB4" w:rsidRPr="00CC2F10" w14:paraId="3744BB30" w14:textId="77777777" w:rsidTr="00CC2F10">
        <w:trPr>
          <w:cnfStyle w:val="000000100000" w:firstRow="0" w:lastRow="0" w:firstColumn="0" w:lastColumn="0" w:oddVBand="0" w:evenVBand="0" w:oddHBand="1" w:evenHBand="0" w:firstRowFirstColumn="0" w:firstRowLastColumn="0" w:lastRowFirstColumn="0" w:lastRowLastColumn="0"/>
          <w:trHeight w:val="1248"/>
        </w:trPr>
        <w:tc>
          <w:tcPr>
            <w:cnfStyle w:val="001000000000" w:firstRow="0" w:lastRow="0" w:firstColumn="1" w:lastColumn="0" w:oddVBand="0" w:evenVBand="0" w:oddHBand="0" w:evenHBand="0" w:firstRowFirstColumn="0" w:firstRowLastColumn="0" w:lastRowFirstColumn="0" w:lastRowLastColumn="0"/>
            <w:tcW w:w="1560" w:type="dxa"/>
            <w:noWrap/>
            <w:hideMark/>
          </w:tcPr>
          <w:p w14:paraId="01FC3203"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Gudipaneni et al. 2014</w:t>
            </w:r>
          </w:p>
        </w:tc>
        <w:tc>
          <w:tcPr>
            <w:tcW w:w="1413" w:type="dxa"/>
            <w:noWrap/>
            <w:hideMark/>
          </w:tcPr>
          <w:p w14:paraId="43173F2F"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India</w:t>
            </w:r>
          </w:p>
        </w:tc>
        <w:tc>
          <w:tcPr>
            <w:tcW w:w="837" w:type="dxa"/>
            <w:noWrap/>
            <w:hideMark/>
          </w:tcPr>
          <w:p w14:paraId="6DDFBA5A"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3AFCFC17"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30</w:t>
            </w:r>
          </w:p>
        </w:tc>
        <w:tc>
          <w:tcPr>
            <w:tcW w:w="1577" w:type="dxa"/>
            <w:hideMark/>
          </w:tcPr>
          <w:p w14:paraId="165FDFB1"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3-5 (?)</w:t>
            </w:r>
          </w:p>
        </w:tc>
        <w:tc>
          <w:tcPr>
            <w:tcW w:w="1794" w:type="dxa"/>
            <w:hideMark/>
          </w:tcPr>
          <w:p w14:paraId="77153AE6" w14:textId="316A3E4C"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Evaluate in children with S-ECC the anti-microbial effectiveness of a 500ppm fluoride tooth paste in comparison to a non-fluoridated toothpaste</w:t>
            </w:r>
          </w:p>
        </w:tc>
        <w:tc>
          <w:tcPr>
            <w:tcW w:w="1365" w:type="dxa"/>
            <w:hideMark/>
          </w:tcPr>
          <w:p w14:paraId="04819334"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Spitting</w:t>
            </w:r>
          </w:p>
        </w:tc>
        <w:tc>
          <w:tcPr>
            <w:tcW w:w="1179" w:type="dxa"/>
            <w:hideMark/>
          </w:tcPr>
          <w:p w14:paraId="79F8D8ED"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Sterile tube</w:t>
            </w:r>
          </w:p>
        </w:tc>
        <w:tc>
          <w:tcPr>
            <w:tcW w:w="1178" w:type="dxa"/>
            <w:hideMark/>
          </w:tcPr>
          <w:p w14:paraId="5AA6EE49"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SS</w:t>
            </w:r>
          </w:p>
        </w:tc>
        <w:tc>
          <w:tcPr>
            <w:tcW w:w="1307" w:type="dxa"/>
            <w:hideMark/>
          </w:tcPr>
          <w:p w14:paraId="51105FD4" w14:textId="028B7C55" w:rsidR="00D05AB4" w:rsidRPr="00333A96" w:rsidRDefault="001E3817"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3215" w:type="dxa"/>
            <w:gridSpan w:val="2"/>
            <w:hideMark/>
          </w:tcPr>
          <w:p w14:paraId="7C3924C6"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Children with S-ECC had significantly reduced amounts of SM and LA in their saliva after using toothpaste containing lactoferrin, lysozyme, and lactoperoxidase.</w:t>
            </w:r>
          </w:p>
        </w:tc>
      </w:tr>
      <w:tr w:rsidR="00D05AB4" w:rsidRPr="00CC2F10" w14:paraId="7B59AE67" w14:textId="77777777" w:rsidTr="00CC2F10">
        <w:trPr>
          <w:trHeight w:val="936"/>
        </w:trPr>
        <w:tc>
          <w:tcPr>
            <w:cnfStyle w:val="001000000000" w:firstRow="0" w:lastRow="0" w:firstColumn="1" w:lastColumn="0" w:oddVBand="0" w:evenVBand="0" w:oddHBand="0" w:evenHBand="0" w:firstRowFirstColumn="0" w:firstRowLastColumn="0" w:lastRowFirstColumn="0" w:lastRowLastColumn="0"/>
            <w:tcW w:w="1560" w:type="dxa"/>
            <w:noWrap/>
            <w:hideMark/>
          </w:tcPr>
          <w:p w14:paraId="62CDF2A2"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lastRenderedPageBreak/>
              <w:t>Guedes et al. 2020</w:t>
            </w:r>
          </w:p>
        </w:tc>
        <w:tc>
          <w:tcPr>
            <w:tcW w:w="1413" w:type="dxa"/>
            <w:noWrap/>
            <w:hideMark/>
          </w:tcPr>
          <w:p w14:paraId="11E214A9"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Brazil</w:t>
            </w:r>
          </w:p>
        </w:tc>
        <w:tc>
          <w:tcPr>
            <w:tcW w:w="837" w:type="dxa"/>
            <w:noWrap/>
            <w:hideMark/>
          </w:tcPr>
          <w:p w14:paraId="293F48C6"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7BD7A24D"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126</w:t>
            </w:r>
          </w:p>
        </w:tc>
        <w:tc>
          <w:tcPr>
            <w:tcW w:w="1577" w:type="dxa"/>
            <w:hideMark/>
          </w:tcPr>
          <w:p w14:paraId="1A7A6407"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2-6 (?) </w:t>
            </w:r>
          </w:p>
        </w:tc>
        <w:tc>
          <w:tcPr>
            <w:tcW w:w="1794" w:type="dxa"/>
            <w:hideMark/>
          </w:tcPr>
          <w:p w14:paraId="645C245A"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Compare the saliva protein profiles of those with ECC at various stages of severity and children who are caries-free</w:t>
            </w:r>
          </w:p>
        </w:tc>
        <w:tc>
          <w:tcPr>
            <w:tcW w:w="1365" w:type="dxa"/>
            <w:hideMark/>
          </w:tcPr>
          <w:p w14:paraId="3DEB794C"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Absorption</w:t>
            </w:r>
          </w:p>
        </w:tc>
        <w:tc>
          <w:tcPr>
            <w:tcW w:w="1179" w:type="dxa"/>
            <w:hideMark/>
          </w:tcPr>
          <w:p w14:paraId="0D9921F8"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SalivaBio Children's Swab</w:t>
            </w:r>
          </w:p>
        </w:tc>
        <w:tc>
          <w:tcPr>
            <w:tcW w:w="1178" w:type="dxa"/>
            <w:hideMark/>
          </w:tcPr>
          <w:p w14:paraId="46B8D3E7"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SS</w:t>
            </w:r>
          </w:p>
        </w:tc>
        <w:tc>
          <w:tcPr>
            <w:tcW w:w="1307" w:type="dxa"/>
            <w:hideMark/>
          </w:tcPr>
          <w:p w14:paraId="3BA61039" w14:textId="17B0E584" w:rsidR="00D05AB4" w:rsidRPr="00333A96" w:rsidRDefault="001E3817"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3215" w:type="dxa"/>
            <w:gridSpan w:val="2"/>
            <w:hideMark/>
          </w:tcPr>
          <w:p w14:paraId="6CC9233C"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When compared to CF children, 8 proteins were thought to be connected to caries, and the proteins E2AK4 and SH3L2 were only found in groups CF and EC, respectively.</w:t>
            </w:r>
          </w:p>
        </w:tc>
      </w:tr>
      <w:tr w:rsidR="00D05AB4" w:rsidRPr="00CC2F10" w14:paraId="65CC359C" w14:textId="77777777" w:rsidTr="00CC2F10">
        <w:trPr>
          <w:cnfStyle w:val="000000100000" w:firstRow="0" w:lastRow="0" w:firstColumn="0" w:lastColumn="0" w:oddVBand="0" w:evenVBand="0" w:oddHBand="1" w:evenHBand="0" w:firstRowFirstColumn="0" w:firstRowLastColumn="0" w:lastRowFirstColumn="0" w:lastRowLastColumn="0"/>
          <w:trHeight w:val="936"/>
        </w:trPr>
        <w:tc>
          <w:tcPr>
            <w:cnfStyle w:val="001000000000" w:firstRow="0" w:lastRow="0" w:firstColumn="1" w:lastColumn="0" w:oddVBand="0" w:evenVBand="0" w:oddHBand="0" w:evenHBand="0" w:firstRowFirstColumn="0" w:firstRowLastColumn="0" w:lastRowFirstColumn="0" w:lastRowLastColumn="0"/>
            <w:tcW w:w="1560" w:type="dxa"/>
            <w:noWrap/>
            <w:hideMark/>
          </w:tcPr>
          <w:p w14:paraId="3A849E21"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Gunnar et al. 2021</w:t>
            </w:r>
          </w:p>
        </w:tc>
        <w:tc>
          <w:tcPr>
            <w:tcW w:w="1413" w:type="dxa"/>
            <w:noWrap/>
            <w:hideMark/>
          </w:tcPr>
          <w:p w14:paraId="0CB32372"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United States</w:t>
            </w:r>
          </w:p>
        </w:tc>
        <w:tc>
          <w:tcPr>
            <w:tcW w:w="837" w:type="dxa"/>
            <w:noWrap/>
            <w:hideMark/>
          </w:tcPr>
          <w:p w14:paraId="4F637C84"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36ACC552"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68</w:t>
            </w:r>
          </w:p>
        </w:tc>
        <w:tc>
          <w:tcPr>
            <w:tcW w:w="1577" w:type="dxa"/>
            <w:hideMark/>
          </w:tcPr>
          <w:p w14:paraId="1D1AADD0"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15-16 (?)</w:t>
            </w:r>
          </w:p>
        </w:tc>
        <w:tc>
          <w:tcPr>
            <w:tcW w:w="1794" w:type="dxa"/>
            <w:hideMark/>
          </w:tcPr>
          <w:p w14:paraId="238AC1EE"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Verify an entirely online, child-specific version of the TSST</w:t>
            </w:r>
          </w:p>
        </w:tc>
        <w:tc>
          <w:tcPr>
            <w:tcW w:w="1365" w:type="dxa"/>
            <w:hideMark/>
          </w:tcPr>
          <w:p w14:paraId="1D3E983C"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Spitting</w:t>
            </w:r>
          </w:p>
        </w:tc>
        <w:tc>
          <w:tcPr>
            <w:tcW w:w="1179" w:type="dxa"/>
            <w:hideMark/>
          </w:tcPr>
          <w:p w14:paraId="0563084C"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Straw and vial</w:t>
            </w:r>
          </w:p>
        </w:tc>
        <w:tc>
          <w:tcPr>
            <w:tcW w:w="1178" w:type="dxa"/>
            <w:hideMark/>
          </w:tcPr>
          <w:p w14:paraId="4341FE90"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US </w:t>
            </w:r>
          </w:p>
        </w:tc>
        <w:tc>
          <w:tcPr>
            <w:tcW w:w="1307" w:type="dxa"/>
            <w:hideMark/>
          </w:tcPr>
          <w:p w14:paraId="55CFA191" w14:textId="14F6E170" w:rsidR="00D05AB4" w:rsidRPr="00333A96" w:rsidRDefault="001E3817"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3215" w:type="dxa"/>
            <w:gridSpan w:val="2"/>
            <w:hideMark/>
          </w:tcPr>
          <w:p w14:paraId="19762DEA"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The TSST-OL responses were in accordance with those observed in person, proving the protocol's success in getting adolescents and children to activate their HPA axis and other stress-related systems.</w:t>
            </w:r>
          </w:p>
        </w:tc>
      </w:tr>
      <w:tr w:rsidR="00D05AB4" w:rsidRPr="00333A96" w14:paraId="12334006" w14:textId="77777777" w:rsidTr="00CC2F10">
        <w:trPr>
          <w:trHeight w:val="936"/>
        </w:trPr>
        <w:tc>
          <w:tcPr>
            <w:cnfStyle w:val="001000000000" w:firstRow="0" w:lastRow="0" w:firstColumn="1" w:lastColumn="0" w:oddVBand="0" w:evenVBand="0" w:oddHBand="0" w:evenHBand="0" w:firstRowFirstColumn="0" w:firstRowLastColumn="0" w:lastRowFirstColumn="0" w:lastRowLastColumn="0"/>
            <w:tcW w:w="1560" w:type="dxa"/>
            <w:noWrap/>
            <w:hideMark/>
          </w:tcPr>
          <w:p w14:paraId="66318613"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Hartman et al. 2015</w:t>
            </w:r>
          </w:p>
        </w:tc>
        <w:tc>
          <w:tcPr>
            <w:tcW w:w="1413" w:type="dxa"/>
            <w:noWrap/>
            <w:hideMark/>
          </w:tcPr>
          <w:p w14:paraId="14F17008"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United States</w:t>
            </w:r>
          </w:p>
        </w:tc>
        <w:tc>
          <w:tcPr>
            <w:tcW w:w="837" w:type="dxa"/>
            <w:noWrap/>
            <w:hideMark/>
          </w:tcPr>
          <w:p w14:paraId="0D639051"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3FA429C0"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65</w:t>
            </w:r>
          </w:p>
        </w:tc>
        <w:tc>
          <w:tcPr>
            <w:tcW w:w="1577" w:type="dxa"/>
            <w:hideMark/>
          </w:tcPr>
          <w:p w14:paraId="17E278AE"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10-11 (10.6±0.2)</w:t>
            </w:r>
          </w:p>
        </w:tc>
        <w:tc>
          <w:tcPr>
            <w:tcW w:w="1794" w:type="dxa"/>
            <w:hideMark/>
          </w:tcPr>
          <w:p w14:paraId="663C5B17"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Assess the accuracy of using the glucose level in saliva as a proxy for measuring children's plasma glucose levels</w:t>
            </w:r>
          </w:p>
        </w:tc>
        <w:tc>
          <w:tcPr>
            <w:tcW w:w="1365" w:type="dxa"/>
            <w:hideMark/>
          </w:tcPr>
          <w:p w14:paraId="347F5DD1"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Drooling</w:t>
            </w:r>
          </w:p>
        </w:tc>
        <w:tc>
          <w:tcPr>
            <w:tcW w:w="1179" w:type="dxa"/>
            <w:hideMark/>
          </w:tcPr>
          <w:p w14:paraId="153EFA50"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Tube</w:t>
            </w:r>
          </w:p>
        </w:tc>
        <w:tc>
          <w:tcPr>
            <w:tcW w:w="1178" w:type="dxa"/>
            <w:hideMark/>
          </w:tcPr>
          <w:p w14:paraId="2C158B4E"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US </w:t>
            </w:r>
          </w:p>
        </w:tc>
        <w:tc>
          <w:tcPr>
            <w:tcW w:w="1307" w:type="dxa"/>
            <w:hideMark/>
          </w:tcPr>
          <w:p w14:paraId="518E0AAC"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6h fasting before sampling</w:t>
            </w:r>
          </w:p>
        </w:tc>
        <w:tc>
          <w:tcPr>
            <w:tcW w:w="3215" w:type="dxa"/>
            <w:gridSpan w:val="2"/>
            <w:hideMark/>
          </w:tcPr>
          <w:p w14:paraId="513C526F"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No significant differences observed in glucose concentrations across different body-weight groups.</w:t>
            </w:r>
            <w:r w:rsidRPr="00333A96">
              <w:rPr>
                <w:rFonts w:ascii="Times New Roman" w:eastAsia="Times New Roman" w:hAnsi="Times New Roman" w:cs="Times New Roman"/>
                <w:sz w:val="18"/>
                <w:szCs w:val="18"/>
                <w:lang w:val="en-GB" w:eastAsia="nl-NL"/>
              </w:rPr>
              <w:br/>
              <w:t>2) Plasma glucose levels and salivary glucose levels are correlated</w:t>
            </w:r>
          </w:p>
        </w:tc>
      </w:tr>
      <w:tr w:rsidR="00D05AB4" w:rsidRPr="00CC2F10" w14:paraId="26A3B51B" w14:textId="77777777" w:rsidTr="00CC2F10">
        <w:trPr>
          <w:cnfStyle w:val="000000100000" w:firstRow="0" w:lastRow="0" w:firstColumn="0" w:lastColumn="0" w:oddVBand="0" w:evenVBand="0" w:oddHBand="1" w:evenHBand="0" w:firstRowFirstColumn="0" w:firstRowLastColumn="0" w:lastRowFirstColumn="0" w:lastRowLastColumn="0"/>
          <w:trHeight w:val="936"/>
        </w:trPr>
        <w:tc>
          <w:tcPr>
            <w:cnfStyle w:val="001000000000" w:firstRow="0" w:lastRow="0" w:firstColumn="1" w:lastColumn="0" w:oddVBand="0" w:evenVBand="0" w:oddHBand="0" w:evenHBand="0" w:firstRowFirstColumn="0" w:firstRowLastColumn="0" w:lastRowFirstColumn="0" w:lastRowLastColumn="0"/>
            <w:tcW w:w="1560" w:type="dxa"/>
            <w:noWrap/>
            <w:hideMark/>
          </w:tcPr>
          <w:p w14:paraId="532BD589"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Hashizume et al. 2017</w:t>
            </w:r>
          </w:p>
        </w:tc>
        <w:tc>
          <w:tcPr>
            <w:tcW w:w="1413" w:type="dxa"/>
            <w:noWrap/>
            <w:hideMark/>
          </w:tcPr>
          <w:p w14:paraId="53ABBAD1"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Brazil</w:t>
            </w:r>
          </w:p>
        </w:tc>
        <w:tc>
          <w:tcPr>
            <w:tcW w:w="837" w:type="dxa"/>
            <w:noWrap/>
            <w:hideMark/>
          </w:tcPr>
          <w:p w14:paraId="7E2AB9CA"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482680BB"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113</w:t>
            </w:r>
          </w:p>
        </w:tc>
        <w:tc>
          <w:tcPr>
            <w:tcW w:w="1577" w:type="dxa"/>
            <w:hideMark/>
          </w:tcPr>
          <w:p w14:paraId="082553A3"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6-14 (?)</w:t>
            </w:r>
          </w:p>
        </w:tc>
        <w:tc>
          <w:tcPr>
            <w:tcW w:w="1794" w:type="dxa"/>
            <w:hideMark/>
          </w:tcPr>
          <w:p w14:paraId="1B06558E"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Assess, and contrast with results from children without DS, the association between salivary sIgA levels and dental caries</w:t>
            </w:r>
          </w:p>
        </w:tc>
        <w:tc>
          <w:tcPr>
            <w:tcW w:w="1365" w:type="dxa"/>
            <w:hideMark/>
          </w:tcPr>
          <w:p w14:paraId="5D0CEB0C"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Spitting</w:t>
            </w:r>
          </w:p>
        </w:tc>
        <w:tc>
          <w:tcPr>
            <w:tcW w:w="1179" w:type="dxa"/>
            <w:hideMark/>
          </w:tcPr>
          <w:p w14:paraId="53A2099E"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Tube</w:t>
            </w:r>
          </w:p>
        </w:tc>
        <w:tc>
          <w:tcPr>
            <w:tcW w:w="1178" w:type="dxa"/>
            <w:hideMark/>
          </w:tcPr>
          <w:p w14:paraId="0A57DF93"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SS</w:t>
            </w:r>
          </w:p>
        </w:tc>
        <w:tc>
          <w:tcPr>
            <w:tcW w:w="1307" w:type="dxa"/>
            <w:hideMark/>
          </w:tcPr>
          <w:p w14:paraId="6828B077"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2h fasting before sampling</w:t>
            </w:r>
          </w:p>
        </w:tc>
        <w:tc>
          <w:tcPr>
            <w:tcW w:w="3215" w:type="dxa"/>
            <w:gridSpan w:val="2"/>
            <w:hideMark/>
          </w:tcPr>
          <w:p w14:paraId="7C06A98E"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Children with DS had significantly higher sIgA concentrations.</w:t>
            </w:r>
            <w:r w:rsidRPr="00333A96">
              <w:rPr>
                <w:rFonts w:ascii="Times New Roman" w:eastAsia="Times New Roman" w:hAnsi="Times New Roman" w:cs="Times New Roman"/>
                <w:sz w:val="18"/>
                <w:szCs w:val="18"/>
                <w:lang w:val="en-GB" w:eastAsia="nl-NL"/>
              </w:rPr>
              <w:br/>
              <w:t>2) Children with and without caries exposure did not differ in their sIgA concentrations, in either group.</w:t>
            </w:r>
          </w:p>
        </w:tc>
      </w:tr>
      <w:tr w:rsidR="00D05AB4" w:rsidRPr="00CC2F10" w14:paraId="30C7D4C1" w14:textId="77777777" w:rsidTr="00CC2F10">
        <w:trPr>
          <w:trHeight w:val="1560"/>
        </w:trPr>
        <w:tc>
          <w:tcPr>
            <w:cnfStyle w:val="001000000000" w:firstRow="0" w:lastRow="0" w:firstColumn="1" w:lastColumn="0" w:oddVBand="0" w:evenVBand="0" w:oddHBand="0" w:evenHBand="0" w:firstRowFirstColumn="0" w:firstRowLastColumn="0" w:lastRowFirstColumn="0" w:lastRowLastColumn="0"/>
            <w:tcW w:w="1560" w:type="dxa"/>
            <w:noWrap/>
            <w:hideMark/>
          </w:tcPr>
          <w:p w14:paraId="7167A4D9"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Hatzinger et al. 2008</w:t>
            </w:r>
          </w:p>
        </w:tc>
        <w:tc>
          <w:tcPr>
            <w:tcW w:w="1413" w:type="dxa"/>
            <w:noWrap/>
            <w:hideMark/>
          </w:tcPr>
          <w:p w14:paraId="302C0315"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Switzerland</w:t>
            </w:r>
          </w:p>
        </w:tc>
        <w:tc>
          <w:tcPr>
            <w:tcW w:w="837" w:type="dxa"/>
            <w:noWrap/>
            <w:hideMark/>
          </w:tcPr>
          <w:p w14:paraId="237F05FC"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5B1567B7"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102</w:t>
            </w:r>
          </w:p>
        </w:tc>
        <w:tc>
          <w:tcPr>
            <w:tcW w:w="1577" w:type="dxa"/>
            <w:hideMark/>
          </w:tcPr>
          <w:p w14:paraId="5F38C925"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(4.91±0.44)</w:t>
            </w:r>
          </w:p>
        </w:tc>
        <w:tc>
          <w:tcPr>
            <w:tcW w:w="1794" w:type="dxa"/>
            <w:hideMark/>
          </w:tcPr>
          <w:p w14:paraId="20897F56" w14:textId="6385739F"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Examine in preschoolers the relationship between sleep habits, endocrine function, and children' emotional/</w:t>
            </w:r>
            <w:r w:rsidR="00FF3BEF" w:rsidRPr="00333A96">
              <w:rPr>
                <w:rFonts w:ascii="Times New Roman" w:eastAsia="Times New Roman" w:hAnsi="Times New Roman" w:cs="Times New Roman"/>
                <w:sz w:val="18"/>
                <w:szCs w:val="18"/>
                <w:lang w:val="en-GB" w:eastAsia="nl-NL"/>
              </w:rPr>
              <w:t>behavioural</w:t>
            </w:r>
            <w:r w:rsidRPr="00333A96">
              <w:rPr>
                <w:rFonts w:ascii="Times New Roman" w:eastAsia="Times New Roman" w:hAnsi="Times New Roman" w:cs="Times New Roman"/>
                <w:sz w:val="18"/>
                <w:szCs w:val="18"/>
                <w:lang w:val="en-GB" w:eastAsia="nl-NL"/>
              </w:rPr>
              <w:t xml:space="preserve"> challenges and skills in order to associate psychological stress with sleep parameters</w:t>
            </w:r>
          </w:p>
        </w:tc>
        <w:tc>
          <w:tcPr>
            <w:tcW w:w="1365" w:type="dxa"/>
            <w:hideMark/>
          </w:tcPr>
          <w:p w14:paraId="55E6D97D"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Absorption</w:t>
            </w:r>
          </w:p>
        </w:tc>
        <w:tc>
          <w:tcPr>
            <w:tcW w:w="1179" w:type="dxa"/>
            <w:hideMark/>
          </w:tcPr>
          <w:p w14:paraId="143262AF"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Salivette cotton swab</w:t>
            </w:r>
          </w:p>
        </w:tc>
        <w:tc>
          <w:tcPr>
            <w:tcW w:w="1178" w:type="dxa"/>
            <w:hideMark/>
          </w:tcPr>
          <w:p w14:paraId="6C0097FB"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SS</w:t>
            </w:r>
          </w:p>
        </w:tc>
        <w:tc>
          <w:tcPr>
            <w:tcW w:w="1307" w:type="dxa"/>
            <w:hideMark/>
          </w:tcPr>
          <w:p w14:paraId="6DD3722A"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Fasting the night before sampling</w:t>
            </w:r>
          </w:p>
        </w:tc>
        <w:tc>
          <w:tcPr>
            <w:tcW w:w="3215" w:type="dxa"/>
            <w:gridSpan w:val="2"/>
            <w:hideMark/>
          </w:tcPr>
          <w:p w14:paraId="63CFAA5E"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Boys had significantly more REM sleep time compared to girls</w:t>
            </w:r>
            <w:r w:rsidRPr="00333A96">
              <w:rPr>
                <w:rFonts w:ascii="Times New Roman" w:eastAsia="Times New Roman" w:hAnsi="Times New Roman" w:cs="Times New Roman"/>
                <w:sz w:val="18"/>
                <w:szCs w:val="18"/>
                <w:lang w:val="en-GB" w:eastAsia="nl-NL"/>
              </w:rPr>
              <w:br/>
              <w:t>2) "Poor" sleepers had significant higher morning cortisol levels than "good" sleepers.</w:t>
            </w:r>
            <w:r w:rsidRPr="00333A96">
              <w:rPr>
                <w:rFonts w:ascii="Times New Roman" w:eastAsia="Times New Roman" w:hAnsi="Times New Roman" w:cs="Times New Roman"/>
                <w:sz w:val="18"/>
                <w:szCs w:val="18"/>
                <w:lang w:val="en-GB" w:eastAsia="nl-NL"/>
              </w:rPr>
              <w:br/>
              <w:t>3) Under stressful circumstances, higher cortisol levels were related to more awakenings after sleep onset and longer stages 1 and 2 of sleep.</w:t>
            </w:r>
          </w:p>
        </w:tc>
      </w:tr>
      <w:tr w:rsidR="00D05AB4" w:rsidRPr="00CC2F10" w14:paraId="40018A32" w14:textId="77777777" w:rsidTr="00CC2F10">
        <w:trPr>
          <w:cnfStyle w:val="000000100000" w:firstRow="0" w:lastRow="0" w:firstColumn="0" w:lastColumn="0" w:oddVBand="0" w:evenVBand="0" w:oddHBand="1" w:evenHBand="0" w:firstRowFirstColumn="0" w:firstRowLastColumn="0" w:lastRowFirstColumn="0" w:lastRowLastColumn="0"/>
          <w:trHeight w:val="1248"/>
        </w:trPr>
        <w:tc>
          <w:tcPr>
            <w:cnfStyle w:val="001000000000" w:firstRow="0" w:lastRow="0" w:firstColumn="1" w:lastColumn="0" w:oddVBand="0" w:evenVBand="0" w:oddHBand="0" w:evenHBand="0" w:firstRowFirstColumn="0" w:firstRowLastColumn="0" w:lastRowFirstColumn="0" w:lastRowLastColumn="0"/>
            <w:tcW w:w="1560" w:type="dxa"/>
            <w:noWrap/>
            <w:hideMark/>
          </w:tcPr>
          <w:p w14:paraId="7D39CC92"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Herrington et al. 2004</w:t>
            </w:r>
          </w:p>
        </w:tc>
        <w:tc>
          <w:tcPr>
            <w:tcW w:w="1413" w:type="dxa"/>
            <w:noWrap/>
            <w:hideMark/>
          </w:tcPr>
          <w:p w14:paraId="2D6A02CA"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United States</w:t>
            </w:r>
          </w:p>
        </w:tc>
        <w:tc>
          <w:tcPr>
            <w:tcW w:w="837" w:type="dxa"/>
            <w:noWrap/>
            <w:hideMark/>
          </w:tcPr>
          <w:p w14:paraId="56F9BBB3"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45A2A455"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19</w:t>
            </w:r>
          </w:p>
        </w:tc>
        <w:tc>
          <w:tcPr>
            <w:tcW w:w="1577" w:type="dxa"/>
            <w:hideMark/>
          </w:tcPr>
          <w:p w14:paraId="0B8736B6"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0 (?)</w:t>
            </w:r>
          </w:p>
        </w:tc>
        <w:tc>
          <w:tcPr>
            <w:tcW w:w="1794" w:type="dxa"/>
            <w:hideMark/>
          </w:tcPr>
          <w:p w14:paraId="5D4A91D2" w14:textId="16676304" w:rsidR="00D05AB4" w:rsidRPr="00333A96" w:rsidRDefault="00FF3BEF"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Evaluate</w:t>
            </w:r>
            <w:r w:rsidR="00D05AB4" w:rsidRPr="00333A96">
              <w:rPr>
                <w:rFonts w:ascii="Times New Roman" w:eastAsia="Times New Roman" w:hAnsi="Times New Roman" w:cs="Times New Roman"/>
                <w:sz w:val="18"/>
                <w:szCs w:val="18"/>
                <w:lang w:val="en-GB" w:eastAsia="nl-NL"/>
              </w:rPr>
              <w:t xml:space="preserve"> the efficacy of a technique for collecting saliva from preterm infants</w:t>
            </w:r>
          </w:p>
        </w:tc>
        <w:tc>
          <w:tcPr>
            <w:tcW w:w="1365" w:type="dxa"/>
            <w:hideMark/>
          </w:tcPr>
          <w:p w14:paraId="10C91DDA"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Absorption</w:t>
            </w:r>
          </w:p>
        </w:tc>
        <w:tc>
          <w:tcPr>
            <w:tcW w:w="1179" w:type="dxa"/>
            <w:hideMark/>
          </w:tcPr>
          <w:p w14:paraId="0E8AF1A4"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Cotton-tipped applicators</w:t>
            </w:r>
          </w:p>
        </w:tc>
        <w:tc>
          <w:tcPr>
            <w:tcW w:w="1178" w:type="dxa"/>
            <w:hideMark/>
          </w:tcPr>
          <w:p w14:paraId="0364D1F6"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US </w:t>
            </w:r>
          </w:p>
        </w:tc>
        <w:tc>
          <w:tcPr>
            <w:tcW w:w="1307" w:type="dxa"/>
            <w:hideMark/>
          </w:tcPr>
          <w:p w14:paraId="4DD77261" w14:textId="15332FC3" w:rsidR="00D05AB4" w:rsidRPr="00333A96" w:rsidRDefault="001E3817"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3215" w:type="dxa"/>
            <w:gridSpan w:val="2"/>
            <w:hideMark/>
          </w:tcPr>
          <w:p w14:paraId="5D4BCCED" w14:textId="26D7A7CD"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1) By body-weight groups, the mean total glucose levels in saliva and plasma did not differ significantly. </w:t>
            </w:r>
            <w:r w:rsidRPr="00333A96">
              <w:rPr>
                <w:rFonts w:ascii="Times New Roman" w:eastAsia="Times New Roman" w:hAnsi="Times New Roman" w:cs="Times New Roman"/>
                <w:sz w:val="18"/>
                <w:szCs w:val="18"/>
                <w:lang w:val="en-GB" w:eastAsia="nl-NL"/>
              </w:rPr>
              <w:br/>
              <w:t xml:space="preserve">2) Salivary glucose testing has shown </w:t>
            </w:r>
            <w:r w:rsidRPr="00333A96">
              <w:rPr>
                <w:rFonts w:ascii="Times New Roman" w:eastAsia="Times New Roman" w:hAnsi="Times New Roman" w:cs="Times New Roman"/>
                <w:sz w:val="18"/>
                <w:szCs w:val="18"/>
                <w:lang w:val="en-GB" w:eastAsia="nl-NL"/>
              </w:rPr>
              <w:lastRenderedPageBreak/>
              <w:t xml:space="preserve">potential for diagnostic </w:t>
            </w:r>
            <w:r w:rsidR="00FF3BEF" w:rsidRPr="00333A96">
              <w:rPr>
                <w:rFonts w:ascii="Times New Roman" w:eastAsia="Times New Roman" w:hAnsi="Times New Roman" w:cs="Times New Roman"/>
                <w:sz w:val="18"/>
                <w:szCs w:val="18"/>
                <w:lang w:val="en-GB" w:eastAsia="nl-NL"/>
              </w:rPr>
              <w:t>screening for</w:t>
            </w:r>
            <w:r w:rsidRPr="00333A96">
              <w:rPr>
                <w:rFonts w:ascii="Times New Roman" w:eastAsia="Times New Roman" w:hAnsi="Times New Roman" w:cs="Times New Roman"/>
                <w:sz w:val="18"/>
                <w:szCs w:val="18"/>
                <w:lang w:val="en-GB" w:eastAsia="nl-NL"/>
              </w:rPr>
              <w:t xml:space="preserve"> high fasting plasma glucose levels.</w:t>
            </w:r>
          </w:p>
        </w:tc>
      </w:tr>
      <w:tr w:rsidR="00D05AB4" w:rsidRPr="00CC2F10" w14:paraId="052A817F" w14:textId="77777777" w:rsidTr="00CC2F10">
        <w:trPr>
          <w:trHeight w:val="1248"/>
        </w:trPr>
        <w:tc>
          <w:tcPr>
            <w:cnfStyle w:val="001000000000" w:firstRow="0" w:lastRow="0" w:firstColumn="1" w:lastColumn="0" w:oddVBand="0" w:evenVBand="0" w:oddHBand="0" w:evenHBand="0" w:firstRowFirstColumn="0" w:firstRowLastColumn="0" w:lastRowFirstColumn="0" w:lastRowLastColumn="0"/>
            <w:tcW w:w="1560" w:type="dxa"/>
            <w:noWrap/>
            <w:hideMark/>
          </w:tcPr>
          <w:p w14:paraId="161F81CC"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lastRenderedPageBreak/>
              <w:t>Hibel et al. 2014</w:t>
            </w:r>
          </w:p>
        </w:tc>
        <w:tc>
          <w:tcPr>
            <w:tcW w:w="1413" w:type="dxa"/>
            <w:noWrap/>
            <w:hideMark/>
          </w:tcPr>
          <w:p w14:paraId="51C33C96"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United States</w:t>
            </w:r>
          </w:p>
        </w:tc>
        <w:tc>
          <w:tcPr>
            <w:tcW w:w="837" w:type="dxa"/>
            <w:noWrap/>
            <w:hideMark/>
          </w:tcPr>
          <w:p w14:paraId="49F8194A"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4DEEFAB5"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47</w:t>
            </w:r>
          </w:p>
        </w:tc>
        <w:tc>
          <w:tcPr>
            <w:tcW w:w="1577" w:type="dxa"/>
            <w:hideMark/>
          </w:tcPr>
          <w:p w14:paraId="6414CEE3"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2-4 (3.51±0.90)</w:t>
            </w:r>
          </w:p>
        </w:tc>
        <w:tc>
          <w:tcPr>
            <w:tcW w:w="1794" w:type="dxa"/>
            <w:hideMark/>
          </w:tcPr>
          <w:p w14:paraId="0D51D234"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Determine whether morning cortisol levels and slopes are present, stable, and present in children in out-of-home care with working mothers</w:t>
            </w:r>
          </w:p>
        </w:tc>
        <w:tc>
          <w:tcPr>
            <w:tcW w:w="1365" w:type="dxa"/>
            <w:hideMark/>
          </w:tcPr>
          <w:p w14:paraId="16F9D269"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Absorption</w:t>
            </w:r>
          </w:p>
        </w:tc>
        <w:tc>
          <w:tcPr>
            <w:tcW w:w="1179" w:type="dxa"/>
            <w:hideMark/>
          </w:tcPr>
          <w:p w14:paraId="0909BE7F"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Sponge</w:t>
            </w:r>
          </w:p>
        </w:tc>
        <w:tc>
          <w:tcPr>
            <w:tcW w:w="1178" w:type="dxa"/>
            <w:hideMark/>
          </w:tcPr>
          <w:p w14:paraId="55DDB207"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US </w:t>
            </w:r>
          </w:p>
        </w:tc>
        <w:tc>
          <w:tcPr>
            <w:tcW w:w="1307" w:type="dxa"/>
            <w:hideMark/>
          </w:tcPr>
          <w:p w14:paraId="3503909C"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Resistance: interval of 15-30 seconds</w:t>
            </w:r>
          </w:p>
        </w:tc>
        <w:tc>
          <w:tcPr>
            <w:tcW w:w="3215" w:type="dxa"/>
            <w:gridSpan w:val="2"/>
            <w:hideMark/>
          </w:tcPr>
          <w:p w14:paraId="64CF70E2" w14:textId="3A4D28A2"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Children's cortisol levels were stable, but CARs varied, and workdays were significantly more stressful than non-workdays.</w:t>
            </w:r>
            <w:r w:rsidRPr="00333A96">
              <w:rPr>
                <w:rFonts w:ascii="Times New Roman" w:eastAsia="Times New Roman" w:hAnsi="Times New Roman" w:cs="Times New Roman"/>
                <w:sz w:val="18"/>
                <w:szCs w:val="18"/>
                <w:lang w:val="en-GB" w:eastAsia="nl-NL"/>
              </w:rPr>
              <w:br/>
              <w:t>2)</w:t>
            </w:r>
            <w:r w:rsidR="00FF3BEF">
              <w:rPr>
                <w:rFonts w:ascii="Times New Roman" w:eastAsia="Times New Roman" w:hAnsi="Times New Roman" w:cs="Times New Roman"/>
                <w:sz w:val="18"/>
                <w:szCs w:val="18"/>
                <w:lang w:val="en-GB" w:eastAsia="nl-NL"/>
              </w:rPr>
              <w:t xml:space="preserve"> </w:t>
            </w:r>
            <w:r w:rsidRPr="00333A96">
              <w:rPr>
                <w:rFonts w:ascii="Times New Roman" w:eastAsia="Times New Roman" w:hAnsi="Times New Roman" w:cs="Times New Roman"/>
                <w:sz w:val="18"/>
                <w:szCs w:val="18"/>
                <w:lang w:val="en-GB" w:eastAsia="nl-NL"/>
              </w:rPr>
              <w:t>Mother-child cortisol levels were impacted by the mother's workday, with less concordance on workdays compared to non-workdays.</w:t>
            </w:r>
          </w:p>
        </w:tc>
      </w:tr>
      <w:tr w:rsidR="00D05AB4" w:rsidRPr="00CC2F10" w14:paraId="51A740B3" w14:textId="77777777" w:rsidTr="00CC2F10">
        <w:trPr>
          <w:cnfStyle w:val="000000100000" w:firstRow="0" w:lastRow="0" w:firstColumn="0" w:lastColumn="0" w:oddVBand="0" w:evenVBand="0" w:oddHBand="1" w:evenHBand="0" w:firstRowFirstColumn="0" w:firstRowLastColumn="0" w:lastRowFirstColumn="0" w:lastRowLastColumn="0"/>
          <w:trHeight w:val="1560"/>
        </w:trPr>
        <w:tc>
          <w:tcPr>
            <w:cnfStyle w:val="001000000000" w:firstRow="0" w:lastRow="0" w:firstColumn="1" w:lastColumn="0" w:oddVBand="0" w:evenVBand="0" w:oddHBand="0" w:evenHBand="0" w:firstRowFirstColumn="0" w:firstRowLastColumn="0" w:lastRowFirstColumn="0" w:lastRowLastColumn="0"/>
            <w:tcW w:w="1560" w:type="dxa"/>
            <w:noWrap/>
            <w:hideMark/>
          </w:tcPr>
          <w:p w14:paraId="4AB68E1F"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Hiremath et al. 2015</w:t>
            </w:r>
          </w:p>
        </w:tc>
        <w:tc>
          <w:tcPr>
            <w:tcW w:w="1413" w:type="dxa"/>
            <w:noWrap/>
            <w:hideMark/>
          </w:tcPr>
          <w:p w14:paraId="587722D0"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United States</w:t>
            </w:r>
          </w:p>
        </w:tc>
        <w:tc>
          <w:tcPr>
            <w:tcW w:w="837" w:type="dxa"/>
            <w:noWrap/>
            <w:hideMark/>
          </w:tcPr>
          <w:p w14:paraId="6D7F6073"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4AA40247"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20</w:t>
            </w:r>
          </w:p>
        </w:tc>
        <w:tc>
          <w:tcPr>
            <w:tcW w:w="1577" w:type="dxa"/>
            <w:hideMark/>
          </w:tcPr>
          <w:p w14:paraId="10F84A38"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9-17 (?)</w:t>
            </w:r>
          </w:p>
        </w:tc>
        <w:tc>
          <w:tcPr>
            <w:tcW w:w="1794" w:type="dxa"/>
            <w:hideMark/>
          </w:tcPr>
          <w:p w14:paraId="2043F374" w14:textId="075FDA95"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Compare the two methods of collecting saliva for the purpose of measuring and </w:t>
            </w:r>
            <w:r w:rsidR="00FF3BEF" w:rsidRPr="00333A96">
              <w:rPr>
                <w:rFonts w:ascii="Times New Roman" w:eastAsia="Times New Roman" w:hAnsi="Times New Roman" w:cs="Times New Roman"/>
                <w:sz w:val="18"/>
                <w:szCs w:val="18"/>
                <w:lang w:val="en-GB" w:eastAsia="nl-NL"/>
              </w:rPr>
              <w:t>analysing</w:t>
            </w:r>
            <w:r w:rsidRPr="00333A96">
              <w:rPr>
                <w:rFonts w:ascii="Times New Roman" w:eastAsia="Times New Roman" w:hAnsi="Times New Roman" w:cs="Times New Roman"/>
                <w:sz w:val="18"/>
                <w:szCs w:val="18"/>
                <w:lang w:val="en-GB" w:eastAsia="nl-NL"/>
              </w:rPr>
              <w:t xml:space="preserve"> the levels of IL-4, IL-5, IL-13, Eo3, and TSLP in children's saliva</w:t>
            </w:r>
          </w:p>
        </w:tc>
        <w:tc>
          <w:tcPr>
            <w:tcW w:w="1365" w:type="dxa"/>
            <w:hideMark/>
          </w:tcPr>
          <w:p w14:paraId="69DF69F4"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Drooling, absorption</w:t>
            </w:r>
          </w:p>
        </w:tc>
        <w:tc>
          <w:tcPr>
            <w:tcW w:w="1179" w:type="dxa"/>
            <w:hideMark/>
          </w:tcPr>
          <w:p w14:paraId="3AF0940D"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Saliva Collection Aid (SCA) Salimetrics, swab salimetrics</w:t>
            </w:r>
          </w:p>
        </w:tc>
        <w:tc>
          <w:tcPr>
            <w:tcW w:w="1178" w:type="dxa"/>
            <w:hideMark/>
          </w:tcPr>
          <w:p w14:paraId="3A6C8B78"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US </w:t>
            </w:r>
          </w:p>
        </w:tc>
        <w:tc>
          <w:tcPr>
            <w:tcW w:w="1307" w:type="dxa"/>
            <w:hideMark/>
          </w:tcPr>
          <w:p w14:paraId="712F3EC7"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4h fasting before sampling</w:t>
            </w:r>
          </w:p>
        </w:tc>
        <w:tc>
          <w:tcPr>
            <w:tcW w:w="3215" w:type="dxa"/>
            <w:gridSpan w:val="2"/>
            <w:hideMark/>
          </w:tcPr>
          <w:p w14:paraId="3C883D5F" w14:textId="79A65B2A"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1) The OS sampling was </w:t>
            </w:r>
            <w:r w:rsidR="00FF3BEF" w:rsidRPr="00333A96">
              <w:rPr>
                <w:rFonts w:ascii="Times New Roman" w:eastAsia="Times New Roman" w:hAnsi="Times New Roman" w:cs="Times New Roman"/>
                <w:sz w:val="18"/>
                <w:szCs w:val="18"/>
                <w:lang w:val="en-GB" w:eastAsia="nl-NL"/>
              </w:rPr>
              <w:t>favoured</w:t>
            </w:r>
            <w:r w:rsidRPr="00333A96">
              <w:rPr>
                <w:rFonts w:ascii="Times New Roman" w:eastAsia="Times New Roman" w:hAnsi="Times New Roman" w:cs="Times New Roman"/>
                <w:sz w:val="18"/>
                <w:szCs w:val="18"/>
                <w:lang w:val="en-GB" w:eastAsia="nl-NL"/>
              </w:rPr>
              <w:t xml:space="preserve"> by a significantly higher percentage of children than the PD sampling (because of the ease and speed)</w:t>
            </w:r>
            <w:r w:rsidRPr="00333A96">
              <w:rPr>
                <w:rFonts w:ascii="Times New Roman" w:eastAsia="Times New Roman" w:hAnsi="Times New Roman" w:cs="Times New Roman"/>
                <w:sz w:val="18"/>
                <w:szCs w:val="18"/>
                <w:lang w:val="en-GB" w:eastAsia="nl-NL"/>
              </w:rPr>
              <w:br/>
              <w:t>2) When examining cytokines linked to allergic inflammation in the juvenile population, saliva obtained by OS appears to give methodological advantages over PD.</w:t>
            </w:r>
          </w:p>
        </w:tc>
      </w:tr>
      <w:tr w:rsidR="00D05AB4" w:rsidRPr="00CC2F10" w14:paraId="70061FA3" w14:textId="77777777" w:rsidTr="00CC2F10">
        <w:trPr>
          <w:trHeight w:val="1872"/>
        </w:trPr>
        <w:tc>
          <w:tcPr>
            <w:cnfStyle w:val="001000000000" w:firstRow="0" w:lastRow="0" w:firstColumn="1" w:lastColumn="0" w:oddVBand="0" w:evenVBand="0" w:oddHBand="0" w:evenHBand="0" w:firstRowFirstColumn="0" w:firstRowLastColumn="0" w:lastRowFirstColumn="0" w:lastRowLastColumn="0"/>
            <w:tcW w:w="1560" w:type="dxa"/>
            <w:noWrap/>
            <w:hideMark/>
          </w:tcPr>
          <w:p w14:paraId="1869EF0B"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Hollanders et al. 2019</w:t>
            </w:r>
          </w:p>
        </w:tc>
        <w:tc>
          <w:tcPr>
            <w:tcW w:w="1413" w:type="dxa"/>
            <w:noWrap/>
            <w:hideMark/>
          </w:tcPr>
          <w:p w14:paraId="33042E92"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The Netherlands</w:t>
            </w:r>
          </w:p>
        </w:tc>
        <w:tc>
          <w:tcPr>
            <w:tcW w:w="837" w:type="dxa"/>
            <w:noWrap/>
            <w:hideMark/>
          </w:tcPr>
          <w:p w14:paraId="427B6C02"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13EB61D2"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55</w:t>
            </w:r>
          </w:p>
        </w:tc>
        <w:tc>
          <w:tcPr>
            <w:tcW w:w="1577" w:type="dxa"/>
            <w:hideMark/>
          </w:tcPr>
          <w:p w14:paraId="481467A4"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0 (?)</w:t>
            </w:r>
          </w:p>
        </w:tc>
        <w:tc>
          <w:tcPr>
            <w:tcW w:w="1794" w:type="dxa"/>
            <w:hideMark/>
          </w:tcPr>
          <w:p w14:paraId="51D8DAD0"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Outline HPA-axis activity and investigate potential influencing factors in newborns</w:t>
            </w:r>
          </w:p>
        </w:tc>
        <w:tc>
          <w:tcPr>
            <w:tcW w:w="1365" w:type="dxa"/>
            <w:hideMark/>
          </w:tcPr>
          <w:p w14:paraId="074F4E69"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Absorption</w:t>
            </w:r>
          </w:p>
        </w:tc>
        <w:tc>
          <w:tcPr>
            <w:tcW w:w="1179" w:type="dxa"/>
            <w:hideMark/>
          </w:tcPr>
          <w:p w14:paraId="087FB464"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SalivaBio Infant's Swab</w:t>
            </w:r>
          </w:p>
        </w:tc>
        <w:tc>
          <w:tcPr>
            <w:tcW w:w="1178" w:type="dxa"/>
            <w:hideMark/>
          </w:tcPr>
          <w:p w14:paraId="2638142E"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US </w:t>
            </w:r>
          </w:p>
        </w:tc>
        <w:tc>
          <w:tcPr>
            <w:tcW w:w="1307" w:type="dxa"/>
            <w:hideMark/>
          </w:tcPr>
          <w:p w14:paraId="506AF6DC" w14:textId="283B9266" w:rsidR="00D05AB4" w:rsidRPr="00333A96" w:rsidRDefault="001E3817"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r w:rsidR="00D05AB4" w:rsidRPr="00333A96">
              <w:rPr>
                <w:rFonts w:ascii="Times New Roman" w:eastAsia="Times New Roman" w:hAnsi="Times New Roman" w:cs="Times New Roman"/>
                <w:sz w:val="18"/>
                <w:szCs w:val="18"/>
                <w:lang w:val="en-GB" w:eastAsia="nl-NL"/>
              </w:rPr>
              <w:t xml:space="preserve"> </w:t>
            </w:r>
          </w:p>
        </w:tc>
        <w:tc>
          <w:tcPr>
            <w:tcW w:w="3215" w:type="dxa"/>
            <w:gridSpan w:val="2"/>
            <w:hideMark/>
          </w:tcPr>
          <w:p w14:paraId="328D4112" w14:textId="206D8D4B"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1) The infants' GC rhythm was correlated with the GC characteristics of the mother's breast milk; which may have a </w:t>
            </w:r>
            <w:r w:rsidR="00FB437A" w:rsidRPr="00333A96">
              <w:rPr>
                <w:rFonts w:ascii="Times New Roman" w:eastAsia="Times New Roman" w:hAnsi="Times New Roman" w:cs="Times New Roman"/>
                <w:sz w:val="18"/>
                <w:szCs w:val="18"/>
                <w:lang w:val="en-GB" w:eastAsia="nl-NL"/>
              </w:rPr>
              <w:t>signalling</w:t>
            </w:r>
            <w:r w:rsidRPr="00333A96">
              <w:rPr>
                <w:rFonts w:ascii="Times New Roman" w:eastAsia="Times New Roman" w:hAnsi="Times New Roman" w:cs="Times New Roman"/>
                <w:sz w:val="18"/>
                <w:szCs w:val="18"/>
                <w:lang w:val="en-GB" w:eastAsia="nl-NL"/>
              </w:rPr>
              <w:t xml:space="preserve"> impact or improved mother-infant synchronization.</w:t>
            </w:r>
            <w:r w:rsidRPr="00333A96">
              <w:rPr>
                <w:rFonts w:ascii="Times New Roman" w:eastAsia="Times New Roman" w:hAnsi="Times New Roman" w:cs="Times New Roman"/>
                <w:sz w:val="18"/>
                <w:szCs w:val="18"/>
                <w:lang w:val="en-GB" w:eastAsia="nl-NL"/>
              </w:rPr>
              <w:br/>
              <w:t>2) Maternal psychological distress, POP clinic visits, the time of year when samples were taken, and sex were all insignificant influences on the infants' GC rhythm.</w:t>
            </w:r>
          </w:p>
        </w:tc>
      </w:tr>
      <w:tr w:rsidR="00D05AB4" w:rsidRPr="00CC2F10" w14:paraId="10C8769D" w14:textId="77777777" w:rsidTr="00CC2F10">
        <w:trPr>
          <w:cnfStyle w:val="000000100000" w:firstRow="0" w:lastRow="0" w:firstColumn="0" w:lastColumn="0" w:oddVBand="0" w:evenVBand="0" w:oddHBand="1" w:evenHBand="0" w:firstRowFirstColumn="0" w:firstRowLastColumn="0" w:lastRowFirstColumn="0" w:lastRowLastColumn="0"/>
          <w:trHeight w:val="1248"/>
        </w:trPr>
        <w:tc>
          <w:tcPr>
            <w:cnfStyle w:val="001000000000" w:firstRow="0" w:lastRow="0" w:firstColumn="1" w:lastColumn="0" w:oddVBand="0" w:evenVBand="0" w:oddHBand="0" w:evenHBand="0" w:firstRowFirstColumn="0" w:firstRowLastColumn="0" w:lastRowFirstColumn="0" w:lastRowLastColumn="0"/>
            <w:tcW w:w="1560" w:type="dxa"/>
            <w:noWrap/>
            <w:hideMark/>
          </w:tcPr>
          <w:p w14:paraId="35F890B9"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Hr et al. 2016</w:t>
            </w:r>
          </w:p>
        </w:tc>
        <w:tc>
          <w:tcPr>
            <w:tcW w:w="1413" w:type="dxa"/>
            <w:noWrap/>
            <w:hideMark/>
          </w:tcPr>
          <w:p w14:paraId="1BD4E140"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Iran</w:t>
            </w:r>
          </w:p>
        </w:tc>
        <w:tc>
          <w:tcPr>
            <w:tcW w:w="837" w:type="dxa"/>
            <w:noWrap/>
            <w:hideMark/>
          </w:tcPr>
          <w:p w14:paraId="50D21822"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26F4BFEC"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25</w:t>
            </w:r>
          </w:p>
        </w:tc>
        <w:tc>
          <w:tcPr>
            <w:tcW w:w="1577" w:type="dxa"/>
            <w:hideMark/>
          </w:tcPr>
          <w:p w14:paraId="167385F9"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6-9 (?)</w:t>
            </w:r>
          </w:p>
        </w:tc>
        <w:tc>
          <w:tcPr>
            <w:tcW w:w="1794" w:type="dxa"/>
            <w:hideMark/>
          </w:tcPr>
          <w:p w14:paraId="68E74EA3"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Assess the levels of calcium, phosphate, and fluoride in children's plaque and saliva both before and after the CPP-ACP paste application</w:t>
            </w:r>
          </w:p>
        </w:tc>
        <w:tc>
          <w:tcPr>
            <w:tcW w:w="1365" w:type="dxa"/>
            <w:hideMark/>
          </w:tcPr>
          <w:p w14:paraId="0CC0B15D"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Spitting</w:t>
            </w:r>
          </w:p>
        </w:tc>
        <w:tc>
          <w:tcPr>
            <w:tcW w:w="1179" w:type="dxa"/>
            <w:hideMark/>
          </w:tcPr>
          <w:p w14:paraId="5760F0B6"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Plastic container</w:t>
            </w:r>
          </w:p>
        </w:tc>
        <w:tc>
          <w:tcPr>
            <w:tcW w:w="1178" w:type="dxa"/>
            <w:hideMark/>
          </w:tcPr>
          <w:p w14:paraId="3CFF4B3C"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US </w:t>
            </w:r>
          </w:p>
        </w:tc>
        <w:tc>
          <w:tcPr>
            <w:tcW w:w="1307" w:type="dxa"/>
            <w:hideMark/>
          </w:tcPr>
          <w:p w14:paraId="28F623D3" w14:textId="1CB09292" w:rsidR="00D05AB4" w:rsidRPr="00333A96" w:rsidRDefault="001E3817"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3215" w:type="dxa"/>
            <w:gridSpan w:val="2"/>
            <w:hideMark/>
          </w:tcPr>
          <w:p w14:paraId="05C92621"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The fluoride levels in the plaque as well as the calcium and phosphate levels in both saliva and the plaque were both significantly increased by the usage of the CPP-ACP paste.</w:t>
            </w:r>
          </w:p>
        </w:tc>
      </w:tr>
      <w:tr w:rsidR="00D05AB4" w:rsidRPr="00CC2F10" w14:paraId="7F21063A" w14:textId="77777777" w:rsidTr="00CC2F10">
        <w:trPr>
          <w:trHeight w:val="1560"/>
        </w:trPr>
        <w:tc>
          <w:tcPr>
            <w:cnfStyle w:val="001000000000" w:firstRow="0" w:lastRow="0" w:firstColumn="1" w:lastColumn="0" w:oddVBand="0" w:evenVBand="0" w:oddHBand="0" w:evenHBand="0" w:firstRowFirstColumn="0" w:firstRowLastColumn="0" w:lastRowFirstColumn="0" w:lastRowLastColumn="0"/>
            <w:tcW w:w="1560" w:type="dxa"/>
            <w:noWrap/>
            <w:hideMark/>
          </w:tcPr>
          <w:p w14:paraId="757B2878"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lastRenderedPageBreak/>
              <w:t>Huamani et al. 2019</w:t>
            </w:r>
          </w:p>
        </w:tc>
        <w:tc>
          <w:tcPr>
            <w:tcW w:w="1413" w:type="dxa"/>
            <w:noWrap/>
            <w:hideMark/>
          </w:tcPr>
          <w:p w14:paraId="10CC6FB8"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Brazil</w:t>
            </w:r>
          </w:p>
        </w:tc>
        <w:tc>
          <w:tcPr>
            <w:tcW w:w="837" w:type="dxa"/>
            <w:noWrap/>
            <w:hideMark/>
          </w:tcPr>
          <w:p w14:paraId="0DE69D85"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RCT</w:t>
            </w:r>
          </w:p>
        </w:tc>
        <w:tc>
          <w:tcPr>
            <w:tcW w:w="878" w:type="dxa"/>
            <w:noWrap/>
            <w:hideMark/>
          </w:tcPr>
          <w:p w14:paraId="6335A938"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78</w:t>
            </w:r>
          </w:p>
        </w:tc>
        <w:tc>
          <w:tcPr>
            <w:tcW w:w="1577" w:type="dxa"/>
            <w:hideMark/>
          </w:tcPr>
          <w:p w14:paraId="1CA9A223"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6-8 (6.55±0.61)</w:t>
            </w:r>
          </w:p>
        </w:tc>
        <w:tc>
          <w:tcPr>
            <w:tcW w:w="1794" w:type="dxa"/>
            <w:hideMark/>
          </w:tcPr>
          <w:p w14:paraId="32BDD58F"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Assess the effect of OHES on the anxiety and stress markers in students who underwent ART</w:t>
            </w:r>
          </w:p>
        </w:tc>
        <w:tc>
          <w:tcPr>
            <w:tcW w:w="1365" w:type="dxa"/>
            <w:hideMark/>
          </w:tcPr>
          <w:p w14:paraId="37B6954F"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Absorption</w:t>
            </w:r>
          </w:p>
        </w:tc>
        <w:tc>
          <w:tcPr>
            <w:tcW w:w="1179" w:type="dxa"/>
            <w:hideMark/>
          </w:tcPr>
          <w:p w14:paraId="728AC0AD"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Salivette</w:t>
            </w:r>
          </w:p>
        </w:tc>
        <w:tc>
          <w:tcPr>
            <w:tcW w:w="1178" w:type="dxa"/>
            <w:hideMark/>
          </w:tcPr>
          <w:p w14:paraId="500EA9E7"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US </w:t>
            </w:r>
          </w:p>
        </w:tc>
        <w:tc>
          <w:tcPr>
            <w:tcW w:w="1307" w:type="dxa"/>
            <w:hideMark/>
          </w:tcPr>
          <w:p w14:paraId="5D98E2E6"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1h fasting before sampling </w:t>
            </w:r>
          </w:p>
        </w:tc>
        <w:tc>
          <w:tcPr>
            <w:tcW w:w="3215" w:type="dxa"/>
            <w:gridSpan w:val="2"/>
            <w:hideMark/>
          </w:tcPr>
          <w:p w14:paraId="4D45858B"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Both the OHES+ART group and the ART group had comparable levels of actual and perceived anxiety during the treatment</w:t>
            </w:r>
            <w:r w:rsidRPr="00333A96">
              <w:rPr>
                <w:rFonts w:ascii="Times New Roman" w:eastAsia="Times New Roman" w:hAnsi="Times New Roman" w:cs="Times New Roman"/>
                <w:sz w:val="18"/>
                <w:szCs w:val="18"/>
                <w:lang w:val="en-GB" w:eastAsia="nl-NL"/>
              </w:rPr>
              <w:br/>
              <w:t>2) After the ART procedure, the OHES+ART group showed significant lower levels of salivary alpha-amylase and a significantly lower HR throughout several treatment phases.</w:t>
            </w:r>
          </w:p>
        </w:tc>
      </w:tr>
      <w:tr w:rsidR="00D05AB4" w:rsidRPr="00CC2F10" w14:paraId="38010A25" w14:textId="77777777" w:rsidTr="00CC2F10">
        <w:trPr>
          <w:cnfStyle w:val="000000100000" w:firstRow="0" w:lastRow="0" w:firstColumn="0" w:lastColumn="0" w:oddVBand="0" w:evenVBand="0" w:oddHBand="1" w:evenHBand="0" w:firstRowFirstColumn="0" w:firstRowLastColumn="0" w:lastRowFirstColumn="0" w:lastRowLastColumn="0"/>
          <w:trHeight w:val="1560"/>
        </w:trPr>
        <w:tc>
          <w:tcPr>
            <w:cnfStyle w:val="001000000000" w:firstRow="0" w:lastRow="0" w:firstColumn="1" w:lastColumn="0" w:oddVBand="0" w:evenVBand="0" w:oddHBand="0" w:evenHBand="0" w:firstRowFirstColumn="0" w:firstRowLastColumn="0" w:lastRowFirstColumn="0" w:lastRowLastColumn="0"/>
            <w:tcW w:w="1560" w:type="dxa"/>
            <w:noWrap/>
            <w:hideMark/>
          </w:tcPr>
          <w:p w14:paraId="30F8CC04"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Huang et al. 2020</w:t>
            </w:r>
          </w:p>
        </w:tc>
        <w:tc>
          <w:tcPr>
            <w:tcW w:w="1413" w:type="dxa"/>
            <w:noWrap/>
            <w:hideMark/>
          </w:tcPr>
          <w:p w14:paraId="53B7937D"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China</w:t>
            </w:r>
          </w:p>
        </w:tc>
        <w:tc>
          <w:tcPr>
            <w:tcW w:w="837" w:type="dxa"/>
            <w:noWrap/>
            <w:hideMark/>
          </w:tcPr>
          <w:p w14:paraId="44A1FAAD"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CC</w:t>
            </w:r>
          </w:p>
        </w:tc>
        <w:tc>
          <w:tcPr>
            <w:tcW w:w="878" w:type="dxa"/>
            <w:noWrap/>
            <w:hideMark/>
          </w:tcPr>
          <w:p w14:paraId="151A97A4"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144</w:t>
            </w:r>
          </w:p>
        </w:tc>
        <w:tc>
          <w:tcPr>
            <w:tcW w:w="1577" w:type="dxa"/>
            <w:hideMark/>
          </w:tcPr>
          <w:p w14:paraId="38382B6C"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(10.52±1.24)</w:t>
            </w:r>
          </w:p>
        </w:tc>
        <w:tc>
          <w:tcPr>
            <w:tcW w:w="1794" w:type="dxa"/>
            <w:hideMark/>
          </w:tcPr>
          <w:p w14:paraId="5DE69497"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Assess the effects of MT and cortisol on dyslexic children</w:t>
            </w:r>
          </w:p>
        </w:tc>
        <w:tc>
          <w:tcPr>
            <w:tcW w:w="1365" w:type="dxa"/>
            <w:hideMark/>
          </w:tcPr>
          <w:p w14:paraId="71DF5432"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Absorption</w:t>
            </w:r>
          </w:p>
        </w:tc>
        <w:tc>
          <w:tcPr>
            <w:tcW w:w="1179" w:type="dxa"/>
            <w:hideMark/>
          </w:tcPr>
          <w:p w14:paraId="1FADFF39"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Salivette</w:t>
            </w:r>
          </w:p>
        </w:tc>
        <w:tc>
          <w:tcPr>
            <w:tcW w:w="1178" w:type="dxa"/>
            <w:hideMark/>
          </w:tcPr>
          <w:p w14:paraId="7124E753"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US </w:t>
            </w:r>
          </w:p>
        </w:tc>
        <w:tc>
          <w:tcPr>
            <w:tcW w:w="1307" w:type="dxa"/>
            <w:hideMark/>
          </w:tcPr>
          <w:p w14:paraId="2FCB4F25"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1h fasting before sampling </w:t>
            </w:r>
          </w:p>
        </w:tc>
        <w:tc>
          <w:tcPr>
            <w:tcW w:w="3215" w:type="dxa"/>
            <w:gridSpan w:val="2"/>
            <w:hideMark/>
          </w:tcPr>
          <w:p w14:paraId="25A7F8D0"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Whether in the morning, afternoon, or evening, children with dyslexia had significantly lower levels of salivary cortisol and MT</w:t>
            </w:r>
            <w:r w:rsidRPr="00333A96">
              <w:rPr>
                <w:rFonts w:ascii="Times New Roman" w:eastAsia="Times New Roman" w:hAnsi="Times New Roman" w:cs="Times New Roman"/>
                <w:sz w:val="18"/>
                <w:szCs w:val="18"/>
                <w:lang w:val="en-GB" w:eastAsia="nl-NL"/>
              </w:rPr>
              <w:br/>
              <w:t xml:space="preserve">2) Cortisol, MT, and circadian rhythm variations were altered in dyslexic children, suggesting a possible connection between cortisol, MT, and dyslexia. </w:t>
            </w:r>
          </w:p>
        </w:tc>
      </w:tr>
      <w:tr w:rsidR="00D05AB4" w:rsidRPr="00CC2F10" w14:paraId="07E95FE5" w14:textId="77777777" w:rsidTr="00CC2F10">
        <w:trPr>
          <w:trHeight w:val="2496"/>
        </w:trPr>
        <w:tc>
          <w:tcPr>
            <w:cnfStyle w:val="001000000000" w:firstRow="0" w:lastRow="0" w:firstColumn="1" w:lastColumn="0" w:oddVBand="0" w:evenVBand="0" w:oddHBand="0" w:evenHBand="0" w:firstRowFirstColumn="0" w:firstRowLastColumn="0" w:lastRowFirstColumn="0" w:lastRowLastColumn="0"/>
            <w:tcW w:w="1560" w:type="dxa"/>
            <w:noWrap/>
            <w:hideMark/>
          </w:tcPr>
          <w:p w14:paraId="1AEF0B54"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Hurley et al. 2019</w:t>
            </w:r>
          </w:p>
        </w:tc>
        <w:tc>
          <w:tcPr>
            <w:tcW w:w="1413" w:type="dxa"/>
            <w:noWrap/>
            <w:hideMark/>
          </w:tcPr>
          <w:p w14:paraId="5F925FD8"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Ireland</w:t>
            </w:r>
          </w:p>
        </w:tc>
        <w:tc>
          <w:tcPr>
            <w:tcW w:w="837" w:type="dxa"/>
            <w:noWrap/>
            <w:hideMark/>
          </w:tcPr>
          <w:p w14:paraId="0D73C281"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2CF98AF5"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138</w:t>
            </w:r>
          </w:p>
        </w:tc>
        <w:tc>
          <w:tcPr>
            <w:tcW w:w="1577" w:type="dxa"/>
            <w:hideMark/>
          </w:tcPr>
          <w:p w14:paraId="7C54A667"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0-5 (?)</w:t>
            </w:r>
          </w:p>
        </w:tc>
        <w:tc>
          <w:tcPr>
            <w:tcW w:w="1794" w:type="dxa"/>
            <w:hideMark/>
          </w:tcPr>
          <w:p w14:paraId="5680AF9C"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Assess the differences between children with S-ECC and children without caries in their unstimulated saliva and the microbiota of the deep dentinal lesions of their deciduous teeth</w:t>
            </w:r>
          </w:p>
        </w:tc>
        <w:tc>
          <w:tcPr>
            <w:tcW w:w="1365" w:type="dxa"/>
            <w:hideMark/>
          </w:tcPr>
          <w:p w14:paraId="21DDC69F"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Absorption</w:t>
            </w:r>
          </w:p>
        </w:tc>
        <w:tc>
          <w:tcPr>
            <w:tcW w:w="1179" w:type="dxa"/>
            <w:hideMark/>
          </w:tcPr>
          <w:p w14:paraId="54197829"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CatchAll collection swab</w:t>
            </w:r>
          </w:p>
        </w:tc>
        <w:tc>
          <w:tcPr>
            <w:tcW w:w="1178" w:type="dxa"/>
            <w:hideMark/>
          </w:tcPr>
          <w:p w14:paraId="702391C9"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US </w:t>
            </w:r>
          </w:p>
        </w:tc>
        <w:tc>
          <w:tcPr>
            <w:tcW w:w="1307" w:type="dxa"/>
            <w:hideMark/>
          </w:tcPr>
          <w:p w14:paraId="1F9CC482" w14:textId="341ED71C" w:rsidR="00D05AB4" w:rsidRPr="00333A96" w:rsidRDefault="001E3817"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r w:rsidR="00D05AB4" w:rsidRPr="00333A96">
              <w:rPr>
                <w:rFonts w:ascii="Times New Roman" w:eastAsia="Times New Roman" w:hAnsi="Times New Roman" w:cs="Times New Roman"/>
                <w:sz w:val="18"/>
                <w:szCs w:val="18"/>
                <w:lang w:val="en-GB" w:eastAsia="nl-NL"/>
              </w:rPr>
              <w:t xml:space="preserve"> </w:t>
            </w:r>
          </w:p>
        </w:tc>
        <w:tc>
          <w:tcPr>
            <w:tcW w:w="3215" w:type="dxa"/>
            <w:gridSpan w:val="2"/>
            <w:hideMark/>
          </w:tcPr>
          <w:p w14:paraId="5C2B65B3" w14:textId="01B0CCC5"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Children with S-ECC have a different microbiome in their deep dentinal lesions than children with or without caries, as seen by the microbiota in their saliva.</w:t>
            </w:r>
            <w:r w:rsidRPr="00333A96">
              <w:rPr>
                <w:rFonts w:ascii="Times New Roman" w:eastAsia="Times New Roman" w:hAnsi="Times New Roman" w:cs="Times New Roman"/>
                <w:sz w:val="18"/>
                <w:szCs w:val="18"/>
                <w:lang w:val="en-GB" w:eastAsia="nl-NL"/>
              </w:rPr>
              <w:br/>
              <w:t xml:space="preserve">2) It's demonstrated that the caries microbiota is </w:t>
            </w:r>
            <w:r w:rsidR="00FB437A" w:rsidRPr="00333A96">
              <w:rPr>
                <w:rFonts w:ascii="Times New Roman" w:eastAsia="Times New Roman" w:hAnsi="Times New Roman" w:cs="Times New Roman"/>
                <w:sz w:val="18"/>
                <w:szCs w:val="18"/>
                <w:lang w:val="en-GB" w:eastAsia="nl-NL"/>
              </w:rPr>
              <w:t>significant</w:t>
            </w:r>
            <w:r w:rsidRPr="00333A96">
              <w:rPr>
                <w:rFonts w:ascii="Times New Roman" w:eastAsia="Times New Roman" w:hAnsi="Times New Roman" w:cs="Times New Roman"/>
                <w:sz w:val="18"/>
                <w:szCs w:val="18"/>
                <w:lang w:val="en-GB" w:eastAsia="nl-NL"/>
              </w:rPr>
              <w:t> less diverse than the salivary microbiota</w:t>
            </w:r>
            <w:r w:rsidRPr="00333A96">
              <w:rPr>
                <w:rFonts w:ascii="Times New Roman" w:eastAsia="Times New Roman" w:hAnsi="Times New Roman" w:cs="Times New Roman"/>
                <w:sz w:val="18"/>
                <w:szCs w:val="18"/>
                <w:lang w:val="en-GB" w:eastAsia="nl-NL"/>
              </w:rPr>
              <w:br/>
              <w:t xml:space="preserve">3) In the caries microbiota, some bacterial taxa are more prevalent, suggesting that they may play a part in the onset and progression of dental caries. </w:t>
            </w:r>
          </w:p>
        </w:tc>
      </w:tr>
      <w:tr w:rsidR="00D05AB4" w:rsidRPr="00CC2F10" w14:paraId="590183AC" w14:textId="77777777" w:rsidTr="00CC2F10">
        <w:trPr>
          <w:cnfStyle w:val="000000100000" w:firstRow="0" w:lastRow="0" w:firstColumn="0" w:lastColumn="0" w:oddVBand="0" w:evenVBand="0" w:oddHBand="1" w:evenHBand="0" w:firstRowFirstColumn="0" w:firstRowLastColumn="0" w:lastRowFirstColumn="0" w:lastRowLastColumn="0"/>
          <w:trHeight w:val="1248"/>
        </w:trPr>
        <w:tc>
          <w:tcPr>
            <w:cnfStyle w:val="001000000000" w:firstRow="0" w:lastRow="0" w:firstColumn="1" w:lastColumn="0" w:oddVBand="0" w:evenVBand="0" w:oddHBand="0" w:evenHBand="0" w:firstRowFirstColumn="0" w:firstRowLastColumn="0" w:lastRowFirstColumn="0" w:lastRowLastColumn="0"/>
            <w:tcW w:w="1560" w:type="dxa"/>
            <w:noWrap/>
            <w:hideMark/>
          </w:tcPr>
          <w:p w14:paraId="1F107BD5"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Hussein et al. 2021</w:t>
            </w:r>
          </w:p>
        </w:tc>
        <w:tc>
          <w:tcPr>
            <w:tcW w:w="1413" w:type="dxa"/>
            <w:noWrap/>
            <w:hideMark/>
          </w:tcPr>
          <w:p w14:paraId="566B513A"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Malaysia</w:t>
            </w:r>
          </w:p>
        </w:tc>
        <w:tc>
          <w:tcPr>
            <w:tcW w:w="837" w:type="dxa"/>
            <w:noWrap/>
            <w:hideMark/>
          </w:tcPr>
          <w:p w14:paraId="6E17F669"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2854F9E8"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120</w:t>
            </w:r>
          </w:p>
        </w:tc>
        <w:tc>
          <w:tcPr>
            <w:tcW w:w="1577" w:type="dxa"/>
            <w:hideMark/>
          </w:tcPr>
          <w:p w14:paraId="5F03F226"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0-6 (?)</w:t>
            </w:r>
          </w:p>
        </w:tc>
        <w:tc>
          <w:tcPr>
            <w:tcW w:w="1794" w:type="dxa"/>
            <w:hideMark/>
          </w:tcPr>
          <w:p w14:paraId="356D96D7"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Evaluate the connection between young children's caries and blood and saliva 25(OH)D levels</w:t>
            </w:r>
          </w:p>
        </w:tc>
        <w:tc>
          <w:tcPr>
            <w:tcW w:w="1365" w:type="dxa"/>
            <w:hideMark/>
          </w:tcPr>
          <w:p w14:paraId="48407352"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Spitting</w:t>
            </w:r>
          </w:p>
        </w:tc>
        <w:tc>
          <w:tcPr>
            <w:tcW w:w="1179" w:type="dxa"/>
            <w:hideMark/>
          </w:tcPr>
          <w:p w14:paraId="6B94F9FC" w14:textId="18E582B7" w:rsidR="00D05AB4" w:rsidRPr="00333A96" w:rsidRDefault="001E3817"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Pr>
                <w:rFonts w:ascii="Times New Roman" w:eastAsia="Times New Roman" w:hAnsi="Times New Roman" w:cs="Times New Roman"/>
                <w:sz w:val="18"/>
                <w:szCs w:val="18"/>
                <w:lang w:val="en-GB" w:eastAsia="nl-NL"/>
              </w:rPr>
              <w:t>C</w:t>
            </w:r>
            <w:r w:rsidR="00D05AB4" w:rsidRPr="00333A96">
              <w:rPr>
                <w:rFonts w:ascii="Times New Roman" w:eastAsia="Times New Roman" w:hAnsi="Times New Roman" w:cs="Times New Roman"/>
                <w:sz w:val="18"/>
                <w:szCs w:val="18"/>
                <w:lang w:val="en-GB" w:eastAsia="nl-NL"/>
              </w:rPr>
              <w:t>ontainer</w:t>
            </w:r>
          </w:p>
        </w:tc>
        <w:tc>
          <w:tcPr>
            <w:tcW w:w="1178" w:type="dxa"/>
            <w:hideMark/>
          </w:tcPr>
          <w:p w14:paraId="4D4739A6"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US </w:t>
            </w:r>
          </w:p>
        </w:tc>
        <w:tc>
          <w:tcPr>
            <w:tcW w:w="1307" w:type="dxa"/>
            <w:hideMark/>
          </w:tcPr>
          <w:p w14:paraId="407B6DF2" w14:textId="743E53E0" w:rsidR="00D05AB4" w:rsidRPr="00333A96" w:rsidRDefault="001E3817"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r w:rsidR="00D05AB4" w:rsidRPr="00333A96">
              <w:rPr>
                <w:rFonts w:ascii="Times New Roman" w:eastAsia="Times New Roman" w:hAnsi="Times New Roman" w:cs="Times New Roman"/>
                <w:sz w:val="18"/>
                <w:szCs w:val="18"/>
                <w:lang w:val="en-GB" w:eastAsia="nl-NL"/>
              </w:rPr>
              <w:t xml:space="preserve"> </w:t>
            </w:r>
          </w:p>
        </w:tc>
        <w:tc>
          <w:tcPr>
            <w:tcW w:w="3215" w:type="dxa"/>
            <w:gridSpan w:val="2"/>
            <w:hideMark/>
          </w:tcPr>
          <w:p w14:paraId="5A35B22E"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N significant associations between serum and saliva 25(OH)D levels and caries status.</w:t>
            </w:r>
            <w:r w:rsidRPr="00333A96">
              <w:rPr>
                <w:rFonts w:ascii="Times New Roman" w:eastAsia="Times New Roman" w:hAnsi="Times New Roman" w:cs="Times New Roman"/>
                <w:sz w:val="18"/>
                <w:szCs w:val="18"/>
                <w:lang w:val="en-GB" w:eastAsia="nl-NL"/>
              </w:rPr>
              <w:br/>
              <w:t xml:space="preserve">2) Salivary and serum levels of 25(OH)D were shown to correlated, with serum levels being significantly greater than salivary levels of 25(OH)D. </w:t>
            </w:r>
          </w:p>
        </w:tc>
      </w:tr>
      <w:tr w:rsidR="00D05AB4" w:rsidRPr="00CC2F10" w14:paraId="3CAFD3D4" w14:textId="77777777" w:rsidTr="00CC2F10">
        <w:trPr>
          <w:trHeight w:val="1560"/>
        </w:trPr>
        <w:tc>
          <w:tcPr>
            <w:cnfStyle w:val="001000000000" w:firstRow="0" w:lastRow="0" w:firstColumn="1" w:lastColumn="0" w:oddVBand="0" w:evenVBand="0" w:oddHBand="0" w:evenHBand="0" w:firstRowFirstColumn="0" w:firstRowLastColumn="0" w:lastRowFirstColumn="0" w:lastRowLastColumn="0"/>
            <w:tcW w:w="1560" w:type="dxa"/>
            <w:noWrap/>
            <w:hideMark/>
          </w:tcPr>
          <w:p w14:paraId="2A254C15"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lastRenderedPageBreak/>
              <w:t>Ide et al. 2016</w:t>
            </w:r>
          </w:p>
        </w:tc>
        <w:tc>
          <w:tcPr>
            <w:tcW w:w="1413" w:type="dxa"/>
            <w:noWrap/>
            <w:hideMark/>
          </w:tcPr>
          <w:p w14:paraId="73E47900"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Japan</w:t>
            </w:r>
          </w:p>
        </w:tc>
        <w:tc>
          <w:tcPr>
            <w:tcW w:w="837" w:type="dxa"/>
            <w:noWrap/>
            <w:hideMark/>
          </w:tcPr>
          <w:p w14:paraId="1F02D7C2"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4B1BF089"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90</w:t>
            </w:r>
          </w:p>
        </w:tc>
        <w:tc>
          <w:tcPr>
            <w:tcW w:w="1577" w:type="dxa"/>
            <w:hideMark/>
          </w:tcPr>
          <w:p w14:paraId="09E7A76B"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3-14 (8.6±2.1)</w:t>
            </w:r>
          </w:p>
        </w:tc>
        <w:tc>
          <w:tcPr>
            <w:tcW w:w="1794" w:type="dxa"/>
            <w:hideMark/>
          </w:tcPr>
          <w:p w14:paraId="170E59B6"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Examine at the antimicrobial elements in children's saliva </w:t>
            </w:r>
          </w:p>
        </w:tc>
        <w:tc>
          <w:tcPr>
            <w:tcW w:w="1365" w:type="dxa"/>
            <w:hideMark/>
          </w:tcPr>
          <w:p w14:paraId="1C946A8B"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Absorption</w:t>
            </w:r>
          </w:p>
        </w:tc>
        <w:tc>
          <w:tcPr>
            <w:tcW w:w="1179" w:type="dxa"/>
            <w:hideMark/>
          </w:tcPr>
          <w:p w14:paraId="04C81EA8"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Salivettes </w:t>
            </w:r>
          </w:p>
        </w:tc>
        <w:tc>
          <w:tcPr>
            <w:tcW w:w="1178" w:type="dxa"/>
            <w:hideMark/>
          </w:tcPr>
          <w:p w14:paraId="0C4CC370"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US </w:t>
            </w:r>
          </w:p>
        </w:tc>
        <w:tc>
          <w:tcPr>
            <w:tcW w:w="1307" w:type="dxa"/>
            <w:hideMark/>
          </w:tcPr>
          <w:p w14:paraId="77F26033" w14:textId="738C436E" w:rsidR="00D05AB4" w:rsidRPr="00333A96" w:rsidRDefault="001E3817"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3215" w:type="dxa"/>
            <w:gridSpan w:val="2"/>
            <w:hideMark/>
          </w:tcPr>
          <w:p w14:paraId="28616D6E"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Salivary IgA flow rate increased with age, height, and weight, suggesting a possible relationship between salivary IgA flow rate and a child's immune system's stage of development.</w:t>
            </w:r>
            <w:r w:rsidRPr="00333A96">
              <w:rPr>
                <w:rFonts w:ascii="Times New Roman" w:eastAsia="Times New Roman" w:hAnsi="Times New Roman" w:cs="Times New Roman"/>
                <w:sz w:val="18"/>
                <w:szCs w:val="18"/>
                <w:lang w:val="en-GB" w:eastAsia="nl-NL"/>
              </w:rPr>
              <w:br/>
              <w:t>2) Salivary lactoferrin and lysozyme flow rates were correlated, pointing to a connection between these two antimicrobial compounds.</w:t>
            </w:r>
          </w:p>
        </w:tc>
      </w:tr>
      <w:tr w:rsidR="00D05AB4" w:rsidRPr="00CC2F10" w14:paraId="24C215F8" w14:textId="77777777" w:rsidTr="00CC2F10">
        <w:trPr>
          <w:cnfStyle w:val="000000100000" w:firstRow="0" w:lastRow="0" w:firstColumn="0" w:lastColumn="0" w:oddVBand="0" w:evenVBand="0" w:oddHBand="1" w:evenHBand="0" w:firstRowFirstColumn="0" w:firstRowLastColumn="0" w:lastRowFirstColumn="0" w:lastRowLastColumn="0"/>
          <w:trHeight w:val="1560"/>
        </w:trPr>
        <w:tc>
          <w:tcPr>
            <w:cnfStyle w:val="001000000000" w:firstRow="0" w:lastRow="0" w:firstColumn="1" w:lastColumn="0" w:oddVBand="0" w:evenVBand="0" w:oddHBand="0" w:evenHBand="0" w:firstRowFirstColumn="0" w:firstRowLastColumn="0" w:lastRowFirstColumn="0" w:lastRowLastColumn="0"/>
            <w:tcW w:w="1560" w:type="dxa"/>
            <w:noWrap/>
            <w:hideMark/>
          </w:tcPr>
          <w:p w14:paraId="405E2EB4"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Jacobson et al. 1995</w:t>
            </w:r>
          </w:p>
        </w:tc>
        <w:tc>
          <w:tcPr>
            <w:tcW w:w="1413" w:type="dxa"/>
            <w:noWrap/>
            <w:hideMark/>
          </w:tcPr>
          <w:p w14:paraId="78327C30"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United Kingdom</w:t>
            </w:r>
          </w:p>
        </w:tc>
        <w:tc>
          <w:tcPr>
            <w:tcW w:w="837" w:type="dxa"/>
            <w:noWrap/>
            <w:hideMark/>
          </w:tcPr>
          <w:p w14:paraId="43D3449C"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1AFBE23A"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23</w:t>
            </w:r>
          </w:p>
        </w:tc>
        <w:tc>
          <w:tcPr>
            <w:tcW w:w="1577" w:type="dxa"/>
            <w:hideMark/>
          </w:tcPr>
          <w:p w14:paraId="4C227E79"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7-8 (?)</w:t>
            </w:r>
          </w:p>
        </w:tc>
        <w:tc>
          <w:tcPr>
            <w:tcW w:w="1794" w:type="dxa"/>
            <w:hideMark/>
          </w:tcPr>
          <w:p w14:paraId="625AB2A9"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Document infection in asymptomatic people, document the transmission of the virus inside the primary school over time, and determine whether saliva is an effective screening tool for detecting HAV antibodies in young children</w:t>
            </w:r>
          </w:p>
        </w:tc>
        <w:tc>
          <w:tcPr>
            <w:tcW w:w="1365" w:type="dxa"/>
            <w:hideMark/>
          </w:tcPr>
          <w:p w14:paraId="4C84DAE8"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Absorption</w:t>
            </w:r>
          </w:p>
        </w:tc>
        <w:tc>
          <w:tcPr>
            <w:tcW w:w="1179" w:type="dxa"/>
            <w:hideMark/>
          </w:tcPr>
          <w:p w14:paraId="1FCEC422"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Salivette cotton swab</w:t>
            </w:r>
          </w:p>
        </w:tc>
        <w:tc>
          <w:tcPr>
            <w:tcW w:w="1178" w:type="dxa"/>
            <w:hideMark/>
          </w:tcPr>
          <w:p w14:paraId="5A471BA0"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SS</w:t>
            </w:r>
          </w:p>
        </w:tc>
        <w:tc>
          <w:tcPr>
            <w:tcW w:w="1307" w:type="dxa"/>
            <w:hideMark/>
          </w:tcPr>
          <w:p w14:paraId="74FBA9B4" w14:textId="3174FC7C" w:rsidR="00D05AB4" w:rsidRPr="00333A96" w:rsidRDefault="001E3817"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3215" w:type="dxa"/>
            <w:gridSpan w:val="2"/>
            <w:hideMark/>
          </w:tcPr>
          <w:p w14:paraId="75AA63C3" w14:textId="76AC5D35"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In order to diagnose hepatitis A infection in young children, saliva sample using either Salivette or cotton-tipped swabs was proven to be a reliable and acceptable procedure.</w:t>
            </w:r>
          </w:p>
        </w:tc>
      </w:tr>
      <w:tr w:rsidR="00D05AB4" w:rsidRPr="00CC2F10" w14:paraId="73F1DA5D" w14:textId="77777777" w:rsidTr="00CC2F10">
        <w:trPr>
          <w:trHeight w:val="936"/>
        </w:trPr>
        <w:tc>
          <w:tcPr>
            <w:cnfStyle w:val="001000000000" w:firstRow="0" w:lastRow="0" w:firstColumn="1" w:lastColumn="0" w:oddVBand="0" w:evenVBand="0" w:oddHBand="0" w:evenHBand="0" w:firstRowFirstColumn="0" w:firstRowLastColumn="0" w:lastRowFirstColumn="0" w:lastRowLastColumn="0"/>
            <w:tcW w:w="1560" w:type="dxa"/>
            <w:noWrap/>
            <w:hideMark/>
          </w:tcPr>
          <w:p w14:paraId="44D194C0"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Jagan et al. 2021</w:t>
            </w:r>
          </w:p>
        </w:tc>
        <w:tc>
          <w:tcPr>
            <w:tcW w:w="1413" w:type="dxa"/>
            <w:noWrap/>
            <w:hideMark/>
          </w:tcPr>
          <w:p w14:paraId="3744526E"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India</w:t>
            </w:r>
          </w:p>
        </w:tc>
        <w:tc>
          <w:tcPr>
            <w:tcW w:w="837" w:type="dxa"/>
            <w:noWrap/>
            <w:hideMark/>
          </w:tcPr>
          <w:p w14:paraId="531B2724"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53B98078"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70</w:t>
            </w:r>
          </w:p>
        </w:tc>
        <w:tc>
          <w:tcPr>
            <w:tcW w:w="1577" w:type="dxa"/>
            <w:hideMark/>
          </w:tcPr>
          <w:p w14:paraId="0E82671F"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13-14 (?)</w:t>
            </w:r>
          </w:p>
        </w:tc>
        <w:tc>
          <w:tcPr>
            <w:tcW w:w="1794" w:type="dxa"/>
            <w:hideMark/>
          </w:tcPr>
          <w:p w14:paraId="3BBAB67A"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Determine the risk of among young adolescents who are enrolled in school using the Cariogram model</w:t>
            </w:r>
          </w:p>
        </w:tc>
        <w:tc>
          <w:tcPr>
            <w:tcW w:w="1365" w:type="dxa"/>
            <w:hideMark/>
          </w:tcPr>
          <w:p w14:paraId="04F7323A"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Drooling</w:t>
            </w:r>
          </w:p>
        </w:tc>
        <w:tc>
          <w:tcPr>
            <w:tcW w:w="1179" w:type="dxa"/>
            <w:hideMark/>
          </w:tcPr>
          <w:p w14:paraId="1A4E8EA0"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Collecting jar</w:t>
            </w:r>
          </w:p>
        </w:tc>
        <w:tc>
          <w:tcPr>
            <w:tcW w:w="1178" w:type="dxa"/>
            <w:hideMark/>
          </w:tcPr>
          <w:p w14:paraId="52C24267"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US </w:t>
            </w:r>
          </w:p>
        </w:tc>
        <w:tc>
          <w:tcPr>
            <w:tcW w:w="1307" w:type="dxa"/>
            <w:hideMark/>
          </w:tcPr>
          <w:p w14:paraId="017A3EB1"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1h fasting before sampling </w:t>
            </w:r>
          </w:p>
        </w:tc>
        <w:tc>
          <w:tcPr>
            <w:tcW w:w="3215" w:type="dxa"/>
            <w:gridSpan w:val="2"/>
            <w:hideMark/>
          </w:tcPr>
          <w:p w14:paraId="49C3B489"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Dietary content, dietary frequency, and mutans count were all statistically significant indicators in predicting caries risk, according to the analysis of the Cariogram parameters.</w:t>
            </w:r>
          </w:p>
        </w:tc>
      </w:tr>
      <w:tr w:rsidR="00D05AB4" w:rsidRPr="00CC2F10" w14:paraId="7F7FB26B" w14:textId="77777777" w:rsidTr="00CC2F10">
        <w:trPr>
          <w:cnfStyle w:val="000000100000" w:firstRow="0" w:lastRow="0" w:firstColumn="0" w:lastColumn="0" w:oddVBand="0" w:evenVBand="0" w:oddHBand="1" w:evenHBand="0" w:firstRowFirstColumn="0" w:firstRowLastColumn="0" w:lastRowFirstColumn="0" w:lastRowLastColumn="0"/>
          <w:trHeight w:val="2184"/>
        </w:trPr>
        <w:tc>
          <w:tcPr>
            <w:cnfStyle w:val="001000000000" w:firstRow="0" w:lastRow="0" w:firstColumn="1" w:lastColumn="0" w:oddVBand="0" w:evenVBand="0" w:oddHBand="0" w:evenHBand="0" w:firstRowFirstColumn="0" w:firstRowLastColumn="0" w:lastRowFirstColumn="0" w:lastRowLastColumn="0"/>
            <w:tcW w:w="1560" w:type="dxa"/>
            <w:noWrap/>
            <w:hideMark/>
          </w:tcPr>
          <w:p w14:paraId="20530AFD"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Jonczyk et al. 2021</w:t>
            </w:r>
          </w:p>
        </w:tc>
        <w:tc>
          <w:tcPr>
            <w:tcW w:w="1413" w:type="dxa"/>
            <w:noWrap/>
            <w:hideMark/>
          </w:tcPr>
          <w:p w14:paraId="2CD94049"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Poland</w:t>
            </w:r>
          </w:p>
        </w:tc>
        <w:tc>
          <w:tcPr>
            <w:tcW w:w="837" w:type="dxa"/>
            <w:noWrap/>
            <w:hideMark/>
          </w:tcPr>
          <w:p w14:paraId="25840916"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555D5F4B"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150</w:t>
            </w:r>
          </w:p>
        </w:tc>
        <w:tc>
          <w:tcPr>
            <w:tcW w:w="1577" w:type="dxa"/>
            <w:hideMark/>
          </w:tcPr>
          <w:p w14:paraId="7A1D92F7"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10-13 (?)</w:t>
            </w:r>
          </w:p>
        </w:tc>
        <w:tc>
          <w:tcPr>
            <w:tcW w:w="1794" w:type="dxa"/>
            <w:hideMark/>
          </w:tcPr>
          <w:p w14:paraId="5B9BFBF3"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measure the levels of ghrelin and leptin in children</w:t>
            </w:r>
          </w:p>
        </w:tc>
        <w:tc>
          <w:tcPr>
            <w:tcW w:w="1365" w:type="dxa"/>
            <w:hideMark/>
          </w:tcPr>
          <w:p w14:paraId="0A1D7A9D"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Absorption</w:t>
            </w:r>
          </w:p>
        </w:tc>
        <w:tc>
          <w:tcPr>
            <w:tcW w:w="1179" w:type="dxa"/>
            <w:hideMark/>
          </w:tcPr>
          <w:p w14:paraId="27F58AA4"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Salivette</w:t>
            </w:r>
          </w:p>
        </w:tc>
        <w:tc>
          <w:tcPr>
            <w:tcW w:w="1178" w:type="dxa"/>
            <w:hideMark/>
          </w:tcPr>
          <w:p w14:paraId="11D4727F"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SS</w:t>
            </w:r>
          </w:p>
        </w:tc>
        <w:tc>
          <w:tcPr>
            <w:tcW w:w="1307" w:type="dxa"/>
            <w:hideMark/>
          </w:tcPr>
          <w:p w14:paraId="1E393F77"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30min fasting before sampling</w:t>
            </w:r>
          </w:p>
        </w:tc>
        <w:tc>
          <w:tcPr>
            <w:tcW w:w="3215" w:type="dxa"/>
            <w:gridSpan w:val="2"/>
            <w:hideMark/>
          </w:tcPr>
          <w:p w14:paraId="15447D18"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Ghrelin and leptin concentrations have a significant association, which suggests that these two hormones collaborate in order to control appetite and energy balance.</w:t>
            </w:r>
            <w:r w:rsidRPr="00333A96">
              <w:rPr>
                <w:rFonts w:ascii="Times New Roman" w:eastAsia="Times New Roman" w:hAnsi="Times New Roman" w:cs="Times New Roman"/>
                <w:sz w:val="18"/>
                <w:szCs w:val="18"/>
                <w:lang w:val="en-GB" w:eastAsia="nl-NL"/>
              </w:rPr>
              <w:br/>
              <w:t>2) Salivary ghrelin and leptin concentrations were correlated with body weight and other anthropometric parameters.</w:t>
            </w:r>
            <w:r w:rsidRPr="00333A96">
              <w:rPr>
                <w:rFonts w:ascii="Times New Roman" w:eastAsia="Times New Roman" w:hAnsi="Times New Roman" w:cs="Times New Roman"/>
                <w:sz w:val="18"/>
                <w:szCs w:val="18"/>
                <w:lang w:val="en-GB" w:eastAsia="nl-NL"/>
              </w:rPr>
              <w:br/>
              <w:t>3) Anthropometric measures and salivary ghrelin and leptin concentrations can be useful markers of children's dietary status.</w:t>
            </w:r>
          </w:p>
        </w:tc>
      </w:tr>
      <w:tr w:rsidR="00D05AB4" w:rsidRPr="00CC2F10" w14:paraId="2C42D02B" w14:textId="77777777" w:rsidTr="00CC2F10">
        <w:trPr>
          <w:trHeight w:val="1560"/>
        </w:trPr>
        <w:tc>
          <w:tcPr>
            <w:cnfStyle w:val="001000000000" w:firstRow="0" w:lastRow="0" w:firstColumn="1" w:lastColumn="0" w:oddVBand="0" w:evenVBand="0" w:oddHBand="0" w:evenHBand="0" w:firstRowFirstColumn="0" w:firstRowLastColumn="0" w:lastRowFirstColumn="0" w:lastRowLastColumn="0"/>
            <w:tcW w:w="1560" w:type="dxa"/>
            <w:noWrap/>
            <w:hideMark/>
          </w:tcPr>
          <w:p w14:paraId="60ECB59F"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lastRenderedPageBreak/>
              <w:t>Joshi et al. 2013</w:t>
            </w:r>
          </w:p>
        </w:tc>
        <w:tc>
          <w:tcPr>
            <w:tcW w:w="1413" w:type="dxa"/>
            <w:noWrap/>
            <w:hideMark/>
          </w:tcPr>
          <w:p w14:paraId="74006D40"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India</w:t>
            </w:r>
          </w:p>
        </w:tc>
        <w:tc>
          <w:tcPr>
            <w:tcW w:w="837" w:type="dxa"/>
            <w:noWrap/>
            <w:hideMark/>
          </w:tcPr>
          <w:p w14:paraId="4F6C1DF2"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01C5A3C3"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120</w:t>
            </w:r>
          </w:p>
        </w:tc>
        <w:tc>
          <w:tcPr>
            <w:tcW w:w="1577" w:type="dxa"/>
            <w:hideMark/>
          </w:tcPr>
          <w:p w14:paraId="162810F6"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4-10 (?)</w:t>
            </w:r>
          </w:p>
        </w:tc>
        <w:tc>
          <w:tcPr>
            <w:tcW w:w="1794" w:type="dxa"/>
            <w:hideMark/>
          </w:tcPr>
          <w:p w14:paraId="1A1F6BCA" w14:textId="4D80AA93"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Assess the amounts of salivary si</w:t>
            </w:r>
            <w:r w:rsidR="00FB437A">
              <w:rPr>
                <w:rFonts w:ascii="Times New Roman" w:eastAsia="Times New Roman" w:hAnsi="Times New Roman" w:cs="Times New Roman"/>
                <w:sz w:val="18"/>
                <w:szCs w:val="18"/>
                <w:lang w:val="en-GB" w:eastAsia="nl-NL"/>
              </w:rPr>
              <w:t>a</w:t>
            </w:r>
            <w:r w:rsidRPr="00333A96">
              <w:rPr>
                <w:rFonts w:ascii="Times New Roman" w:eastAsia="Times New Roman" w:hAnsi="Times New Roman" w:cs="Times New Roman"/>
                <w:sz w:val="18"/>
                <w:szCs w:val="18"/>
                <w:lang w:val="en-GB" w:eastAsia="nl-NL"/>
              </w:rPr>
              <w:t>lic acid in ALL children and connect it with their exposure to dental caries</w:t>
            </w:r>
          </w:p>
        </w:tc>
        <w:tc>
          <w:tcPr>
            <w:tcW w:w="1365" w:type="dxa"/>
            <w:hideMark/>
          </w:tcPr>
          <w:p w14:paraId="4276D443"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Drooling</w:t>
            </w:r>
          </w:p>
        </w:tc>
        <w:tc>
          <w:tcPr>
            <w:tcW w:w="1179" w:type="dxa"/>
            <w:hideMark/>
          </w:tcPr>
          <w:p w14:paraId="63B9EACD"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Cylinder</w:t>
            </w:r>
          </w:p>
        </w:tc>
        <w:tc>
          <w:tcPr>
            <w:tcW w:w="1178" w:type="dxa"/>
            <w:hideMark/>
          </w:tcPr>
          <w:p w14:paraId="6E7199DB"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US </w:t>
            </w:r>
          </w:p>
        </w:tc>
        <w:tc>
          <w:tcPr>
            <w:tcW w:w="1307" w:type="dxa"/>
            <w:hideMark/>
          </w:tcPr>
          <w:p w14:paraId="1728492B"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2h fasting before sampling</w:t>
            </w:r>
          </w:p>
        </w:tc>
        <w:tc>
          <w:tcPr>
            <w:tcW w:w="3215" w:type="dxa"/>
            <w:gridSpan w:val="2"/>
            <w:hideMark/>
          </w:tcPr>
          <w:p w14:paraId="7F8BAB98"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1) Children with ALL had considerably increased salivary sialic acid levels. </w:t>
            </w:r>
            <w:r w:rsidRPr="00333A96">
              <w:rPr>
                <w:rFonts w:ascii="Times New Roman" w:eastAsia="Times New Roman" w:hAnsi="Times New Roman" w:cs="Times New Roman"/>
                <w:sz w:val="18"/>
                <w:szCs w:val="18"/>
                <w:lang w:val="en-GB" w:eastAsia="nl-NL"/>
              </w:rPr>
              <w:br/>
              <w:t>2) Children with ALL showed a linear connection between salivary sialic acid levels and dental caries; So salivary sialic acid levels may contribute to dental caries development and may be a valuable diagnostic for cancer-related disorders.</w:t>
            </w:r>
          </w:p>
        </w:tc>
      </w:tr>
      <w:tr w:rsidR="00D05AB4" w:rsidRPr="00333A96" w14:paraId="0B138407" w14:textId="77777777" w:rsidTr="00CC2F10">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1560" w:type="dxa"/>
            <w:noWrap/>
            <w:hideMark/>
          </w:tcPr>
          <w:p w14:paraId="1A38D578"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Kaan et al. 2020</w:t>
            </w:r>
          </w:p>
        </w:tc>
        <w:tc>
          <w:tcPr>
            <w:tcW w:w="1413" w:type="dxa"/>
            <w:noWrap/>
            <w:hideMark/>
          </w:tcPr>
          <w:p w14:paraId="116219E3"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The Netherlands</w:t>
            </w:r>
          </w:p>
        </w:tc>
        <w:tc>
          <w:tcPr>
            <w:tcW w:w="837" w:type="dxa"/>
            <w:noWrap/>
            <w:hideMark/>
          </w:tcPr>
          <w:p w14:paraId="7B87E344"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2726A4AF"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30</w:t>
            </w:r>
          </w:p>
        </w:tc>
        <w:tc>
          <w:tcPr>
            <w:tcW w:w="1577" w:type="dxa"/>
            <w:hideMark/>
          </w:tcPr>
          <w:p w14:paraId="1088A684"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0-1 (7.45m±4.05)</w:t>
            </w:r>
          </w:p>
        </w:tc>
        <w:tc>
          <w:tcPr>
            <w:tcW w:w="1794" w:type="dxa"/>
            <w:hideMark/>
          </w:tcPr>
          <w:p w14:paraId="6568E0BB"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Determine whether home sampling by caregivers is feasible and to determine which oral niche offers the most accurate sample</w:t>
            </w:r>
          </w:p>
        </w:tc>
        <w:tc>
          <w:tcPr>
            <w:tcW w:w="1365" w:type="dxa"/>
            <w:hideMark/>
          </w:tcPr>
          <w:p w14:paraId="03824A6B"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Absorption</w:t>
            </w:r>
          </w:p>
        </w:tc>
        <w:tc>
          <w:tcPr>
            <w:tcW w:w="1179" w:type="dxa"/>
            <w:hideMark/>
          </w:tcPr>
          <w:p w14:paraId="386D8E3D"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COPAN eNAT swab</w:t>
            </w:r>
          </w:p>
        </w:tc>
        <w:tc>
          <w:tcPr>
            <w:tcW w:w="1178" w:type="dxa"/>
            <w:hideMark/>
          </w:tcPr>
          <w:p w14:paraId="5DF689CF"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US </w:t>
            </w:r>
          </w:p>
        </w:tc>
        <w:tc>
          <w:tcPr>
            <w:tcW w:w="1307" w:type="dxa"/>
            <w:hideMark/>
          </w:tcPr>
          <w:p w14:paraId="5611A742"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2h fasting before sampling</w:t>
            </w:r>
          </w:p>
        </w:tc>
        <w:tc>
          <w:tcPr>
            <w:tcW w:w="3215" w:type="dxa"/>
            <w:gridSpan w:val="2"/>
            <w:hideMark/>
          </w:tcPr>
          <w:p w14:paraId="7E4A7FBD"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No significant differences in the concentration of bacterial DNA between samples obtained by caregivers and a qualified researcher.</w:t>
            </w:r>
            <w:r w:rsidRPr="00333A96">
              <w:rPr>
                <w:rFonts w:ascii="Times New Roman" w:eastAsia="Times New Roman" w:hAnsi="Times New Roman" w:cs="Times New Roman"/>
                <w:sz w:val="18"/>
                <w:szCs w:val="18"/>
                <w:lang w:val="en-GB" w:eastAsia="nl-NL"/>
              </w:rPr>
              <w:br/>
              <w:t>2) Saliva samples showed the greatest fluctuation in bacterial composition.</w:t>
            </w:r>
          </w:p>
        </w:tc>
      </w:tr>
      <w:tr w:rsidR="00D05AB4" w:rsidRPr="00CC2F10" w14:paraId="4CEC115B" w14:textId="77777777" w:rsidTr="00CC2F10">
        <w:trPr>
          <w:trHeight w:val="1248"/>
        </w:trPr>
        <w:tc>
          <w:tcPr>
            <w:cnfStyle w:val="001000000000" w:firstRow="0" w:lastRow="0" w:firstColumn="1" w:lastColumn="0" w:oddVBand="0" w:evenVBand="0" w:oddHBand="0" w:evenHBand="0" w:firstRowFirstColumn="0" w:firstRowLastColumn="0" w:lastRowFirstColumn="0" w:lastRowLastColumn="0"/>
            <w:tcW w:w="1560" w:type="dxa"/>
            <w:noWrap/>
            <w:hideMark/>
          </w:tcPr>
          <w:p w14:paraId="06BCB885"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Karthika et al. 2021</w:t>
            </w:r>
          </w:p>
        </w:tc>
        <w:tc>
          <w:tcPr>
            <w:tcW w:w="1413" w:type="dxa"/>
            <w:noWrap/>
            <w:hideMark/>
          </w:tcPr>
          <w:p w14:paraId="10FF6DBB"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India</w:t>
            </w:r>
          </w:p>
        </w:tc>
        <w:tc>
          <w:tcPr>
            <w:tcW w:w="837" w:type="dxa"/>
            <w:noWrap/>
            <w:hideMark/>
          </w:tcPr>
          <w:p w14:paraId="3221673E"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468273DD"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100</w:t>
            </w:r>
          </w:p>
        </w:tc>
        <w:tc>
          <w:tcPr>
            <w:tcW w:w="1577" w:type="dxa"/>
            <w:hideMark/>
          </w:tcPr>
          <w:p w14:paraId="15A3C3EC"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6-12 (?)</w:t>
            </w:r>
          </w:p>
        </w:tc>
        <w:tc>
          <w:tcPr>
            <w:tcW w:w="1794" w:type="dxa"/>
            <w:hideMark/>
          </w:tcPr>
          <w:p w14:paraId="469FF805"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Assess the relationship between levels of vitamin E and glutathione peroxidase and the frequency of dental caries in a population of school-aged children</w:t>
            </w:r>
          </w:p>
        </w:tc>
        <w:tc>
          <w:tcPr>
            <w:tcW w:w="1365" w:type="dxa"/>
            <w:hideMark/>
          </w:tcPr>
          <w:p w14:paraId="01FAB601"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Drooling</w:t>
            </w:r>
          </w:p>
        </w:tc>
        <w:tc>
          <w:tcPr>
            <w:tcW w:w="1179" w:type="dxa"/>
            <w:hideMark/>
          </w:tcPr>
          <w:p w14:paraId="0A250435"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Tube</w:t>
            </w:r>
          </w:p>
        </w:tc>
        <w:tc>
          <w:tcPr>
            <w:tcW w:w="1178" w:type="dxa"/>
            <w:hideMark/>
          </w:tcPr>
          <w:p w14:paraId="491F0F71"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US </w:t>
            </w:r>
          </w:p>
        </w:tc>
        <w:tc>
          <w:tcPr>
            <w:tcW w:w="1307" w:type="dxa"/>
            <w:hideMark/>
          </w:tcPr>
          <w:p w14:paraId="47A036A3" w14:textId="7A53CB71" w:rsidR="00D05AB4" w:rsidRPr="00333A96" w:rsidRDefault="001E3817"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3215" w:type="dxa"/>
            <w:gridSpan w:val="2"/>
            <w:hideMark/>
          </w:tcPr>
          <w:p w14:paraId="685CD88A"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When compared to the caries-free group, a significant decrease in GPx and Vitamin E was seen in the caries-active group. Therefore, they can be employed as biomarkers to evaluate both oral and overall health.</w:t>
            </w:r>
          </w:p>
        </w:tc>
      </w:tr>
      <w:tr w:rsidR="00D05AB4" w:rsidRPr="00CC2F10" w14:paraId="62A112DA" w14:textId="77777777" w:rsidTr="00CC2F10">
        <w:trPr>
          <w:cnfStyle w:val="000000100000" w:firstRow="0" w:lastRow="0" w:firstColumn="0" w:lastColumn="0" w:oddVBand="0" w:evenVBand="0" w:oddHBand="1" w:evenHBand="0" w:firstRowFirstColumn="0" w:firstRowLastColumn="0" w:lastRowFirstColumn="0" w:lastRowLastColumn="0"/>
          <w:trHeight w:val="936"/>
        </w:trPr>
        <w:tc>
          <w:tcPr>
            <w:cnfStyle w:val="001000000000" w:firstRow="0" w:lastRow="0" w:firstColumn="1" w:lastColumn="0" w:oddVBand="0" w:evenVBand="0" w:oddHBand="0" w:evenHBand="0" w:firstRowFirstColumn="0" w:firstRowLastColumn="0" w:lastRowFirstColumn="0" w:lastRowLastColumn="0"/>
            <w:tcW w:w="1560" w:type="dxa"/>
            <w:noWrap/>
            <w:hideMark/>
          </w:tcPr>
          <w:p w14:paraId="1762A721"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Kavanagh et al. 1998</w:t>
            </w:r>
          </w:p>
        </w:tc>
        <w:tc>
          <w:tcPr>
            <w:tcW w:w="1413" w:type="dxa"/>
            <w:noWrap/>
            <w:hideMark/>
          </w:tcPr>
          <w:p w14:paraId="3EB25303"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United Kingdom</w:t>
            </w:r>
          </w:p>
        </w:tc>
        <w:tc>
          <w:tcPr>
            <w:tcW w:w="837" w:type="dxa"/>
            <w:noWrap/>
            <w:hideMark/>
          </w:tcPr>
          <w:p w14:paraId="5A277281"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Cohort</w:t>
            </w:r>
          </w:p>
        </w:tc>
        <w:tc>
          <w:tcPr>
            <w:tcW w:w="878" w:type="dxa"/>
            <w:noWrap/>
            <w:hideMark/>
          </w:tcPr>
          <w:p w14:paraId="3660A597"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43</w:t>
            </w:r>
          </w:p>
        </w:tc>
        <w:tc>
          <w:tcPr>
            <w:tcW w:w="1577" w:type="dxa"/>
            <w:hideMark/>
          </w:tcPr>
          <w:p w14:paraId="34BD6CD2"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12-13 (?)</w:t>
            </w:r>
          </w:p>
        </w:tc>
        <w:tc>
          <w:tcPr>
            <w:tcW w:w="1794" w:type="dxa"/>
            <w:hideMark/>
          </w:tcPr>
          <w:p w14:paraId="62047B65"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Determine if children living in a temperate climate have different unstimulated salivary flow-rate samples over several months</w:t>
            </w:r>
          </w:p>
        </w:tc>
        <w:tc>
          <w:tcPr>
            <w:tcW w:w="1365" w:type="dxa"/>
            <w:hideMark/>
          </w:tcPr>
          <w:p w14:paraId="60FEB9FD"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Drooling</w:t>
            </w:r>
          </w:p>
        </w:tc>
        <w:tc>
          <w:tcPr>
            <w:tcW w:w="1179" w:type="dxa"/>
            <w:hideMark/>
          </w:tcPr>
          <w:p w14:paraId="2732191F" w14:textId="42EED2CF" w:rsidR="00D05AB4" w:rsidRPr="00333A96" w:rsidRDefault="001E3817"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Pr>
                <w:rFonts w:ascii="Times New Roman" w:eastAsia="Times New Roman" w:hAnsi="Times New Roman" w:cs="Times New Roman"/>
                <w:sz w:val="18"/>
                <w:szCs w:val="18"/>
                <w:lang w:val="en-GB" w:eastAsia="nl-NL"/>
              </w:rPr>
              <w:t>C</w:t>
            </w:r>
            <w:r w:rsidR="00D05AB4" w:rsidRPr="00333A96">
              <w:rPr>
                <w:rFonts w:ascii="Times New Roman" w:eastAsia="Times New Roman" w:hAnsi="Times New Roman" w:cs="Times New Roman"/>
                <w:sz w:val="18"/>
                <w:szCs w:val="18"/>
                <w:lang w:val="en-GB" w:eastAsia="nl-NL"/>
              </w:rPr>
              <w:t>ontainer</w:t>
            </w:r>
          </w:p>
        </w:tc>
        <w:tc>
          <w:tcPr>
            <w:tcW w:w="1178" w:type="dxa"/>
            <w:hideMark/>
          </w:tcPr>
          <w:p w14:paraId="47FA778E"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US </w:t>
            </w:r>
          </w:p>
        </w:tc>
        <w:tc>
          <w:tcPr>
            <w:tcW w:w="1307" w:type="dxa"/>
            <w:hideMark/>
          </w:tcPr>
          <w:p w14:paraId="6EC94C63"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1h fasting before sampling </w:t>
            </w:r>
          </w:p>
        </w:tc>
        <w:tc>
          <w:tcPr>
            <w:tcW w:w="3215" w:type="dxa"/>
            <w:gridSpan w:val="2"/>
            <w:hideMark/>
          </w:tcPr>
          <w:p w14:paraId="3B846EF2"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The variance in salivary flow rate was negatively correlated with ambient temperature in both the entire sample and a subset of frequent participants. </w:t>
            </w:r>
          </w:p>
        </w:tc>
      </w:tr>
      <w:tr w:rsidR="00D05AB4" w:rsidRPr="00CC2F10" w14:paraId="21BFC523" w14:textId="77777777" w:rsidTr="00CC2F10">
        <w:trPr>
          <w:trHeight w:val="1872"/>
        </w:trPr>
        <w:tc>
          <w:tcPr>
            <w:cnfStyle w:val="001000000000" w:firstRow="0" w:lastRow="0" w:firstColumn="1" w:lastColumn="0" w:oddVBand="0" w:evenVBand="0" w:oddHBand="0" w:evenHBand="0" w:firstRowFirstColumn="0" w:firstRowLastColumn="0" w:lastRowFirstColumn="0" w:lastRowLastColumn="0"/>
            <w:tcW w:w="1560" w:type="dxa"/>
            <w:noWrap/>
            <w:hideMark/>
          </w:tcPr>
          <w:p w14:paraId="585D2656"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Keeshin et al. 2014</w:t>
            </w:r>
          </w:p>
        </w:tc>
        <w:tc>
          <w:tcPr>
            <w:tcW w:w="1413" w:type="dxa"/>
            <w:noWrap/>
            <w:hideMark/>
          </w:tcPr>
          <w:p w14:paraId="089495BA"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United States</w:t>
            </w:r>
          </w:p>
        </w:tc>
        <w:tc>
          <w:tcPr>
            <w:tcW w:w="837" w:type="dxa"/>
            <w:noWrap/>
            <w:hideMark/>
          </w:tcPr>
          <w:p w14:paraId="4740A3F0"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15DDFDD7"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36</w:t>
            </w:r>
          </w:p>
        </w:tc>
        <w:tc>
          <w:tcPr>
            <w:tcW w:w="1577" w:type="dxa"/>
            <w:hideMark/>
          </w:tcPr>
          <w:p w14:paraId="005FD7CF"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12-17 (14.84±1.34)</w:t>
            </w:r>
          </w:p>
        </w:tc>
        <w:tc>
          <w:tcPr>
            <w:tcW w:w="1794" w:type="dxa"/>
            <w:hideMark/>
          </w:tcPr>
          <w:p w14:paraId="77E6C43D"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Investigate the connection between salivary cortisol levels, the awakening response, and diurnal fluctuation in adolescent girls who have recently experienced forensically proven sexual abuse</w:t>
            </w:r>
          </w:p>
        </w:tc>
        <w:tc>
          <w:tcPr>
            <w:tcW w:w="1365" w:type="dxa"/>
            <w:hideMark/>
          </w:tcPr>
          <w:p w14:paraId="6B034029"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Absorption</w:t>
            </w:r>
          </w:p>
        </w:tc>
        <w:tc>
          <w:tcPr>
            <w:tcW w:w="1179" w:type="dxa"/>
            <w:hideMark/>
          </w:tcPr>
          <w:p w14:paraId="76C1519D"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Salimetrics oral swabs </w:t>
            </w:r>
          </w:p>
        </w:tc>
        <w:tc>
          <w:tcPr>
            <w:tcW w:w="1178" w:type="dxa"/>
            <w:hideMark/>
          </w:tcPr>
          <w:p w14:paraId="7164E373"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US </w:t>
            </w:r>
          </w:p>
        </w:tc>
        <w:tc>
          <w:tcPr>
            <w:tcW w:w="1307" w:type="dxa"/>
            <w:hideMark/>
          </w:tcPr>
          <w:p w14:paraId="4676B6E0" w14:textId="01E1ADCC" w:rsidR="00D05AB4" w:rsidRPr="00333A96" w:rsidRDefault="001E3817"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3215" w:type="dxa"/>
            <w:gridSpan w:val="2"/>
            <w:hideMark/>
          </w:tcPr>
          <w:p w14:paraId="53529234"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A flattening cortisol awakening response was seen in adolescent females who had recently suffered sexual abuse. This was linked to the degree of PTSD and intrusive symptoms.</w:t>
            </w:r>
            <w:r w:rsidRPr="00333A96">
              <w:rPr>
                <w:rFonts w:ascii="Times New Roman" w:eastAsia="Times New Roman" w:hAnsi="Times New Roman" w:cs="Times New Roman"/>
                <w:sz w:val="18"/>
                <w:szCs w:val="18"/>
                <w:lang w:val="en-GB" w:eastAsia="nl-NL"/>
              </w:rPr>
              <w:br/>
              <w:t>2) Prior to the sexual assault, there was a correlation between increased adversity and a flattening cortisol waking response, suggesting possible changes to the HPA-axis in response to trauma.</w:t>
            </w:r>
          </w:p>
        </w:tc>
      </w:tr>
      <w:tr w:rsidR="00D05AB4" w:rsidRPr="00CC2F10" w14:paraId="1891BE4D" w14:textId="77777777" w:rsidTr="00CC2F10">
        <w:trPr>
          <w:cnfStyle w:val="000000100000" w:firstRow="0" w:lastRow="0" w:firstColumn="0" w:lastColumn="0" w:oddVBand="0" w:evenVBand="0" w:oddHBand="1" w:evenHBand="0" w:firstRowFirstColumn="0" w:firstRowLastColumn="0" w:lastRowFirstColumn="0" w:lastRowLastColumn="0"/>
          <w:trHeight w:val="936"/>
        </w:trPr>
        <w:tc>
          <w:tcPr>
            <w:cnfStyle w:val="001000000000" w:firstRow="0" w:lastRow="0" w:firstColumn="1" w:lastColumn="0" w:oddVBand="0" w:evenVBand="0" w:oddHBand="0" w:evenHBand="0" w:firstRowFirstColumn="0" w:firstRowLastColumn="0" w:lastRowFirstColumn="0" w:lastRowLastColumn="0"/>
            <w:tcW w:w="1560" w:type="dxa"/>
            <w:noWrap/>
            <w:hideMark/>
          </w:tcPr>
          <w:p w14:paraId="54FA86F0"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lastRenderedPageBreak/>
              <w:t>Keuning et al. 2022</w:t>
            </w:r>
          </w:p>
        </w:tc>
        <w:tc>
          <w:tcPr>
            <w:tcW w:w="1413" w:type="dxa"/>
            <w:noWrap/>
            <w:hideMark/>
          </w:tcPr>
          <w:p w14:paraId="2A177A02"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The Netherlands</w:t>
            </w:r>
          </w:p>
        </w:tc>
        <w:tc>
          <w:tcPr>
            <w:tcW w:w="837" w:type="dxa"/>
            <w:noWrap/>
            <w:hideMark/>
          </w:tcPr>
          <w:p w14:paraId="61B069E1"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47DABDB2"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223</w:t>
            </w:r>
          </w:p>
        </w:tc>
        <w:tc>
          <w:tcPr>
            <w:tcW w:w="1577" w:type="dxa"/>
            <w:hideMark/>
          </w:tcPr>
          <w:p w14:paraId="2DAC3127"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0-18 (?)</w:t>
            </w:r>
          </w:p>
        </w:tc>
        <w:tc>
          <w:tcPr>
            <w:tcW w:w="1794" w:type="dxa"/>
            <w:hideMark/>
          </w:tcPr>
          <w:p w14:paraId="41E676B1"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Assess saliva antibody tests as a low-impact way to track children's antibody-mediated immunity to SARS-CoV-2</w:t>
            </w:r>
          </w:p>
        </w:tc>
        <w:tc>
          <w:tcPr>
            <w:tcW w:w="1365" w:type="dxa"/>
            <w:hideMark/>
          </w:tcPr>
          <w:p w14:paraId="41642FC1"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Drooling, absorption</w:t>
            </w:r>
          </w:p>
        </w:tc>
        <w:tc>
          <w:tcPr>
            <w:tcW w:w="1179" w:type="dxa"/>
            <w:hideMark/>
          </w:tcPr>
          <w:p w14:paraId="3B88D595"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Container, ORACOL saliva collection</w:t>
            </w:r>
          </w:p>
        </w:tc>
        <w:tc>
          <w:tcPr>
            <w:tcW w:w="1178" w:type="dxa"/>
            <w:hideMark/>
          </w:tcPr>
          <w:p w14:paraId="0B768023"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US </w:t>
            </w:r>
          </w:p>
        </w:tc>
        <w:tc>
          <w:tcPr>
            <w:tcW w:w="1307" w:type="dxa"/>
            <w:hideMark/>
          </w:tcPr>
          <w:p w14:paraId="5C1E6B5F" w14:textId="0729D7FF" w:rsidR="00D05AB4" w:rsidRPr="00333A96" w:rsidRDefault="001E3817"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3215" w:type="dxa"/>
            <w:gridSpan w:val="2"/>
            <w:hideMark/>
          </w:tcPr>
          <w:p w14:paraId="1609FF3F"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Children's SARS-CoV-2 humoral immunity may be reliably detected using saliva-based antibody tests in a non-invasive way.</w:t>
            </w:r>
          </w:p>
        </w:tc>
      </w:tr>
      <w:tr w:rsidR="00D05AB4" w:rsidRPr="00CC2F10" w14:paraId="7548552C" w14:textId="77777777" w:rsidTr="00CC2F10">
        <w:trPr>
          <w:trHeight w:val="936"/>
        </w:trPr>
        <w:tc>
          <w:tcPr>
            <w:cnfStyle w:val="001000000000" w:firstRow="0" w:lastRow="0" w:firstColumn="1" w:lastColumn="0" w:oddVBand="0" w:evenVBand="0" w:oddHBand="0" w:evenHBand="0" w:firstRowFirstColumn="0" w:firstRowLastColumn="0" w:lastRowFirstColumn="0" w:lastRowLastColumn="0"/>
            <w:tcW w:w="1560" w:type="dxa"/>
            <w:noWrap/>
            <w:hideMark/>
          </w:tcPr>
          <w:p w14:paraId="2A3E3C1B"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Kidd et al. 2005</w:t>
            </w:r>
          </w:p>
        </w:tc>
        <w:tc>
          <w:tcPr>
            <w:tcW w:w="1413" w:type="dxa"/>
            <w:noWrap/>
            <w:hideMark/>
          </w:tcPr>
          <w:p w14:paraId="3094B120"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United Kingdom</w:t>
            </w:r>
          </w:p>
        </w:tc>
        <w:tc>
          <w:tcPr>
            <w:tcW w:w="837" w:type="dxa"/>
            <w:noWrap/>
            <w:hideMark/>
          </w:tcPr>
          <w:p w14:paraId="535BDFE2"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06A8B0FB"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106</w:t>
            </w:r>
          </w:p>
        </w:tc>
        <w:tc>
          <w:tcPr>
            <w:tcW w:w="1577" w:type="dxa"/>
            <w:hideMark/>
          </w:tcPr>
          <w:p w14:paraId="109A326D"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0 (?)</w:t>
            </w:r>
          </w:p>
        </w:tc>
        <w:tc>
          <w:tcPr>
            <w:tcW w:w="1794" w:type="dxa"/>
            <w:hideMark/>
          </w:tcPr>
          <w:p w14:paraId="068D3DA4"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Investigate the circadian rhythm in F secretion in premature newborns receiving hospital care</w:t>
            </w:r>
          </w:p>
        </w:tc>
        <w:tc>
          <w:tcPr>
            <w:tcW w:w="1365" w:type="dxa"/>
            <w:hideMark/>
          </w:tcPr>
          <w:p w14:paraId="73827F56"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Suction</w:t>
            </w:r>
          </w:p>
        </w:tc>
        <w:tc>
          <w:tcPr>
            <w:tcW w:w="1179" w:type="dxa"/>
            <w:hideMark/>
          </w:tcPr>
          <w:p w14:paraId="705C005F" w14:textId="1C3E051F" w:rsidR="00D05AB4" w:rsidRPr="00333A96" w:rsidRDefault="001E3817"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Pr>
                <w:rFonts w:ascii="Times New Roman" w:eastAsia="Times New Roman" w:hAnsi="Times New Roman" w:cs="Times New Roman"/>
                <w:sz w:val="18"/>
                <w:szCs w:val="18"/>
                <w:lang w:val="en-GB" w:eastAsia="nl-NL"/>
              </w:rPr>
              <w:t>P</w:t>
            </w:r>
            <w:r w:rsidR="00D05AB4" w:rsidRPr="00333A96">
              <w:rPr>
                <w:rFonts w:ascii="Times New Roman" w:eastAsia="Times New Roman" w:hAnsi="Times New Roman" w:cs="Times New Roman"/>
                <w:sz w:val="18"/>
                <w:szCs w:val="18"/>
                <w:lang w:val="en-GB" w:eastAsia="nl-NL"/>
              </w:rPr>
              <w:t>lastic catheter</w:t>
            </w:r>
          </w:p>
        </w:tc>
        <w:tc>
          <w:tcPr>
            <w:tcW w:w="1178" w:type="dxa"/>
            <w:hideMark/>
          </w:tcPr>
          <w:p w14:paraId="14873FB7"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US </w:t>
            </w:r>
          </w:p>
        </w:tc>
        <w:tc>
          <w:tcPr>
            <w:tcW w:w="1307" w:type="dxa"/>
            <w:hideMark/>
          </w:tcPr>
          <w:p w14:paraId="23A4050E" w14:textId="61983115" w:rsidR="00D05AB4" w:rsidRPr="00333A96" w:rsidRDefault="001E3817"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3215" w:type="dxa"/>
            <w:gridSpan w:val="2"/>
            <w:hideMark/>
          </w:tcPr>
          <w:p w14:paraId="6662BF0D"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1) No infants had displayed a traditional circadian rhythm for at least 4 weeks (before being discharged from the hospital). </w:t>
            </w:r>
            <w:r w:rsidRPr="00333A96">
              <w:rPr>
                <w:rFonts w:ascii="Times New Roman" w:eastAsia="Times New Roman" w:hAnsi="Times New Roman" w:cs="Times New Roman"/>
                <w:sz w:val="18"/>
                <w:szCs w:val="18"/>
                <w:lang w:val="en-GB" w:eastAsia="nl-NL"/>
              </w:rPr>
              <w:br/>
              <w:t>2) The formation of an adult-type F circadian rhythm is uncommon.</w:t>
            </w:r>
          </w:p>
        </w:tc>
      </w:tr>
      <w:tr w:rsidR="00D05AB4" w:rsidRPr="00CC2F10" w14:paraId="33354998" w14:textId="77777777" w:rsidTr="00CC2F10">
        <w:trPr>
          <w:cnfStyle w:val="000000100000" w:firstRow="0" w:lastRow="0" w:firstColumn="0" w:lastColumn="0" w:oddVBand="0" w:evenVBand="0" w:oddHBand="1" w:evenHBand="0" w:firstRowFirstColumn="0" w:firstRowLastColumn="0" w:lastRowFirstColumn="0" w:lastRowLastColumn="0"/>
          <w:trHeight w:val="1560"/>
        </w:trPr>
        <w:tc>
          <w:tcPr>
            <w:cnfStyle w:val="001000000000" w:firstRow="0" w:lastRow="0" w:firstColumn="1" w:lastColumn="0" w:oddVBand="0" w:evenVBand="0" w:oddHBand="0" w:evenHBand="0" w:firstRowFirstColumn="0" w:firstRowLastColumn="0" w:lastRowFirstColumn="0" w:lastRowLastColumn="0"/>
            <w:tcW w:w="1560" w:type="dxa"/>
            <w:noWrap/>
            <w:hideMark/>
          </w:tcPr>
          <w:p w14:paraId="72F8780F"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Kidwell et al. 2022</w:t>
            </w:r>
          </w:p>
        </w:tc>
        <w:tc>
          <w:tcPr>
            <w:tcW w:w="1413" w:type="dxa"/>
            <w:noWrap/>
            <w:hideMark/>
          </w:tcPr>
          <w:p w14:paraId="4122DA0D"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United States</w:t>
            </w:r>
          </w:p>
        </w:tc>
        <w:tc>
          <w:tcPr>
            <w:tcW w:w="837" w:type="dxa"/>
            <w:noWrap/>
            <w:hideMark/>
          </w:tcPr>
          <w:p w14:paraId="7113EF46"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24CF465E"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21</w:t>
            </w:r>
          </w:p>
        </w:tc>
        <w:tc>
          <w:tcPr>
            <w:tcW w:w="1577" w:type="dxa"/>
            <w:hideMark/>
          </w:tcPr>
          <w:p w14:paraId="3ECB5A64"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13-17 (14.6 ± 1.3)</w:t>
            </w:r>
          </w:p>
        </w:tc>
        <w:tc>
          <w:tcPr>
            <w:tcW w:w="1794" w:type="dxa"/>
            <w:hideMark/>
          </w:tcPr>
          <w:p w14:paraId="1A578ACB"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Investigate the relationship between obesogenic eating and chronic stress, reactivity to acute stress, and adolescent females who are susceptible to obesity</w:t>
            </w:r>
          </w:p>
        </w:tc>
        <w:tc>
          <w:tcPr>
            <w:tcW w:w="1365" w:type="dxa"/>
            <w:hideMark/>
          </w:tcPr>
          <w:p w14:paraId="2B7446C5"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Absorption</w:t>
            </w:r>
          </w:p>
        </w:tc>
        <w:tc>
          <w:tcPr>
            <w:tcW w:w="1179" w:type="dxa"/>
            <w:hideMark/>
          </w:tcPr>
          <w:p w14:paraId="26CBAFD0"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Salivette cotton swab</w:t>
            </w:r>
          </w:p>
        </w:tc>
        <w:tc>
          <w:tcPr>
            <w:tcW w:w="1178" w:type="dxa"/>
            <w:hideMark/>
          </w:tcPr>
          <w:p w14:paraId="6F247389"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US </w:t>
            </w:r>
          </w:p>
        </w:tc>
        <w:tc>
          <w:tcPr>
            <w:tcW w:w="1307" w:type="dxa"/>
            <w:hideMark/>
          </w:tcPr>
          <w:p w14:paraId="647138B7" w14:textId="7AF09D14" w:rsidR="00D05AB4" w:rsidRPr="00333A96" w:rsidRDefault="001E3817"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3215" w:type="dxa"/>
            <w:gridSpan w:val="2"/>
            <w:hideMark/>
          </w:tcPr>
          <w:p w14:paraId="6699BEB0"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Female adolescents with high levels of chronic stress were significantly more likely to engage in emotional and external eating than those with low levels of chronic stress. They also had significantly higher appetites.</w:t>
            </w:r>
            <w:r w:rsidRPr="00333A96">
              <w:rPr>
                <w:rFonts w:ascii="Times New Roman" w:eastAsia="Times New Roman" w:hAnsi="Times New Roman" w:cs="Times New Roman"/>
                <w:sz w:val="18"/>
                <w:szCs w:val="18"/>
                <w:lang w:val="en-GB" w:eastAsia="nl-NL"/>
              </w:rPr>
              <w:br/>
              <w:t>2) Cortisol reactivity was decreased in the high chronic stress group, and this result predicted increased self-reported food desires.</w:t>
            </w:r>
          </w:p>
        </w:tc>
      </w:tr>
      <w:tr w:rsidR="00D05AB4" w:rsidRPr="00CC2F10" w14:paraId="307206A0" w14:textId="77777777" w:rsidTr="00CC2F10">
        <w:trPr>
          <w:trHeight w:val="2496"/>
        </w:trPr>
        <w:tc>
          <w:tcPr>
            <w:cnfStyle w:val="001000000000" w:firstRow="0" w:lastRow="0" w:firstColumn="1" w:lastColumn="0" w:oddVBand="0" w:evenVBand="0" w:oddHBand="0" w:evenHBand="0" w:firstRowFirstColumn="0" w:firstRowLastColumn="0" w:lastRowFirstColumn="0" w:lastRowLastColumn="0"/>
            <w:tcW w:w="1560" w:type="dxa"/>
            <w:noWrap/>
            <w:hideMark/>
          </w:tcPr>
          <w:p w14:paraId="1E551607"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Kobus et al. 2019</w:t>
            </w:r>
          </w:p>
        </w:tc>
        <w:tc>
          <w:tcPr>
            <w:tcW w:w="1413" w:type="dxa"/>
            <w:noWrap/>
            <w:hideMark/>
          </w:tcPr>
          <w:p w14:paraId="413ABACC"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Poland</w:t>
            </w:r>
          </w:p>
        </w:tc>
        <w:tc>
          <w:tcPr>
            <w:tcW w:w="837" w:type="dxa"/>
            <w:noWrap/>
            <w:hideMark/>
          </w:tcPr>
          <w:p w14:paraId="051CFD0E"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4424A680"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68</w:t>
            </w:r>
          </w:p>
        </w:tc>
        <w:tc>
          <w:tcPr>
            <w:tcW w:w="1577" w:type="dxa"/>
            <w:hideMark/>
          </w:tcPr>
          <w:p w14:paraId="4D1460FA"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6-18 (?)</w:t>
            </w:r>
          </w:p>
        </w:tc>
        <w:tc>
          <w:tcPr>
            <w:tcW w:w="1794" w:type="dxa"/>
            <w:hideMark/>
          </w:tcPr>
          <w:p w14:paraId="21D946EA"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Assess the relationship between dental health in JIA children, including mixed and permanent dentition, and the concentration of MMP-2, MMP-8, and MMP-9 as well as their inhibitors TIMP-1 and TIMP-2 in UWS.</w:t>
            </w:r>
          </w:p>
        </w:tc>
        <w:tc>
          <w:tcPr>
            <w:tcW w:w="1365" w:type="dxa"/>
            <w:hideMark/>
          </w:tcPr>
          <w:p w14:paraId="27824EA9"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Spitting</w:t>
            </w:r>
          </w:p>
        </w:tc>
        <w:tc>
          <w:tcPr>
            <w:tcW w:w="1179" w:type="dxa"/>
            <w:hideMark/>
          </w:tcPr>
          <w:p w14:paraId="4D106017"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Tube</w:t>
            </w:r>
          </w:p>
        </w:tc>
        <w:tc>
          <w:tcPr>
            <w:tcW w:w="1178" w:type="dxa"/>
            <w:hideMark/>
          </w:tcPr>
          <w:p w14:paraId="08434320"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US </w:t>
            </w:r>
          </w:p>
        </w:tc>
        <w:tc>
          <w:tcPr>
            <w:tcW w:w="1307" w:type="dxa"/>
            <w:hideMark/>
          </w:tcPr>
          <w:p w14:paraId="1772E444"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2h fasting before sampling</w:t>
            </w:r>
          </w:p>
        </w:tc>
        <w:tc>
          <w:tcPr>
            <w:tcW w:w="3215" w:type="dxa"/>
            <w:gridSpan w:val="2"/>
            <w:hideMark/>
          </w:tcPr>
          <w:p w14:paraId="2DABBCAD" w14:textId="1909D956"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1) Comparing children with JIA to both healthy controls and JIA patients with mixed dentition, children with JIA exhibited significantly greater quantities of MMP-9 in their unstimulated whole saliva. </w:t>
            </w:r>
            <w:r w:rsidRPr="00333A96">
              <w:rPr>
                <w:rFonts w:ascii="Times New Roman" w:eastAsia="Times New Roman" w:hAnsi="Times New Roman" w:cs="Times New Roman"/>
                <w:sz w:val="18"/>
                <w:szCs w:val="18"/>
                <w:lang w:val="en-GB" w:eastAsia="nl-NL"/>
              </w:rPr>
              <w:br/>
              <w:t xml:space="preserve">2) MMP-2 levels had a negative correlation with salivary flow rate and a positive correlation with the OHI-S (in JIA patients). The </w:t>
            </w:r>
            <w:r w:rsidR="00FB437A" w:rsidRPr="00333A96">
              <w:rPr>
                <w:rFonts w:ascii="Times New Roman" w:eastAsia="Times New Roman" w:hAnsi="Times New Roman" w:cs="Times New Roman"/>
                <w:sz w:val="18"/>
                <w:szCs w:val="18"/>
                <w:lang w:val="en-GB" w:eastAsia="nl-NL"/>
              </w:rPr>
              <w:t>favourable</w:t>
            </w:r>
            <w:r w:rsidRPr="00333A96">
              <w:rPr>
                <w:rFonts w:ascii="Times New Roman" w:eastAsia="Times New Roman" w:hAnsi="Times New Roman" w:cs="Times New Roman"/>
                <w:sz w:val="18"/>
                <w:szCs w:val="18"/>
                <w:lang w:val="en-GB" w:eastAsia="nl-NL"/>
              </w:rPr>
              <w:t xml:space="preserve"> correlation between gingival inflammatory indicators and MMP-9 and its inhibitor TIMP-1 suggests a possible function for these enzymes in maintaining periodontal health.</w:t>
            </w:r>
          </w:p>
        </w:tc>
      </w:tr>
      <w:tr w:rsidR="00D05AB4" w:rsidRPr="00CC2F10" w14:paraId="2FC086A8" w14:textId="77777777" w:rsidTr="00CC2F10">
        <w:trPr>
          <w:cnfStyle w:val="000000100000" w:firstRow="0" w:lastRow="0" w:firstColumn="0" w:lastColumn="0" w:oddVBand="0" w:evenVBand="0" w:oddHBand="1" w:evenHBand="0" w:firstRowFirstColumn="0" w:firstRowLastColumn="0" w:lastRowFirstColumn="0" w:lastRowLastColumn="0"/>
          <w:trHeight w:val="1560"/>
        </w:trPr>
        <w:tc>
          <w:tcPr>
            <w:cnfStyle w:val="001000000000" w:firstRow="0" w:lastRow="0" w:firstColumn="1" w:lastColumn="0" w:oddVBand="0" w:evenVBand="0" w:oddHBand="0" w:evenHBand="0" w:firstRowFirstColumn="0" w:firstRowLastColumn="0" w:lastRowFirstColumn="0" w:lastRowLastColumn="0"/>
            <w:tcW w:w="1560" w:type="dxa"/>
            <w:noWrap/>
            <w:hideMark/>
          </w:tcPr>
          <w:p w14:paraId="2174F06F"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lastRenderedPageBreak/>
              <w:t>Koopaie et al. 2021</w:t>
            </w:r>
          </w:p>
        </w:tc>
        <w:tc>
          <w:tcPr>
            <w:tcW w:w="1413" w:type="dxa"/>
            <w:noWrap/>
            <w:hideMark/>
          </w:tcPr>
          <w:p w14:paraId="1E3890AB"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Iran</w:t>
            </w:r>
          </w:p>
        </w:tc>
        <w:tc>
          <w:tcPr>
            <w:tcW w:w="837" w:type="dxa"/>
            <w:noWrap/>
            <w:hideMark/>
          </w:tcPr>
          <w:p w14:paraId="7B12A864"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15D2EDFB"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40</w:t>
            </w:r>
          </w:p>
        </w:tc>
        <w:tc>
          <w:tcPr>
            <w:tcW w:w="1577" w:type="dxa"/>
            <w:hideMark/>
          </w:tcPr>
          <w:p w14:paraId="58006E27"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2-3 (63.25m ± 8.32m)</w:t>
            </w:r>
          </w:p>
        </w:tc>
        <w:tc>
          <w:tcPr>
            <w:tcW w:w="1794" w:type="dxa"/>
            <w:hideMark/>
          </w:tcPr>
          <w:p w14:paraId="238EC24F"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Compare ECC with caries-free children in terms of demographic data and salivary cystatin S levels</w:t>
            </w:r>
          </w:p>
        </w:tc>
        <w:tc>
          <w:tcPr>
            <w:tcW w:w="1365" w:type="dxa"/>
            <w:hideMark/>
          </w:tcPr>
          <w:p w14:paraId="36C11902"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Suction</w:t>
            </w:r>
          </w:p>
        </w:tc>
        <w:tc>
          <w:tcPr>
            <w:tcW w:w="1179" w:type="dxa"/>
            <w:hideMark/>
          </w:tcPr>
          <w:p w14:paraId="28E92012" w14:textId="4D7DEB3F" w:rsidR="00D05AB4" w:rsidRPr="00333A96" w:rsidRDefault="001E3817"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1178" w:type="dxa"/>
            <w:hideMark/>
          </w:tcPr>
          <w:p w14:paraId="12800AD0"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US </w:t>
            </w:r>
          </w:p>
        </w:tc>
        <w:tc>
          <w:tcPr>
            <w:tcW w:w="1307" w:type="dxa"/>
            <w:hideMark/>
          </w:tcPr>
          <w:p w14:paraId="552B90D9"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30min fasting before sampling</w:t>
            </w:r>
          </w:p>
        </w:tc>
        <w:tc>
          <w:tcPr>
            <w:tcW w:w="3215" w:type="dxa"/>
            <w:gridSpan w:val="2"/>
            <w:hideMark/>
          </w:tcPr>
          <w:p w14:paraId="0360B305"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1) Children with ECC had considerably lower salivary cystatin S levels than children without caries. </w:t>
            </w:r>
            <w:r w:rsidRPr="00333A96">
              <w:rPr>
                <w:rFonts w:ascii="Times New Roman" w:eastAsia="Times New Roman" w:hAnsi="Times New Roman" w:cs="Times New Roman"/>
                <w:sz w:val="18"/>
                <w:szCs w:val="18"/>
                <w:lang w:val="en-GB" w:eastAsia="nl-NL"/>
              </w:rPr>
              <w:br/>
              <w:t xml:space="preserve">2) The logistic regression model including birth weight and salivary cystatin S levels had the strongest potential for separating ECC from controls. </w:t>
            </w:r>
          </w:p>
        </w:tc>
      </w:tr>
      <w:tr w:rsidR="00D05AB4" w:rsidRPr="00CC2F10" w14:paraId="3891313E" w14:textId="77777777" w:rsidTr="00CC2F10">
        <w:trPr>
          <w:trHeight w:val="1872"/>
        </w:trPr>
        <w:tc>
          <w:tcPr>
            <w:cnfStyle w:val="001000000000" w:firstRow="0" w:lastRow="0" w:firstColumn="1" w:lastColumn="0" w:oddVBand="0" w:evenVBand="0" w:oddHBand="0" w:evenHBand="0" w:firstRowFirstColumn="0" w:firstRowLastColumn="0" w:lastRowFirstColumn="0" w:lastRowLastColumn="0"/>
            <w:tcW w:w="1560" w:type="dxa"/>
            <w:noWrap/>
            <w:hideMark/>
          </w:tcPr>
          <w:p w14:paraId="07FAAB95"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Koruyucu et al. 2020</w:t>
            </w:r>
          </w:p>
        </w:tc>
        <w:tc>
          <w:tcPr>
            <w:tcW w:w="1413" w:type="dxa"/>
            <w:noWrap/>
            <w:hideMark/>
          </w:tcPr>
          <w:p w14:paraId="369530B9"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Turkey</w:t>
            </w:r>
          </w:p>
        </w:tc>
        <w:tc>
          <w:tcPr>
            <w:tcW w:w="837" w:type="dxa"/>
            <w:noWrap/>
            <w:hideMark/>
          </w:tcPr>
          <w:p w14:paraId="147AE886"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4A3722D0"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84</w:t>
            </w:r>
          </w:p>
        </w:tc>
        <w:tc>
          <w:tcPr>
            <w:tcW w:w="1577" w:type="dxa"/>
            <w:hideMark/>
          </w:tcPr>
          <w:p w14:paraId="403F6000"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3-12 (?)</w:t>
            </w:r>
          </w:p>
        </w:tc>
        <w:tc>
          <w:tcPr>
            <w:tcW w:w="1794" w:type="dxa"/>
            <w:hideMark/>
          </w:tcPr>
          <w:p w14:paraId="5A52C30E"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Assess the association between the oxidative stress markers in saliva and the children with CHD's salivary pH, salivary buffering capacity, salivary flow rate, and dental caries</w:t>
            </w:r>
          </w:p>
        </w:tc>
        <w:tc>
          <w:tcPr>
            <w:tcW w:w="1365" w:type="dxa"/>
            <w:hideMark/>
          </w:tcPr>
          <w:p w14:paraId="3411CEDF"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Spitting</w:t>
            </w:r>
          </w:p>
        </w:tc>
        <w:tc>
          <w:tcPr>
            <w:tcW w:w="1179" w:type="dxa"/>
            <w:hideMark/>
          </w:tcPr>
          <w:p w14:paraId="2A3A123C"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Tube</w:t>
            </w:r>
          </w:p>
        </w:tc>
        <w:tc>
          <w:tcPr>
            <w:tcW w:w="1178" w:type="dxa"/>
            <w:hideMark/>
          </w:tcPr>
          <w:p w14:paraId="10DA5DBE"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US </w:t>
            </w:r>
          </w:p>
        </w:tc>
        <w:tc>
          <w:tcPr>
            <w:tcW w:w="1307" w:type="dxa"/>
            <w:hideMark/>
          </w:tcPr>
          <w:p w14:paraId="244B029D"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2h fasting before sampling</w:t>
            </w:r>
          </w:p>
        </w:tc>
        <w:tc>
          <w:tcPr>
            <w:tcW w:w="3215" w:type="dxa"/>
            <w:gridSpan w:val="2"/>
            <w:hideMark/>
          </w:tcPr>
          <w:p w14:paraId="6CB00A8A" w14:textId="1DDDD243"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Children with CHD had considerably decreased salivary pH and buffering capacity.</w:t>
            </w:r>
            <w:r w:rsidR="00FB437A">
              <w:rPr>
                <w:rFonts w:ascii="Times New Roman" w:eastAsia="Times New Roman" w:hAnsi="Times New Roman" w:cs="Times New Roman"/>
                <w:sz w:val="18"/>
                <w:szCs w:val="18"/>
                <w:lang w:val="en-GB" w:eastAsia="nl-NL"/>
              </w:rPr>
              <w:t xml:space="preserve"> </w:t>
            </w:r>
            <w:r w:rsidR="00FB437A" w:rsidRPr="00333A96">
              <w:rPr>
                <w:rFonts w:ascii="Times New Roman" w:eastAsia="Times New Roman" w:hAnsi="Times New Roman" w:cs="Times New Roman"/>
                <w:sz w:val="18"/>
                <w:szCs w:val="18"/>
                <w:lang w:val="en-GB" w:eastAsia="nl-NL"/>
              </w:rPr>
              <w:t>Also,</w:t>
            </w:r>
            <w:r w:rsidRPr="00333A96">
              <w:rPr>
                <w:rFonts w:ascii="Times New Roman" w:eastAsia="Times New Roman" w:hAnsi="Times New Roman" w:cs="Times New Roman"/>
                <w:sz w:val="18"/>
                <w:szCs w:val="18"/>
                <w:lang w:val="en-GB" w:eastAsia="nl-NL"/>
              </w:rPr>
              <w:t xml:space="preserve"> they had considerably higher levels of TBARS and protein carbonyl.  Dental caries was seen at comparable levels between the groups.  </w:t>
            </w:r>
            <w:r w:rsidRPr="00333A96">
              <w:rPr>
                <w:rFonts w:ascii="Times New Roman" w:eastAsia="Times New Roman" w:hAnsi="Times New Roman" w:cs="Times New Roman"/>
                <w:sz w:val="18"/>
                <w:szCs w:val="18"/>
                <w:lang w:val="en-GB" w:eastAsia="nl-NL"/>
              </w:rPr>
              <w:br/>
              <w:t>2) CHD patients may need special oral health assistance and routine dental follow-up.</w:t>
            </w:r>
          </w:p>
        </w:tc>
      </w:tr>
      <w:tr w:rsidR="00D05AB4" w:rsidRPr="00CC2F10" w14:paraId="766CF24D" w14:textId="77777777" w:rsidTr="00CC2F10">
        <w:trPr>
          <w:cnfStyle w:val="000000100000" w:firstRow="0" w:lastRow="0" w:firstColumn="0" w:lastColumn="0" w:oddVBand="0" w:evenVBand="0" w:oddHBand="1" w:evenHBand="0" w:firstRowFirstColumn="0" w:firstRowLastColumn="0" w:lastRowFirstColumn="0" w:lastRowLastColumn="0"/>
          <w:trHeight w:val="1248"/>
        </w:trPr>
        <w:tc>
          <w:tcPr>
            <w:cnfStyle w:val="001000000000" w:firstRow="0" w:lastRow="0" w:firstColumn="1" w:lastColumn="0" w:oddVBand="0" w:evenVBand="0" w:oddHBand="0" w:evenHBand="0" w:firstRowFirstColumn="0" w:firstRowLastColumn="0" w:lastRowFirstColumn="0" w:lastRowLastColumn="0"/>
            <w:tcW w:w="1560" w:type="dxa"/>
            <w:noWrap/>
            <w:hideMark/>
          </w:tcPr>
          <w:p w14:paraId="351ADA96"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Krahel et al. 2021</w:t>
            </w:r>
          </w:p>
        </w:tc>
        <w:tc>
          <w:tcPr>
            <w:tcW w:w="1413" w:type="dxa"/>
            <w:noWrap/>
            <w:hideMark/>
          </w:tcPr>
          <w:p w14:paraId="624075C5"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Poland</w:t>
            </w:r>
          </w:p>
        </w:tc>
        <w:tc>
          <w:tcPr>
            <w:tcW w:w="837" w:type="dxa"/>
            <w:noWrap/>
            <w:hideMark/>
          </w:tcPr>
          <w:p w14:paraId="5DF2F921"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4D4C5CC6"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132</w:t>
            </w:r>
          </w:p>
        </w:tc>
        <w:tc>
          <w:tcPr>
            <w:tcW w:w="1577" w:type="dxa"/>
            <w:hideMark/>
          </w:tcPr>
          <w:p w14:paraId="05900674"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6-11 (8.3±1.1) </w:t>
            </w:r>
          </w:p>
        </w:tc>
        <w:tc>
          <w:tcPr>
            <w:tcW w:w="1794" w:type="dxa"/>
            <w:hideMark/>
          </w:tcPr>
          <w:p w14:paraId="0154408C"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Assess immunological and stress biomarkers in saliva samples from people with ADHD </w:t>
            </w:r>
          </w:p>
        </w:tc>
        <w:tc>
          <w:tcPr>
            <w:tcW w:w="1365" w:type="dxa"/>
            <w:hideMark/>
          </w:tcPr>
          <w:p w14:paraId="183CFB60"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Spitting</w:t>
            </w:r>
          </w:p>
        </w:tc>
        <w:tc>
          <w:tcPr>
            <w:tcW w:w="1179" w:type="dxa"/>
            <w:hideMark/>
          </w:tcPr>
          <w:p w14:paraId="76845469"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container</w:t>
            </w:r>
          </w:p>
        </w:tc>
        <w:tc>
          <w:tcPr>
            <w:tcW w:w="1178" w:type="dxa"/>
            <w:hideMark/>
          </w:tcPr>
          <w:p w14:paraId="4DA730E0"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307" w:type="dxa"/>
            <w:hideMark/>
          </w:tcPr>
          <w:p w14:paraId="220AD2D3"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1h fasting before sampling </w:t>
            </w:r>
          </w:p>
        </w:tc>
        <w:tc>
          <w:tcPr>
            <w:tcW w:w="3215" w:type="dxa"/>
            <w:gridSpan w:val="2"/>
            <w:hideMark/>
          </w:tcPr>
          <w:p w14:paraId="1446AD24"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Significant changes in body weight, BMI, and hip circumference were seen in children with ADHD.</w:t>
            </w:r>
            <w:r w:rsidRPr="00333A96">
              <w:rPr>
                <w:rFonts w:ascii="Times New Roman" w:eastAsia="Times New Roman" w:hAnsi="Times New Roman" w:cs="Times New Roman"/>
                <w:sz w:val="18"/>
                <w:szCs w:val="18"/>
                <w:lang w:val="en-GB" w:eastAsia="nl-NL"/>
              </w:rPr>
              <w:br/>
              <w:t>2) Correlations between cortisol and BMI, hip size, and IgA as well as between IgG and sAA and IgA were shown to be statistically significant</w:t>
            </w:r>
          </w:p>
        </w:tc>
      </w:tr>
      <w:tr w:rsidR="00D05AB4" w:rsidRPr="00CC2F10" w14:paraId="6C77E972" w14:textId="77777777" w:rsidTr="00CC2F10">
        <w:trPr>
          <w:trHeight w:val="1540"/>
        </w:trPr>
        <w:tc>
          <w:tcPr>
            <w:cnfStyle w:val="001000000000" w:firstRow="0" w:lastRow="0" w:firstColumn="1" w:lastColumn="0" w:oddVBand="0" w:evenVBand="0" w:oddHBand="0" w:evenHBand="0" w:firstRowFirstColumn="0" w:firstRowLastColumn="0" w:lastRowFirstColumn="0" w:lastRowLastColumn="0"/>
            <w:tcW w:w="1560" w:type="dxa"/>
            <w:noWrap/>
            <w:hideMark/>
          </w:tcPr>
          <w:p w14:paraId="4C9864F7"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Krasteva et al. 2010</w:t>
            </w:r>
          </w:p>
        </w:tc>
        <w:tc>
          <w:tcPr>
            <w:tcW w:w="1413" w:type="dxa"/>
            <w:noWrap/>
            <w:hideMark/>
          </w:tcPr>
          <w:p w14:paraId="0D662E47"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Bulgaria</w:t>
            </w:r>
          </w:p>
        </w:tc>
        <w:tc>
          <w:tcPr>
            <w:tcW w:w="837" w:type="dxa"/>
            <w:noWrap/>
            <w:hideMark/>
          </w:tcPr>
          <w:p w14:paraId="240A0567"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2F7E0F52"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52</w:t>
            </w:r>
          </w:p>
        </w:tc>
        <w:tc>
          <w:tcPr>
            <w:tcW w:w="1577" w:type="dxa"/>
            <w:hideMark/>
          </w:tcPr>
          <w:p w14:paraId="121E7A88"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2-16 (8.9±?)</w:t>
            </w:r>
          </w:p>
        </w:tc>
        <w:tc>
          <w:tcPr>
            <w:tcW w:w="1794" w:type="dxa"/>
            <w:hideMark/>
          </w:tcPr>
          <w:p w14:paraId="364F80A9"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Evaluate the humoral immunological and oral inflammatory state in children with allergic asthma</w:t>
            </w:r>
          </w:p>
        </w:tc>
        <w:tc>
          <w:tcPr>
            <w:tcW w:w="1365" w:type="dxa"/>
            <w:hideMark/>
          </w:tcPr>
          <w:p w14:paraId="2307914A"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Absorption, spitting</w:t>
            </w:r>
          </w:p>
        </w:tc>
        <w:tc>
          <w:tcPr>
            <w:tcW w:w="1179" w:type="dxa"/>
            <w:hideMark/>
          </w:tcPr>
          <w:p w14:paraId="745D78B4"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Cotton rolls</w:t>
            </w:r>
          </w:p>
        </w:tc>
        <w:tc>
          <w:tcPr>
            <w:tcW w:w="1178" w:type="dxa"/>
            <w:hideMark/>
          </w:tcPr>
          <w:p w14:paraId="40EC93C4"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307" w:type="dxa"/>
            <w:hideMark/>
          </w:tcPr>
          <w:p w14:paraId="4EEDA224"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1) 1h fasting before sampling </w:t>
            </w:r>
            <w:r w:rsidRPr="00333A96">
              <w:rPr>
                <w:rFonts w:ascii="Times New Roman" w:eastAsia="Times New Roman" w:hAnsi="Times New Roman" w:cs="Times New Roman"/>
                <w:sz w:val="18"/>
                <w:szCs w:val="18"/>
                <w:lang w:val="en-GB" w:eastAsia="nl-NL"/>
              </w:rPr>
              <w:br/>
              <w:t>2) 2-4y absorbent method</w:t>
            </w:r>
          </w:p>
        </w:tc>
        <w:tc>
          <w:tcPr>
            <w:tcW w:w="3215" w:type="dxa"/>
            <w:gridSpan w:val="2"/>
            <w:hideMark/>
          </w:tcPr>
          <w:p w14:paraId="0D72140D"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CRP levels in saliva were significantly higher in children with allergic asthma.</w:t>
            </w:r>
            <w:r w:rsidRPr="00333A96">
              <w:rPr>
                <w:rFonts w:ascii="Times New Roman" w:eastAsia="Times New Roman" w:hAnsi="Times New Roman" w:cs="Times New Roman"/>
                <w:sz w:val="18"/>
                <w:szCs w:val="18"/>
                <w:lang w:val="en-GB" w:eastAsia="nl-NL"/>
              </w:rPr>
              <w:br/>
              <w:t>2) In children with allergic asthma, a correlation between total protein, haptoglobin, and IgG/sIgA levels was discovered.</w:t>
            </w:r>
          </w:p>
        </w:tc>
      </w:tr>
      <w:tr w:rsidR="00D05AB4" w:rsidRPr="00CC2F10" w14:paraId="001E9AF3" w14:textId="77777777" w:rsidTr="00CC2F10">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1560" w:type="dxa"/>
            <w:noWrap/>
            <w:hideMark/>
          </w:tcPr>
          <w:p w14:paraId="4F43B97E"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Kuchay et al. 2015</w:t>
            </w:r>
          </w:p>
        </w:tc>
        <w:tc>
          <w:tcPr>
            <w:tcW w:w="1413" w:type="dxa"/>
            <w:noWrap/>
            <w:hideMark/>
          </w:tcPr>
          <w:p w14:paraId="742FF302"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India</w:t>
            </w:r>
          </w:p>
        </w:tc>
        <w:tc>
          <w:tcPr>
            <w:tcW w:w="837" w:type="dxa"/>
            <w:noWrap/>
            <w:hideMark/>
          </w:tcPr>
          <w:p w14:paraId="6E8A8491"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530C9DCB"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154</w:t>
            </w:r>
          </w:p>
        </w:tc>
        <w:tc>
          <w:tcPr>
            <w:tcW w:w="1577" w:type="dxa"/>
            <w:hideMark/>
          </w:tcPr>
          <w:p w14:paraId="260E5CF9"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5-10 (?)</w:t>
            </w:r>
          </w:p>
        </w:tc>
        <w:tc>
          <w:tcPr>
            <w:tcW w:w="1794" w:type="dxa"/>
            <w:hideMark/>
          </w:tcPr>
          <w:p w14:paraId="10118956"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Investigate the association between CD and SNPs that cause AtH in children</w:t>
            </w:r>
          </w:p>
        </w:tc>
        <w:tc>
          <w:tcPr>
            <w:tcW w:w="1365" w:type="dxa"/>
            <w:hideMark/>
          </w:tcPr>
          <w:p w14:paraId="0BCE69A8"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Spitting</w:t>
            </w:r>
          </w:p>
        </w:tc>
        <w:tc>
          <w:tcPr>
            <w:tcW w:w="1179" w:type="dxa"/>
            <w:hideMark/>
          </w:tcPr>
          <w:p w14:paraId="08B81B77"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Plastic box</w:t>
            </w:r>
          </w:p>
        </w:tc>
        <w:tc>
          <w:tcPr>
            <w:tcW w:w="1178" w:type="dxa"/>
            <w:hideMark/>
          </w:tcPr>
          <w:p w14:paraId="1A025802"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307" w:type="dxa"/>
            <w:hideMark/>
          </w:tcPr>
          <w:p w14:paraId="66F70BE8" w14:textId="649ECFC6" w:rsidR="00D05AB4" w:rsidRPr="00333A96" w:rsidRDefault="001E3817"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3215" w:type="dxa"/>
            <w:gridSpan w:val="2"/>
            <w:hideMark/>
          </w:tcPr>
          <w:p w14:paraId="2E90B28D"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Children's C/T-13910 or G/A-22018 SNPs associated with AtH and CD do not correlate significantly</w:t>
            </w:r>
          </w:p>
        </w:tc>
      </w:tr>
      <w:tr w:rsidR="00D05AB4" w:rsidRPr="00CC2F10" w14:paraId="30A3EBAC" w14:textId="77777777" w:rsidTr="00CC2F10">
        <w:trPr>
          <w:trHeight w:val="1248"/>
        </w:trPr>
        <w:tc>
          <w:tcPr>
            <w:cnfStyle w:val="001000000000" w:firstRow="0" w:lastRow="0" w:firstColumn="1" w:lastColumn="0" w:oddVBand="0" w:evenVBand="0" w:oddHBand="0" w:evenHBand="0" w:firstRowFirstColumn="0" w:firstRowLastColumn="0" w:lastRowFirstColumn="0" w:lastRowLastColumn="0"/>
            <w:tcW w:w="1560" w:type="dxa"/>
            <w:noWrap/>
            <w:hideMark/>
          </w:tcPr>
          <w:p w14:paraId="312B19F2"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Kuhlman et al. 2019</w:t>
            </w:r>
          </w:p>
        </w:tc>
        <w:tc>
          <w:tcPr>
            <w:tcW w:w="1413" w:type="dxa"/>
            <w:noWrap/>
            <w:hideMark/>
          </w:tcPr>
          <w:p w14:paraId="5D8F1F32"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United States</w:t>
            </w:r>
          </w:p>
        </w:tc>
        <w:tc>
          <w:tcPr>
            <w:tcW w:w="837" w:type="dxa"/>
            <w:noWrap/>
            <w:hideMark/>
          </w:tcPr>
          <w:p w14:paraId="56ACB7ED"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Cohort</w:t>
            </w:r>
          </w:p>
        </w:tc>
        <w:tc>
          <w:tcPr>
            <w:tcW w:w="878" w:type="dxa"/>
            <w:noWrap/>
            <w:hideMark/>
          </w:tcPr>
          <w:p w14:paraId="3B18D51E"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59</w:t>
            </w:r>
          </w:p>
        </w:tc>
        <w:tc>
          <w:tcPr>
            <w:tcW w:w="1577" w:type="dxa"/>
            <w:hideMark/>
          </w:tcPr>
          <w:p w14:paraId="42B4A775"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8-13 (?)</w:t>
            </w:r>
          </w:p>
        </w:tc>
        <w:tc>
          <w:tcPr>
            <w:tcW w:w="1794" w:type="dxa"/>
            <w:hideMark/>
          </w:tcPr>
          <w:p w14:paraId="2788F8E4"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Measure the youth's tonic cortisol levels during waking and sleeping, as well as the stability of the CAR, diurnal slope, and these variables </w:t>
            </w:r>
          </w:p>
        </w:tc>
        <w:tc>
          <w:tcPr>
            <w:tcW w:w="1365" w:type="dxa"/>
            <w:hideMark/>
          </w:tcPr>
          <w:p w14:paraId="4CC0FDF2"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Drooling</w:t>
            </w:r>
          </w:p>
        </w:tc>
        <w:tc>
          <w:tcPr>
            <w:tcW w:w="1179" w:type="dxa"/>
            <w:hideMark/>
          </w:tcPr>
          <w:p w14:paraId="22DB12D2" w14:textId="3AB826F9" w:rsidR="00D05AB4" w:rsidRPr="00333A96" w:rsidRDefault="001E3817"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1178" w:type="dxa"/>
            <w:hideMark/>
          </w:tcPr>
          <w:p w14:paraId="496DB6F7"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US </w:t>
            </w:r>
          </w:p>
        </w:tc>
        <w:tc>
          <w:tcPr>
            <w:tcW w:w="1307" w:type="dxa"/>
            <w:hideMark/>
          </w:tcPr>
          <w:p w14:paraId="1110EFCF" w14:textId="3E4ABA9D" w:rsidR="00D05AB4" w:rsidRPr="00333A96" w:rsidRDefault="001E3817"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3215" w:type="dxa"/>
            <w:gridSpan w:val="2"/>
            <w:hideMark/>
          </w:tcPr>
          <w:p w14:paraId="51CC9604"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Developmental variables affected HPA-axis stability, with boys, younger individuals, and those in the early stages of puberty showing more overall stability than females and older, physically more developed participants.</w:t>
            </w:r>
          </w:p>
        </w:tc>
      </w:tr>
      <w:tr w:rsidR="00D05AB4" w:rsidRPr="00CC2F10" w14:paraId="4D6B61FF" w14:textId="77777777" w:rsidTr="00CC2F10">
        <w:trPr>
          <w:cnfStyle w:val="000000100000" w:firstRow="0" w:lastRow="0" w:firstColumn="0" w:lastColumn="0" w:oddVBand="0" w:evenVBand="0" w:oddHBand="1" w:evenHBand="0" w:firstRowFirstColumn="0" w:firstRowLastColumn="0" w:lastRowFirstColumn="0" w:lastRowLastColumn="0"/>
          <w:trHeight w:val="1248"/>
        </w:trPr>
        <w:tc>
          <w:tcPr>
            <w:cnfStyle w:val="001000000000" w:firstRow="0" w:lastRow="0" w:firstColumn="1" w:lastColumn="0" w:oddVBand="0" w:evenVBand="0" w:oddHBand="0" w:evenHBand="0" w:firstRowFirstColumn="0" w:firstRowLastColumn="0" w:lastRowFirstColumn="0" w:lastRowLastColumn="0"/>
            <w:tcW w:w="1560" w:type="dxa"/>
            <w:noWrap/>
            <w:hideMark/>
          </w:tcPr>
          <w:p w14:paraId="1B95059F"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lastRenderedPageBreak/>
              <w:t>Kulekci et al. 2008</w:t>
            </w:r>
          </w:p>
        </w:tc>
        <w:tc>
          <w:tcPr>
            <w:tcW w:w="1413" w:type="dxa"/>
            <w:noWrap/>
            <w:hideMark/>
          </w:tcPr>
          <w:p w14:paraId="3F0559F6"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Turkey</w:t>
            </w:r>
          </w:p>
        </w:tc>
        <w:tc>
          <w:tcPr>
            <w:tcW w:w="837" w:type="dxa"/>
            <w:noWrap/>
            <w:hideMark/>
          </w:tcPr>
          <w:p w14:paraId="4B590ADB"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32026141"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41</w:t>
            </w:r>
          </w:p>
        </w:tc>
        <w:tc>
          <w:tcPr>
            <w:tcW w:w="1577" w:type="dxa"/>
            <w:hideMark/>
          </w:tcPr>
          <w:p w14:paraId="2059D175"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6-13 (9±?)</w:t>
            </w:r>
          </w:p>
        </w:tc>
        <w:tc>
          <w:tcPr>
            <w:tcW w:w="1794" w:type="dxa"/>
            <w:hideMark/>
          </w:tcPr>
          <w:p w14:paraId="30C53CFD"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Measure the presence of various microbial complexes in children's saliva who have healthy gingiva and mixed dentition</w:t>
            </w:r>
          </w:p>
        </w:tc>
        <w:tc>
          <w:tcPr>
            <w:tcW w:w="1365" w:type="dxa"/>
            <w:hideMark/>
          </w:tcPr>
          <w:p w14:paraId="19C17454"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Spitting</w:t>
            </w:r>
          </w:p>
        </w:tc>
        <w:tc>
          <w:tcPr>
            <w:tcW w:w="1179" w:type="dxa"/>
            <w:hideMark/>
          </w:tcPr>
          <w:p w14:paraId="2D9879C2"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container</w:t>
            </w:r>
          </w:p>
        </w:tc>
        <w:tc>
          <w:tcPr>
            <w:tcW w:w="1178" w:type="dxa"/>
            <w:hideMark/>
          </w:tcPr>
          <w:p w14:paraId="4D83C6A4"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SS</w:t>
            </w:r>
          </w:p>
        </w:tc>
        <w:tc>
          <w:tcPr>
            <w:tcW w:w="1307" w:type="dxa"/>
            <w:hideMark/>
          </w:tcPr>
          <w:p w14:paraId="53686023" w14:textId="7EA2EC8E" w:rsidR="00D05AB4" w:rsidRPr="00333A96" w:rsidRDefault="001E3817"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3215" w:type="dxa"/>
            <w:gridSpan w:val="2"/>
            <w:hideMark/>
          </w:tcPr>
          <w:p w14:paraId="663D0165"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A significant proportion of children had paired or triple bacterial combinations, suggesting that there may be microbial complexity in the oral environment even in the absence of clinical symptoms of gingival disease. </w:t>
            </w:r>
          </w:p>
        </w:tc>
      </w:tr>
      <w:tr w:rsidR="00D05AB4" w:rsidRPr="00CC2F10" w14:paraId="047D79ED" w14:textId="77777777" w:rsidTr="00CC2F10">
        <w:trPr>
          <w:trHeight w:val="936"/>
        </w:trPr>
        <w:tc>
          <w:tcPr>
            <w:cnfStyle w:val="001000000000" w:firstRow="0" w:lastRow="0" w:firstColumn="1" w:lastColumn="0" w:oddVBand="0" w:evenVBand="0" w:oddHBand="0" w:evenHBand="0" w:firstRowFirstColumn="0" w:firstRowLastColumn="0" w:lastRowFirstColumn="0" w:lastRowLastColumn="0"/>
            <w:tcW w:w="1560" w:type="dxa"/>
            <w:noWrap/>
            <w:hideMark/>
          </w:tcPr>
          <w:p w14:paraId="2B9B5977"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Kurosawa et al. 2000</w:t>
            </w:r>
          </w:p>
        </w:tc>
        <w:tc>
          <w:tcPr>
            <w:tcW w:w="1413" w:type="dxa"/>
            <w:noWrap/>
            <w:hideMark/>
          </w:tcPr>
          <w:p w14:paraId="01C3FE4E"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Japan</w:t>
            </w:r>
          </w:p>
        </w:tc>
        <w:tc>
          <w:tcPr>
            <w:tcW w:w="837" w:type="dxa"/>
            <w:noWrap/>
            <w:hideMark/>
          </w:tcPr>
          <w:p w14:paraId="56FFA22B"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27FD2F6E"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610</w:t>
            </w:r>
          </w:p>
        </w:tc>
        <w:tc>
          <w:tcPr>
            <w:tcW w:w="1577" w:type="dxa"/>
            <w:hideMark/>
          </w:tcPr>
          <w:p w14:paraId="37115758"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6-14 (?)</w:t>
            </w:r>
          </w:p>
        </w:tc>
        <w:tc>
          <w:tcPr>
            <w:tcW w:w="1794" w:type="dxa"/>
            <w:hideMark/>
          </w:tcPr>
          <w:p w14:paraId="2F509047"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Discover risk factors in school-aged children for H. pylori infection</w:t>
            </w:r>
          </w:p>
        </w:tc>
        <w:tc>
          <w:tcPr>
            <w:tcW w:w="1365" w:type="dxa"/>
            <w:hideMark/>
          </w:tcPr>
          <w:p w14:paraId="40BBCE4E"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Absorption</w:t>
            </w:r>
          </w:p>
        </w:tc>
        <w:tc>
          <w:tcPr>
            <w:tcW w:w="1179" w:type="dxa"/>
            <w:hideMark/>
          </w:tcPr>
          <w:p w14:paraId="7FE6705B"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Omni-Sal collection device</w:t>
            </w:r>
          </w:p>
        </w:tc>
        <w:tc>
          <w:tcPr>
            <w:tcW w:w="1178" w:type="dxa"/>
            <w:hideMark/>
          </w:tcPr>
          <w:p w14:paraId="46715416"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US </w:t>
            </w:r>
          </w:p>
        </w:tc>
        <w:tc>
          <w:tcPr>
            <w:tcW w:w="1307" w:type="dxa"/>
            <w:hideMark/>
          </w:tcPr>
          <w:p w14:paraId="04B3A1BE" w14:textId="029B6A52" w:rsidR="00D05AB4" w:rsidRPr="00333A96" w:rsidRDefault="001E3817"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3215" w:type="dxa"/>
            <w:gridSpan w:val="2"/>
            <w:hideMark/>
          </w:tcPr>
          <w:p w14:paraId="7A50B004"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Risk factors for Helicobacter pylori infection in school-aged children include spending more time in a nursery school or kindergarten and having a mother who has had stomach sickness.</w:t>
            </w:r>
          </w:p>
        </w:tc>
      </w:tr>
      <w:tr w:rsidR="00D05AB4" w:rsidRPr="00CC2F10" w14:paraId="22BEADDB" w14:textId="77777777" w:rsidTr="00CC2F10">
        <w:trPr>
          <w:cnfStyle w:val="000000100000" w:firstRow="0" w:lastRow="0" w:firstColumn="0" w:lastColumn="0" w:oddVBand="0" w:evenVBand="0" w:oddHBand="1" w:evenHBand="0" w:firstRowFirstColumn="0" w:firstRowLastColumn="0" w:lastRowFirstColumn="0" w:lastRowLastColumn="0"/>
          <w:trHeight w:val="1560"/>
        </w:trPr>
        <w:tc>
          <w:tcPr>
            <w:cnfStyle w:val="001000000000" w:firstRow="0" w:lastRow="0" w:firstColumn="1" w:lastColumn="0" w:oddVBand="0" w:evenVBand="0" w:oddHBand="0" w:evenHBand="0" w:firstRowFirstColumn="0" w:firstRowLastColumn="0" w:lastRowFirstColumn="0" w:lastRowLastColumn="0"/>
            <w:tcW w:w="1560" w:type="dxa"/>
            <w:noWrap/>
            <w:hideMark/>
          </w:tcPr>
          <w:p w14:paraId="5CBB1EEF"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Langpoklakpam et al. 2022</w:t>
            </w:r>
          </w:p>
        </w:tc>
        <w:tc>
          <w:tcPr>
            <w:tcW w:w="1413" w:type="dxa"/>
            <w:noWrap/>
            <w:hideMark/>
          </w:tcPr>
          <w:p w14:paraId="119EAC9D"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India</w:t>
            </w:r>
          </w:p>
        </w:tc>
        <w:tc>
          <w:tcPr>
            <w:tcW w:w="837" w:type="dxa"/>
            <w:noWrap/>
            <w:hideMark/>
          </w:tcPr>
          <w:p w14:paraId="0F50CB32"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298FED92"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87</w:t>
            </w:r>
          </w:p>
        </w:tc>
        <w:tc>
          <w:tcPr>
            <w:tcW w:w="1577" w:type="dxa"/>
            <w:hideMark/>
          </w:tcPr>
          <w:p w14:paraId="1199BA8E"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3-9 (?)</w:t>
            </w:r>
          </w:p>
        </w:tc>
        <w:tc>
          <w:tcPr>
            <w:tcW w:w="1794" w:type="dxa"/>
            <w:hideMark/>
          </w:tcPr>
          <w:p w14:paraId="51969C1F"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Assess and compare the effectiveness of SDF and SDF combined with potassium iodide on the C. Albicans and Lactobacillus count and pH of saliva in children with carious deciduous teeth</w:t>
            </w:r>
          </w:p>
        </w:tc>
        <w:tc>
          <w:tcPr>
            <w:tcW w:w="1365" w:type="dxa"/>
            <w:hideMark/>
          </w:tcPr>
          <w:p w14:paraId="19F0367E"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Drooling</w:t>
            </w:r>
          </w:p>
        </w:tc>
        <w:tc>
          <w:tcPr>
            <w:tcW w:w="1179" w:type="dxa"/>
            <w:hideMark/>
          </w:tcPr>
          <w:p w14:paraId="2F674276" w14:textId="0C5FD933" w:rsidR="00D05AB4" w:rsidRPr="00333A96" w:rsidRDefault="001E3817"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1178" w:type="dxa"/>
            <w:hideMark/>
          </w:tcPr>
          <w:p w14:paraId="276D75AC"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US </w:t>
            </w:r>
          </w:p>
        </w:tc>
        <w:tc>
          <w:tcPr>
            <w:tcW w:w="1307" w:type="dxa"/>
            <w:hideMark/>
          </w:tcPr>
          <w:p w14:paraId="2D4801EE" w14:textId="6830779B" w:rsidR="00D05AB4" w:rsidRPr="00333A96" w:rsidRDefault="001E3817"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3215" w:type="dxa"/>
            <w:gridSpan w:val="2"/>
            <w:hideMark/>
          </w:tcPr>
          <w:p w14:paraId="3E7ED503"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Following the use of both SDF and PI, the pH of the saliva increased.  Both substances worked successfully to reduce the microbial load. They therefore have an antibacterial effect on both the species of lactobacilli and C. Albicans.</w:t>
            </w:r>
          </w:p>
        </w:tc>
      </w:tr>
      <w:tr w:rsidR="00D05AB4" w:rsidRPr="00CC2F10" w14:paraId="20BE5DBE" w14:textId="77777777" w:rsidTr="00CC2F10">
        <w:trPr>
          <w:trHeight w:val="1248"/>
        </w:trPr>
        <w:tc>
          <w:tcPr>
            <w:cnfStyle w:val="001000000000" w:firstRow="0" w:lastRow="0" w:firstColumn="1" w:lastColumn="0" w:oddVBand="0" w:evenVBand="0" w:oddHBand="0" w:evenHBand="0" w:firstRowFirstColumn="0" w:firstRowLastColumn="0" w:lastRowFirstColumn="0" w:lastRowLastColumn="0"/>
            <w:tcW w:w="1560" w:type="dxa"/>
            <w:noWrap/>
            <w:hideMark/>
          </w:tcPr>
          <w:p w14:paraId="08207544"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Larose et al. 2019</w:t>
            </w:r>
          </w:p>
        </w:tc>
        <w:tc>
          <w:tcPr>
            <w:tcW w:w="1413" w:type="dxa"/>
            <w:noWrap/>
            <w:hideMark/>
          </w:tcPr>
          <w:p w14:paraId="603F68D9"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Canada</w:t>
            </w:r>
          </w:p>
        </w:tc>
        <w:tc>
          <w:tcPr>
            <w:tcW w:w="837" w:type="dxa"/>
            <w:noWrap/>
            <w:hideMark/>
          </w:tcPr>
          <w:p w14:paraId="7BA6410B"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RCT</w:t>
            </w:r>
          </w:p>
        </w:tc>
        <w:tc>
          <w:tcPr>
            <w:tcW w:w="878" w:type="dxa"/>
            <w:noWrap/>
            <w:hideMark/>
          </w:tcPr>
          <w:p w14:paraId="341A38A2"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361</w:t>
            </w:r>
          </w:p>
        </w:tc>
        <w:tc>
          <w:tcPr>
            <w:tcW w:w="1577" w:type="dxa"/>
            <w:hideMark/>
          </w:tcPr>
          <w:p w14:paraId="6CFB7F95"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2-5 (?)</w:t>
            </w:r>
          </w:p>
        </w:tc>
        <w:tc>
          <w:tcPr>
            <w:tcW w:w="1794" w:type="dxa"/>
            <w:hideMark/>
          </w:tcPr>
          <w:p w14:paraId="075A6414"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Determine if preschoolers who participated in a social skills intervention program run by teachers with specialized training displayed typical patterns of diurnal cortisol secretion</w:t>
            </w:r>
          </w:p>
        </w:tc>
        <w:tc>
          <w:tcPr>
            <w:tcW w:w="1365" w:type="dxa"/>
            <w:hideMark/>
          </w:tcPr>
          <w:p w14:paraId="31BE0AF0"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Absorption</w:t>
            </w:r>
          </w:p>
        </w:tc>
        <w:tc>
          <w:tcPr>
            <w:tcW w:w="1179" w:type="dxa"/>
            <w:hideMark/>
          </w:tcPr>
          <w:p w14:paraId="62B67174"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SalivaBio Children's Swab</w:t>
            </w:r>
          </w:p>
        </w:tc>
        <w:tc>
          <w:tcPr>
            <w:tcW w:w="1178" w:type="dxa"/>
            <w:hideMark/>
          </w:tcPr>
          <w:p w14:paraId="0C2B47EF"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US </w:t>
            </w:r>
          </w:p>
        </w:tc>
        <w:tc>
          <w:tcPr>
            <w:tcW w:w="1307" w:type="dxa"/>
            <w:hideMark/>
          </w:tcPr>
          <w:p w14:paraId="737358AA" w14:textId="54CDD294" w:rsidR="00D05AB4" w:rsidRPr="00333A96" w:rsidRDefault="001E3817"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3215" w:type="dxa"/>
            <w:gridSpan w:val="2"/>
            <w:hideMark/>
          </w:tcPr>
          <w:p w14:paraId="2B1D5E7B"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The control group showed increasing slopes, while the intervention group showed decreased diurnal cortisol secretion. </w:t>
            </w:r>
          </w:p>
        </w:tc>
      </w:tr>
      <w:tr w:rsidR="00D05AB4" w:rsidRPr="00CC2F10" w14:paraId="1DF8C209" w14:textId="77777777" w:rsidTr="00CC2F10">
        <w:trPr>
          <w:cnfStyle w:val="000000100000" w:firstRow="0" w:lastRow="0" w:firstColumn="0" w:lastColumn="0" w:oddVBand="0" w:evenVBand="0" w:oddHBand="1" w:evenHBand="0" w:firstRowFirstColumn="0" w:firstRowLastColumn="0" w:lastRowFirstColumn="0" w:lastRowLastColumn="0"/>
          <w:trHeight w:val="1560"/>
        </w:trPr>
        <w:tc>
          <w:tcPr>
            <w:cnfStyle w:val="001000000000" w:firstRow="0" w:lastRow="0" w:firstColumn="1" w:lastColumn="0" w:oddVBand="0" w:evenVBand="0" w:oddHBand="0" w:evenHBand="0" w:firstRowFirstColumn="0" w:firstRowLastColumn="0" w:lastRowFirstColumn="0" w:lastRowLastColumn="0"/>
            <w:tcW w:w="1560" w:type="dxa"/>
            <w:noWrap/>
            <w:hideMark/>
          </w:tcPr>
          <w:p w14:paraId="421EF952"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Lawson et al. 2012</w:t>
            </w:r>
          </w:p>
        </w:tc>
        <w:tc>
          <w:tcPr>
            <w:tcW w:w="1413" w:type="dxa"/>
            <w:noWrap/>
            <w:hideMark/>
          </w:tcPr>
          <w:p w14:paraId="394F9A94"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Canada</w:t>
            </w:r>
          </w:p>
        </w:tc>
        <w:tc>
          <w:tcPr>
            <w:tcW w:w="837" w:type="dxa"/>
            <w:noWrap/>
            <w:hideMark/>
          </w:tcPr>
          <w:p w14:paraId="3DE9E6CC"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CC</w:t>
            </w:r>
          </w:p>
        </w:tc>
        <w:tc>
          <w:tcPr>
            <w:tcW w:w="878" w:type="dxa"/>
            <w:noWrap/>
            <w:hideMark/>
          </w:tcPr>
          <w:p w14:paraId="51480171"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322</w:t>
            </w:r>
          </w:p>
        </w:tc>
        <w:tc>
          <w:tcPr>
            <w:tcW w:w="1577" w:type="dxa"/>
            <w:hideMark/>
          </w:tcPr>
          <w:p w14:paraId="526C2404"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6-18 (?)</w:t>
            </w:r>
          </w:p>
        </w:tc>
        <w:tc>
          <w:tcPr>
            <w:tcW w:w="1794" w:type="dxa"/>
            <w:hideMark/>
          </w:tcPr>
          <w:p w14:paraId="19AE90BC"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Examine the associations between endotoxin exposure and asthma and wheeze in children and the potential alteration of the connection between endotoxin exposure and environmental and personal variables</w:t>
            </w:r>
          </w:p>
        </w:tc>
        <w:tc>
          <w:tcPr>
            <w:tcW w:w="1365" w:type="dxa"/>
            <w:hideMark/>
          </w:tcPr>
          <w:p w14:paraId="58F3499F"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Spitting</w:t>
            </w:r>
          </w:p>
        </w:tc>
        <w:tc>
          <w:tcPr>
            <w:tcW w:w="1179" w:type="dxa"/>
            <w:hideMark/>
          </w:tcPr>
          <w:p w14:paraId="085C43FD"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container</w:t>
            </w:r>
          </w:p>
        </w:tc>
        <w:tc>
          <w:tcPr>
            <w:tcW w:w="1178" w:type="dxa"/>
            <w:hideMark/>
          </w:tcPr>
          <w:p w14:paraId="56A8F19D"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US </w:t>
            </w:r>
          </w:p>
        </w:tc>
        <w:tc>
          <w:tcPr>
            <w:tcW w:w="1307" w:type="dxa"/>
            <w:hideMark/>
          </w:tcPr>
          <w:p w14:paraId="2A49F06C" w14:textId="1433618B" w:rsidR="00D05AB4" w:rsidRPr="00333A96" w:rsidRDefault="001E3817"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3215" w:type="dxa"/>
            <w:gridSpan w:val="2"/>
            <w:hideMark/>
          </w:tcPr>
          <w:p w14:paraId="719937A6"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A negative correlation between the load and concentration of mattress endotoxins and the presence of cases in children</w:t>
            </w:r>
            <w:r w:rsidRPr="00333A96">
              <w:rPr>
                <w:rFonts w:ascii="Times New Roman" w:eastAsia="Times New Roman" w:hAnsi="Times New Roman" w:cs="Times New Roman"/>
                <w:sz w:val="18"/>
                <w:szCs w:val="18"/>
                <w:lang w:val="en-GB" w:eastAsia="nl-NL"/>
              </w:rPr>
              <w:br/>
              <w:t>2) Exposure to endotoxins may be preventative for wheeze or asthma. The protective effect is shown in younger, non-allergic school-age children.</w:t>
            </w:r>
          </w:p>
        </w:tc>
      </w:tr>
      <w:tr w:rsidR="00D05AB4" w:rsidRPr="00CC2F10" w14:paraId="20F61DC9" w14:textId="77777777" w:rsidTr="00CC2F10">
        <w:trPr>
          <w:trHeight w:val="1248"/>
        </w:trPr>
        <w:tc>
          <w:tcPr>
            <w:cnfStyle w:val="001000000000" w:firstRow="0" w:lastRow="0" w:firstColumn="1" w:lastColumn="0" w:oddVBand="0" w:evenVBand="0" w:oddHBand="0" w:evenHBand="0" w:firstRowFirstColumn="0" w:firstRowLastColumn="0" w:lastRowFirstColumn="0" w:lastRowLastColumn="0"/>
            <w:tcW w:w="1560" w:type="dxa"/>
            <w:noWrap/>
            <w:hideMark/>
          </w:tcPr>
          <w:p w14:paraId="6B3887F1"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lastRenderedPageBreak/>
              <w:t>Leruez-Ville et al. 2017</w:t>
            </w:r>
          </w:p>
        </w:tc>
        <w:tc>
          <w:tcPr>
            <w:tcW w:w="1413" w:type="dxa"/>
            <w:noWrap/>
            <w:hideMark/>
          </w:tcPr>
          <w:p w14:paraId="72C41CFD"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France</w:t>
            </w:r>
          </w:p>
        </w:tc>
        <w:tc>
          <w:tcPr>
            <w:tcW w:w="837" w:type="dxa"/>
            <w:noWrap/>
            <w:hideMark/>
          </w:tcPr>
          <w:p w14:paraId="6898FA3D"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4FC4D864"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11857</w:t>
            </w:r>
          </w:p>
        </w:tc>
        <w:tc>
          <w:tcPr>
            <w:tcW w:w="1577" w:type="dxa"/>
            <w:hideMark/>
          </w:tcPr>
          <w:p w14:paraId="4DAE5330"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0 (?)</w:t>
            </w:r>
          </w:p>
        </w:tc>
        <w:tc>
          <w:tcPr>
            <w:tcW w:w="1794" w:type="dxa"/>
            <w:hideMark/>
          </w:tcPr>
          <w:p w14:paraId="33BA30A1"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Assess the type of maternal infection and the prevalence of cCMV in newborns</w:t>
            </w:r>
          </w:p>
        </w:tc>
        <w:tc>
          <w:tcPr>
            <w:tcW w:w="1365" w:type="dxa"/>
            <w:hideMark/>
          </w:tcPr>
          <w:p w14:paraId="08E86250"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Absorption</w:t>
            </w:r>
          </w:p>
        </w:tc>
        <w:tc>
          <w:tcPr>
            <w:tcW w:w="1179" w:type="dxa"/>
            <w:hideMark/>
          </w:tcPr>
          <w:p w14:paraId="56105806"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Sigma-Virocult</w:t>
            </w:r>
          </w:p>
        </w:tc>
        <w:tc>
          <w:tcPr>
            <w:tcW w:w="1178" w:type="dxa"/>
            <w:hideMark/>
          </w:tcPr>
          <w:p w14:paraId="4C0DCA87"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US </w:t>
            </w:r>
          </w:p>
        </w:tc>
        <w:tc>
          <w:tcPr>
            <w:tcW w:w="1307" w:type="dxa"/>
            <w:hideMark/>
          </w:tcPr>
          <w:p w14:paraId="481F698B" w14:textId="75B2EC03" w:rsidR="00D05AB4" w:rsidRPr="00333A96" w:rsidRDefault="001E3817"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3215" w:type="dxa"/>
            <w:gridSpan w:val="2"/>
            <w:hideMark/>
          </w:tcPr>
          <w:p w14:paraId="7820E4CA"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In saliva from neonates, the positive predictive value of the CMV PCR was 59%.</w:t>
            </w:r>
            <w:r w:rsidRPr="00333A96">
              <w:rPr>
                <w:rFonts w:ascii="Times New Roman" w:eastAsia="Times New Roman" w:hAnsi="Times New Roman" w:cs="Times New Roman"/>
                <w:sz w:val="18"/>
                <w:szCs w:val="18"/>
                <w:lang w:val="en-GB" w:eastAsia="nl-NL"/>
              </w:rPr>
              <w:br/>
              <w:t>2) The demographic at greatest risk for cCMV infection was seronegative, parous women in nations with low to moderate seroprevalence.</w:t>
            </w:r>
          </w:p>
        </w:tc>
      </w:tr>
      <w:tr w:rsidR="00D05AB4" w:rsidRPr="00333A96" w14:paraId="46311F10" w14:textId="77777777" w:rsidTr="00CC2F10">
        <w:trPr>
          <w:cnfStyle w:val="000000100000" w:firstRow="0" w:lastRow="0" w:firstColumn="0" w:lastColumn="0" w:oddVBand="0" w:evenVBand="0" w:oddHBand="1" w:evenHBand="0" w:firstRowFirstColumn="0" w:firstRowLastColumn="0" w:lastRowFirstColumn="0" w:lastRowLastColumn="0"/>
          <w:trHeight w:val="936"/>
        </w:trPr>
        <w:tc>
          <w:tcPr>
            <w:cnfStyle w:val="001000000000" w:firstRow="0" w:lastRow="0" w:firstColumn="1" w:lastColumn="0" w:oddVBand="0" w:evenVBand="0" w:oddHBand="0" w:evenHBand="0" w:firstRowFirstColumn="0" w:firstRowLastColumn="0" w:lastRowFirstColumn="0" w:lastRowLastColumn="0"/>
            <w:tcW w:w="1560" w:type="dxa"/>
            <w:noWrap/>
            <w:hideMark/>
          </w:tcPr>
          <w:p w14:paraId="1CE15A00"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Lewis et al. 2021</w:t>
            </w:r>
          </w:p>
        </w:tc>
        <w:tc>
          <w:tcPr>
            <w:tcW w:w="1413" w:type="dxa"/>
            <w:noWrap/>
            <w:hideMark/>
          </w:tcPr>
          <w:p w14:paraId="0C466B66"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United States</w:t>
            </w:r>
          </w:p>
        </w:tc>
        <w:tc>
          <w:tcPr>
            <w:tcW w:w="837" w:type="dxa"/>
            <w:noWrap/>
            <w:hideMark/>
          </w:tcPr>
          <w:p w14:paraId="0492E0C8"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11C5F907"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96</w:t>
            </w:r>
          </w:p>
        </w:tc>
        <w:tc>
          <w:tcPr>
            <w:tcW w:w="1577" w:type="dxa"/>
            <w:hideMark/>
          </w:tcPr>
          <w:p w14:paraId="72EF4700"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(8.5±0.45)</w:t>
            </w:r>
          </w:p>
        </w:tc>
        <w:tc>
          <w:tcPr>
            <w:tcW w:w="1794" w:type="dxa"/>
            <w:hideMark/>
          </w:tcPr>
          <w:p w14:paraId="6083B373"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Investigate the association between strict parenting methods, HPA gene DNA methylation, and child cortisol production</w:t>
            </w:r>
          </w:p>
        </w:tc>
        <w:tc>
          <w:tcPr>
            <w:tcW w:w="1365" w:type="dxa"/>
            <w:hideMark/>
          </w:tcPr>
          <w:p w14:paraId="378824B6"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Absorption</w:t>
            </w:r>
          </w:p>
        </w:tc>
        <w:tc>
          <w:tcPr>
            <w:tcW w:w="1179" w:type="dxa"/>
            <w:hideMark/>
          </w:tcPr>
          <w:p w14:paraId="7CF51D1A"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Salivette</w:t>
            </w:r>
          </w:p>
        </w:tc>
        <w:tc>
          <w:tcPr>
            <w:tcW w:w="1178" w:type="dxa"/>
            <w:hideMark/>
          </w:tcPr>
          <w:p w14:paraId="626A571E"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US </w:t>
            </w:r>
          </w:p>
        </w:tc>
        <w:tc>
          <w:tcPr>
            <w:tcW w:w="1307" w:type="dxa"/>
            <w:hideMark/>
          </w:tcPr>
          <w:p w14:paraId="249D10A9"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30min fasting before sampling</w:t>
            </w:r>
          </w:p>
        </w:tc>
        <w:tc>
          <w:tcPr>
            <w:tcW w:w="3215" w:type="dxa"/>
            <w:gridSpan w:val="2"/>
            <w:hideMark/>
          </w:tcPr>
          <w:p w14:paraId="3894F96A"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Several HPA axis genes' methylation were significantly predicted by harsh parenting.</w:t>
            </w:r>
            <w:r w:rsidRPr="00333A96">
              <w:rPr>
                <w:rFonts w:ascii="Times New Roman" w:eastAsia="Times New Roman" w:hAnsi="Times New Roman" w:cs="Times New Roman"/>
                <w:sz w:val="18"/>
                <w:szCs w:val="18"/>
                <w:lang w:val="en-GB" w:eastAsia="nl-NL"/>
              </w:rPr>
              <w:br/>
              <w:t>2) NR3C1 methylation has been associated with diurnal HPA function.</w:t>
            </w:r>
          </w:p>
        </w:tc>
      </w:tr>
      <w:tr w:rsidR="00D05AB4" w:rsidRPr="00CC2F10" w14:paraId="44B6352F" w14:textId="77777777" w:rsidTr="00CC2F10">
        <w:trPr>
          <w:trHeight w:val="1560"/>
        </w:trPr>
        <w:tc>
          <w:tcPr>
            <w:cnfStyle w:val="001000000000" w:firstRow="0" w:lastRow="0" w:firstColumn="1" w:lastColumn="0" w:oddVBand="0" w:evenVBand="0" w:oddHBand="0" w:evenHBand="0" w:firstRowFirstColumn="0" w:firstRowLastColumn="0" w:lastRowFirstColumn="0" w:lastRowLastColumn="0"/>
            <w:tcW w:w="1560" w:type="dxa"/>
            <w:noWrap/>
            <w:hideMark/>
          </w:tcPr>
          <w:p w14:paraId="6581948F"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Li et al. 2008</w:t>
            </w:r>
          </w:p>
        </w:tc>
        <w:tc>
          <w:tcPr>
            <w:tcW w:w="1413" w:type="dxa"/>
            <w:noWrap/>
            <w:hideMark/>
          </w:tcPr>
          <w:p w14:paraId="372D136F"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Taiwan</w:t>
            </w:r>
          </w:p>
        </w:tc>
        <w:tc>
          <w:tcPr>
            <w:tcW w:w="837" w:type="dxa"/>
            <w:noWrap/>
            <w:hideMark/>
          </w:tcPr>
          <w:p w14:paraId="574F48DD"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17AB2153"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37</w:t>
            </w:r>
          </w:p>
        </w:tc>
        <w:tc>
          <w:tcPr>
            <w:tcW w:w="1577" w:type="dxa"/>
            <w:hideMark/>
          </w:tcPr>
          <w:p w14:paraId="1B2A3B3B"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2-5 (?)</w:t>
            </w:r>
          </w:p>
        </w:tc>
        <w:tc>
          <w:tcPr>
            <w:tcW w:w="1794" w:type="dxa"/>
            <w:hideMark/>
          </w:tcPr>
          <w:p w14:paraId="3E2F0440"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Determine if there is individual variation in the cortisol rhythm of young children receiving full-time, center-based childcare and if this variation is influenced by an internalizing personality trait</w:t>
            </w:r>
          </w:p>
        </w:tc>
        <w:tc>
          <w:tcPr>
            <w:tcW w:w="1365" w:type="dxa"/>
            <w:hideMark/>
          </w:tcPr>
          <w:p w14:paraId="2CC2DF79"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Spitting</w:t>
            </w:r>
          </w:p>
        </w:tc>
        <w:tc>
          <w:tcPr>
            <w:tcW w:w="1179" w:type="dxa"/>
            <w:hideMark/>
          </w:tcPr>
          <w:p w14:paraId="4B03DEBA"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Straw and tube</w:t>
            </w:r>
          </w:p>
        </w:tc>
        <w:tc>
          <w:tcPr>
            <w:tcW w:w="1178" w:type="dxa"/>
            <w:hideMark/>
          </w:tcPr>
          <w:p w14:paraId="6E846121"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US </w:t>
            </w:r>
          </w:p>
        </w:tc>
        <w:tc>
          <w:tcPr>
            <w:tcW w:w="1307" w:type="dxa"/>
            <w:hideMark/>
          </w:tcPr>
          <w:p w14:paraId="678F2DD7"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Toddlers: paper cups instead of straw</w:t>
            </w:r>
          </w:p>
        </w:tc>
        <w:tc>
          <w:tcPr>
            <w:tcW w:w="3215" w:type="dxa"/>
            <w:gridSpan w:val="2"/>
            <w:hideMark/>
          </w:tcPr>
          <w:p w14:paraId="7ADE7EDF"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Children with different degrees of internalizing disposition showed individual diversity in cortisol fluctuation patterns, suggesting that the conventional method of comparing mid-morning and mid-afternoon cortisol levels may not adequately account for these individual differences.</w:t>
            </w:r>
          </w:p>
        </w:tc>
      </w:tr>
      <w:tr w:rsidR="00D05AB4" w:rsidRPr="00CC2F10" w14:paraId="378E493B" w14:textId="77777777" w:rsidTr="00CC2F10">
        <w:trPr>
          <w:cnfStyle w:val="000000100000" w:firstRow="0" w:lastRow="0" w:firstColumn="0" w:lastColumn="0" w:oddVBand="0" w:evenVBand="0" w:oddHBand="1" w:evenHBand="0" w:firstRowFirstColumn="0" w:firstRowLastColumn="0" w:lastRowFirstColumn="0" w:lastRowLastColumn="0"/>
          <w:trHeight w:val="1248"/>
        </w:trPr>
        <w:tc>
          <w:tcPr>
            <w:cnfStyle w:val="001000000000" w:firstRow="0" w:lastRow="0" w:firstColumn="1" w:lastColumn="0" w:oddVBand="0" w:evenVBand="0" w:oddHBand="0" w:evenHBand="0" w:firstRowFirstColumn="0" w:firstRowLastColumn="0" w:lastRowFirstColumn="0" w:lastRowLastColumn="0"/>
            <w:tcW w:w="1560" w:type="dxa"/>
            <w:noWrap/>
            <w:hideMark/>
          </w:tcPr>
          <w:p w14:paraId="1D2335CD"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Lindahl et al. 2005</w:t>
            </w:r>
          </w:p>
        </w:tc>
        <w:tc>
          <w:tcPr>
            <w:tcW w:w="1413" w:type="dxa"/>
            <w:noWrap/>
            <w:hideMark/>
          </w:tcPr>
          <w:p w14:paraId="6AD3B843"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Sweden</w:t>
            </w:r>
          </w:p>
        </w:tc>
        <w:tc>
          <w:tcPr>
            <w:tcW w:w="837" w:type="dxa"/>
            <w:noWrap/>
            <w:hideMark/>
          </w:tcPr>
          <w:p w14:paraId="5750C46B"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508C343B"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46</w:t>
            </w:r>
          </w:p>
        </w:tc>
        <w:tc>
          <w:tcPr>
            <w:tcW w:w="1577" w:type="dxa"/>
            <w:hideMark/>
          </w:tcPr>
          <w:p w14:paraId="2DBCA2D6"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9-13 (?)</w:t>
            </w:r>
          </w:p>
        </w:tc>
        <w:tc>
          <w:tcPr>
            <w:tcW w:w="1794" w:type="dxa"/>
            <w:hideMark/>
          </w:tcPr>
          <w:p w14:paraId="38BFB8B2"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Study relations between test performance, academic self-esteem, self-reported stress and saliva cortisol levels in students exposed to test demands at school</w:t>
            </w:r>
          </w:p>
        </w:tc>
        <w:tc>
          <w:tcPr>
            <w:tcW w:w="1365" w:type="dxa"/>
            <w:hideMark/>
          </w:tcPr>
          <w:p w14:paraId="2E1D4D0C"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Absorption</w:t>
            </w:r>
          </w:p>
        </w:tc>
        <w:tc>
          <w:tcPr>
            <w:tcW w:w="1179" w:type="dxa"/>
            <w:hideMark/>
          </w:tcPr>
          <w:p w14:paraId="35218AAB"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Swab</w:t>
            </w:r>
          </w:p>
        </w:tc>
        <w:tc>
          <w:tcPr>
            <w:tcW w:w="1178" w:type="dxa"/>
            <w:hideMark/>
          </w:tcPr>
          <w:p w14:paraId="62D19CA2"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US </w:t>
            </w:r>
          </w:p>
        </w:tc>
        <w:tc>
          <w:tcPr>
            <w:tcW w:w="1307" w:type="dxa"/>
            <w:hideMark/>
          </w:tcPr>
          <w:p w14:paraId="1E72DCE1" w14:textId="410F7A95" w:rsidR="00D05AB4" w:rsidRPr="00333A96" w:rsidRDefault="001E3817"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3215" w:type="dxa"/>
            <w:gridSpan w:val="2"/>
            <w:hideMark/>
          </w:tcPr>
          <w:p w14:paraId="3790580A"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The exam performance, self-esteem assessments, and saliva cortisol levels throughout the test were all negatively correlated with experiencing stress.</w:t>
            </w:r>
          </w:p>
        </w:tc>
      </w:tr>
      <w:tr w:rsidR="00D05AB4" w:rsidRPr="00CC2F10" w14:paraId="29B12AEE" w14:textId="77777777" w:rsidTr="00CC2F10">
        <w:trPr>
          <w:trHeight w:val="1872"/>
        </w:trPr>
        <w:tc>
          <w:tcPr>
            <w:cnfStyle w:val="001000000000" w:firstRow="0" w:lastRow="0" w:firstColumn="1" w:lastColumn="0" w:oddVBand="0" w:evenVBand="0" w:oddHBand="0" w:evenHBand="0" w:firstRowFirstColumn="0" w:firstRowLastColumn="0" w:lastRowFirstColumn="0" w:lastRowLastColumn="0"/>
            <w:tcW w:w="1560" w:type="dxa"/>
            <w:noWrap/>
            <w:hideMark/>
          </w:tcPr>
          <w:p w14:paraId="689C2EDA" w14:textId="01EA2DE1"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Liu et al. 2020</w:t>
            </w:r>
          </w:p>
        </w:tc>
        <w:tc>
          <w:tcPr>
            <w:tcW w:w="1413" w:type="dxa"/>
            <w:noWrap/>
            <w:hideMark/>
          </w:tcPr>
          <w:p w14:paraId="4ABE59E8"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China</w:t>
            </w:r>
          </w:p>
        </w:tc>
        <w:tc>
          <w:tcPr>
            <w:tcW w:w="837" w:type="dxa"/>
            <w:noWrap/>
            <w:hideMark/>
          </w:tcPr>
          <w:p w14:paraId="038BE4AA"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28CFF6E5"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158</w:t>
            </w:r>
          </w:p>
        </w:tc>
        <w:tc>
          <w:tcPr>
            <w:tcW w:w="1577" w:type="dxa"/>
            <w:hideMark/>
          </w:tcPr>
          <w:p w14:paraId="4D3F7E51"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10-12 (10.83±0.33)</w:t>
            </w:r>
          </w:p>
        </w:tc>
        <w:tc>
          <w:tcPr>
            <w:tcW w:w="1794" w:type="dxa"/>
            <w:hideMark/>
          </w:tcPr>
          <w:p w14:paraId="17DDBC13"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Examine the putative physiological marker HPA-axis activity's moderating effects on the associations between parental and maternal physical </w:t>
            </w:r>
            <w:r w:rsidRPr="00333A96">
              <w:rPr>
                <w:rFonts w:ascii="Times New Roman" w:eastAsia="Times New Roman" w:hAnsi="Times New Roman" w:cs="Times New Roman"/>
                <w:sz w:val="18"/>
                <w:szCs w:val="18"/>
                <w:lang w:val="en-GB" w:eastAsia="nl-NL"/>
              </w:rPr>
              <w:lastRenderedPageBreak/>
              <w:t xml:space="preserve">punishment and a child's anxiety </w:t>
            </w:r>
          </w:p>
        </w:tc>
        <w:tc>
          <w:tcPr>
            <w:tcW w:w="1365" w:type="dxa"/>
            <w:hideMark/>
          </w:tcPr>
          <w:p w14:paraId="3084E5CB"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lastRenderedPageBreak/>
              <w:t>Absorption</w:t>
            </w:r>
          </w:p>
        </w:tc>
        <w:tc>
          <w:tcPr>
            <w:tcW w:w="1179" w:type="dxa"/>
            <w:hideMark/>
          </w:tcPr>
          <w:p w14:paraId="75705BC2"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Salivette</w:t>
            </w:r>
          </w:p>
        </w:tc>
        <w:tc>
          <w:tcPr>
            <w:tcW w:w="1178" w:type="dxa"/>
            <w:hideMark/>
          </w:tcPr>
          <w:p w14:paraId="727D1876"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US </w:t>
            </w:r>
          </w:p>
        </w:tc>
        <w:tc>
          <w:tcPr>
            <w:tcW w:w="1307" w:type="dxa"/>
            <w:hideMark/>
          </w:tcPr>
          <w:p w14:paraId="442051CA"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30min fasting before sampling</w:t>
            </w:r>
          </w:p>
        </w:tc>
        <w:tc>
          <w:tcPr>
            <w:tcW w:w="3215" w:type="dxa"/>
            <w:gridSpan w:val="2"/>
            <w:hideMark/>
          </w:tcPr>
          <w:p w14:paraId="26EE9404"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Child anxiety was strongly correlated with both parental and maternal corporal punishment.</w:t>
            </w:r>
            <w:r w:rsidRPr="00333A96">
              <w:rPr>
                <w:rFonts w:ascii="Times New Roman" w:eastAsia="Times New Roman" w:hAnsi="Times New Roman" w:cs="Times New Roman"/>
                <w:sz w:val="18"/>
                <w:szCs w:val="18"/>
                <w:lang w:val="en-GB" w:eastAsia="nl-NL"/>
              </w:rPr>
              <w:br/>
              <w:t xml:space="preserve">2) The relationships between father physical punishment and child anxiety, as well as between both paternal/mother corporal punishment and child anxiety, were made worse by low morning and </w:t>
            </w:r>
            <w:r w:rsidRPr="00333A96">
              <w:rPr>
                <w:rFonts w:ascii="Times New Roman" w:eastAsia="Times New Roman" w:hAnsi="Times New Roman" w:cs="Times New Roman"/>
                <w:sz w:val="18"/>
                <w:szCs w:val="18"/>
                <w:lang w:val="en-GB" w:eastAsia="nl-NL"/>
              </w:rPr>
              <w:lastRenderedPageBreak/>
              <w:t>afternoon baseline cortisol levels and a flatter diurnal rhythm.</w:t>
            </w:r>
          </w:p>
        </w:tc>
      </w:tr>
      <w:tr w:rsidR="00D05AB4" w:rsidRPr="00CC2F10" w14:paraId="290107A8" w14:textId="77777777" w:rsidTr="00CC2F10">
        <w:trPr>
          <w:cnfStyle w:val="000000100000" w:firstRow="0" w:lastRow="0" w:firstColumn="0" w:lastColumn="0" w:oddVBand="0" w:evenVBand="0" w:oddHBand="1" w:evenHBand="0" w:firstRowFirstColumn="0" w:firstRowLastColumn="0" w:lastRowFirstColumn="0" w:lastRowLastColumn="0"/>
          <w:trHeight w:val="1560"/>
        </w:trPr>
        <w:tc>
          <w:tcPr>
            <w:cnfStyle w:val="001000000000" w:firstRow="0" w:lastRow="0" w:firstColumn="1" w:lastColumn="0" w:oddVBand="0" w:evenVBand="0" w:oddHBand="0" w:evenHBand="0" w:firstRowFirstColumn="0" w:firstRowLastColumn="0" w:lastRowFirstColumn="0" w:lastRowLastColumn="0"/>
            <w:tcW w:w="1560" w:type="dxa"/>
            <w:noWrap/>
            <w:hideMark/>
          </w:tcPr>
          <w:p w14:paraId="0CC8BF43"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lastRenderedPageBreak/>
              <w:t>Ludwig et al. 2002</w:t>
            </w:r>
          </w:p>
        </w:tc>
        <w:tc>
          <w:tcPr>
            <w:tcW w:w="1413" w:type="dxa"/>
            <w:noWrap/>
            <w:hideMark/>
          </w:tcPr>
          <w:p w14:paraId="0C5E15CE"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Germany</w:t>
            </w:r>
          </w:p>
        </w:tc>
        <w:tc>
          <w:tcPr>
            <w:tcW w:w="837" w:type="dxa"/>
            <w:noWrap/>
            <w:hideMark/>
          </w:tcPr>
          <w:p w14:paraId="1077369D"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4876D00B"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44</w:t>
            </w:r>
          </w:p>
        </w:tc>
        <w:tc>
          <w:tcPr>
            <w:tcW w:w="1577" w:type="dxa"/>
            <w:hideMark/>
          </w:tcPr>
          <w:p w14:paraId="111819E1"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0-14 (4.3±3.2)</w:t>
            </w:r>
          </w:p>
        </w:tc>
        <w:tc>
          <w:tcPr>
            <w:tcW w:w="1794" w:type="dxa"/>
            <w:hideMark/>
          </w:tcPr>
          <w:p w14:paraId="64A58515" w14:textId="13B68AE3"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Examine the occurrence and dynamics of the immune response to E. coli in children with HUS as reflected by saliva anti-bodies and to study the usefulness of a saliva-based, quick, </w:t>
            </w:r>
            <w:r w:rsidR="00FB437A" w:rsidRPr="00333A96">
              <w:rPr>
                <w:rFonts w:ascii="Times New Roman" w:eastAsia="Times New Roman" w:hAnsi="Times New Roman" w:cs="Times New Roman"/>
                <w:sz w:val="18"/>
                <w:szCs w:val="18"/>
                <w:lang w:val="en-GB" w:eastAsia="nl-NL"/>
              </w:rPr>
              <w:t>non-invasive</w:t>
            </w:r>
            <w:r w:rsidRPr="00333A96">
              <w:rPr>
                <w:rFonts w:ascii="Times New Roman" w:eastAsia="Times New Roman" w:hAnsi="Times New Roman" w:cs="Times New Roman"/>
                <w:sz w:val="18"/>
                <w:szCs w:val="18"/>
                <w:lang w:val="en-GB" w:eastAsia="nl-NL"/>
              </w:rPr>
              <w:t xml:space="preserve"> diagnostic method</w:t>
            </w:r>
          </w:p>
        </w:tc>
        <w:tc>
          <w:tcPr>
            <w:tcW w:w="1365" w:type="dxa"/>
            <w:hideMark/>
          </w:tcPr>
          <w:p w14:paraId="3CEF673F"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Absorption</w:t>
            </w:r>
          </w:p>
        </w:tc>
        <w:tc>
          <w:tcPr>
            <w:tcW w:w="1179" w:type="dxa"/>
            <w:hideMark/>
          </w:tcPr>
          <w:p w14:paraId="4758B5F3" w14:textId="76412914" w:rsidR="00D05AB4" w:rsidRPr="00333A96" w:rsidRDefault="001E3817"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Pr>
                <w:rFonts w:ascii="Times New Roman" w:eastAsia="Times New Roman" w:hAnsi="Times New Roman" w:cs="Times New Roman"/>
                <w:sz w:val="18"/>
                <w:szCs w:val="18"/>
                <w:lang w:val="en-GB" w:eastAsia="nl-NL"/>
              </w:rPr>
              <w:t>P</w:t>
            </w:r>
            <w:r w:rsidR="00D05AB4" w:rsidRPr="00333A96">
              <w:rPr>
                <w:rFonts w:ascii="Times New Roman" w:eastAsia="Times New Roman" w:hAnsi="Times New Roman" w:cs="Times New Roman"/>
                <w:sz w:val="18"/>
                <w:szCs w:val="18"/>
                <w:lang w:val="en-GB" w:eastAsia="nl-NL"/>
              </w:rPr>
              <w:t>ad</w:t>
            </w:r>
          </w:p>
        </w:tc>
        <w:tc>
          <w:tcPr>
            <w:tcW w:w="1178" w:type="dxa"/>
            <w:hideMark/>
          </w:tcPr>
          <w:p w14:paraId="314911DB"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US </w:t>
            </w:r>
          </w:p>
        </w:tc>
        <w:tc>
          <w:tcPr>
            <w:tcW w:w="1307" w:type="dxa"/>
            <w:hideMark/>
          </w:tcPr>
          <w:p w14:paraId="5B3ECB95" w14:textId="6CAB397F" w:rsidR="00D05AB4" w:rsidRPr="00333A96" w:rsidRDefault="001E3817"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3215" w:type="dxa"/>
            <w:gridSpan w:val="2"/>
            <w:hideMark/>
          </w:tcPr>
          <w:p w14:paraId="131508D8"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The saliva of HUS patients with Shiga toxin-producing E. coli O157 showed elevated levels of O157-specific IgM and IgA antibodies, demonstrating a strong immune response.  </w:t>
            </w:r>
          </w:p>
        </w:tc>
      </w:tr>
      <w:tr w:rsidR="00D05AB4" w:rsidRPr="00CC2F10" w14:paraId="411C7806" w14:textId="77777777" w:rsidTr="00CC2F10">
        <w:trPr>
          <w:trHeight w:val="1248"/>
        </w:trPr>
        <w:tc>
          <w:tcPr>
            <w:cnfStyle w:val="001000000000" w:firstRow="0" w:lastRow="0" w:firstColumn="1" w:lastColumn="0" w:oddVBand="0" w:evenVBand="0" w:oddHBand="0" w:evenHBand="0" w:firstRowFirstColumn="0" w:firstRowLastColumn="0" w:lastRowFirstColumn="0" w:lastRowLastColumn="0"/>
            <w:tcW w:w="1560" w:type="dxa"/>
            <w:noWrap/>
            <w:hideMark/>
          </w:tcPr>
          <w:p w14:paraId="278F92EC"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Maguire et al. 2007</w:t>
            </w:r>
          </w:p>
        </w:tc>
        <w:tc>
          <w:tcPr>
            <w:tcW w:w="1413" w:type="dxa"/>
            <w:noWrap/>
            <w:hideMark/>
          </w:tcPr>
          <w:p w14:paraId="4A0427DF"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Australia</w:t>
            </w:r>
          </w:p>
        </w:tc>
        <w:tc>
          <w:tcPr>
            <w:tcW w:w="837" w:type="dxa"/>
            <w:noWrap/>
            <w:hideMark/>
          </w:tcPr>
          <w:p w14:paraId="1C7A826F"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22EAAFCC"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52</w:t>
            </w:r>
          </w:p>
        </w:tc>
        <w:tc>
          <w:tcPr>
            <w:tcW w:w="1577" w:type="dxa"/>
            <w:hideMark/>
          </w:tcPr>
          <w:p w14:paraId="2066E5ED"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5-18 (?)</w:t>
            </w:r>
          </w:p>
        </w:tc>
        <w:tc>
          <w:tcPr>
            <w:tcW w:w="1794" w:type="dxa"/>
            <w:hideMark/>
          </w:tcPr>
          <w:p w14:paraId="268F6D25"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Describe the normal cortisol levels in children's saliva and blood spots and the relationships between those levels and plasma cortisol</w:t>
            </w:r>
          </w:p>
        </w:tc>
        <w:tc>
          <w:tcPr>
            <w:tcW w:w="1365" w:type="dxa"/>
            <w:hideMark/>
          </w:tcPr>
          <w:p w14:paraId="675AF92F"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Absorption</w:t>
            </w:r>
          </w:p>
        </w:tc>
        <w:tc>
          <w:tcPr>
            <w:tcW w:w="1179" w:type="dxa"/>
            <w:hideMark/>
          </w:tcPr>
          <w:p w14:paraId="28166AA0"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Salivette cotton swab</w:t>
            </w:r>
          </w:p>
        </w:tc>
        <w:tc>
          <w:tcPr>
            <w:tcW w:w="1178" w:type="dxa"/>
            <w:hideMark/>
          </w:tcPr>
          <w:p w14:paraId="7F053AD6"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US </w:t>
            </w:r>
          </w:p>
        </w:tc>
        <w:tc>
          <w:tcPr>
            <w:tcW w:w="1307" w:type="dxa"/>
            <w:hideMark/>
          </w:tcPr>
          <w:p w14:paraId="06AF2539" w14:textId="34A2AA0A" w:rsidR="00D05AB4" w:rsidRPr="00333A96" w:rsidRDefault="001E3817"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3215" w:type="dxa"/>
            <w:gridSpan w:val="2"/>
            <w:hideMark/>
          </w:tcPr>
          <w:p w14:paraId="0833AA64"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The bloodspot-plasma correlation was stronger than the salivary-plasma correlation in ACTH-deficient individuals receiving oral HC.</w:t>
            </w:r>
          </w:p>
        </w:tc>
      </w:tr>
      <w:tr w:rsidR="00D05AB4" w:rsidRPr="00CC2F10" w14:paraId="601CDEDD" w14:textId="77777777" w:rsidTr="00CC2F10">
        <w:trPr>
          <w:cnfStyle w:val="000000100000" w:firstRow="0" w:lastRow="0" w:firstColumn="0" w:lastColumn="0" w:oddVBand="0" w:evenVBand="0" w:oddHBand="1" w:evenHBand="0" w:firstRowFirstColumn="0" w:firstRowLastColumn="0" w:lastRowFirstColumn="0" w:lastRowLastColumn="0"/>
          <w:trHeight w:val="1872"/>
        </w:trPr>
        <w:tc>
          <w:tcPr>
            <w:cnfStyle w:val="001000000000" w:firstRow="0" w:lastRow="0" w:firstColumn="1" w:lastColumn="0" w:oddVBand="0" w:evenVBand="0" w:oddHBand="0" w:evenHBand="0" w:firstRowFirstColumn="0" w:firstRowLastColumn="0" w:lastRowFirstColumn="0" w:lastRowLastColumn="0"/>
            <w:tcW w:w="1560" w:type="dxa"/>
            <w:noWrap/>
            <w:hideMark/>
          </w:tcPr>
          <w:p w14:paraId="7C3552C5"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Martínez et al. 2017</w:t>
            </w:r>
          </w:p>
        </w:tc>
        <w:tc>
          <w:tcPr>
            <w:tcW w:w="1413" w:type="dxa"/>
            <w:noWrap/>
            <w:hideMark/>
          </w:tcPr>
          <w:p w14:paraId="24B5528B"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United States</w:t>
            </w:r>
          </w:p>
        </w:tc>
        <w:tc>
          <w:tcPr>
            <w:tcW w:w="837" w:type="dxa"/>
            <w:noWrap/>
            <w:hideMark/>
          </w:tcPr>
          <w:p w14:paraId="5B2C6574"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513CED81"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111</w:t>
            </w:r>
          </w:p>
        </w:tc>
        <w:tc>
          <w:tcPr>
            <w:tcW w:w="1577" w:type="dxa"/>
            <w:hideMark/>
          </w:tcPr>
          <w:p w14:paraId="297049F4"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(10.69±7.49)</w:t>
            </w:r>
          </w:p>
        </w:tc>
        <w:tc>
          <w:tcPr>
            <w:tcW w:w="1794" w:type="dxa"/>
            <w:hideMark/>
          </w:tcPr>
          <w:p w14:paraId="53D1D22F"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Investigate the relationship between household FOD, BMI percentiles, and sUA, a biomarker associated with the metabolic syndrome, hypertension, and oxidative stress</w:t>
            </w:r>
          </w:p>
        </w:tc>
        <w:tc>
          <w:tcPr>
            <w:tcW w:w="1365" w:type="dxa"/>
            <w:hideMark/>
          </w:tcPr>
          <w:p w14:paraId="337925EC"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Drooling, absorption</w:t>
            </w:r>
          </w:p>
        </w:tc>
        <w:tc>
          <w:tcPr>
            <w:tcW w:w="1179" w:type="dxa"/>
            <w:hideMark/>
          </w:tcPr>
          <w:p w14:paraId="49B0A833"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Swab</w:t>
            </w:r>
          </w:p>
        </w:tc>
        <w:tc>
          <w:tcPr>
            <w:tcW w:w="1178" w:type="dxa"/>
            <w:hideMark/>
          </w:tcPr>
          <w:p w14:paraId="193181B9"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US </w:t>
            </w:r>
          </w:p>
        </w:tc>
        <w:tc>
          <w:tcPr>
            <w:tcW w:w="1307" w:type="dxa"/>
            <w:hideMark/>
          </w:tcPr>
          <w:p w14:paraId="1B4A5DD7"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1) 1h fasting before sampling </w:t>
            </w:r>
            <w:r w:rsidRPr="00333A96">
              <w:rPr>
                <w:rFonts w:ascii="Times New Roman" w:eastAsia="Times New Roman" w:hAnsi="Times New Roman" w:cs="Times New Roman"/>
                <w:sz w:val="18"/>
                <w:szCs w:val="18"/>
                <w:lang w:val="en-GB" w:eastAsia="nl-NL"/>
              </w:rPr>
              <w:br/>
              <w:t>2) 0-5y absorbent method</w:t>
            </w:r>
          </w:p>
        </w:tc>
        <w:tc>
          <w:tcPr>
            <w:tcW w:w="3215" w:type="dxa"/>
            <w:gridSpan w:val="2"/>
            <w:hideMark/>
          </w:tcPr>
          <w:p w14:paraId="0EFECD76"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After adjusting for social support and socioeconomic proxies, higher levels of household FOD were associated to lower BMI per centiles and lower sUA levels between families. </w:t>
            </w:r>
          </w:p>
        </w:tc>
      </w:tr>
      <w:tr w:rsidR="00D05AB4" w:rsidRPr="00CC2F10" w14:paraId="222E48A5" w14:textId="77777777" w:rsidTr="00CC2F10">
        <w:trPr>
          <w:trHeight w:val="1872"/>
        </w:trPr>
        <w:tc>
          <w:tcPr>
            <w:cnfStyle w:val="001000000000" w:firstRow="0" w:lastRow="0" w:firstColumn="1" w:lastColumn="0" w:oddVBand="0" w:evenVBand="0" w:oddHBand="0" w:evenHBand="0" w:firstRowFirstColumn="0" w:firstRowLastColumn="0" w:lastRowFirstColumn="0" w:lastRowLastColumn="0"/>
            <w:tcW w:w="1560" w:type="dxa"/>
            <w:noWrap/>
            <w:hideMark/>
          </w:tcPr>
          <w:p w14:paraId="4E9EAA90"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lastRenderedPageBreak/>
              <w:t>Martinez-Mier et al. 2010</w:t>
            </w:r>
          </w:p>
        </w:tc>
        <w:tc>
          <w:tcPr>
            <w:tcW w:w="1413" w:type="dxa"/>
            <w:noWrap/>
            <w:hideMark/>
          </w:tcPr>
          <w:p w14:paraId="38022DD4"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United States</w:t>
            </w:r>
          </w:p>
        </w:tc>
        <w:tc>
          <w:tcPr>
            <w:tcW w:w="837" w:type="dxa"/>
            <w:noWrap/>
            <w:hideMark/>
          </w:tcPr>
          <w:p w14:paraId="46A4FDD9"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42AB53E2"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192</w:t>
            </w:r>
          </w:p>
        </w:tc>
        <w:tc>
          <w:tcPr>
            <w:tcW w:w="1577" w:type="dxa"/>
            <w:hideMark/>
          </w:tcPr>
          <w:p w14:paraId="41BDEE14"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7-14 (?)</w:t>
            </w:r>
          </w:p>
        </w:tc>
        <w:tc>
          <w:tcPr>
            <w:tcW w:w="1794" w:type="dxa"/>
            <w:hideMark/>
          </w:tcPr>
          <w:p w14:paraId="2E633B1A"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Compare two racial groups' levels of self-reported fluoride exposure and fluoride correspondence exposure biomarkers</w:t>
            </w:r>
          </w:p>
        </w:tc>
        <w:tc>
          <w:tcPr>
            <w:tcW w:w="1365" w:type="dxa"/>
            <w:hideMark/>
          </w:tcPr>
          <w:p w14:paraId="2FDF1303"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Spitting</w:t>
            </w:r>
          </w:p>
        </w:tc>
        <w:tc>
          <w:tcPr>
            <w:tcW w:w="1179" w:type="dxa"/>
            <w:hideMark/>
          </w:tcPr>
          <w:p w14:paraId="1BE92745"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Funnel and tube</w:t>
            </w:r>
          </w:p>
        </w:tc>
        <w:tc>
          <w:tcPr>
            <w:tcW w:w="1178" w:type="dxa"/>
            <w:hideMark/>
          </w:tcPr>
          <w:p w14:paraId="5A9438FD"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SS</w:t>
            </w:r>
          </w:p>
        </w:tc>
        <w:tc>
          <w:tcPr>
            <w:tcW w:w="1307" w:type="dxa"/>
            <w:hideMark/>
          </w:tcPr>
          <w:p w14:paraId="035B2139" w14:textId="1AACE02B" w:rsidR="00D05AB4" w:rsidRPr="00333A96" w:rsidRDefault="001E3817"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3215" w:type="dxa"/>
            <w:gridSpan w:val="2"/>
            <w:hideMark/>
          </w:tcPr>
          <w:p w14:paraId="5A163CFB"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1) Compared to White children, African American children had a greater prevalence and severity of fluorosis. </w:t>
            </w:r>
            <w:r w:rsidRPr="00333A96">
              <w:rPr>
                <w:rFonts w:ascii="Times New Roman" w:eastAsia="Times New Roman" w:hAnsi="Times New Roman" w:cs="Times New Roman"/>
                <w:sz w:val="18"/>
                <w:szCs w:val="18"/>
                <w:lang w:val="en-GB" w:eastAsia="nl-NL"/>
              </w:rPr>
              <w:br/>
              <w:t>2) African American youngsters reported to have used less fluoride supplements in the past and more toothpaste today.</w:t>
            </w:r>
            <w:r w:rsidRPr="00333A96">
              <w:rPr>
                <w:rFonts w:ascii="Times New Roman" w:eastAsia="Times New Roman" w:hAnsi="Times New Roman" w:cs="Times New Roman"/>
                <w:sz w:val="18"/>
                <w:szCs w:val="18"/>
                <w:lang w:val="en-GB" w:eastAsia="nl-NL"/>
              </w:rPr>
              <w:br/>
              <w:t xml:space="preserve">3) The variations in fluoride exposure among the racial groupings are complicated and need for further clarification. </w:t>
            </w:r>
          </w:p>
        </w:tc>
      </w:tr>
      <w:tr w:rsidR="00D05AB4" w:rsidRPr="00CC2F10" w14:paraId="3050E171" w14:textId="77777777" w:rsidTr="00CC2F10">
        <w:trPr>
          <w:cnfStyle w:val="000000100000" w:firstRow="0" w:lastRow="0" w:firstColumn="0" w:lastColumn="0" w:oddVBand="0" w:evenVBand="0" w:oddHBand="1" w:evenHBand="0" w:firstRowFirstColumn="0" w:firstRowLastColumn="0" w:lastRowFirstColumn="0" w:lastRowLastColumn="0"/>
          <w:trHeight w:val="1560"/>
        </w:trPr>
        <w:tc>
          <w:tcPr>
            <w:cnfStyle w:val="001000000000" w:firstRow="0" w:lastRow="0" w:firstColumn="1" w:lastColumn="0" w:oddVBand="0" w:evenVBand="0" w:oddHBand="0" w:evenHBand="0" w:firstRowFirstColumn="0" w:firstRowLastColumn="0" w:lastRowFirstColumn="0" w:lastRowLastColumn="0"/>
            <w:tcW w:w="1560" w:type="dxa"/>
            <w:noWrap/>
            <w:hideMark/>
          </w:tcPr>
          <w:p w14:paraId="64A5A526"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Meric et al. 2020</w:t>
            </w:r>
          </w:p>
        </w:tc>
        <w:tc>
          <w:tcPr>
            <w:tcW w:w="1413" w:type="dxa"/>
            <w:noWrap/>
            <w:hideMark/>
          </w:tcPr>
          <w:p w14:paraId="41BDA062"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Turkey</w:t>
            </w:r>
          </w:p>
        </w:tc>
        <w:tc>
          <w:tcPr>
            <w:tcW w:w="837" w:type="dxa"/>
            <w:noWrap/>
            <w:hideMark/>
          </w:tcPr>
          <w:p w14:paraId="22BEB9ED"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09EF8946"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60</w:t>
            </w:r>
          </w:p>
        </w:tc>
        <w:tc>
          <w:tcPr>
            <w:tcW w:w="1577" w:type="dxa"/>
            <w:hideMark/>
          </w:tcPr>
          <w:p w14:paraId="4572038B"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3-6 (?)</w:t>
            </w:r>
          </w:p>
        </w:tc>
        <w:tc>
          <w:tcPr>
            <w:tcW w:w="1794" w:type="dxa"/>
            <w:hideMark/>
          </w:tcPr>
          <w:p w14:paraId="41FEBF6A"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Perform a PCR analysis on the six different strains of streptococcus bacteria found in the saliva of children with S-ECC.</w:t>
            </w:r>
          </w:p>
        </w:tc>
        <w:tc>
          <w:tcPr>
            <w:tcW w:w="1365" w:type="dxa"/>
            <w:hideMark/>
          </w:tcPr>
          <w:p w14:paraId="65023021"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Spitting</w:t>
            </w:r>
          </w:p>
        </w:tc>
        <w:tc>
          <w:tcPr>
            <w:tcW w:w="1179" w:type="dxa"/>
            <w:hideMark/>
          </w:tcPr>
          <w:p w14:paraId="1FFD4E0A"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Na</w:t>
            </w:r>
          </w:p>
        </w:tc>
        <w:tc>
          <w:tcPr>
            <w:tcW w:w="1178" w:type="dxa"/>
            <w:hideMark/>
          </w:tcPr>
          <w:p w14:paraId="53A78643"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US </w:t>
            </w:r>
          </w:p>
        </w:tc>
        <w:tc>
          <w:tcPr>
            <w:tcW w:w="1307" w:type="dxa"/>
            <w:hideMark/>
          </w:tcPr>
          <w:p w14:paraId="5CD68DC2" w14:textId="5676EEB1" w:rsidR="00D05AB4" w:rsidRPr="00333A96" w:rsidRDefault="001E3817"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3215" w:type="dxa"/>
            <w:gridSpan w:val="2"/>
            <w:hideMark/>
          </w:tcPr>
          <w:p w14:paraId="2E092804" w14:textId="2261B7DE"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1) In comparison to the CF group, the S-ECC group had a significantly higher prevalence of </w:t>
            </w:r>
            <w:r w:rsidRPr="00FB437A">
              <w:rPr>
                <w:rFonts w:ascii="Times New Roman" w:eastAsia="Times New Roman" w:hAnsi="Times New Roman" w:cs="Times New Roman"/>
                <w:i/>
                <w:iCs/>
                <w:sz w:val="18"/>
                <w:szCs w:val="18"/>
                <w:lang w:val="en-GB" w:eastAsia="nl-NL"/>
              </w:rPr>
              <w:t>S. oralis</w:t>
            </w:r>
            <w:r w:rsidRPr="00333A96">
              <w:rPr>
                <w:rFonts w:ascii="Times New Roman" w:eastAsia="Times New Roman" w:hAnsi="Times New Roman" w:cs="Times New Roman"/>
                <w:sz w:val="18"/>
                <w:szCs w:val="18"/>
                <w:lang w:val="en-GB" w:eastAsia="nl-NL"/>
              </w:rPr>
              <w:t xml:space="preserve">. </w:t>
            </w:r>
            <w:r w:rsidRPr="00333A96">
              <w:rPr>
                <w:rFonts w:ascii="Times New Roman" w:eastAsia="Times New Roman" w:hAnsi="Times New Roman" w:cs="Times New Roman"/>
                <w:sz w:val="18"/>
                <w:szCs w:val="18"/>
                <w:lang w:val="en-GB" w:eastAsia="nl-NL"/>
              </w:rPr>
              <w:br/>
              <w:t xml:space="preserve">2) Between the two groups, the frequencies of other streptococcus bacteria were comparable. </w:t>
            </w:r>
            <w:r w:rsidRPr="00333A96">
              <w:rPr>
                <w:rFonts w:ascii="Times New Roman" w:eastAsia="Times New Roman" w:hAnsi="Times New Roman" w:cs="Times New Roman"/>
                <w:sz w:val="18"/>
                <w:szCs w:val="18"/>
                <w:lang w:val="en-GB" w:eastAsia="nl-NL"/>
              </w:rPr>
              <w:br/>
              <w:t xml:space="preserve">3) </w:t>
            </w:r>
            <w:r w:rsidRPr="00FB437A">
              <w:rPr>
                <w:rFonts w:ascii="Times New Roman" w:eastAsia="Times New Roman" w:hAnsi="Times New Roman" w:cs="Times New Roman"/>
                <w:i/>
                <w:iCs/>
                <w:sz w:val="18"/>
                <w:szCs w:val="18"/>
                <w:lang w:val="en-GB" w:eastAsia="nl-NL"/>
              </w:rPr>
              <w:t>S. Oralis</w:t>
            </w:r>
            <w:r w:rsidRPr="00333A96">
              <w:rPr>
                <w:rFonts w:ascii="Times New Roman" w:eastAsia="Times New Roman" w:hAnsi="Times New Roman" w:cs="Times New Roman"/>
                <w:sz w:val="18"/>
                <w:szCs w:val="18"/>
                <w:lang w:val="en-GB" w:eastAsia="nl-NL"/>
              </w:rPr>
              <w:t xml:space="preserve"> may be a risk factor for increased caries activity in S-</w:t>
            </w:r>
            <w:r w:rsidR="00FB437A" w:rsidRPr="00333A96">
              <w:rPr>
                <w:rFonts w:ascii="Times New Roman" w:eastAsia="Times New Roman" w:hAnsi="Times New Roman" w:cs="Times New Roman"/>
                <w:sz w:val="18"/>
                <w:szCs w:val="18"/>
                <w:lang w:val="en-GB" w:eastAsia="nl-NL"/>
              </w:rPr>
              <w:t>ECC.</w:t>
            </w:r>
          </w:p>
        </w:tc>
      </w:tr>
      <w:tr w:rsidR="00D05AB4" w:rsidRPr="00CC2F10" w14:paraId="2C6A0AFA" w14:textId="77777777" w:rsidTr="00CC2F10">
        <w:trPr>
          <w:trHeight w:val="936"/>
        </w:trPr>
        <w:tc>
          <w:tcPr>
            <w:cnfStyle w:val="001000000000" w:firstRow="0" w:lastRow="0" w:firstColumn="1" w:lastColumn="0" w:oddVBand="0" w:evenVBand="0" w:oddHBand="0" w:evenHBand="0" w:firstRowFirstColumn="0" w:firstRowLastColumn="0" w:lastRowFirstColumn="0" w:lastRowLastColumn="0"/>
            <w:tcW w:w="1560" w:type="dxa"/>
            <w:noWrap/>
            <w:hideMark/>
          </w:tcPr>
          <w:p w14:paraId="29E58A89"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Meshki et al. 2018</w:t>
            </w:r>
          </w:p>
        </w:tc>
        <w:tc>
          <w:tcPr>
            <w:tcW w:w="1413" w:type="dxa"/>
            <w:noWrap/>
            <w:hideMark/>
          </w:tcPr>
          <w:p w14:paraId="6600857B"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Iran</w:t>
            </w:r>
          </w:p>
        </w:tc>
        <w:tc>
          <w:tcPr>
            <w:tcW w:w="837" w:type="dxa"/>
            <w:noWrap/>
            <w:hideMark/>
          </w:tcPr>
          <w:p w14:paraId="3D0DA61C"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4FAA65A0"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38</w:t>
            </w:r>
          </w:p>
        </w:tc>
        <w:tc>
          <w:tcPr>
            <w:tcW w:w="1577" w:type="dxa"/>
            <w:hideMark/>
          </w:tcPr>
          <w:p w14:paraId="570982B7"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4-6 (?)</w:t>
            </w:r>
          </w:p>
        </w:tc>
        <w:tc>
          <w:tcPr>
            <w:tcW w:w="1794" w:type="dxa"/>
            <w:hideMark/>
          </w:tcPr>
          <w:p w14:paraId="22E88D49"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Assess the impact of the SM count in saliva on the use of the fluoride varnishes Pascal and Preventa</w:t>
            </w:r>
          </w:p>
        </w:tc>
        <w:tc>
          <w:tcPr>
            <w:tcW w:w="1365" w:type="dxa"/>
            <w:hideMark/>
          </w:tcPr>
          <w:p w14:paraId="4E80E516"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Spitting</w:t>
            </w:r>
          </w:p>
        </w:tc>
        <w:tc>
          <w:tcPr>
            <w:tcW w:w="1179" w:type="dxa"/>
            <w:hideMark/>
          </w:tcPr>
          <w:p w14:paraId="41E16657"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Tube</w:t>
            </w:r>
          </w:p>
        </w:tc>
        <w:tc>
          <w:tcPr>
            <w:tcW w:w="1178" w:type="dxa"/>
            <w:hideMark/>
          </w:tcPr>
          <w:p w14:paraId="7F200047"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US </w:t>
            </w:r>
          </w:p>
        </w:tc>
        <w:tc>
          <w:tcPr>
            <w:tcW w:w="1307" w:type="dxa"/>
            <w:hideMark/>
          </w:tcPr>
          <w:p w14:paraId="09B79A7C" w14:textId="66FE5D86" w:rsidR="00D05AB4" w:rsidRPr="00333A96" w:rsidRDefault="001E3817"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3215" w:type="dxa"/>
            <w:gridSpan w:val="2"/>
            <w:hideMark/>
          </w:tcPr>
          <w:p w14:paraId="63AE2FBB"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SM significantly lowered after using the Pascal fluoride varnish.</w:t>
            </w:r>
            <w:r w:rsidRPr="00333A96">
              <w:rPr>
                <w:rFonts w:ascii="Times New Roman" w:eastAsia="Times New Roman" w:hAnsi="Times New Roman" w:cs="Times New Roman"/>
                <w:sz w:val="18"/>
                <w:szCs w:val="18"/>
                <w:lang w:val="en-GB" w:eastAsia="nl-NL"/>
              </w:rPr>
              <w:br/>
              <w:t>2) Comparison of Preventa and Pascal fluoride revealed no statistically significant difference between the two.</w:t>
            </w:r>
          </w:p>
        </w:tc>
      </w:tr>
      <w:tr w:rsidR="00D05AB4" w:rsidRPr="00CC2F10" w14:paraId="2753B2FC" w14:textId="77777777" w:rsidTr="00CC2F10">
        <w:trPr>
          <w:cnfStyle w:val="000000100000" w:firstRow="0" w:lastRow="0" w:firstColumn="0" w:lastColumn="0" w:oddVBand="0" w:evenVBand="0" w:oddHBand="1" w:evenHBand="0" w:firstRowFirstColumn="0" w:firstRowLastColumn="0" w:lastRowFirstColumn="0" w:lastRowLastColumn="0"/>
          <w:trHeight w:val="1248"/>
        </w:trPr>
        <w:tc>
          <w:tcPr>
            <w:cnfStyle w:val="001000000000" w:firstRow="0" w:lastRow="0" w:firstColumn="1" w:lastColumn="0" w:oddVBand="0" w:evenVBand="0" w:oddHBand="0" w:evenHBand="0" w:firstRowFirstColumn="0" w:firstRowLastColumn="0" w:lastRowFirstColumn="0" w:lastRowLastColumn="0"/>
            <w:tcW w:w="1560" w:type="dxa"/>
            <w:noWrap/>
            <w:hideMark/>
          </w:tcPr>
          <w:p w14:paraId="7B33DDD3"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Michels et al. 2012</w:t>
            </w:r>
          </w:p>
        </w:tc>
        <w:tc>
          <w:tcPr>
            <w:tcW w:w="1413" w:type="dxa"/>
            <w:noWrap/>
            <w:hideMark/>
          </w:tcPr>
          <w:p w14:paraId="0FD1F306"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Belgium</w:t>
            </w:r>
          </w:p>
        </w:tc>
        <w:tc>
          <w:tcPr>
            <w:tcW w:w="837" w:type="dxa"/>
            <w:noWrap/>
            <w:hideMark/>
          </w:tcPr>
          <w:p w14:paraId="0464DAF7"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2C30E889"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454</w:t>
            </w:r>
          </w:p>
        </w:tc>
        <w:tc>
          <w:tcPr>
            <w:tcW w:w="1577" w:type="dxa"/>
            <w:hideMark/>
          </w:tcPr>
          <w:p w14:paraId="6B558916"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5-11 (8.4±?)</w:t>
            </w:r>
          </w:p>
        </w:tc>
        <w:tc>
          <w:tcPr>
            <w:tcW w:w="1794" w:type="dxa"/>
            <w:hideMark/>
          </w:tcPr>
          <w:p w14:paraId="4B790F79"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Assess parent-reported instruction compliance, the stability of morning and evening salivary cortisol readings, and the CAR phenomenon in children</w:t>
            </w:r>
          </w:p>
        </w:tc>
        <w:tc>
          <w:tcPr>
            <w:tcW w:w="1365" w:type="dxa"/>
            <w:hideMark/>
          </w:tcPr>
          <w:p w14:paraId="7E535FCF"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Absorption</w:t>
            </w:r>
          </w:p>
        </w:tc>
        <w:tc>
          <w:tcPr>
            <w:tcW w:w="1179" w:type="dxa"/>
            <w:hideMark/>
          </w:tcPr>
          <w:p w14:paraId="5F8F73A5"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Salivette cotton swab</w:t>
            </w:r>
          </w:p>
        </w:tc>
        <w:tc>
          <w:tcPr>
            <w:tcW w:w="1178" w:type="dxa"/>
            <w:hideMark/>
          </w:tcPr>
          <w:p w14:paraId="1D546D11"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US </w:t>
            </w:r>
          </w:p>
        </w:tc>
        <w:tc>
          <w:tcPr>
            <w:tcW w:w="1307" w:type="dxa"/>
            <w:hideMark/>
          </w:tcPr>
          <w:p w14:paraId="4AE8DCC6" w14:textId="2AC9FC09" w:rsidR="00D05AB4" w:rsidRPr="00333A96" w:rsidRDefault="001E3817"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3215" w:type="dxa"/>
            <w:gridSpan w:val="2"/>
            <w:hideMark/>
          </w:tcPr>
          <w:p w14:paraId="626A693A"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1) A significant level of the variation in cortisol levels has been affected by age, time compliance, and awakening time. </w:t>
            </w:r>
            <w:r w:rsidRPr="00333A96">
              <w:rPr>
                <w:rFonts w:ascii="Times New Roman" w:eastAsia="Times New Roman" w:hAnsi="Times New Roman" w:cs="Times New Roman"/>
                <w:sz w:val="18"/>
                <w:szCs w:val="18"/>
                <w:lang w:val="en-GB" w:eastAsia="nl-NL"/>
              </w:rPr>
              <w:br/>
              <w:t>2) Around 50% of children did not exhibit the cortisol awakening reaction, indicating that it is not a common occurrence.</w:t>
            </w:r>
          </w:p>
        </w:tc>
      </w:tr>
      <w:tr w:rsidR="00D05AB4" w:rsidRPr="00CC2F10" w14:paraId="0D355C17" w14:textId="77777777" w:rsidTr="00CC2F10">
        <w:trPr>
          <w:trHeight w:val="1872"/>
        </w:trPr>
        <w:tc>
          <w:tcPr>
            <w:cnfStyle w:val="001000000000" w:firstRow="0" w:lastRow="0" w:firstColumn="1" w:lastColumn="0" w:oddVBand="0" w:evenVBand="0" w:oddHBand="0" w:evenHBand="0" w:firstRowFirstColumn="0" w:firstRowLastColumn="0" w:lastRowFirstColumn="0" w:lastRowLastColumn="0"/>
            <w:tcW w:w="1560" w:type="dxa"/>
            <w:noWrap/>
            <w:hideMark/>
          </w:tcPr>
          <w:p w14:paraId="51062A03"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Miller et al. 2022</w:t>
            </w:r>
          </w:p>
        </w:tc>
        <w:tc>
          <w:tcPr>
            <w:tcW w:w="1413" w:type="dxa"/>
            <w:noWrap/>
            <w:hideMark/>
          </w:tcPr>
          <w:p w14:paraId="7486A554"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United States</w:t>
            </w:r>
          </w:p>
        </w:tc>
        <w:tc>
          <w:tcPr>
            <w:tcW w:w="837" w:type="dxa"/>
            <w:noWrap/>
            <w:hideMark/>
          </w:tcPr>
          <w:p w14:paraId="6C818B76"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40D02920"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60</w:t>
            </w:r>
          </w:p>
        </w:tc>
        <w:tc>
          <w:tcPr>
            <w:tcW w:w="1577" w:type="dxa"/>
            <w:hideMark/>
          </w:tcPr>
          <w:p w14:paraId="0CC682D3"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11-17 (14.4±1.8)</w:t>
            </w:r>
          </w:p>
        </w:tc>
        <w:tc>
          <w:tcPr>
            <w:tcW w:w="1794" w:type="dxa"/>
            <w:hideMark/>
          </w:tcPr>
          <w:p w14:paraId="36959618"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Determine salivary miRNAs in children with PPCS vs. those without PPCS whose expression levels change over time post-concussion</w:t>
            </w:r>
          </w:p>
        </w:tc>
        <w:tc>
          <w:tcPr>
            <w:tcW w:w="1365" w:type="dxa"/>
            <w:hideMark/>
          </w:tcPr>
          <w:p w14:paraId="23ABEE76"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Spitting</w:t>
            </w:r>
          </w:p>
        </w:tc>
        <w:tc>
          <w:tcPr>
            <w:tcW w:w="1179" w:type="dxa"/>
            <w:hideMark/>
          </w:tcPr>
          <w:p w14:paraId="15E7F33F"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Oragene RNA RE-100 collection vials </w:t>
            </w:r>
          </w:p>
        </w:tc>
        <w:tc>
          <w:tcPr>
            <w:tcW w:w="1178" w:type="dxa"/>
            <w:hideMark/>
          </w:tcPr>
          <w:p w14:paraId="7E6B6B36"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US </w:t>
            </w:r>
          </w:p>
        </w:tc>
        <w:tc>
          <w:tcPr>
            <w:tcW w:w="1307" w:type="dxa"/>
            <w:hideMark/>
          </w:tcPr>
          <w:p w14:paraId="79FCE0B6" w14:textId="017B2015" w:rsidR="00D05AB4" w:rsidRPr="00333A96" w:rsidRDefault="001E3817"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3215" w:type="dxa"/>
            <w:gridSpan w:val="2"/>
            <w:hideMark/>
          </w:tcPr>
          <w:p w14:paraId="7545AE1C"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Children with and without PPCS had different post-concussion salivary miRNA expression levels throughout time.</w:t>
            </w:r>
            <w:r w:rsidRPr="00333A96">
              <w:rPr>
                <w:rFonts w:ascii="Times New Roman" w:eastAsia="Times New Roman" w:hAnsi="Times New Roman" w:cs="Times New Roman"/>
                <w:sz w:val="18"/>
                <w:szCs w:val="18"/>
                <w:lang w:val="en-GB" w:eastAsia="nl-NL"/>
              </w:rPr>
              <w:br/>
              <w:t>2) 13 of the 827 miRNAs that were examined showed significant variations in expression levels between children with and without PPCS at various timepoints. Salivary miRNAs have the potential to serve as biomarkers for pediatric PPCS.</w:t>
            </w:r>
          </w:p>
        </w:tc>
      </w:tr>
      <w:tr w:rsidR="00D05AB4" w:rsidRPr="00CC2F10" w14:paraId="16216624" w14:textId="77777777" w:rsidTr="00CC2F10">
        <w:trPr>
          <w:cnfStyle w:val="000000100000" w:firstRow="0" w:lastRow="0" w:firstColumn="0" w:lastColumn="0" w:oddVBand="0" w:evenVBand="0" w:oddHBand="1" w:evenHBand="0" w:firstRowFirstColumn="0" w:firstRowLastColumn="0" w:lastRowFirstColumn="0" w:lastRowLastColumn="0"/>
          <w:trHeight w:val="1872"/>
        </w:trPr>
        <w:tc>
          <w:tcPr>
            <w:cnfStyle w:val="001000000000" w:firstRow="0" w:lastRow="0" w:firstColumn="1" w:lastColumn="0" w:oddVBand="0" w:evenVBand="0" w:oddHBand="0" w:evenHBand="0" w:firstRowFirstColumn="0" w:firstRowLastColumn="0" w:lastRowFirstColumn="0" w:lastRowLastColumn="0"/>
            <w:tcW w:w="1560" w:type="dxa"/>
            <w:noWrap/>
            <w:hideMark/>
          </w:tcPr>
          <w:p w14:paraId="531A91D5"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lastRenderedPageBreak/>
              <w:t>Mohn et al. 2016</w:t>
            </w:r>
          </w:p>
        </w:tc>
        <w:tc>
          <w:tcPr>
            <w:tcW w:w="1413" w:type="dxa"/>
            <w:noWrap/>
            <w:hideMark/>
          </w:tcPr>
          <w:p w14:paraId="3D596A0D"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Norway</w:t>
            </w:r>
          </w:p>
        </w:tc>
        <w:tc>
          <w:tcPr>
            <w:tcW w:w="837" w:type="dxa"/>
            <w:noWrap/>
            <w:hideMark/>
          </w:tcPr>
          <w:p w14:paraId="2A464E1D"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662F7CC2"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55</w:t>
            </w:r>
          </w:p>
        </w:tc>
        <w:tc>
          <w:tcPr>
            <w:tcW w:w="1577" w:type="dxa"/>
            <w:hideMark/>
          </w:tcPr>
          <w:p w14:paraId="46D21098"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3-17 (?)</w:t>
            </w:r>
          </w:p>
        </w:tc>
        <w:tc>
          <w:tcPr>
            <w:tcW w:w="1794" w:type="dxa"/>
            <w:hideMark/>
          </w:tcPr>
          <w:p w14:paraId="03D36333"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Evaluate the early local immune responses to LAIV vaccination by using child-derived blood, saliva, and tonsils</w:t>
            </w:r>
          </w:p>
        </w:tc>
        <w:tc>
          <w:tcPr>
            <w:tcW w:w="1365" w:type="dxa"/>
            <w:hideMark/>
          </w:tcPr>
          <w:p w14:paraId="5F91560B"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Absorption</w:t>
            </w:r>
          </w:p>
        </w:tc>
        <w:tc>
          <w:tcPr>
            <w:tcW w:w="1179" w:type="dxa"/>
            <w:hideMark/>
          </w:tcPr>
          <w:p w14:paraId="659EDEE0"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Salimetrics oral swabs </w:t>
            </w:r>
          </w:p>
        </w:tc>
        <w:tc>
          <w:tcPr>
            <w:tcW w:w="1178" w:type="dxa"/>
            <w:hideMark/>
          </w:tcPr>
          <w:p w14:paraId="1AD93362"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US </w:t>
            </w:r>
          </w:p>
        </w:tc>
        <w:tc>
          <w:tcPr>
            <w:tcW w:w="1307" w:type="dxa"/>
            <w:hideMark/>
          </w:tcPr>
          <w:p w14:paraId="199501AF" w14:textId="229EB015" w:rsidR="00D05AB4" w:rsidRPr="00333A96" w:rsidRDefault="001E3817"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3215" w:type="dxa"/>
            <w:gridSpan w:val="2"/>
            <w:hideMark/>
          </w:tcPr>
          <w:p w14:paraId="046E4A34"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Children who receive intranasal LAIV see significant increases in serum antibodies and salivary IgA specific to influenza A(H3N2) and influenza B virus strains.</w:t>
            </w:r>
            <w:r w:rsidRPr="00333A96">
              <w:rPr>
                <w:rFonts w:ascii="Times New Roman" w:eastAsia="Times New Roman" w:hAnsi="Times New Roman" w:cs="Times New Roman"/>
                <w:sz w:val="18"/>
                <w:szCs w:val="18"/>
                <w:lang w:val="en-GB" w:eastAsia="nl-NL"/>
              </w:rPr>
              <w:br/>
              <w:t>2) Serum HI responses are correlated with salivary IgA levels.</w:t>
            </w:r>
            <w:r w:rsidRPr="00333A96">
              <w:rPr>
                <w:rFonts w:ascii="Times New Roman" w:eastAsia="Times New Roman" w:hAnsi="Times New Roman" w:cs="Times New Roman"/>
                <w:sz w:val="18"/>
                <w:szCs w:val="18"/>
                <w:lang w:val="en-GB" w:eastAsia="nl-NL"/>
              </w:rPr>
              <w:br/>
              <w:t>3) Tonsillar MBC responses correlate with systemic MBC and serological responses, and LAIV increases B-cell responses in the blood and tonsils.</w:t>
            </w:r>
          </w:p>
        </w:tc>
      </w:tr>
      <w:tr w:rsidR="00D05AB4" w:rsidRPr="00CC2F10" w14:paraId="17E75D3A" w14:textId="77777777" w:rsidTr="00CC2F10">
        <w:trPr>
          <w:trHeight w:val="1248"/>
        </w:trPr>
        <w:tc>
          <w:tcPr>
            <w:cnfStyle w:val="001000000000" w:firstRow="0" w:lastRow="0" w:firstColumn="1" w:lastColumn="0" w:oddVBand="0" w:evenVBand="0" w:oddHBand="0" w:evenHBand="0" w:firstRowFirstColumn="0" w:firstRowLastColumn="0" w:lastRowFirstColumn="0" w:lastRowLastColumn="0"/>
            <w:tcW w:w="1560" w:type="dxa"/>
            <w:noWrap/>
            <w:hideMark/>
          </w:tcPr>
          <w:p w14:paraId="1A581DDD"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Moncada et al. 2015</w:t>
            </w:r>
          </w:p>
        </w:tc>
        <w:tc>
          <w:tcPr>
            <w:tcW w:w="1413" w:type="dxa"/>
            <w:noWrap/>
            <w:hideMark/>
          </w:tcPr>
          <w:p w14:paraId="417E7643"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Chile</w:t>
            </w:r>
          </w:p>
        </w:tc>
        <w:tc>
          <w:tcPr>
            <w:tcW w:w="837" w:type="dxa"/>
            <w:noWrap/>
            <w:hideMark/>
          </w:tcPr>
          <w:p w14:paraId="2B8BAD0D"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287A94DB"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65</w:t>
            </w:r>
          </w:p>
        </w:tc>
        <w:tc>
          <w:tcPr>
            <w:tcW w:w="1577" w:type="dxa"/>
            <w:hideMark/>
          </w:tcPr>
          <w:p w14:paraId="01AD53D4"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8 (?)</w:t>
            </w:r>
          </w:p>
        </w:tc>
        <w:tc>
          <w:tcPr>
            <w:tcW w:w="1794" w:type="dxa"/>
            <w:hideMark/>
          </w:tcPr>
          <w:p w14:paraId="71759D51"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Assess salivary ureolytic and arginolytic activities in children and relate them to caries status</w:t>
            </w:r>
          </w:p>
        </w:tc>
        <w:tc>
          <w:tcPr>
            <w:tcW w:w="1365" w:type="dxa"/>
            <w:hideMark/>
          </w:tcPr>
          <w:p w14:paraId="48211A33"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Spitting</w:t>
            </w:r>
          </w:p>
        </w:tc>
        <w:tc>
          <w:tcPr>
            <w:tcW w:w="1179" w:type="dxa"/>
            <w:hideMark/>
          </w:tcPr>
          <w:p w14:paraId="38F6E4FA"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Tube</w:t>
            </w:r>
          </w:p>
        </w:tc>
        <w:tc>
          <w:tcPr>
            <w:tcW w:w="1178" w:type="dxa"/>
            <w:hideMark/>
          </w:tcPr>
          <w:p w14:paraId="72BB2B7A"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US </w:t>
            </w:r>
          </w:p>
        </w:tc>
        <w:tc>
          <w:tcPr>
            <w:tcW w:w="1307" w:type="dxa"/>
            <w:hideMark/>
          </w:tcPr>
          <w:p w14:paraId="117FCD4D" w14:textId="57B2007A" w:rsidR="00D05AB4" w:rsidRPr="00333A96" w:rsidRDefault="001E3817"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3215" w:type="dxa"/>
            <w:gridSpan w:val="2"/>
            <w:hideMark/>
          </w:tcPr>
          <w:p w14:paraId="6EF3BEB0"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Lower DMFT/dmft scores in children were significantly correlated with higher levels of ureolytic activity in saliva.</w:t>
            </w:r>
            <w:r w:rsidRPr="00333A96">
              <w:rPr>
                <w:rFonts w:ascii="Times New Roman" w:eastAsia="Times New Roman" w:hAnsi="Times New Roman" w:cs="Times New Roman"/>
                <w:sz w:val="18"/>
                <w:szCs w:val="18"/>
                <w:lang w:val="en-GB" w:eastAsia="nl-NL"/>
              </w:rPr>
              <w:br/>
              <w:t>2) In relation to the presence of caries, salivary arginolytic activity had a trend but was not statistically significant.</w:t>
            </w:r>
          </w:p>
        </w:tc>
      </w:tr>
      <w:tr w:rsidR="00D05AB4" w:rsidRPr="00CC2F10" w14:paraId="173C0095" w14:textId="77777777" w:rsidTr="00CC2F10">
        <w:trPr>
          <w:cnfStyle w:val="000000100000" w:firstRow="0" w:lastRow="0" w:firstColumn="0" w:lastColumn="0" w:oddVBand="0" w:evenVBand="0" w:oddHBand="1" w:evenHBand="0" w:firstRowFirstColumn="0" w:firstRowLastColumn="0" w:lastRowFirstColumn="0" w:lastRowLastColumn="0"/>
          <w:trHeight w:val="1560"/>
        </w:trPr>
        <w:tc>
          <w:tcPr>
            <w:cnfStyle w:val="001000000000" w:firstRow="0" w:lastRow="0" w:firstColumn="1" w:lastColumn="0" w:oddVBand="0" w:evenVBand="0" w:oddHBand="0" w:evenHBand="0" w:firstRowFirstColumn="0" w:firstRowLastColumn="0" w:lastRowFirstColumn="0" w:lastRowLastColumn="0"/>
            <w:tcW w:w="1560" w:type="dxa"/>
            <w:noWrap/>
            <w:hideMark/>
          </w:tcPr>
          <w:p w14:paraId="21F03424"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Moraga et al. 2017</w:t>
            </w:r>
          </w:p>
        </w:tc>
        <w:tc>
          <w:tcPr>
            <w:tcW w:w="1413" w:type="dxa"/>
            <w:noWrap/>
            <w:hideMark/>
          </w:tcPr>
          <w:p w14:paraId="170D1A27"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Chile</w:t>
            </w:r>
          </w:p>
        </w:tc>
        <w:tc>
          <w:tcPr>
            <w:tcW w:w="837" w:type="dxa"/>
            <w:noWrap/>
            <w:hideMark/>
          </w:tcPr>
          <w:p w14:paraId="6CB1122C"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6013112D"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61</w:t>
            </w:r>
          </w:p>
        </w:tc>
        <w:tc>
          <w:tcPr>
            <w:tcW w:w="1577" w:type="dxa"/>
            <w:hideMark/>
          </w:tcPr>
          <w:p w14:paraId="5686DA77"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2-5 (3.4±0.12)</w:t>
            </w:r>
          </w:p>
        </w:tc>
        <w:tc>
          <w:tcPr>
            <w:tcW w:w="1794" w:type="dxa"/>
            <w:hideMark/>
          </w:tcPr>
          <w:p w14:paraId="0E77EF62"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Identify relationships between the prevalence of Candida species carried, the variety of species carried, and the various levels of caries in preschoolers</w:t>
            </w:r>
          </w:p>
        </w:tc>
        <w:tc>
          <w:tcPr>
            <w:tcW w:w="1365" w:type="dxa"/>
            <w:hideMark/>
          </w:tcPr>
          <w:p w14:paraId="2A274883"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Spitting, suction</w:t>
            </w:r>
          </w:p>
        </w:tc>
        <w:tc>
          <w:tcPr>
            <w:tcW w:w="1179" w:type="dxa"/>
            <w:hideMark/>
          </w:tcPr>
          <w:p w14:paraId="40158F20"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Pasteur pipette</w:t>
            </w:r>
          </w:p>
        </w:tc>
        <w:tc>
          <w:tcPr>
            <w:tcW w:w="1178" w:type="dxa"/>
            <w:hideMark/>
          </w:tcPr>
          <w:p w14:paraId="162087AF"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US </w:t>
            </w:r>
          </w:p>
        </w:tc>
        <w:tc>
          <w:tcPr>
            <w:tcW w:w="1307" w:type="dxa"/>
            <w:hideMark/>
          </w:tcPr>
          <w:p w14:paraId="7901FBDE"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2h fasting before sampling</w:t>
            </w:r>
          </w:p>
        </w:tc>
        <w:tc>
          <w:tcPr>
            <w:tcW w:w="3215" w:type="dxa"/>
            <w:gridSpan w:val="2"/>
            <w:hideMark/>
          </w:tcPr>
          <w:p w14:paraId="5C2875CC"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The group with most severe caries had a significantly higher prevalence of Candida carriage and more Candida species overall.</w:t>
            </w:r>
            <w:r w:rsidRPr="00333A96">
              <w:rPr>
                <w:rFonts w:ascii="Times New Roman" w:eastAsia="Times New Roman" w:hAnsi="Times New Roman" w:cs="Times New Roman"/>
                <w:sz w:val="18"/>
                <w:szCs w:val="18"/>
                <w:lang w:val="en-GB" w:eastAsia="nl-NL"/>
              </w:rPr>
              <w:br/>
              <w:t xml:space="preserve">2) All children's saliva contained mostly C. Albicans, but only the group with the most severe caries included </w:t>
            </w:r>
            <w:r w:rsidRPr="00FB437A">
              <w:rPr>
                <w:rFonts w:ascii="Times New Roman" w:eastAsia="Times New Roman" w:hAnsi="Times New Roman" w:cs="Times New Roman"/>
                <w:i/>
                <w:iCs/>
                <w:sz w:val="18"/>
                <w:szCs w:val="18"/>
                <w:lang w:val="en-GB" w:eastAsia="nl-NL"/>
              </w:rPr>
              <w:t xml:space="preserve">C. dubliniensis </w:t>
            </w:r>
            <w:r w:rsidRPr="00333A96">
              <w:rPr>
                <w:rFonts w:ascii="Times New Roman" w:eastAsia="Times New Roman" w:hAnsi="Times New Roman" w:cs="Times New Roman"/>
                <w:sz w:val="18"/>
                <w:szCs w:val="18"/>
                <w:lang w:val="en-GB" w:eastAsia="nl-NL"/>
              </w:rPr>
              <w:t xml:space="preserve">as well as other uncommon species of </w:t>
            </w:r>
            <w:r w:rsidRPr="00FB437A">
              <w:rPr>
                <w:rFonts w:ascii="Times New Roman" w:eastAsia="Times New Roman" w:hAnsi="Times New Roman" w:cs="Times New Roman"/>
                <w:i/>
                <w:iCs/>
                <w:sz w:val="18"/>
                <w:szCs w:val="18"/>
                <w:lang w:val="en-GB" w:eastAsia="nl-NL"/>
              </w:rPr>
              <w:t>C. non-albicans</w:t>
            </w:r>
            <w:r w:rsidRPr="00333A96">
              <w:rPr>
                <w:rFonts w:ascii="Times New Roman" w:eastAsia="Times New Roman" w:hAnsi="Times New Roman" w:cs="Times New Roman"/>
                <w:sz w:val="18"/>
                <w:szCs w:val="18"/>
                <w:lang w:val="en-GB" w:eastAsia="nl-NL"/>
              </w:rPr>
              <w:t>.</w:t>
            </w:r>
          </w:p>
        </w:tc>
      </w:tr>
      <w:tr w:rsidR="00D05AB4" w:rsidRPr="00CC2F10" w14:paraId="4762B8DE" w14:textId="77777777" w:rsidTr="00CC2F10">
        <w:trPr>
          <w:trHeight w:val="2184"/>
        </w:trPr>
        <w:tc>
          <w:tcPr>
            <w:cnfStyle w:val="001000000000" w:firstRow="0" w:lastRow="0" w:firstColumn="1" w:lastColumn="0" w:oddVBand="0" w:evenVBand="0" w:oddHBand="0" w:evenHBand="0" w:firstRowFirstColumn="0" w:firstRowLastColumn="0" w:lastRowFirstColumn="0" w:lastRowLastColumn="0"/>
            <w:tcW w:w="1560" w:type="dxa"/>
            <w:noWrap/>
            <w:hideMark/>
          </w:tcPr>
          <w:p w14:paraId="73EF1610"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Morishima et al. 2022</w:t>
            </w:r>
          </w:p>
        </w:tc>
        <w:tc>
          <w:tcPr>
            <w:tcW w:w="1413" w:type="dxa"/>
            <w:noWrap/>
            <w:hideMark/>
          </w:tcPr>
          <w:p w14:paraId="362E5E05"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Japan</w:t>
            </w:r>
          </w:p>
        </w:tc>
        <w:tc>
          <w:tcPr>
            <w:tcW w:w="837" w:type="dxa"/>
            <w:noWrap/>
            <w:hideMark/>
          </w:tcPr>
          <w:p w14:paraId="2BD9C98C"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CC</w:t>
            </w:r>
          </w:p>
        </w:tc>
        <w:tc>
          <w:tcPr>
            <w:tcW w:w="878" w:type="dxa"/>
            <w:noWrap/>
            <w:hideMark/>
          </w:tcPr>
          <w:p w14:paraId="5D15D0A1"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54</w:t>
            </w:r>
          </w:p>
        </w:tc>
        <w:tc>
          <w:tcPr>
            <w:tcW w:w="1577" w:type="dxa"/>
            <w:hideMark/>
          </w:tcPr>
          <w:p w14:paraId="28F1A959"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1-11 (?)</w:t>
            </w:r>
          </w:p>
        </w:tc>
        <w:tc>
          <w:tcPr>
            <w:tcW w:w="1794" w:type="dxa"/>
            <w:hideMark/>
          </w:tcPr>
          <w:p w14:paraId="59FA94A5"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Assess the differences in salivary microbiomes between children with and without DS, pathogenic bacteria will be found utilizing high-throughput sequencing, quantitative PCR, and culture techniques</w:t>
            </w:r>
          </w:p>
        </w:tc>
        <w:tc>
          <w:tcPr>
            <w:tcW w:w="1365" w:type="dxa"/>
            <w:hideMark/>
          </w:tcPr>
          <w:p w14:paraId="7D256B8F"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Absorption</w:t>
            </w:r>
          </w:p>
        </w:tc>
        <w:tc>
          <w:tcPr>
            <w:tcW w:w="1179" w:type="dxa"/>
            <w:hideMark/>
          </w:tcPr>
          <w:p w14:paraId="1F9C4330"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SalivaBio Children's Swab</w:t>
            </w:r>
          </w:p>
        </w:tc>
        <w:tc>
          <w:tcPr>
            <w:tcW w:w="1178" w:type="dxa"/>
            <w:hideMark/>
          </w:tcPr>
          <w:p w14:paraId="48CA5431"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US </w:t>
            </w:r>
          </w:p>
        </w:tc>
        <w:tc>
          <w:tcPr>
            <w:tcW w:w="1307" w:type="dxa"/>
            <w:hideMark/>
          </w:tcPr>
          <w:p w14:paraId="150CA7C8"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1h fasting before sampling </w:t>
            </w:r>
          </w:p>
        </w:tc>
        <w:tc>
          <w:tcPr>
            <w:tcW w:w="3215" w:type="dxa"/>
            <w:gridSpan w:val="2"/>
            <w:hideMark/>
          </w:tcPr>
          <w:p w14:paraId="218D5E2D"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No significant variations in the detection of cariogenic and periodontopathic bacteria between the DS and control groups. With the exception of a greater detection rate of C. albicans in children with DS who had mixed dentition</w:t>
            </w:r>
            <w:r w:rsidRPr="00333A96">
              <w:rPr>
                <w:rFonts w:ascii="Times New Roman" w:eastAsia="Times New Roman" w:hAnsi="Times New Roman" w:cs="Times New Roman"/>
                <w:sz w:val="18"/>
                <w:szCs w:val="18"/>
                <w:lang w:val="en-GB" w:eastAsia="nl-NL"/>
              </w:rPr>
              <w:br/>
              <w:t>2) Children with DS had a greater relative abundance of Corynebacterium and Cardiobacterium and a lower relative abundance of TM7 and a significant difference in β diversity.</w:t>
            </w:r>
          </w:p>
        </w:tc>
      </w:tr>
      <w:tr w:rsidR="00D05AB4" w:rsidRPr="00CC2F10" w14:paraId="12F620A7" w14:textId="77777777" w:rsidTr="00CC2F10">
        <w:trPr>
          <w:cnfStyle w:val="000000100000" w:firstRow="0" w:lastRow="0" w:firstColumn="0" w:lastColumn="0" w:oddVBand="0" w:evenVBand="0" w:oddHBand="1" w:evenHBand="0" w:firstRowFirstColumn="0" w:firstRowLastColumn="0" w:lastRowFirstColumn="0" w:lastRowLastColumn="0"/>
          <w:trHeight w:val="1872"/>
        </w:trPr>
        <w:tc>
          <w:tcPr>
            <w:cnfStyle w:val="001000000000" w:firstRow="0" w:lastRow="0" w:firstColumn="1" w:lastColumn="0" w:oddVBand="0" w:evenVBand="0" w:oddHBand="0" w:evenHBand="0" w:firstRowFirstColumn="0" w:firstRowLastColumn="0" w:lastRowFirstColumn="0" w:lastRowLastColumn="0"/>
            <w:tcW w:w="1560" w:type="dxa"/>
            <w:noWrap/>
            <w:hideMark/>
          </w:tcPr>
          <w:p w14:paraId="315AF24B"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lastRenderedPageBreak/>
              <w:t>Mortazavi et al. 2016</w:t>
            </w:r>
          </w:p>
        </w:tc>
        <w:tc>
          <w:tcPr>
            <w:tcW w:w="1413" w:type="dxa"/>
            <w:noWrap/>
            <w:hideMark/>
          </w:tcPr>
          <w:p w14:paraId="090DF254"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Iran</w:t>
            </w:r>
          </w:p>
        </w:tc>
        <w:tc>
          <w:tcPr>
            <w:tcW w:w="837" w:type="dxa"/>
            <w:noWrap/>
            <w:hideMark/>
          </w:tcPr>
          <w:p w14:paraId="77163423"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29DB28B0"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80</w:t>
            </w:r>
          </w:p>
        </w:tc>
        <w:tc>
          <w:tcPr>
            <w:tcW w:w="1577" w:type="dxa"/>
            <w:hideMark/>
          </w:tcPr>
          <w:p w14:paraId="57B4B915"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7-11 (8.33±1.14)</w:t>
            </w:r>
          </w:p>
        </w:tc>
        <w:tc>
          <w:tcPr>
            <w:tcW w:w="1794" w:type="dxa"/>
            <w:hideMark/>
          </w:tcPr>
          <w:p w14:paraId="4B2D4FF7"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Establish salivary parameters and dental state of children with congenital heart disease</w:t>
            </w:r>
          </w:p>
        </w:tc>
        <w:tc>
          <w:tcPr>
            <w:tcW w:w="1365" w:type="dxa"/>
            <w:hideMark/>
          </w:tcPr>
          <w:p w14:paraId="2461A1CE"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Spitting</w:t>
            </w:r>
          </w:p>
        </w:tc>
        <w:tc>
          <w:tcPr>
            <w:tcW w:w="1179" w:type="dxa"/>
            <w:hideMark/>
          </w:tcPr>
          <w:p w14:paraId="508924F7"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Tube</w:t>
            </w:r>
          </w:p>
        </w:tc>
        <w:tc>
          <w:tcPr>
            <w:tcW w:w="1178" w:type="dxa"/>
            <w:hideMark/>
          </w:tcPr>
          <w:p w14:paraId="385BFC5C"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US </w:t>
            </w:r>
          </w:p>
        </w:tc>
        <w:tc>
          <w:tcPr>
            <w:tcW w:w="1307" w:type="dxa"/>
            <w:hideMark/>
          </w:tcPr>
          <w:p w14:paraId="3BED2D17"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90min fasting before sampling</w:t>
            </w:r>
          </w:p>
        </w:tc>
        <w:tc>
          <w:tcPr>
            <w:tcW w:w="3215" w:type="dxa"/>
            <w:gridSpan w:val="2"/>
            <w:hideMark/>
          </w:tcPr>
          <w:p w14:paraId="14E792C4"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The BMI and frequency of daily teeth brushing were significantly lower in children with CHD. Saliva function was also compromised, as seen by the significantly lower salivary flow rate, pH, phosphorus, and secretory IgA levels.</w:t>
            </w:r>
            <w:r w:rsidRPr="00333A96">
              <w:rPr>
                <w:rFonts w:ascii="Times New Roman" w:eastAsia="Times New Roman" w:hAnsi="Times New Roman" w:cs="Times New Roman"/>
                <w:sz w:val="18"/>
                <w:szCs w:val="18"/>
                <w:lang w:val="en-GB" w:eastAsia="nl-NL"/>
              </w:rPr>
              <w:br/>
              <w:t>2) First permanent molar DMFT scores were higher in children with CHD, indicating worse oral health.</w:t>
            </w:r>
          </w:p>
        </w:tc>
      </w:tr>
      <w:tr w:rsidR="00D05AB4" w:rsidRPr="00CC2F10" w14:paraId="4F3D60B3" w14:textId="77777777" w:rsidTr="00CC2F10">
        <w:trPr>
          <w:trHeight w:val="1872"/>
        </w:trPr>
        <w:tc>
          <w:tcPr>
            <w:cnfStyle w:val="001000000000" w:firstRow="0" w:lastRow="0" w:firstColumn="1" w:lastColumn="0" w:oddVBand="0" w:evenVBand="0" w:oddHBand="0" w:evenHBand="0" w:firstRowFirstColumn="0" w:firstRowLastColumn="0" w:lastRowFirstColumn="0" w:lastRowLastColumn="0"/>
            <w:tcW w:w="1560" w:type="dxa"/>
            <w:noWrap/>
            <w:hideMark/>
          </w:tcPr>
          <w:p w14:paraId="074F6A08"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Moskovitz et al. 2021</w:t>
            </w:r>
          </w:p>
        </w:tc>
        <w:tc>
          <w:tcPr>
            <w:tcW w:w="1413" w:type="dxa"/>
            <w:noWrap/>
            <w:hideMark/>
          </w:tcPr>
          <w:p w14:paraId="0CA373B3"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Israel</w:t>
            </w:r>
          </w:p>
        </w:tc>
        <w:tc>
          <w:tcPr>
            <w:tcW w:w="837" w:type="dxa"/>
            <w:noWrap/>
            <w:hideMark/>
          </w:tcPr>
          <w:p w14:paraId="759A55BE"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Cohort</w:t>
            </w:r>
          </w:p>
        </w:tc>
        <w:tc>
          <w:tcPr>
            <w:tcW w:w="878" w:type="dxa"/>
            <w:noWrap/>
            <w:hideMark/>
          </w:tcPr>
          <w:p w14:paraId="3CD8514F"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65</w:t>
            </w:r>
          </w:p>
        </w:tc>
        <w:tc>
          <w:tcPr>
            <w:tcW w:w="1577" w:type="dxa"/>
            <w:hideMark/>
          </w:tcPr>
          <w:p w14:paraId="51B42422"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5-15 (10±2.38)</w:t>
            </w:r>
          </w:p>
        </w:tc>
        <w:tc>
          <w:tcPr>
            <w:tcW w:w="1794" w:type="dxa"/>
            <w:hideMark/>
          </w:tcPr>
          <w:p w14:paraId="06DAFD6E"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Profile the salivary microbiome of children with T1D based on 16S rRNA gene community profiling </w:t>
            </w:r>
          </w:p>
        </w:tc>
        <w:tc>
          <w:tcPr>
            <w:tcW w:w="1365" w:type="dxa"/>
            <w:hideMark/>
          </w:tcPr>
          <w:p w14:paraId="1A39069B"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Spitting</w:t>
            </w:r>
          </w:p>
        </w:tc>
        <w:tc>
          <w:tcPr>
            <w:tcW w:w="1179" w:type="dxa"/>
            <w:hideMark/>
          </w:tcPr>
          <w:p w14:paraId="18BF3124"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Tube</w:t>
            </w:r>
          </w:p>
        </w:tc>
        <w:tc>
          <w:tcPr>
            <w:tcW w:w="1178" w:type="dxa"/>
            <w:hideMark/>
          </w:tcPr>
          <w:p w14:paraId="79CCFAD5"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US </w:t>
            </w:r>
          </w:p>
        </w:tc>
        <w:tc>
          <w:tcPr>
            <w:tcW w:w="1307" w:type="dxa"/>
            <w:hideMark/>
          </w:tcPr>
          <w:p w14:paraId="47BFA587"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1h fasting before sampling </w:t>
            </w:r>
          </w:p>
        </w:tc>
        <w:tc>
          <w:tcPr>
            <w:tcW w:w="3215" w:type="dxa"/>
            <w:gridSpan w:val="2"/>
            <w:hideMark/>
          </w:tcPr>
          <w:p w14:paraId="1E3E1877"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Children with T1D were shown to have higher levels of streptococcus.</w:t>
            </w:r>
            <w:r w:rsidRPr="00333A96">
              <w:rPr>
                <w:rFonts w:ascii="Times New Roman" w:eastAsia="Times New Roman" w:hAnsi="Times New Roman" w:cs="Times New Roman"/>
                <w:sz w:val="18"/>
                <w:szCs w:val="18"/>
                <w:lang w:val="en-GB" w:eastAsia="nl-NL"/>
              </w:rPr>
              <w:br/>
              <w:t>2) At both the genus and species levels, the microbial taxa in the T1D group and control group were different.</w:t>
            </w:r>
            <w:r w:rsidRPr="00333A96">
              <w:rPr>
                <w:rFonts w:ascii="Times New Roman" w:eastAsia="Times New Roman" w:hAnsi="Times New Roman" w:cs="Times New Roman"/>
                <w:sz w:val="18"/>
                <w:szCs w:val="18"/>
                <w:lang w:val="en-GB" w:eastAsia="nl-NL"/>
              </w:rPr>
              <w:br/>
              <w:t>3) According to the gutMDisorder database, similarities have been detected between the microbial taxa found in the gut microbiomes of people with T1D and those found in the oral microbiomes.</w:t>
            </w:r>
          </w:p>
        </w:tc>
      </w:tr>
      <w:tr w:rsidR="00D05AB4" w:rsidRPr="00CC2F10" w14:paraId="5F65A919" w14:textId="77777777" w:rsidTr="00CC2F10">
        <w:trPr>
          <w:cnfStyle w:val="000000100000" w:firstRow="0" w:lastRow="0" w:firstColumn="0" w:lastColumn="0" w:oddVBand="0" w:evenVBand="0" w:oddHBand="1" w:evenHBand="0" w:firstRowFirstColumn="0" w:firstRowLastColumn="0" w:lastRowFirstColumn="0" w:lastRowLastColumn="0"/>
          <w:trHeight w:val="1248"/>
        </w:trPr>
        <w:tc>
          <w:tcPr>
            <w:cnfStyle w:val="001000000000" w:firstRow="0" w:lastRow="0" w:firstColumn="1" w:lastColumn="0" w:oddVBand="0" w:evenVBand="0" w:oddHBand="0" w:evenHBand="0" w:firstRowFirstColumn="0" w:firstRowLastColumn="0" w:lastRowFirstColumn="0" w:lastRowLastColumn="0"/>
            <w:tcW w:w="1560" w:type="dxa"/>
            <w:noWrap/>
            <w:hideMark/>
          </w:tcPr>
          <w:p w14:paraId="00B39A35"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Motisuki et al. 2005</w:t>
            </w:r>
          </w:p>
        </w:tc>
        <w:tc>
          <w:tcPr>
            <w:tcW w:w="1413" w:type="dxa"/>
            <w:noWrap/>
            <w:hideMark/>
          </w:tcPr>
          <w:p w14:paraId="052F9B4E"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Brazil</w:t>
            </w:r>
          </w:p>
        </w:tc>
        <w:tc>
          <w:tcPr>
            <w:tcW w:w="837" w:type="dxa"/>
            <w:noWrap/>
            <w:hideMark/>
          </w:tcPr>
          <w:p w14:paraId="0E65ADB9"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6DC63B86"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30</w:t>
            </w:r>
          </w:p>
        </w:tc>
        <w:tc>
          <w:tcPr>
            <w:tcW w:w="1577" w:type="dxa"/>
            <w:hideMark/>
          </w:tcPr>
          <w:p w14:paraId="68E66FC8"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5-12 (?)</w:t>
            </w:r>
          </w:p>
        </w:tc>
        <w:tc>
          <w:tcPr>
            <w:tcW w:w="1794" w:type="dxa"/>
            <w:hideMark/>
          </w:tcPr>
          <w:p w14:paraId="6B5B317B"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Assess the results of the counts of SM and </w:t>
            </w:r>
            <w:r w:rsidRPr="00FB437A">
              <w:rPr>
                <w:rFonts w:ascii="Times New Roman" w:eastAsia="Times New Roman" w:hAnsi="Times New Roman" w:cs="Times New Roman"/>
                <w:i/>
                <w:iCs/>
                <w:sz w:val="18"/>
                <w:szCs w:val="18"/>
                <w:lang w:val="en-GB" w:eastAsia="nl-NL"/>
              </w:rPr>
              <w:t>Lactobacillus spp</w:t>
            </w:r>
            <w:r w:rsidRPr="00333A96">
              <w:rPr>
                <w:rFonts w:ascii="Times New Roman" w:eastAsia="Times New Roman" w:hAnsi="Times New Roman" w:cs="Times New Roman"/>
                <w:sz w:val="18"/>
                <w:szCs w:val="18"/>
                <w:lang w:val="en-GB" w:eastAsia="nl-NL"/>
              </w:rPr>
              <w:t>. in samples taken from dental plaque collection, stimulated whole saliva, and stimulated saliva swab</w:t>
            </w:r>
          </w:p>
        </w:tc>
        <w:tc>
          <w:tcPr>
            <w:tcW w:w="1365" w:type="dxa"/>
            <w:hideMark/>
          </w:tcPr>
          <w:p w14:paraId="2486361E"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Absorption, spitting</w:t>
            </w:r>
          </w:p>
        </w:tc>
        <w:tc>
          <w:tcPr>
            <w:tcW w:w="1179" w:type="dxa"/>
            <w:hideMark/>
          </w:tcPr>
          <w:p w14:paraId="4BD6EF3F"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Tube, swab</w:t>
            </w:r>
          </w:p>
        </w:tc>
        <w:tc>
          <w:tcPr>
            <w:tcW w:w="1178" w:type="dxa"/>
            <w:hideMark/>
          </w:tcPr>
          <w:p w14:paraId="0FA50F45"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SS</w:t>
            </w:r>
          </w:p>
        </w:tc>
        <w:tc>
          <w:tcPr>
            <w:tcW w:w="1307" w:type="dxa"/>
            <w:hideMark/>
          </w:tcPr>
          <w:p w14:paraId="4A477334" w14:textId="5C6FA664" w:rsidR="00D05AB4" w:rsidRPr="00333A96" w:rsidRDefault="001E3817"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3215" w:type="dxa"/>
            <w:gridSpan w:val="2"/>
            <w:hideMark/>
          </w:tcPr>
          <w:p w14:paraId="321B6104"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1) Compared to the DP and WS methods (which had comparable findings), the SS approach revealed lower </w:t>
            </w:r>
            <w:r w:rsidRPr="00FB437A">
              <w:rPr>
                <w:rFonts w:ascii="Times New Roman" w:eastAsia="Times New Roman" w:hAnsi="Times New Roman" w:cs="Times New Roman"/>
                <w:i/>
                <w:iCs/>
                <w:sz w:val="18"/>
                <w:szCs w:val="18"/>
                <w:lang w:val="en-GB" w:eastAsia="nl-NL"/>
              </w:rPr>
              <w:t>S. mutans</w:t>
            </w:r>
            <w:r w:rsidRPr="00333A96">
              <w:rPr>
                <w:rFonts w:ascii="Times New Roman" w:eastAsia="Times New Roman" w:hAnsi="Times New Roman" w:cs="Times New Roman"/>
                <w:sz w:val="18"/>
                <w:szCs w:val="18"/>
                <w:lang w:val="en-GB" w:eastAsia="nl-NL"/>
              </w:rPr>
              <w:t xml:space="preserve"> counts. </w:t>
            </w:r>
            <w:r w:rsidRPr="00333A96">
              <w:rPr>
                <w:rFonts w:ascii="Times New Roman" w:eastAsia="Times New Roman" w:hAnsi="Times New Roman" w:cs="Times New Roman"/>
                <w:sz w:val="18"/>
                <w:szCs w:val="18"/>
                <w:lang w:val="en-GB" w:eastAsia="nl-NL"/>
              </w:rPr>
              <w:br/>
              <w:t xml:space="preserve">2) The stimulated WS method is the most suitable technique for determining the quantity of </w:t>
            </w:r>
            <w:r w:rsidRPr="00FB437A">
              <w:rPr>
                <w:rFonts w:ascii="Times New Roman" w:eastAsia="Times New Roman" w:hAnsi="Times New Roman" w:cs="Times New Roman"/>
                <w:i/>
                <w:iCs/>
                <w:sz w:val="18"/>
                <w:szCs w:val="18"/>
                <w:lang w:val="en-GB" w:eastAsia="nl-NL"/>
              </w:rPr>
              <w:t>Lactobacillus spp</w:t>
            </w:r>
            <w:r w:rsidRPr="00333A96">
              <w:rPr>
                <w:rFonts w:ascii="Times New Roman" w:eastAsia="Times New Roman" w:hAnsi="Times New Roman" w:cs="Times New Roman"/>
                <w:sz w:val="18"/>
                <w:szCs w:val="18"/>
                <w:lang w:val="en-GB" w:eastAsia="nl-NL"/>
              </w:rPr>
              <w:t>. in the oral cavity.</w:t>
            </w:r>
          </w:p>
        </w:tc>
      </w:tr>
      <w:tr w:rsidR="00D05AB4" w:rsidRPr="00CC2F10" w14:paraId="250EBA09" w14:textId="77777777" w:rsidTr="00CC2F10">
        <w:trPr>
          <w:trHeight w:val="1560"/>
        </w:trPr>
        <w:tc>
          <w:tcPr>
            <w:cnfStyle w:val="001000000000" w:firstRow="0" w:lastRow="0" w:firstColumn="1" w:lastColumn="0" w:oddVBand="0" w:evenVBand="0" w:oddHBand="0" w:evenHBand="0" w:firstRowFirstColumn="0" w:firstRowLastColumn="0" w:lastRowFirstColumn="0" w:lastRowLastColumn="0"/>
            <w:tcW w:w="1560" w:type="dxa"/>
            <w:noWrap/>
            <w:hideMark/>
          </w:tcPr>
          <w:p w14:paraId="5A150B55"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Muchandi et al. 2015</w:t>
            </w:r>
          </w:p>
        </w:tc>
        <w:tc>
          <w:tcPr>
            <w:tcW w:w="1413" w:type="dxa"/>
            <w:noWrap/>
            <w:hideMark/>
          </w:tcPr>
          <w:p w14:paraId="7460A141"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India</w:t>
            </w:r>
          </w:p>
        </w:tc>
        <w:tc>
          <w:tcPr>
            <w:tcW w:w="837" w:type="dxa"/>
            <w:noWrap/>
            <w:hideMark/>
          </w:tcPr>
          <w:p w14:paraId="3A17319A"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26D6A582"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50</w:t>
            </w:r>
          </w:p>
        </w:tc>
        <w:tc>
          <w:tcPr>
            <w:tcW w:w="1577" w:type="dxa"/>
            <w:hideMark/>
          </w:tcPr>
          <w:p w14:paraId="1398276C"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3-5 (?)</w:t>
            </w:r>
          </w:p>
        </w:tc>
        <w:tc>
          <w:tcPr>
            <w:tcW w:w="1794" w:type="dxa"/>
            <w:hideMark/>
          </w:tcPr>
          <w:p w14:paraId="4F2D20BE"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Correlate the salivary TAC and salivary pH of children with and without s-ECC </w:t>
            </w:r>
          </w:p>
        </w:tc>
        <w:tc>
          <w:tcPr>
            <w:tcW w:w="1365" w:type="dxa"/>
            <w:hideMark/>
          </w:tcPr>
          <w:p w14:paraId="114DEFF2"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Drooling</w:t>
            </w:r>
          </w:p>
        </w:tc>
        <w:tc>
          <w:tcPr>
            <w:tcW w:w="1179" w:type="dxa"/>
            <w:hideMark/>
          </w:tcPr>
          <w:p w14:paraId="75FABEFF"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Tube</w:t>
            </w:r>
          </w:p>
        </w:tc>
        <w:tc>
          <w:tcPr>
            <w:tcW w:w="1178" w:type="dxa"/>
            <w:hideMark/>
          </w:tcPr>
          <w:p w14:paraId="2F7E43A9"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US </w:t>
            </w:r>
          </w:p>
        </w:tc>
        <w:tc>
          <w:tcPr>
            <w:tcW w:w="1307" w:type="dxa"/>
            <w:hideMark/>
          </w:tcPr>
          <w:p w14:paraId="19F66A29" w14:textId="6A76432A" w:rsidR="00D05AB4" w:rsidRPr="00333A96" w:rsidRDefault="001E3817"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3215" w:type="dxa"/>
            <w:gridSpan w:val="2"/>
            <w:hideMark/>
          </w:tcPr>
          <w:p w14:paraId="1D53707A"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The CF group had a higher mean salivary pH. The S-ECC group's mean TAC was higher. </w:t>
            </w:r>
            <w:r w:rsidRPr="00333A96">
              <w:rPr>
                <w:rFonts w:ascii="Times New Roman" w:eastAsia="Times New Roman" w:hAnsi="Times New Roman" w:cs="Times New Roman"/>
                <w:sz w:val="18"/>
                <w:szCs w:val="18"/>
                <w:lang w:val="en-GB" w:eastAsia="nl-NL"/>
              </w:rPr>
              <w:br/>
              <w:t>In S-ECC patients, there was a statistically significant inverse relationship between TAC and salivary pH. TAC and pH thereby contribute to the development and progression of ECC.</w:t>
            </w:r>
          </w:p>
        </w:tc>
      </w:tr>
      <w:tr w:rsidR="00D05AB4" w:rsidRPr="00CC2F10" w14:paraId="6B16DB7F" w14:textId="77777777" w:rsidTr="00CC2F10">
        <w:trPr>
          <w:cnfStyle w:val="000000100000" w:firstRow="0" w:lastRow="0" w:firstColumn="0" w:lastColumn="0" w:oddVBand="0" w:evenVBand="0" w:oddHBand="1" w:evenHBand="0" w:firstRowFirstColumn="0" w:firstRowLastColumn="0" w:lastRowFirstColumn="0" w:lastRowLastColumn="0"/>
          <w:trHeight w:val="1560"/>
        </w:trPr>
        <w:tc>
          <w:tcPr>
            <w:cnfStyle w:val="001000000000" w:firstRow="0" w:lastRow="0" w:firstColumn="1" w:lastColumn="0" w:oddVBand="0" w:evenVBand="0" w:oddHBand="0" w:evenHBand="0" w:firstRowFirstColumn="0" w:firstRowLastColumn="0" w:lastRowFirstColumn="0" w:lastRowLastColumn="0"/>
            <w:tcW w:w="1560" w:type="dxa"/>
            <w:noWrap/>
            <w:hideMark/>
          </w:tcPr>
          <w:p w14:paraId="4103AA36"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lastRenderedPageBreak/>
              <w:t>Mundada et al. 2020</w:t>
            </w:r>
          </w:p>
        </w:tc>
        <w:tc>
          <w:tcPr>
            <w:tcW w:w="1413" w:type="dxa"/>
            <w:noWrap/>
            <w:hideMark/>
          </w:tcPr>
          <w:p w14:paraId="44A5A346"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India</w:t>
            </w:r>
          </w:p>
        </w:tc>
        <w:tc>
          <w:tcPr>
            <w:tcW w:w="837" w:type="dxa"/>
            <w:noWrap/>
            <w:hideMark/>
          </w:tcPr>
          <w:p w14:paraId="21757D1D"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RCT</w:t>
            </w:r>
          </w:p>
        </w:tc>
        <w:tc>
          <w:tcPr>
            <w:tcW w:w="878" w:type="dxa"/>
            <w:noWrap/>
            <w:hideMark/>
          </w:tcPr>
          <w:p w14:paraId="334D7C5B"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60</w:t>
            </w:r>
          </w:p>
        </w:tc>
        <w:tc>
          <w:tcPr>
            <w:tcW w:w="1577" w:type="dxa"/>
            <w:hideMark/>
          </w:tcPr>
          <w:p w14:paraId="3EA87917"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6-12 (10.9±1.06)</w:t>
            </w:r>
          </w:p>
        </w:tc>
        <w:tc>
          <w:tcPr>
            <w:tcW w:w="1794" w:type="dxa"/>
            <w:hideMark/>
          </w:tcPr>
          <w:p w14:paraId="603A2C83" w14:textId="2E9071CB"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Compare the retention and antibacterial effectiveness of </w:t>
            </w:r>
            <w:r w:rsidR="00FB437A" w:rsidRPr="00333A96">
              <w:rPr>
                <w:rFonts w:ascii="Times New Roman" w:eastAsia="Times New Roman" w:hAnsi="Times New Roman" w:cs="Times New Roman"/>
                <w:sz w:val="18"/>
                <w:szCs w:val="18"/>
                <w:lang w:val="en-GB" w:eastAsia="nl-NL"/>
              </w:rPr>
              <w:t>coloured</w:t>
            </w:r>
            <w:r w:rsidRPr="00333A96">
              <w:rPr>
                <w:rFonts w:ascii="Times New Roman" w:eastAsia="Times New Roman" w:hAnsi="Times New Roman" w:cs="Times New Roman"/>
                <w:sz w:val="18"/>
                <w:szCs w:val="18"/>
                <w:lang w:val="en-GB" w:eastAsia="nl-NL"/>
              </w:rPr>
              <w:t xml:space="preserve"> compomer and glass hybrid bulk fill glass</w:t>
            </w:r>
            <w:r w:rsidR="00FB437A">
              <w:rPr>
                <w:rFonts w:ascii="Times New Roman" w:eastAsia="Times New Roman" w:hAnsi="Times New Roman" w:cs="Times New Roman"/>
                <w:sz w:val="18"/>
                <w:szCs w:val="18"/>
                <w:lang w:val="en-GB" w:eastAsia="nl-NL"/>
              </w:rPr>
              <w:t xml:space="preserve"> </w:t>
            </w:r>
            <w:r w:rsidRPr="00333A96">
              <w:rPr>
                <w:rFonts w:ascii="Times New Roman" w:eastAsia="Times New Roman" w:hAnsi="Times New Roman" w:cs="Times New Roman"/>
                <w:sz w:val="18"/>
                <w:szCs w:val="18"/>
                <w:lang w:val="en-GB" w:eastAsia="nl-NL"/>
              </w:rPr>
              <w:t>ionomer restorative materials as conservative adhesive restorations in children</w:t>
            </w:r>
          </w:p>
        </w:tc>
        <w:tc>
          <w:tcPr>
            <w:tcW w:w="1365" w:type="dxa"/>
            <w:hideMark/>
          </w:tcPr>
          <w:p w14:paraId="32CA9088"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Suction</w:t>
            </w:r>
          </w:p>
        </w:tc>
        <w:tc>
          <w:tcPr>
            <w:tcW w:w="1179" w:type="dxa"/>
            <w:hideMark/>
          </w:tcPr>
          <w:p w14:paraId="20177D50"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Syringe</w:t>
            </w:r>
          </w:p>
        </w:tc>
        <w:tc>
          <w:tcPr>
            <w:tcW w:w="1178" w:type="dxa"/>
            <w:hideMark/>
          </w:tcPr>
          <w:p w14:paraId="402F199D"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US </w:t>
            </w:r>
          </w:p>
        </w:tc>
        <w:tc>
          <w:tcPr>
            <w:tcW w:w="1307" w:type="dxa"/>
            <w:hideMark/>
          </w:tcPr>
          <w:p w14:paraId="69F674AC" w14:textId="4B53DB0E" w:rsidR="00D05AB4" w:rsidRPr="00333A96" w:rsidRDefault="001E3817"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3215" w:type="dxa"/>
            <w:gridSpan w:val="2"/>
            <w:hideMark/>
          </w:tcPr>
          <w:p w14:paraId="2EE6E61E" w14:textId="26F0C305"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At the end of 6 months, the retention rate in the glass hybrid bulk fill group was 100%, compared to 90% in the </w:t>
            </w:r>
            <w:r w:rsidR="00FB437A" w:rsidRPr="00333A96">
              <w:rPr>
                <w:rFonts w:ascii="Times New Roman" w:eastAsia="Times New Roman" w:hAnsi="Times New Roman" w:cs="Times New Roman"/>
                <w:sz w:val="18"/>
                <w:szCs w:val="18"/>
                <w:lang w:val="en-GB" w:eastAsia="nl-NL"/>
              </w:rPr>
              <w:t>coloured</w:t>
            </w:r>
            <w:r w:rsidRPr="00333A96">
              <w:rPr>
                <w:rFonts w:ascii="Times New Roman" w:eastAsia="Times New Roman" w:hAnsi="Times New Roman" w:cs="Times New Roman"/>
                <w:sz w:val="18"/>
                <w:szCs w:val="18"/>
                <w:lang w:val="en-GB" w:eastAsia="nl-NL"/>
              </w:rPr>
              <w:t xml:space="preserve"> composite group. Both materials had good antibacterial activity at the 1, 3, and 6-month follow-ups.</w:t>
            </w:r>
          </w:p>
        </w:tc>
      </w:tr>
      <w:tr w:rsidR="00D05AB4" w:rsidRPr="00CC2F10" w14:paraId="0D51692F" w14:textId="77777777" w:rsidTr="00CC2F10">
        <w:trPr>
          <w:trHeight w:val="1248"/>
        </w:trPr>
        <w:tc>
          <w:tcPr>
            <w:cnfStyle w:val="001000000000" w:firstRow="0" w:lastRow="0" w:firstColumn="1" w:lastColumn="0" w:oddVBand="0" w:evenVBand="0" w:oddHBand="0" w:evenHBand="0" w:firstRowFirstColumn="0" w:firstRowLastColumn="0" w:lastRowFirstColumn="0" w:lastRowLastColumn="0"/>
            <w:tcW w:w="1560" w:type="dxa"/>
            <w:noWrap/>
            <w:hideMark/>
          </w:tcPr>
          <w:p w14:paraId="66EF85BB"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Naganuma et al. 2008</w:t>
            </w:r>
          </w:p>
        </w:tc>
        <w:tc>
          <w:tcPr>
            <w:tcW w:w="1413" w:type="dxa"/>
            <w:noWrap/>
            <w:hideMark/>
          </w:tcPr>
          <w:p w14:paraId="0DEA34AC"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Japan</w:t>
            </w:r>
          </w:p>
        </w:tc>
        <w:tc>
          <w:tcPr>
            <w:tcW w:w="837" w:type="dxa"/>
            <w:noWrap/>
            <w:hideMark/>
          </w:tcPr>
          <w:p w14:paraId="6CF366E0"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50BE88A6"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83</w:t>
            </w:r>
          </w:p>
        </w:tc>
        <w:tc>
          <w:tcPr>
            <w:tcW w:w="1577" w:type="dxa"/>
            <w:hideMark/>
          </w:tcPr>
          <w:p w14:paraId="388D2A16"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0-3 (?)</w:t>
            </w:r>
          </w:p>
        </w:tc>
        <w:tc>
          <w:tcPr>
            <w:tcW w:w="1794" w:type="dxa"/>
            <w:hideMark/>
          </w:tcPr>
          <w:p w14:paraId="1A946968"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Investigate the epidemiology of TTV infection in early childhood using saliva</w:t>
            </w:r>
          </w:p>
        </w:tc>
        <w:tc>
          <w:tcPr>
            <w:tcW w:w="1365" w:type="dxa"/>
            <w:hideMark/>
          </w:tcPr>
          <w:p w14:paraId="4A9C8556"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Absorption</w:t>
            </w:r>
          </w:p>
        </w:tc>
        <w:tc>
          <w:tcPr>
            <w:tcW w:w="1179" w:type="dxa"/>
            <w:hideMark/>
          </w:tcPr>
          <w:p w14:paraId="71B403D0"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Cotton rolls</w:t>
            </w:r>
          </w:p>
        </w:tc>
        <w:tc>
          <w:tcPr>
            <w:tcW w:w="1178" w:type="dxa"/>
            <w:hideMark/>
          </w:tcPr>
          <w:p w14:paraId="22033F05"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US </w:t>
            </w:r>
          </w:p>
        </w:tc>
        <w:tc>
          <w:tcPr>
            <w:tcW w:w="1307" w:type="dxa"/>
            <w:hideMark/>
          </w:tcPr>
          <w:p w14:paraId="7195716A" w14:textId="117C25DA" w:rsidR="00D05AB4" w:rsidRPr="00333A96" w:rsidRDefault="001E3817"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3215" w:type="dxa"/>
            <w:gridSpan w:val="2"/>
            <w:hideMark/>
          </w:tcPr>
          <w:p w14:paraId="0D2CDE1B"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TTV loads in saliva were higher in children than in adults. TTV DNA was found in 6%, 34%, and 90% of children at 1, 4, and 42 months of age.</w:t>
            </w:r>
            <w:r w:rsidRPr="00333A96">
              <w:rPr>
                <w:rFonts w:ascii="Times New Roman" w:eastAsia="Times New Roman" w:hAnsi="Times New Roman" w:cs="Times New Roman"/>
                <w:sz w:val="18"/>
                <w:szCs w:val="18"/>
                <w:lang w:val="en-GB" w:eastAsia="nl-NL"/>
              </w:rPr>
              <w:br/>
              <w:t>2) G3 was the most prevalent genogroup across all age groups, followed by G4 between 0 and 4 months of age and G1 after that.</w:t>
            </w:r>
          </w:p>
        </w:tc>
      </w:tr>
      <w:tr w:rsidR="00D05AB4" w:rsidRPr="00CC2F10" w14:paraId="2F87BE44" w14:textId="77777777" w:rsidTr="00CC2F10">
        <w:trPr>
          <w:cnfStyle w:val="000000100000" w:firstRow="0" w:lastRow="0" w:firstColumn="0" w:lastColumn="0" w:oddVBand="0" w:evenVBand="0" w:oddHBand="1" w:evenHBand="0" w:firstRowFirstColumn="0" w:firstRowLastColumn="0" w:lastRowFirstColumn="0" w:lastRowLastColumn="0"/>
          <w:trHeight w:val="1248"/>
        </w:trPr>
        <w:tc>
          <w:tcPr>
            <w:cnfStyle w:val="001000000000" w:firstRow="0" w:lastRow="0" w:firstColumn="1" w:lastColumn="0" w:oddVBand="0" w:evenVBand="0" w:oddHBand="0" w:evenHBand="0" w:firstRowFirstColumn="0" w:firstRowLastColumn="0" w:lastRowFirstColumn="0" w:lastRowLastColumn="0"/>
            <w:tcW w:w="1560" w:type="dxa"/>
            <w:noWrap/>
            <w:hideMark/>
          </w:tcPr>
          <w:p w14:paraId="073CEC78" w14:textId="68F80543"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Nazemisalman</w:t>
            </w:r>
            <w:r w:rsidR="00CC2F10">
              <w:rPr>
                <w:rFonts w:ascii="Times New Roman" w:eastAsia="Times New Roman" w:hAnsi="Times New Roman" w:cs="Times New Roman"/>
                <w:sz w:val="18"/>
                <w:szCs w:val="18"/>
                <w:lang w:val="en-GB" w:eastAsia="nl-NL"/>
              </w:rPr>
              <w:t xml:space="preserve"> et al.</w:t>
            </w:r>
            <w:r w:rsidRPr="00333A96">
              <w:rPr>
                <w:rFonts w:ascii="Times New Roman" w:eastAsia="Times New Roman" w:hAnsi="Times New Roman" w:cs="Times New Roman"/>
                <w:sz w:val="18"/>
                <w:szCs w:val="18"/>
                <w:lang w:val="en-GB" w:eastAsia="nl-NL"/>
              </w:rPr>
              <w:t xml:space="preserve"> 20</w:t>
            </w:r>
            <w:r w:rsidR="00CC2F10">
              <w:rPr>
                <w:rFonts w:ascii="Times New Roman" w:eastAsia="Times New Roman" w:hAnsi="Times New Roman" w:cs="Times New Roman"/>
                <w:sz w:val="18"/>
                <w:szCs w:val="18"/>
                <w:lang w:val="en-GB" w:eastAsia="nl-NL"/>
              </w:rPr>
              <w:t>19</w:t>
            </w:r>
          </w:p>
        </w:tc>
        <w:tc>
          <w:tcPr>
            <w:tcW w:w="1413" w:type="dxa"/>
            <w:noWrap/>
            <w:hideMark/>
          </w:tcPr>
          <w:p w14:paraId="47487A81"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Iran</w:t>
            </w:r>
          </w:p>
        </w:tc>
        <w:tc>
          <w:tcPr>
            <w:tcW w:w="837" w:type="dxa"/>
            <w:noWrap/>
            <w:hideMark/>
          </w:tcPr>
          <w:p w14:paraId="42908892"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CC</w:t>
            </w:r>
          </w:p>
        </w:tc>
        <w:tc>
          <w:tcPr>
            <w:tcW w:w="878" w:type="dxa"/>
            <w:noWrap/>
            <w:hideMark/>
          </w:tcPr>
          <w:p w14:paraId="3DD41D7C"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79</w:t>
            </w:r>
          </w:p>
        </w:tc>
        <w:tc>
          <w:tcPr>
            <w:tcW w:w="1577" w:type="dxa"/>
            <w:hideMark/>
          </w:tcPr>
          <w:p w14:paraId="0D7BECBA"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3-18 (?)</w:t>
            </w:r>
          </w:p>
        </w:tc>
        <w:tc>
          <w:tcPr>
            <w:tcW w:w="1794" w:type="dxa"/>
            <w:hideMark/>
          </w:tcPr>
          <w:p w14:paraId="66354467"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Assess the level of pro-inflammatory cytokine TNF-α in saliva and its potential correlation with caries</w:t>
            </w:r>
          </w:p>
        </w:tc>
        <w:tc>
          <w:tcPr>
            <w:tcW w:w="1365" w:type="dxa"/>
            <w:hideMark/>
          </w:tcPr>
          <w:p w14:paraId="248E2366"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Spitting</w:t>
            </w:r>
          </w:p>
        </w:tc>
        <w:tc>
          <w:tcPr>
            <w:tcW w:w="1179" w:type="dxa"/>
            <w:hideMark/>
          </w:tcPr>
          <w:p w14:paraId="7BF0BCD1"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Tube </w:t>
            </w:r>
          </w:p>
        </w:tc>
        <w:tc>
          <w:tcPr>
            <w:tcW w:w="1178" w:type="dxa"/>
            <w:hideMark/>
          </w:tcPr>
          <w:p w14:paraId="5D88AA0A"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US </w:t>
            </w:r>
          </w:p>
        </w:tc>
        <w:tc>
          <w:tcPr>
            <w:tcW w:w="1307" w:type="dxa"/>
            <w:hideMark/>
          </w:tcPr>
          <w:p w14:paraId="5EF0353F"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2h fasting before sampling</w:t>
            </w:r>
          </w:p>
        </w:tc>
        <w:tc>
          <w:tcPr>
            <w:tcW w:w="3215" w:type="dxa"/>
            <w:gridSpan w:val="2"/>
            <w:hideMark/>
          </w:tcPr>
          <w:p w14:paraId="40379624"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1) The case group's mean TNF- levels were significantly higher than those of the control group. </w:t>
            </w:r>
            <w:r w:rsidRPr="00333A96">
              <w:rPr>
                <w:rFonts w:ascii="Times New Roman" w:eastAsia="Times New Roman" w:hAnsi="Times New Roman" w:cs="Times New Roman"/>
                <w:sz w:val="18"/>
                <w:szCs w:val="18"/>
                <w:lang w:val="en-GB" w:eastAsia="nl-NL"/>
              </w:rPr>
              <w:br/>
              <w:t xml:space="preserve">2) Compared to the age group of 13 to 18 years, the mean TNF- level was higher in the 6 to 12 year age group. </w:t>
            </w:r>
          </w:p>
        </w:tc>
      </w:tr>
      <w:tr w:rsidR="00D05AB4" w:rsidRPr="00CC2F10" w14:paraId="46464B13" w14:textId="77777777" w:rsidTr="00CC2F10">
        <w:trPr>
          <w:trHeight w:val="1248"/>
        </w:trPr>
        <w:tc>
          <w:tcPr>
            <w:cnfStyle w:val="001000000000" w:firstRow="0" w:lastRow="0" w:firstColumn="1" w:lastColumn="0" w:oddVBand="0" w:evenVBand="0" w:oddHBand="0" w:evenHBand="0" w:firstRowFirstColumn="0" w:firstRowLastColumn="0" w:lastRowFirstColumn="0" w:lastRowLastColumn="0"/>
            <w:tcW w:w="1560" w:type="dxa"/>
            <w:noWrap/>
            <w:hideMark/>
          </w:tcPr>
          <w:p w14:paraId="059B12B8"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Nenna et al. 2013</w:t>
            </w:r>
          </w:p>
        </w:tc>
        <w:tc>
          <w:tcPr>
            <w:tcW w:w="1413" w:type="dxa"/>
            <w:noWrap/>
            <w:hideMark/>
          </w:tcPr>
          <w:p w14:paraId="2929D26B"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Italy</w:t>
            </w:r>
          </w:p>
        </w:tc>
        <w:tc>
          <w:tcPr>
            <w:tcW w:w="837" w:type="dxa"/>
            <w:noWrap/>
            <w:hideMark/>
          </w:tcPr>
          <w:p w14:paraId="447A27D7"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1D573C33"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5733</w:t>
            </w:r>
          </w:p>
        </w:tc>
        <w:tc>
          <w:tcPr>
            <w:tcW w:w="1577" w:type="dxa"/>
            <w:hideMark/>
          </w:tcPr>
          <w:p w14:paraId="36AD22E1"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5-9 (6.9±?)</w:t>
            </w:r>
          </w:p>
        </w:tc>
        <w:tc>
          <w:tcPr>
            <w:tcW w:w="1794" w:type="dxa"/>
            <w:hideMark/>
          </w:tcPr>
          <w:p w14:paraId="2B1FEDFA"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Detect CD in schoolchildren and assess the impact of diagnosing CD in children who were screened and showed no symptoms</w:t>
            </w:r>
          </w:p>
        </w:tc>
        <w:tc>
          <w:tcPr>
            <w:tcW w:w="1365" w:type="dxa"/>
            <w:hideMark/>
          </w:tcPr>
          <w:p w14:paraId="02F95A4E"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Spitting</w:t>
            </w:r>
          </w:p>
        </w:tc>
        <w:tc>
          <w:tcPr>
            <w:tcW w:w="1179" w:type="dxa"/>
            <w:hideMark/>
          </w:tcPr>
          <w:p w14:paraId="330A0494"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Tube</w:t>
            </w:r>
          </w:p>
        </w:tc>
        <w:tc>
          <w:tcPr>
            <w:tcW w:w="1178" w:type="dxa"/>
            <w:hideMark/>
          </w:tcPr>
          <w:p w14:paraId="225E7BFC"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US </w:t>
            </w:r>
          </w:p>
        </w:tc>
        <w:tc>
          <w:tcPr>
            <w:tcW w:w="1307" w:type="dxa"/>
            <w:hideMark/>
          </w:tcPr>
          <w:p w14:paraId="1DC73157"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3h fasting before sampling</w:t>
            </w:r>
          </w:p>
        </w:tc>
        <w:tc>
          <w:tcPr>
            <w:tcW w:w="3215" w:type="dxa"/>
            <w:gridSpan w:val="2"/>
            <w:hideMark/>
          </w:tcPr>
          <w:p w14:paraId="7DBC9252"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64% of the 65 celiac children had silent CD, 28% had normal CD, 7% had atypical CD, and 1% had prospective CD</w:t>
            </w:r>
            <w:r w:rsidRPr="00333A96">
              <w:rPr>
                <w:rFonts w:ascii="Times New Roman" w:eastAsia="Times New Roman" w:hAnsi="Times New Roman" w:cs="Times New Roman"/>
                <w:sz w:val="18"/>
                <w:szCs w:val="18"/>
                <w:lang w:val="en-GB" w:eastAsia="nl-NL"/>
              </w:rPr>
              <w:br/>
              <w:t xml:space="preserve">2) All patients demonstrated strict adherence to the GFD, a rise in weight and height, and an improvement in wellbeing. </w:t>
            </w:r>
          </w:p>
        </w:tc>
      </w:tr>
      <w:tr w:rsidR="00D05AB4" w:rsidRPr="00CC2F10" w14:paraId="41A98EAB" w14:textId="77777777" w:rsidTr="00CC2F10">
        <w:trPr>
          <w:cnfStyle w:val="000000100000" w:firstRow="0" w:lastRow="0" w:firstColumn="0" w:lastColumn="0" w:oddVBand="0" w:evenVBand="0" w:oddHBand="1" w:evenHBand="0" w:firstRowFirstColumn="0" w:firstRowLastColumn="0" w:lastRowFirstColumn="0" w:lastRowLastColumn="0"/>
          <w:trHeight w:val="1872"/>
        </w:trPr>
        <w:tc>
          <w:tcPr>
            <w:cnfStyle w:val="001000000000" w:firstRow="0" w:lastRow="0" w:firstColumn="1" w:lastColumn="0" w:oddVBand="0" w:evenVBand="0" w:oddHBand="0" w:evenHBand="0" w:firstRowFirstColumn="0" w:firstRowLastColumn="0" w:lastRowFirstColumn="0" w:lastRowLastColumn="0"/>
            <w:tcW w:w="1560" w:type="dxa"/>
            <w:noWrap/>
            <w:hideMark/>
          </w:tcPr>
          <w:p w14:paraId="11BAF857"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Neves et al. 2015</w:t>
            </w:r>
          </w:p>
        </w:tc>
        <w:tc>
          <w:tcPr>
            <w:tcW w:w="1413" w:type="dxa"/>
            <w:noWrap/>
            <w:hideMark/>
          </w:tcPr>
          <w:p w14:paraId="4CD5CC50"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Brazil</w:t>
            </w:r>
          </w:p>
        </w:tc>
        <w:tc>
          <w:tcPr>
            <w:tcW w:w="837" w:type="dxa"/>
            <w:noWrap/>
            <w:hideMark/>
          </w:tcPr>
          <w:p w14:paraId="410C076F"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0585F629"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14</w:t>
            </w:r>
          </w:p>
        </w:tc>
        <w:tc>
          <w:tcPr>
            <w:tcW w:w="1577" w:type="dxa"/>
            <w:hideMark/>
          </w:tcPr>
          <w:p w14:paraId="7F412548"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2-4 (2.7±0.9)</w:t>
            </w:r>
          </w:p>
        </w:tc>
        <w:tc>
          <w:tcPr>
            <w:tcW w:w="1794" w:type="dxa"/>
            <w:hideMark/>
          </w:tcPr>
          <w:p w14:paraId="014049AD"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Compare the clinical aspects and microbial profile of children with and without ECC.</w:t>
            </w:r>
          </w:p>
        </w:tc>
        <w:tc>
          <w:tcPr>
            <w:tcW w:w="1365" w:type="dxa"/>
            <w:hideMark/>
          </w:tcPr>
          <w:p w14:paraId="1A57118C"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Suction</w:t>
            </w:r>
          </w:p>
        </w:tc>
        <w:tc>
          <w:tcPr>
            <w:tcW w:w="1179" w:type="dxa"/>
            <w:hideMark/>
          </w:tcPr>
          <w:p w14:paraId="1948D4F8"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Pipette</w:t>
            </w:r>
          </w:p>
        </w:tc>
        <w:tc>
          <w:tcPr>
            <w:tcW w:w="1178" w:type="dxa"/>
            <w:hideMark/>
          </w:tcPr>
          <w:p w14:paraId="1A1EFA69"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US </w:t>
            </w:r>
          </w:p>
        </w:tc>
        <w:tc>
          <w:tcPr>
            <w:tcW w:w="1307" w:type="dxa"/>
            <w:hideMark/>
          </w:tcPr>
          <w:p w14:paraId="317954D7" w14:textId="1BB24B7E" w:rsidR="00D05AB4" w:rsidRPr="00333A96" w:rsidRDefault="001E3817"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3215" w:type="dxa"/>
            <w:gridSpan w:val="2"/>
            <w:hideMark/>
          </w:tcPr>
          <w:p w14:paraId="16B89144"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The prevalence of ECC in children was significantly reduced when pacifiers were used.</w:t>
            </w:r>
            <w:r w:rsidRPr="00333A96">
              <w:rPr>
                <w:rFonts w:ascii="Times New Roman" w:eastAsia="Times New Roman" w:hAnsi="Times New Roman" w:cs="Times New Roman"/>
                <w:sz w:val="18"/>
                <w:szCs w:val="18"/>
                <w:lang w:val="en-GB" w:eastAsia="nl-NL"/>
              </w:rPr>
              <w:br/>
              <w:t xml:space="preserve">2) SM and </w:t>
            </w:r>
            <w:r w:rsidRPr="00FB437A">
              <w:rPr>
                <w:rFonts w:ascii="Times New Roman" w:eastAsia="Times New Roman" w:hAnsi="Times New Roman" w:cs="Times New Roman"/>
                <w:i/>
                <w:iCs/>
                <w:sz w:val="18"/>
                <w:szCs w:val="18"/>
                <w:lang w:val="en-GB" w:eastAsia="nl-NL"/>
              </w:rPr>
              <w:t>Lactobacillus spp</w:t>
            </w:r>
            <w:r w:rsidRPr="00333A96">
              <w:rPr>
                <w:rFonts w:ascii="Times New Roman" w:eastAsia="Times New Roman" w:hAnsi="Times New Roman" w:cs="Times New Roman"/>
                <w:sz w:val="18"/>
                <w:szCs w:val="18"/>
                <w:lang w:val="en-GB" w:eastAsia="nl-NL"/>
              </w:rPr>
              <w:t>. levels were significantly greater in the ECC group.</w:t>
            </w:r>
            <w:r w:rsidRPr="00333A96">
              <w:rPr>
                <w:rFonts w:ascii="Times New Roman" w:eastAsia="Times New Roman" w:hAnsi="Times New Roman" w:cs="Times New Roman"/>
                <w:sz w:val="18"/>
                <w:szCs w:val="18"/>
                <w:lang w:val="en-GB" w:eastAsia="nl-NL"/>
              </w:rPr>
              <w:br/>
              <w:t>3) PCR-DGGE analysis revealed unique microbial diversity patterns across children with and without ECC.</w:t>
            </w:r>
          </w:p>
        </w:tc>
      </w:tr>
      <w:tr w:rsidR="00D05AB4" w:rsidRPr="00CC2F10" w14:paraId="3365F0BF" w14:textId="77777777" w:rsidTr="00CC2F10">
        <w:trPr>
          <w:trHeight w:val="2184"/>
        </w:trPr>
        <w:tc>
          <w:tcPr>
            <w:cnfStyle w:val="001000000000" w:firstRow="0" w:lastRow="0" w:firstColumn="1" w:lastColumn="0" w:oddVBand="0" w:evenVBand="0" w:oddHBand="0" w:evenHBand="0" w:firstRowFirstColumn="0" w:firstRowLastColumn="0" w:lastRowFirstColumn="0" w:lastRowLastColumn="0"/>
            <w:tcW w:w="1560" w:type="dxa"/>
            <w:noWrap/>
            <w:hideMark/>
          </w:tcPr>
          <w:p w14:paraId="20D317B8"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lastRenderedPageBreak/>
              <w:t>Newby et al. 2013</w:t>
            </w:r>
          </w:p>
        </w:tc>
        <w:tc>
          <w:tcPr>
            <w:tcW w:w="1413" w:type="dxa"/>
            <w:noWrap/>
            <w:hideMark/>
          </w:tcPr>
          <w:p w14:paraId="5D41A4B1"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United States</w:t>
            </w:r>
          </w:p>
        </w:tc>
        <w:tc>
          <w:tcPr>
            <w:tcW w:w="837" w:type="dxa"/>
            <w:noWrap/>
            <w:hideMark/>
          </w:tcPr>
          <w:p w14:paraId="3A57F2A4"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RCT</w:t>
            </w:r>
          </w:p>
        </w:tc>
        <w:tc>
          <w:tcPr>
            <w:tcW w:w="878" w:type="dxa"/>
            <w:noWrap/>
            <w:hideMark/>
          </w:tcPr>
          <w:p w14:paraId="5B045D56"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157</w:t>
            </w:r>
          </w:p>
        </w:tc>
        <w:tc>
          <w:tcPr>
            <w:tcW w:w="1577" w:type="dxa"/>
            <w:hideMark/>
          </w:tcPr>
          <w:p w14:paraId="517D8B53"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4-5 (4.4±?)</w:t>
            </w:r>
          </w:p>
        </w:tc>
        <w:tc>
          <w:tcPr>
            <w:tcW w:w="1794" w:type="dxa"/>
            <w:hideMark/>
          </w:tcPr>
          <w:p w14:paraId="5856DC3F"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Compare the impact of 40 sec and 2 min brushing on fluoride levels in saliva and dental biofilm fluid in children.</w:t>
            </w:r>
          </w:p>
        </w:tc>
        <w:tc>
          <w:tcPr>
            <w:tcW w:w="1365" w:type="dxa"/>
            <w:hideMark/>
          </w:tcPr>
          <w:p w14:paraId="174C48B6"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Suction</w:t>
            </w:r>
          </w:p>
        </w:tc>
        <w:tc>
          <w:tcPr>
            <w:tcW w:w="1179" w:type="dxa"/>
            <w:hideMark/>
          </w:tcPr>
          <w:p w14:paraId="648E3034"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 mucous trap</w:t>
            </w:r>
          </w:p>
        </w:tc>
        <w:tc>
          <w:tcPr>
            <w:tcW w:w="1178" w:type="dxa"/>
            <w:hideMark/>
          </w:tcPr>
          <w:p w14:paraId="3DDC1CAC"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US </w:t>
            </w:r>
          </w:p>
        </w:tc>
        <w:tc>
          <w:tcPr>
            <w:tcW w:w="1307" w:type="dxa"/>
            <w:hideMark/>
          </w:tcPr>
          <w:p w14:paraId="4044CDE6" w14:textId="6D454269" w:rsidR="00D05AB4" w:rsidRPr="00333A96" w:rsidRDefault="001E3817"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3215" w:type="dxa"/>
            <w:gridSpan w:val="2"/>
            <w:hideMark/>
          </w:tcPr>
          <w:p w14:paraId="2A9BBB1C"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Fluoride levels in dental biofilm fluid and saliva increased statistically significantly after brushing for 2 minutes as opposed to 40 seconds at all post-brushing time periods.</w:t>
            </w:r>
            <w:r w:rsidRPr="00333A96">
              <w:rPr>
                <w:rFonts w:ascii="Times New Roman" w:eastAsia="Times New Roman" w:hAnsi="Times New Roman" w:cs="Times New Roman"/>
                <w:sz w:val="18"/>
                <w:szCs w:val="18"/>
                <w:lang w:val="en-GB" w:eastAsia="nl-NL"/>
              </w:rPr>
              <w:br/>
              <w:t>2) After brushing for 2 minutes (compared to 40sec), saliva had considerably greater fluoride concentrations after 5, 15 30 and 60 minutes. Fluoride content in biofilm fluid did not significantly alter at any one time point.</w:t>
            </w:r>
          </w:p>
        </w:tc>
      </w:tr>
      <w:tr w:rsidR="00D05AB4" w:rsidRPr="00CC2F10" w14:paraId="44726C3D" w14:textId="77777777" w:rsidTr="00CC2F10">
        <w:trPr>
          <w:cnfStyle w:val="000000100000" w:firstRow="0" w:lastRow="0" w:firstColumn="0" w:lastColumn="0" w:oddVBand="0" w:evenVBand="0" w:oddHBand="1" w:evenHBand="0" w:firstRowFirstColumn="0" w:firstRowLastColumn="0" w:lastRowFirstColumn="0" w:lastRowLastColumn="0"/>
          <w:trHeight w:val="936"/>
        </w:trPr>
        <w:tc>
          <w:tcPr>
            <w:cnfStyle w:val="001000000000" w:firstRow="0" w:lastRow="0" w:firstColumn="1" w:lastColumn="0" w:oddVBand="0" w:evenVBand="0" w:oddHBand="0" w:evenHBand="0" w:firstRowFirstColumn="0" w:firstRowLastColumn="0" w:lastRowFirstColumn="0" w:lastRowLastColumn="0"/>
            <w:tcW w:w="1560" w:type="dxa"/>
            <w:noWrap/>
            <w:hideMark/>
          </w:tcPr>
          <w:p w14:paraId="68D1A57A"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Neyraud et al. 2020</w:t>
            </w:r>
          </w:p>
        </w:tc>
        <w:tc>
          <w:tcPr>
            <w:tcW w:w="1413" w:type="dxa"/>
            <w:noWrap/>
            <w:hideMark/>
          </w:tcPr>
          <w:p w14:paraId="4DC62E35"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France</w:t>
            </w:r>
          </w:p>
        </w:tc>
        <w:tc>
          <w:tcPr>
            <w:tcW w:w="837" w:type="dxa"/>
            <w:noWrap/>
            <w:hideMark/>
          </w:tcPr>
          <w:p w14:paraId="46E78EE1"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3C612F98"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26</w:t>
            </w:r>
          </w:p>
        </w:tc>
        <w:tc>
          <w:tcPr>
            <w:tcW w:w="1577" w:type="dxa"/>
            <w:hideMark/>
          </w:tcPr>
          <w:p w14:paraId="776BBC99"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0-1 (?)</w:t>
            </w:r>
          </w:p>
        </w:tc>
        <w:tc>
          <w:tcPr>
            <w:tcW w:w="1794" w:type="dxa"/>
            <w:hideMark/>
          </w:tcPr>
          <w:p w14:paraId="7B2F2660"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Study the evolution of the salivary metabolome during the first months of life by 1H NMR.</w:t>
            </w:r>
          </w:p>
        </w:tc>
        <w:tc>
          <w:tcPr>
            <w:tcW w:w="1365" w:type="dxa"/>
            <w:hideMark/>
          </w:tcPr>
          <w:p w14:paraId="5AE0272F"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Absorption</w:t>
            </w:r>
          </w:p>
        </w:tc>
        <w:tc>
          <w:tcPr>
            <w:tcW w:w="1179" w:type="dxa"/>
            <w:hideMark/>
          </w:tcPr>
          <w:p w14:paraId="644C2F15"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Salivette</w:t>
            </w:r>
          </w:p>
        </w:tc>
        <w:tc>
          <w:tcPr>
            <w:tcW w:w="1178" w:type="dxa"/>
            <w:hideMark/>
          </w:tcPr>
          <w:p w14:paraId="59B71FE1"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307" w:type="dxa"/>
            <w:hideMark/>
          </w:tcPr>
          <w:p w14:paraId="614EE01D"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90min fasting before sampling</w:t>
            </w:r>
          </w:p>
        </w:tc>
        <w:tc>
          <w:tcPr>
            <w:tcW w:w="3215" w:type="dxa"/>
            <w:gridSpan w:val="2"/>
            <w:hideMark/>
          </w:tcPr>
          <w:p w14:paraId="29F8AF86"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The history of milk feeding had no effect on the salivary metabolites in the first few months of infancy.</w:t>
            </w:r>
          </w:p>
        </w:tc>
      </w:tr>
      <w:tr w:rsidR="00D05AB4" w:rsidRPr="001E3817" w14:paraId="7C9FEFB5" w14:textId="77777777" w:rsidTr="00CC2F10">
        <w:trPr>
          <w:trHeight w:val="936"/>
        </w:trPr>
        <w:tc>
          <w:tcPr>
            <w:cnfStyle w:val="001000000000" w:firstRow="0" w:lastRow="0" w:firstColumn="1" w:lastColumn="0" w:oddVBand="0" w:evenVBand="0" w:oddHBand="0" w:evenHBand="0" w:firstRowFirstColumn="0" w:firstRowLastColumn="0" w:lastRowFirstColumn="0" w:lastRowLastColumn="0"/>
            <w:tcW w:w="1560" w:type="dxa"/>
            <w:noWrap/>
            <w:hideMark/>
          </w:tcPr>
          <w:p w14:paraId="74AF41B7"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Nishana et al. 2019</w:t>
            </w:r>
          </w:p>
        </w:tc>
        <w:tc>
          <w:tcPr>
            <w:tcW w:w="1413" w:type="dxa"/>
            <w:noWrap/>
            <w:hideMark/>
          </w:tcPr>
          <w:p w14:paraId="0278F65B"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India</w:t>
            </w:r>
          </w:p>
        </w:tc>
        <w:tc>
          <w:tcPr>
            <w:tcW w:w="837" w:type="dxa"/>
            <w:noWrap/>
            <w:hideMark/>
          </w:tcPr>
          <w:p w14:paraId="758FB1AF"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CC</w:t>
            </w:r>
          </w:p>
        </w:tc>
        <w:tc>
          <w:tcPr>
            <w:tcW w:w="878" w:type="dxa"/>
            <w:noWrap/>
            <w:hideMark/>
          </w:tcPr>
          <w:p w14:paraId="24A0825C"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52</w:t>
            </w:r>
          </w:p>
        </w:tc>
        <w:tc>
          <w:tcPr>
            <w:tcW w:w="1577" w:type="dxa"/>
            <w:hideMark/>
          </w:tcPr>
          <w:p w14:paraId="3CB5D0AC"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2-5 (?)</w:t>
            </w:r>
          </w:p>
        </w:tc>
        <w:tc>
          <w:tcPr>
            <w:tcW w:w="1794" w:type="dxa"/>
            <w:hideMark/>
          </w:tcPr>
          <w:p w14:paraId="26133ABE"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Determine the association between salivary sCD14 levels in children with ECC and pneumonia</w:t>
            </w:r>
          </w:p>
        </w:tc>
        <w:tc>
          <w:tcPr>
            <w:tcW w:w="1365" w:type="dxa"/>
            <w:hideMark/>
          </w:tcPr>
          <w:p w14:paraId="4AC13FD9"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Spitting</w:t>
            </w:r>
          </w:p>
        </w:tc>
        <w:tc>
          <w:tcPr>
            <w:tcW w:w="1179" w:type="dxa"/>
            <w:hideMark/>
          </w:tcPr>
          <w:p w14:paraId="72BB43D7"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container</w:t>
            </w:r>
          </w:p>
        </w:tc>
        <w:tc>
          <w:tcPr>
            <w:tcW w:w="1178" w:type="dxa"/>
            <w:hideMark/>
          </w:tcPr>
          <w:p w14:paraId="15269169"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US </w:t>
            </w:r>
          </w:p>
        </w:tc>
        <w:tc>
          <w:tcPr>
            <w:tcW w:w="1307" w:type="dxa"/>
            <w:hideMark/>
          </w:tcPr>
          <w:p w14:paraId="03A517D4" w14:textId="5B015536" w:rsidR="00D05AB4" w:rsidRPr="00333A96" w:rsidRDefault="001E3817"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3215" w:type="dxa"/>
            <w:gridSpan w:val="2"/>
            <w:hideMark/>
          </w:tcPr>
          <w:p w14:paraId="6F8FD9B5"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The three groups were found to have higher sCD14 levels, with the control group having the highest mean sCD14 values and the pneumonia group having the lowest. The difference was significant. </w:t>
            </w:r>
          </w:p>
        </w:tc>
      </w:tr>
      <w:tr w:rsidR="00D05AB4" w:rsidRPr="00CC2F10" w14:paraId="2459E9DF" w14:textId="77777777" w:rsidTr="00CC2F10">
        <w:trPr>
          <w:cnfStyle w:val="000000100000" w:firstRow="0" w:lastRow="0" w:firstColumn="0" w:lastColumn="0" w:oddVBand="0" w:evenVBand="0" w:oddHBand="1" w:evenHBand="0" w:firstRowFirstColumn="0" w:firstRowLastColumn="0" w:lastRowFirstColumn="0" w:lastRowLastColumn="0"/>
          <w:trHeight w:val="1248"/>
        </w:trPr>
        <w:tc>
          <w:tcPr>
            <w:cnfStyle w:val="001000000000" w:firstRow="0" w:lastRow="0" w:firstColumn="1" w:lastColumn="0" w:oddVBand="0" w:evenVBand="0" w:oddHBand="0" w:evenHBand="0" w:firstRowFirstColumn="0" w:firstRowLastColumn="0" w:lastRowFirstColumn="0" w:lastRowLastColumn="0"/>
            <w:tcW w:w="1560" w:type="dxa"/>
            <w:noWrap/>
            <w:hideMark/>
          </w:tcPr>
          <w:p w14:paraId="1EBBF5CE"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Nizar et al. 2022</w:t>
            </w:r>
          </w:p>
        </w:tc>
        <w:tc>
          <w:tcPr>
            <w:tcW w:w="1413" w:type="dxa"/>
            <w:noWrap/>
            <w:hideMark/>
          </w:tcPr>
          <w:p w14:paraId="2BD1ADD6"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Pakistan</w:t>
            </w:r>
          </w:p>
        </w:tc>
        <w:tc>
          <w:tcPr>
            <w:tcW w:w="837" w:type="dxa"/>
            <w:noWrap/>
            <w:hideMark/>
          </w:tcPr>
          <w:p w14:paraId="2606C7F4"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6D31B3FB"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193</w:t>
            </w:r>
          </w:p>
        </w:tc>
        <w:tc>
          <w:tcPr>
            <w:tcW w:w="1577" w:type="dxa"/>
            <w:hideMark/>
          </w:tcPr>
          <w:p w14:paraId="26D283F2"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0-3 (?)</w:t>
            </w:r>
          </w:p>
        </w:tc>
        <w:tc>
          <w:tcPr>
            <w:tcW w:w="1794" w:type="dxa"/>
            <w:hideMark/>
          </w:tcPr>
          <w:p w14:paraId="751C93C8"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Investigate the correlation between maternal SM counts and their children's, and to determine the DMFT indices for both</w:t>
            </w:r>
          </w:p>
        </w:tc>
        <w:tc>
          <w:tcPr>
            <w:tcW w:w="1365" w:type="dxa"/>
            <w:hideMark/>
          </w:tcPr>
          <w:p w14:paraId="645E5AB0"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Absorption</w:t>
            </w:r>
          </w:p>
        </w:tc>
        <w:tc>
          <w:tcPr>
            <w:tcW w:w="1179" w:type="dxa"/>
            <w:hideMark/>
          </w:tcPr>
          <w:p w14:paraId="12C9F5AC"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Oracol swab</w:t>
            </w:r>
          </w:p>
        </w:tc>
        <w:tc>
          <w:tcPr>
            <w:tcW w:w="1178" w:type="dxa"/>
            <w:hideMark/>
          </w:tcPr>
          <w:p w14:paraId="68E271E4"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US </w:t>
            </w:r>
          </w:p>
        </w:tc>
        <w:tc>
          <w:tcPr>
            <w:tcW w:w="1307" w:type="dxa"/>
            <w:hideMark/>
          </w:tcPr>
          <w:p w14:paraId="523830B0"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Can withstand chewing and it's durable</w:t>
            </w:r>
          </w:p>
        </w:tc>
        <w:tc>
          <w:tcPr>
            <w:tcW w:w="3215" w:type="dxa"/>
            <w:gridSpan w:val="2"/>
            <w:hideMark/>
          </w:tcPr>
          <w:p w14:paraId="50B0A940"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1) No statistically significant correlation between maternal and newborn SM counts. </w:t>
            </w:r>
            <w:r w:rsidRPr="00333A96">
              <w:rPr>
                <w:rFonts w:ascii="Times New Roman" w:eastAsia="Times New Roman" w:hAnsi="Times New Roman" w:cs="Times New Roman"/>
                <w:sz w:val="18"/>
                <w:szCs w:val="18"/>
                <w:lang w:val="en-GB" w:eastAsia="nl-NL"/>
              </w:rPr>
              <w:br/>
              <w:t>2) Lower SM counts in infants have been associated to maternal age, breastfeeding, pacifier usage, and maternal caries status.</w:t>
            </w:r>
          </w:p>
        </w:tc>
      </w:tr>
      <w:tr w:rsidR="00BB05A0" w:rsidRPr="00CC2F10" w14:paraId="06CCD79A" w14:textId="77777777" w:rsidTr="00CC2F10">
        <w:trPr>
          <w:trHeight w:val="1872"/>
        </w:trPr>
        <w:tc>
          <w:tcPr>
            <w:cnfStyle w:val="001000000000" w:firstRow="0" w:lastRow="0" w:firstColumn="1" w:lastColumn="0" w:oddVBand="0" w:evenVBand="0" w:oddHBand="0" w:evenHBand="0" w:firstRowFirstColumn="0" w:firstRowLastColumn="0" w:lastRowFirstColumn="0" w:lastRowLastColumn="0"/>
            <w:tcW w:w="1560" w:type="dxa"/>
            <w:noWrap/>
            <w:hideMark/>
          </w:tcPr>
          <w:p w14:paraId="0731FFD4"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Oliveira et al. 2012</w:t>
            </w:r>
          </w:p>
        </w:tc>
        <w:tc>
          <w:tcPr>
            <w:tcW w:w="1413" w:type="dxa"/>
            <w:noWrap/>
            <w:hideMark/>
          </w:tcPr>
          <w:p w14:paraId="24301174"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Brazil</w:t>
            </w:r>
          </w:p>
        </w:tc>
        <w:tc>
          <w:tcPr>
            <w:tcW w:w="837" w:type="dxa"/>
            <w:noWrap/>
            <w:hideMark/>
          </w:tcPr>
          <w:p w14:paraId="631A53C6"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040CBB75"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141</w:t>
            </w:r>
          </w:p>
        </w:tc>
        <w:tc>
          <w:tcPr>
            <w:tcW w:w="1577" w:type="dxa"/>
            <w:hideMark/>
          </w:tcPr>
          <w:p w14:paraId="778039E3"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0-3 (?)</w:t>
            </w:r>
          </w:p>
        </w:tc>
        <w:tc>
          <w:tcPr>
            <w:tcW w:w="1794" w:type="dxa"/>
            <w:hideMark/>
          </w:tcPr>
          <w:p w14:paraId="0D39B71F"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Explore the prevalence of E. coli in the saliva of children aged up to 3 years following exposure to both daycare center and home environments</w:t>
            </w:r>
          </w:p>
        </w:tc>
        <w:tc>
          <w:tcPr>
            <w:tcW w:w="1365" w:type="dxa"/>
            <w:hideMark/>
          </w:tcPr>
          <w:p w14:paraId="7A32EB43"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Absorption</w:t>
            </w:r>
          </w:p>
        </w:tc>
        <w:tc>
          <w:tcPr>
            <w:tcW w:w="1179" w:type="dxa"/>
            <w:hideMark/>
          </w:tcPr>
          <w:p w14:paraId="0E7862BA"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Cotton rolls</w:t>
            </w:r>
          </w:p>
        </w:tc>
        <w:tc>
          <w:tcPr>
            <w:tcW w:w="1178" w:type="dxa"/>
            <w:hideMark/>
          </w:tcPr>
          <w:p w14:paraId="3B7036F0"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US </w:t>
            </w:r>
          </w:p>
        </w:tc>
        <w:tc>
          <w:tcPr>
            <w:tcW w:w="1307" w:type="dxa"/>
            <w:hideMark/>
          </w:tcPr>
          <w:p w14:paraId="5AF865F5" w14:textId="09AF24F9" w:rsidR="00D05AB4" w:rsidRPr="00333A96" w:rsidRDefault="001E3817"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3215" w:type="dxa"/>
            <w:gridSpan w:val="2"/>
            <w:hideMark/>
          </w:tcPr>
          <w:p w14:paraId="066C60DE"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In comparison to the morning, children attending DC had a significantly greater chance of testing positive for E. coli in their saliva samples in the afternoon. So, the potential risk of transmitting enteropathogens increased as a result of exposure to the DC environment.</w:t>
            </w:r>
            <w:r w:rsidRPr="00333A96">
              <w:rPr>
                <w:rFonts w:ascii="Times New Roman" w:eastAsia="Times New Roman" w:hAnsi="Times New Roman" w:cs="Times New Roman"/>
                <w:sz w:val="18"/>
                <w:szCs w:val="18"/>
                <w:lang w:val="en-GB" w:eastAsia="nl-NL"/>
              </w:rPr>
              <w:br/>
              <w:t>2) Saliva collection method was simple, non-intrusive, and appropriate for children.</w:t>
            </w:r>
          </w:p>
        </w:tc>
      </w:tr>
      <w:tr w:rsidR="00D05AB4" w:rsidRPr="00CC2F10" w14:paraId="063E48BC" w14:textId="77777777" w:rsidTr="00CC2F10">
        <w:trPr>
          <w:cnfStyle w:val="000000100000" w:firstRow="0" w:lastRow="0" w:firstColumn="0" w:lastColumn="0" w:oddVBand="0" w:evenVBand="0" w:oddHBand="1" w:evenHBand="0" w:firstRowFirstColumn="0" w:firstRowLastColumn="0" w:lastRowFirstColumn="0" w:lastRowLastColumn="0"/>
          <w:trHeight w:val="1560"/>
        </w:trPr>
        <w:tc>
          <w:tcPr>
            <w:cnfStyle w:val="001000000000" w:firstRow="0" w:lastRow="0" w:firstColumn="1" w:lastColumn="0" w:oddVBand="0" w:evenVBand="0" w:oddHBand="0" w:evenHBand="0" w:firstRowFirstColumn="0" w:firstRowLastColumn="0" w:lastRowFirstColumn="0" w:lastRowLastColumn="0"/>
            <w:tcW w:w="1560" w:type="dxa"/>
            <w:noWrap/>
            <w:hideMark/>
          </w:tcPr>
          <w:p w14:paraId="7B77F633"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lastRenderedPageBreak/>
              <w:t>Oliveira et al. 2022</w:t>
            </w:r>
          </w:p>
        </w:tc>
        <w:tc>
          <w:tcPr>
            <w:tcW w:w="1413" w:type="dxa"/>
            <w:noWrap/>
            <w:hideMark/>
          </w:tcPr>
          <w:p w14:paraId="442CF8C4"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Brazil</w:t>
            </w:r>
          </w:p>
        </w:tc>
        <w:tc>
          <w:tcPr>
            <w:tcW w:w="837" w:type="dxa"/>
            <w:noWrap/>
            <w:hideMark/>
          </w:tcPr>
          <w:p w14:paraId="0C5042F6"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7E257CFA"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20</w:t>
            </w:r>
          </w:p>
        </w:tc>
        <w:tc>
          <w:tcPr>
            <w:tcW w:w="1577" w:type="dxa"/>
            <w:hideMark/>
          </w:tcPr>
          <w:p w14:paraId="7F388A10"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3-5 (?)</w:t>
            </w:r>
          </w:p>
        </w:tc>
        <w:tc>
          <w:tcPr>
            <w:tcW w:w="1794" w:type="dxa"/>
            <w:hideMark/>
          </w:tcPr>
          <w:p w14:paraId="371582C5"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Compare the proteomic profile of unstimulated saliva of children who had ECC and caries-free children</w:t>
            </w:r>
          </w:p>
        </w:tc>
        <w:tc>
          <w:tcPr>
            <w:tcW w:w="1365" w:type="dxa"/>
            <w:hideMark/>
          </w:tcPr>
          <w:p w14:paraId="4F469C41"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Suction</w:t>
            </w:r>
          </w:p>
        </w:tc>
        <w:tc>
          <w:tcPr>
            <w:tcW w:w="1179" w:type="dxa"/>
            <w:hideMark/>
          </w:tcPr>
          <w:p w14:paraId="62E53789"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Pipette</w:t>
            </w:r>
          </w:p>
        </w:tc>
        <w:tc>
          <w:tcPr>
            <w:tcW w:w="1178" w:type="dxa"/>
            <w:hideMark/>
          </w:tcPr>
          <w:p w14:paraId="0E907F61"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US </w:t>
            </w:r>
          </w:p>
        </w:tc>
        <w:tc>
          <w:tcPr>
            <w:tcW w:w="1307" w:type="dxa"/>
            <w:hideMark/>
          </w:tcPr>
          <w:p w14:paraId="58736256"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2h fasting before sampling</w:t>
            </w:r>
          </w:p>
        </w:tc>
        <w:tc>
          <w:tcPr>
            <w:tcW w:w="3215" w:type="dxa"/>
            <w:gridSpan w:val="2"/>
            <w:hideMark/>
          </w:tcPr>
          <w:p w14:paraId="5D905CA0" w14:textId="07D92413"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The CF group had 579 proteins exclusively identified; The ECC group 704 proteins.</w:t>
            </w:r>
            <w:r w:rsidRPr="00333A96">
              <w:rPr>
                <w:rFonts w:ascii="Times New Roman" w:eastAsia="Times New Roman" w:hAnsi="Times New Roman" w:cs="Times New Roman"/>
                <w:sz w:val="18"/>
                <w:szCs w:val="18"/>
                <w:lang w:val="en-GB" w:eastAsia="nl-NL"/>
              </w:rPr>
              <w:br/>
              <w:t xml:space="preserve">2) 112 proteins were shown to be up-regulated in the CF group by differential expression analysis, with significant increases in the gamma-1, gamma-2, and alpha subunits of </w:t>
            </w:r>
            <w:r w:rsidR="00FB437A" w:rsidRPr="00333A96">
              <w:rPr>
                <w:rFonts w:ascii="Times New Roman" w:eastAsia="Times New Roman" w:hAnsi="Times New Roman" w:cs="Times New Roman"/>
                <w:sz w:val="18"/>
                <w:szCs w:val="18"/>
                <w:lang w:val="en-GB" w:eastAsia="nl-NL"/>
              </w:rPr>
              <w:t>haemoglobin</w:t>
            </w:r>
            <w:r w:rsidRPr="00333A96">
              <w:rPr>
                <w:rFonts w:ascii="Times New Roman" w:eastAsia="Times New Roman" w:hAnsi="Times New Roman" w:cs="Times New Roman"/>
                <w:sz w:val="18"/>
                <w:szCs w:val="18"/>
                <w:lang w:val="en-GB" w:eastAsia="nl-NL"/>
              </w:rPr>
              <w:t>.</w:t>
            </w:r>
          </w:p>
        </w:tc>
      </w:tr>
      <w:tr w:rsidR="00BB05A0" w:rsidRPr="00CC2F10" w14:paraId="5D6CAFBE" w14:textId="77777777" w:rsidTr="00CC2F10">
        <w:trPr>
          <w:trHeight w:val="1560"/>
        </w:trPr>
        <w:tc>
          <w:tcPr>
            <w:cnfStyle w:val="001000000000" w:firstRow="0" w:lastRow="0" w:firstColumn="1" w:lastColumn="0" w:oddVBand="0" w:evenVBand="0" w:oddHBand="0" w:evenHBand="0" w:firstRowFirstColumn="0" w:firstRowLastColumn="0" w:lastRowFirstColumn="0" w:lastRowLastColumn="0"/>
            <w:tcW w:w="1560" w:type="dxa"/>
            <w:noWrap/>
            <w:hideMark/>
          </w:tcPr>
          <w:p w14:paraId="1E790946"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Ortega et al. 2011</w:t>
            </w:r>
          </w:p>
        </w:tc>
        <w:tc>
          <w:tcPr>
            <w:tcW w:w="1413" w:type="dxa"/>
            <w:noWrap/>
            <w:hideMark/>
          </w:tcPr>
          <w:p w14:paraId="24658604"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United States</w:t>
            </w:r>
          </w:p>
        </w:tc>
        <w:tc>
          <w:tcPr>
            <w:tcW w:w="837" w:type="dxa"/>
            <w:noWrap/>
            <w:hideMark/>
          </w:tcPr>
          <w:p w14:paraId="65D31B25"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6EC55685"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9</w:t>
            </w:r>
          </w:p>
        </w:tc>
        <w:tc>
          <w:tcPr>
            <w:tcW w:w="1577" w:type="dxa"/>
            <w:hideMark/>
          </w:tcPr>
          <w:p w14:paraId="239524BA"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6-11 (?)</w:t>
            </w:r>
          </w:p>
        </w:tc>
        <w:tc>
          <w:tcPr>
            <w:tcW w:w="1794" w:type="dxa"/>
            <w:hideMark/>
          </w:tcPr>
          <w:p w14:paraId="2BAEC984"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Generate physiologic reactivity profiles of school-age children with a history of stuttering by measuring stress biomarkers cortisol and alpha-amylase in response to normal daily stressors using salivary sampling.</w:t>
            </w:r>
          </w:p>
        </w:tc>
        <w:tc>
          <w:tcPr>
            <w:tcW w:w="1365" w:type="dxa"/>
            <w:hideMark/>
          </w:tcPr>
          <w:p w14:paraId="6B758D8A"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Absorption</w:t>
            </w:r>
          </w:p>
        </w:tc>
        <w:tc>
          <w:tcPr>
            <w:tcW w:w="1179" w:type="dxa"/>
            <w:hideMark/>
          </w:tcPr>
          <w:p w14:paraId="17C3D701"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Salivette cotton swab</w:t>
            </w:r>
          </w:p>
        </w:tc>
        <w:tc>
          <w:tcPr>
            <w:tcW w:w="1178" w:type="dxa"/>
            <w:hideMark/>
          </w:tcPr>
          <w:p w14:paraId="4F1BFC2E"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307" w:type="dxa"/>
            <w:hideMark/>
          </w:tcPr>
          <w:p w14:paraId="7FA6611A" w14:textId="6F068D21" w:rsidR="00D05AB4" w:rsidRPr="00333A96" w:rsidRDefault="001E3817"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3215" w:type="dxa"/>
            <w:gridSpan w:val="2"/>
            <w:hideMark/>
          </w:tcPr>
          <w:p w14:paraId="2CE80DF8"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Mean cortisol and alpha-amylase levels were significantly lower in children with a history of stuttering, though they within normal ranges.</w:t>
            </w:r>
            <w:r w:rsidRPr="00333A96">
              <w:rPr>
                <w:rFonts w:ascii="Times New Roman" w:eastAsia="Times New Roman" w:hAnsi="Times New Roman" w:cs="Times New Roman"/>
                <w:sz w:val="18"/>
                <w:szCs w:val="18"/>
                <w:lang w:val="en-GB" w:eastAsia="nl-NL"/>
              </w:rPr>
              <w:br/>
              <w:t>2) To investigate physiologic response in children who stutter, salivary collection offers an innovative and least-invasive method.</w:t>
            </w:r>
          </w:p>
        </w:tc>
      </w:tr>
      <w:tr w:rsidR="00D05AB4" w:rsidRPr="00CC2F10" w14:paraId="54727B3A" w14:textId="77777777" w:rsidTr="00CC2F10">
        <w:trPr>
          <w:cnfStyle w:val="000000100000" w:firstRow="0" w:lastRow="0" w:firstColumn="0" w:lastColumn="0" w:oddVBand="0" w:evenVBand="0" w:oddHBand="1" w:evenHBand="0" w:firstRowFirstColumn="0" w:firstRowLastColumn="0" w:lastRowFirstColumn="0" w:lastRowLastColumn="0"/>
          <w:trHeight w:val="1248"/>
        </w:trPr>
        <w:tc>
          <w:tcPr>
            <w:cnfStyle w:val="001000000000" w:firstRow="0" w:lastRow="0" w:firstColumn="1" w:lastColumn="0" w:oddVBand="0" w:evenVBand="0" w:oddHBand="0" w:evenHBand="0" w:firstRowFirstColumn="0" w:firstRowLastColumn="0" w:lastRowFirstColumn="0" w:lastRowLastColumn="0"/>
            <w:tcW w:w="1560" w:type="dxa"/>
            <w:noWrap/>
            <w:hideMark/>
          </w:tcPr>
          <w:p w14:paraId="2D9F0542"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Ozsin-Ozler et al. 2022</w:t>
            </w:r>
          </w:p>
        </w:tc>
        <w:tc>
          <w:tcPr>
            <w:tcW w:w="1413" w:type="dxa"/>
            <w:noWrap/>
            <w:hideMark/>
          </w:tcPr>
          <w:p w14:paraId="48998AC5"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Turkey</w:t>
            </w:r>
          </w:p>
        </w:tc>
        <w:tc>
          <w:tcPr>
            <w:tcW w:w="837" w:type="dxa"/>
            <w:noWrap/>
            <w:hideMark/>
          </w:tcPr>
          <w:p w14:paraId="456D8095"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14EAA5E1"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44</w:t>
            </w:r>
          </w:p>
        </w:tc>
        <w:tc>
          <w:tcPr>
            <w:tcW w:w="1577" w:type="dxa"/>
            <w:hideMark/>
          </w:tcPr>
          <w:p w14:paraId="08EA62BD"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6-14 (9.52±2.15)</w:t>
            </w:r>
          </w:p>
        </w:tc>
        <w:tc>
          <w:tcPr>
            <w:tcW w:w="1794" w:type="dxa"/>
            <w:hideMark/>
          </w:tcPr>
          <w:p w14:paraId="22DA9067" w14:textId="3DCC616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Assess the caries status in children and adolescents with CF and compare it with certain biochemical markers, sIgA</w:t>
            </w:r>
            <w:r w:rsidR="00FB437A">
              <w:rPr>
                <w:rFonts w:ascii="Times New Roman" w:eastAsia="Times New Roman" w:hAnsi="Times New Roman" w:cs="Times New Roman"/>
                <w:sz w:val="18"/>
                <w:szCs w:val="18"/>
                <w:lang w:val="en-GB" w:eastAsia="nl-NL"/>
              </w:rPr>
              <w:t xml:space="preserve"> </w:t>
            </w:r>
            <w:r w:rsidRPr="00333A96">
              <w:rPr>
                <w:rFonts w:ascii="Times New Roman" w:eastAsia="Times New Roman" w:hAnsi="Times New Roman" w:cs="Times New Roman"/>
                <w:sz w:val="18"/>
                <w:szCs w:val="18"/>
                <w:lang w:val="en-GB" w:eastAsia="nl-NL"/>
              </w:rPr>
              <w:t>and antimicrobial peptide</w:t>
            </w:r>
          </w:p>
        </w:tc>
        <w:tc>
          <w:tcPr>
            <w:tcW w:w="1365" w:type="dxa"/>
            <w:hideMark/>
          </w:tcPr>
          <w:p w14:paraId="35E28B8C"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Spitting</w:t>
            </w:r>
          </w:p>
        </w:tc>
        <w:tc>
          <w:tcPr>
            <w:tcW w:w="1179" w:type="dxa"/>
            <w:hideMark/>
          </w:tcPr>
          <w:p w14:paraId="4F104250"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Tube </w:t>
            </w:r>
          </w:p>
        </w:tc>
        <w:tc>
          <w:tcPr>
            <w:tcW w:w="1178" w:type="dxa"/>
            <w:hideMark/>
          </w:tcPr>
          <w:p w14:paraId="3DCCE9B4"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US </w:t>
            </w:r>
          </w:p>
        </w:tc>
        <w:tc>
          <w:tcPr>
            <w:tcW w:w="1307" w:type="dxa"/>
            <w:hideMark/>
          </w:tcPr>
          <w:p w14:paraId="792E74C8"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1h fasting before sampling </w:t>
            </w:r>
          </w:p>
        </w:tc>
        <w:tc>
          <w:tcPr>
            <w:tcW w:w="3215" w:type="dxa"/>
            <w:gridSpan w:val="2"/>
            <w:hideMark/>
          </w:tcPr>
          <w:p w14:paraId="0643070F"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Alpha and beta defensin levels were significantly higher in the control group, according to salivary biomarker analyses, although LL37 and sIgA levels did not differ significantly across the groups.</w:t>
            </w:r>
          </w:p>
        </w:tc>
      </w:tr>
      <w:tr w:rsidR="00BB05A0" w:rsidRPr="00CC2F10" w14:paraId="39D61444" w14:textId="77777777" w:rsidTr="00CC2F10">
        <w:trPr>
          <w:trHeight w:val="1248"/>
        </w:trPr>
        <w:tc>
          <w:tcPr>
            <w:cnfStyle w:val="001000000000" w:firstRow="0" w:lastRow="0" w:firstColumn="1" w:lastColumn="0" w:oddVBand="0" w:evenVBand="0" w:oddHBand="0" w:evenHBand="0" w:firstRowFirstColumn="0" w:firstRowLastColumn="0" w:lastRowFirstColumn="0" w:lastRowLastColumn="0"/>
            <w:tcW w:w="1560" w:type="dxa"/>
            <w:noWrap/>
            <w:hideMark/>
          </w:tcPr>
          <w:p w14:paraId="46EE436D"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Pace et al. 2013</w:t>
            </w:r>
          </w:p>
        </w:tc>
        <w:tc>
          <w:tcPr>
            <w:tcW w:w="1413" w:type="dxa"/>
            <w:noWrap/>
            <w:hideMark/>
          </w:tcPr>
          <w:p w14:paraId="3D9D80E4"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United States</w:t>
            </w:r>
          </w:p>
        </w:tc>
        <w:tc>
          <w:tcPr>
            <w:tcW w:w="837" w:type="dxa"/>
            <w:noWrap/>
            <w:hideMark/>
          </w:tcPr>
          <w:p w14:paraId="5E6691EE"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1FF92EE8"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71</w:t>
            </w:r>
          </w:p>
        </w:tc>
        <w:tc>
          <w:tcPr>
            <w:tcW w:w="1577" w:type="dxa"/>
            <w:hideMark/>
          </w:tcPr>
          <w:p w14:paraId="35892CC9"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(14.7±1.14)</w:t>
            </w:r>
          </w:p>
        </w:tc>
        <w:tc>
          <w:tcPr>
            <w:tcW w:w="1794" w:type="dxa"/>
            <w:hideMark/>
          </w:tcPr>
          <w:p w14:paraId="6A87DED4"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Determine if Cognitively Based Compassion Training (CBCT) decreased C-reactive protein (CRP) in foster youth with high rates of ELA </w:t>
            </w:r>
          </w:p>
        </w:tc>
        <w:tc>
          <w:tcPr>
            <w:tcW w:w="1365" w:type="dxa"/>
            <w:hideMark/>
          </w:tcPr>
          <w:p w14:paraId="797C539D"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Absorption</w:t>
            </w:r>
          </w:p>
        </w:tc>
        <w:tc>
          <w:tcPr>
            <w:tcW w:w="1179" w:type="dxa"/>
            <w:hideMark/>
          </w:tcPr>
          <w:p w14:paraId="31A09DC1"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Salivette cotton swab</w:t>
            </w:r>
          </w:p>
        </w:tc>
        <w:tc>
          <w:tcPr>
            <w:tcW w:w="1178" w:type="dxa"/>
            <w:hideMark/>
          </w:tcPr>
          <w:p w14:paraId="79D0C85B"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US </w:t>
            </w:r>
          </w:p>
        </w:tc>
        <w:tc>
          <w:tcPr>
            <w:tcW w:w="1307" w:type="dxa"/>
            <w:hideMark/>
          </w:tcPr>
          <w:p w14:paraId="59A343B1" w14:textId="020610DE" w:rsidR="00D05AB4" w:rsidRPr="00333A96" w:rsidRDefault="001E3817"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3215" w:type="dxa"/>
            <w:gridSpan w:val="2"/>
            <w:hideMark/>
          </w:tcPr>
          <w:p w14:paraId="6768C839"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No difference in salivary CRP levels between the CBCT and wait-list groups, although more participation in CBCT practice sessions within the CBCT group was associated to lower CRP levels from baseline to the 6-week evaluation.</w:t>
            </w:r>
          </w:p>
        </w:tc>
      </w:tr>
      <w:tr w:rsidR="00D05AB4" w:rsidRPr="00CC2F10" w14:paraId="0C8EB46F" w14:textId="77777777" w:rsidTr="00CC2F10">
        <w:trPr>
          <w:cnfStyle w:val="000000100000" w:firstRow="0" w:lastRow="0" w:firstColumn="0" w:lastColumn="0" w:oddVBand="0" w:evenVBand="0" w:oddHBand="1" w:evenHBand="0" w:firstRowFirstColumn="0" w:firstRowLastColumn="0" w:lastRowFirstColumn="0" w:lastRowLastColumn="0"/>
          <w:trHeight w:val="1560"/>
        </w:trPr>
        <w:tc>
          <w:tcPr>
            <w:cnfStyle w:val="001000000000" w:firstRow="0" w:lastRow="0" w:firstColumn="1" w:lastColumn="0" w:oddVBand="0" w:evenVBand="0" w:oddHBand="0" w:evenHBand="0" w:firstRowFirstColumn="0" w:firstRowLastColumn="0" w:lastRowFirstColumn="0" w:lastRowLastColumn="0"/>
            <w:tcW w:w="1560" w:type="dxa"/>
            <w:noWrap/>
            <w:hideMark/>
          </w:tcPr>
          <w:p w14:paraId="64D43B35"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Panagiotou et al. 2021</w:t>
            </w:r>
          </w:p>
        </w:tc>
        <w:tc>
          <w:tcPr>
            <w:tcW w:w="1413" w:type="dxa"/>
            <w:noWrap/>
            <w:hideMark/>
          </w:tcPr>
          <w:p w14:paraId="3CF05D89"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Greece</w:t>
            </w:r>
          </w:p>
        </w:tc>
        <w:tc>
          <w:tcPr>
            <w:tcW w:w="837" w:type="dxa"/>
            <w:noWrap/>
            <w:hideMark/>
          </w:tcPr>
          <w:p w14:paraId="6C411F38"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19578801"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143</w:t>
            </w:r>
          </w:p>
        </w:tc>
        <w:tc>
          <w:tcPr>
            <w:tcW w:w="1577" w:type="dxa"/>
            <w:hideMark/>
          </w:tcPr>
          <w:p w14:paraId="4E094E20"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7-15 (10.3±2.1)</w:t>
            </w:r>
          </w:p>
        </w:tc>
        <w:tc>
          <w:tcPr>
            <w:tcW w:w="1794" w:type="dxa"/>
            <w:hideMark/>
          </w:tcPr>
          <w:p w14:paraId="56071191"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Examine the oral health status of children who are overweight or obese and the impact of risk factors, such as stress, on the oral health of the children</w:t>
            </w:r>
          </w:p>
        </w:tc>
        <w:tc>
          <w:tcPr>
            <w:tcW w:w="1365" w:type="dxa"/>
            <w:hideMark/>
          </w:tcPr>
          <w:p w14:paraId="6839CFC0"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Absorption</w:t>
            </w:r>
          </w:p>
        </w:tc>
        <w:tc>
          <w:tcPr>
            <w:tcW w:w="1179" w:type="dxa"/>
            <w:hideMark/>
          </w:tcPr>
          <w:p w14:paraId="0CE3DE0E"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Salivett cotton swab</w:t>
            </w:r>
          </w:p>
        </w:tc>
        <w:tc>
          <w:tcPr>
            <w:tcW w:w="1178" w:type="dxa"/>
            <w:hideMark/>
          </w:tcPr>
          <w:p w14:paraId="1CCA88BE"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US </w:t>
            </w:r>
          </w:p>
        </w:tc>
        <w:tc>
          <w:tcPr>
            <w:tcW w:w="1307" w:type="dxa"/>
            <w:hideMark/>
          </w:tcPr>
          <w:p w14:paraId="20ECA9B5"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30min fasting before sampling</w:t>
            </w:r>
          </w:p>
        </w:tc>
        <w:tc>
          <w:tcPr>
            <w:tcW w:w="3215" w:type="dxa"/>
            <w:gridSpan w:val="2"/>
            <w:hideMark/>
          </w:tcPr>
          <w:p w14:paraId="32373F93"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Children with obese/overweight had significantly increased DMFT, PI, GI, salivary cortisol AUC, reduced "high" saliva buffer capacity, and lower saliva flow rates.</w:t>
            </w:r>
            <w:r w:rsidRPr="00333A96">
              <w:rPr>
                <w:rFonts w:ascii="Times New Roman" w:eastAsia="Times New Roman" w:hAnsi="Times New Roman" w:cs="Times New Roman"/>
                <w:sz w:val="18"/>
                <w:szCs w:val="18"/>
                <w:lang w:val="en-GB" w:eastAsia="nl-NL"/>
              </w:rPr>
              <w:br/>
              <w:t>2) Obese/overweight children had greater salivary cortisol levels, but there were no significant differences in their levels of trait or state anxiety.</w:t>
            </w:r>
          </w:p>
        </w:tc>
      </w:tr>
      <w:tr w:rsidR="00BB05A0" w:rsidRPr="00CC2F10" w14:paraId="64B4559D" w14:textId="77777777" w:rsidTr="00CC2F10">
        <w:trPr>
          <w:trHeight w:val="1560"/>
        </w:trPr>
        <w:tc>
          <w:tcPr>
            <w:cnfStyle w:val="001000000000" w:firstRow="0" w:lastRow="0" w:firstColumn="1" w:lastColumn="0" w:oddVBand="0" w:evenVBand="0" w:oddHBand="0" w:evenHBand="0" w:firstRowFirstColumn="0" w:firstRowLastColumn="0" w:lastRowFirstColumn="0" w:lastRowLastColumn="0"/>
            <w:tcW w:w="1560" w:type="dxa"/>
            <w:noWrap/>
            <w:hideMark/>
          </w:tcPr>
          <w:p w14:paraId="59ACCB7B"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lastRenderedPageBreak/>
              <w:t>Park et al. 2013</w:t>
            </w:r>
          </w:p>
        </w:tc>
        <w:tc>
          <w:tcPr>
            <w:tcW w:w="1413" w:type="dxa"/>
            <w:noWrap/>
            <w:hideMark/>
          </w:tcPr>
          <w:p w14:paraId="5507209F"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Korea</w:t>
            </w:r>
          </w:p>
        </w:tc>
        <w:tc>
          <w:tcPr>
            <w:tcW w:w="837" w:type="dxa"/>
            <w:noWrap/>
            <w:hideMark/>
          </w:tcPr>
          <w:p w14:paraId="0D7B6608"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5205F475"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80</w:t>
            </w:r>
          </w:p>
        </w:tc>
        <w:tc>
          <w:tcPr>
            <w:tcW w:w="1577" w:type="dxa"/>
            <w:hideMark/>
          </w:tcPr>
          <w:p w14:paraId="49800525"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3-13 (?)</w:t>
            </w:r>
          </w:p>
        </w:tc>
        <w:tc>
          <w:tcPr>
            <w:tcW w:w="1794" w:type="dxa"/>
            <w:hideMark/>
          </w:tcPr>
          <w:p w14:paraId="4F5231B6"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Assess the connections between salivary cortisol levels, PSG's objective characteristics, and the subjective sleep symptoms</w:t>
            </w:r>
          </w:p>
        </w:tc>
        <w:tc>
          <w:tcPr>
            <w:tcW w:w="1365" w:type="dxa"/>
            <w:hideMark/>
          </w:tcPr>
          <w:p w14:paraId="1F49E1B8"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Drooling</w:t>
            </w:r>
          </w:p>
        </w:tc>
        <w:tc>
          <w:tcPr>
            <w:tcW w:w="1179" w:type="dxa"/>
            <w:hideMark/>
          </w:tcPr>
          <w:p w14:paraId="70651812"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Straw and tube</w:t>
            </w:r>
          </w:p>
        </w:tc>
        <w:tc>
          <w:tcPr>
            <w:tcW w:w="1178" w:type="dxa"/>
            <w:hideMark/>
          </w:tcPr>
          <w:p w14:paraId="71596EA3"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US </w:t>
            </w:r>
          </w:p>
        </w:tc>
        <w:tc>
          <w:tcPr>
            <w:tcW w:w="1307" w:type="dxa"/>
            <w:hideMark/>
          </w:tcPr>
          <w:p w14:paraId="0EF6460C"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30min fasting before sampling</w:t>
            </w:r>
          </w:p>
        </w:tc>
        <w:tc>
          <w:tcPr>
            <w:tcW w:w="3215" w:type="dxa"/>
            <w:gridSpan w:val="2"/>
            <w:hideMark/>
          </w:tcPr>
          <w:p w14:paraId="18EA0451"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After PSG, salivary cortisol levels significantly decreased as OSAS severity increased. The two OSAS subgroups and the CG had significantly varying r-sCor values.</w:t>
            </w:r>
            <w:r w:rsidRPr="00333A96">
              <w:rPr>
                <w:rFonts w:ascii="Times New Roman" w:eastAsia="Times New Roman" w:hAnsi="Times New Roman" w:cs="Times New Roman"/>
                <w:sz w:val="18"/>
                <w:szCs w:val="18"/>
                <w:lang w:val="en-GB" w:eastAsia="nl-NL"/>
              </w:rPr>
              <w:br/>
              <w:t>2) Indicators of a persistently stressed HPA axis include r-sCor's negative correlations with OSAS severity, ODI, and QOL (KOSA-18).</w:t>
            </w:r>
          </w:p>
        </w:tc>
      </w:tr>
      <w:tr w:rsidR="00D05AB4" w:rsidRPr="00CC2F10" w14:paraId="00C5A553" w14:textId="77777777" w:rsidTr="00CC2F10">
        <w:trPr>
          <w:cnfStyle w:val="000000100000" w:firstRow="0" w:lastRow="0" w:firstColumn="0" w:lastColumn="0" w:oddVBand="0" w:evenVBand="0" w:oddHBand="1" w:evenHBand="0" w:firstRowFirstColumn="0" w:firstRowLastColumn="0" w:lastRowFirstColumn="0" w:lastRowLastColumn="0"/>
          <w:trHeight w:val="2184"/>
        </w:trPr>
        <w:tc>
          <w:tcPr>
            <w:cnfStyle w:val="001000000000" w:firstRow="0" w:lastRow="0" w:firstColumn="1" w:lastColumn="0" w:oddVBand="0" w:evenVBand="0" w:oddHBand="0" w:evenHBand="0" w:firstRowFirstColumn="0" w:firstRowLastColumn="0" w:lastRowFirstColumn="0" w:lastRowLastColumn="0"/>
            <w:tcW w:w="1560" w:type="dxa"/>
            <w:noWrap/>
            <w:hideMark/>
          </w:tcPr>
          <w:p w14:paraId="75455F18"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Pattanaporn et al. 1998</w:t>
            </w:r>
          </w:p>
        </w:tc>
        <w:tc>
          <w:tcPr>
            <w:tcW w:w="1413" w:type="dxa"/>
            <w:noWrap/>
            <w:hideMark/>
          </w:tcPr>
          <w:p w14:paraId="015E0D9D"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Thailand</w:t>
            </w:r>
          </w:p>
        </w:tc>
        <w:tc>
          <w:tcPr>
            <w:tcW w:w="837" w:type="dxa"/>
            <w:noWrap/>
            <w:hideMark/>
          </w:tcPr>
          <w:p w14:paraId="103CF71C"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0DE0B40F"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120</w:t>
            </w:r>
          </w:p>
        </w:tc>
        <w:tc>
          <w:tcPr>
            <w:tcW w:w="1577" w:type="dxa"/>
            <w:hideMark/>
          </w:tcPr>
          <w:p w14:paraId="00685BFD"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11-13 (?)</w:t>
            </w:r>
          </w:p>
        </w:tc>
        <w:tc>
          <w:tcPr>
            <w:tcW w:w="1794" w:type="dxa"/>
            <w:hideMark/>
          </w:tcPr>
          <w:p w14:paraId="3E9D9B0A"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Evaluate the relationship between children's parotid and whole saliva parameters and their experience with dental caries, gingivitis, and plaque</w:t>
            </w:r>
          </w:p>
        </w:tc>
        <w:tc>
          <w:tcPr>
            <w:tcW w:w="1365" w:type="dxa"/>
            <w:hideMark/>
          </w:tcPr>
          <w:p w14:paraId="3F51B194"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Drooling, spitting, suction</w:t>
            </w:r>
          </w:p>
        </w:tc>
        <w:tc>
          <w:tcPr>
            <w:tcW w:w="1179" w:type="dxa"/>
            <w:hideMark/>
          </w:tcPr>
          <w:p w14:paraId="3C164A44"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Funnel and tube, Carlsson-Critenden device</w:t>
            </w:r>
          </w:p>
        </w:tc>
        <w:tc>
          <w:tcPr>
            <w:tcW w:w="1178" w:type="dxa"/>
            <w:hideMark/>
          </w:tcPr>
          <w:p w14:paraId="3E2BE1D4"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 SS, SPS</w:t>
            </w:r>
          </w:p>
        </w:tc>
        <w:tc>
          <w:tcPr>
            <w:tcW w:w="1307" w:type="dxa"/>
            <w:hideMark/>
          </w:tcPr>
          <w:p w14:paraId="348354AA"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1h fasting before sampling</w:t>
            </w:r>
            <w:r w:rsidRPr="00333A96">
              <w:rPr>
                <w:rFonts w:ascii="Times New Roman" w:eastAsia="Times New Roman" w:hAnsi="Times New Roman" w:cs="Times New Roman"/>
                <w:sz w:val="18"/>
                <w:szCs w:val="18"/>
                <w:lang w:val="en-GB" w:eastAsia="nl-NL"/>
              </w:rPr>
              <w:br/>
              <w:t>2) Drooling: US, Spitting: SS, Suction: PS</w:t>
            </w:r>
          </w:p>
        </w:tc>
        <w:tc>
          <w:tcPr>
            <w:tcW w:w="3215" w:type="dxa"/>
            <w:gridSpan w:val="2"/>
            <w:hideMark/>
          </w:tcPr>
          <w:p w14:paraId="2D53BEA6"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No significant variations in flow rate, pH, or buffer capacity between the calculus and noncalculus groups according to saliva analysis.</w:t>
            </w:r>
            <w:r w:rsidRPr="00333A96">
              <w:rPr>
                <w:rFonts w:ascii="Times New Roman" w:eastAsia="Times New Roman" w:hAnsi="Times New Roman" w:cs="Times New Roman"/>
                <w:sz w:val="18"/>
                <w:szCs w:val="18"/>
                <w:lang w:val="en-GB" w:eastAsia="nl-NL"/>
              </w:rPr>
              <w:br/>
              <w:t>2) A significant correlation between plaque status and gingivitis and calculus accumulation; calculus and caries do not significantly correlate</w:t>
            </w:r>
          </w:p>
        </w:tc>
      </w:tr>
      <w:tr w:rsidR="00BB05A0" w:rsidRPr="00CC2F10" w14:paraId="4BA8748E" w14:textId="77777777" w:rsidTr="00CC2F10">
        <w:trPr>
          <w:trHeight w:val="1872"/>
        </w:trPr>
        <w:tc>
          <w:tcPr>
            <w:cnfStyle w:val="001000000000" w:firstRow="0" w:lastRow="0" w:firstColumn="1" w:lastColumn="0" w:oddVBand="0" w:evenVBand="0" w:oddHBand="0" w:evenHBand="0" w:firstRowFirstColumn="0" w:firstRowLastColumn="0" w:lastRowFirstColumn="0" w:lastRowLastColumn="0"/>
            <w:tcW w:w="1560" w:type="dxa"/>
            <w:noWrap/>
            <w:hideMark/>
          </w:tcPr>
          <w:p w14:paraId="39640B6A"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Payne et al. 2014</w:t>
            </w:r>
          </w:p>
        </w:tc>
        <w:tc>
          <w:tcPr>
            <w:tcW w:w="1413" w:type="dxa"/>
            <w:noWrap/>
            <w:hideMark/>
          </w:tcPr>
          <w:p w14:paraId="4E16A611"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United States</w:t>
            </w:r>
          </w:p>
        </w:tc>
        <w:tc>
          <w:tcPr>
            <w:tcW w:w="837" w:type="dxa"/>
            <w:noWrap/>
            <w:hideMark/>
          </w:tcPr>
          <w:p w14:paraId="55EDC732"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1DFFAE05"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231</w:t>
            </w:r>
          </w:p>
        </w:tc>
        <w:tc>
          <w:tcPr>
            <w:tcW w:w="1577" w:type="dxa"/>
            <w:hideMark/>
          </w:tcPr>
          <w:p w14:paraId="74C3BC05"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7-18 (12.68±3.0)</w:t>
            </w:r>
          </w:p>
        </w:tc>
        <w:tc>
          <w:tcPr>
            <w:tcW w:w="1794" w:type="dxa"/>
            <w:hideMark/>
          </w:tcPr>
          <w:p w14:paraId="14111397"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Investigate the associations between salivary cortisol responses to pain activities in the lab and self-reported experiences of social anxiety in healthy children in order to comprehend the connections between stress biomarkers and social anxiety</w:t>
            </w:r>
          </w:p>
        </w:tc>
        <w:tc>
          <w:tcPr>
            <w:tcW w:w="1365" w:type="dxa"/>
            <w:hideMark/>
          </w:tcPr>
          <w:p w14:paraId="6E29406D"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Absorption</w:t>
            </w:r>
          </w:p>
        </w:tc>
        <w:tc>
          <w:tcPr>
            <w:tcW w:w="1179" w:type="dxa"/>
            <w:hideMark/>
          </w:tcPr>
          <w:p w14:paraId="3F9974C2"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Cotton rolls</w:t>
            </w:r>
          </w:p>
        </w:tc>
        <w:tc>
          <w:tcPr>
            <w:tcW w:w="1178" w:type="dxa"/>
            <w:hideMark/>
          </w:tcPr>
          <w:p w14:paraId="7D210453"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648" w:type="dxa"/>
            <w:gridSpan w:val="2"/>
            <w:hideMark/>
          </w:tcPr>
          <w:p w14:paraId="76AFD9C9" w14:textId="6D28BAEA" w:rsidR="00D05AB4" w:rsidRPr="00333A96" w:rsidRDefault="001E3817"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2874" w:type="dxa"/>
            <w:hideMark/>
          </w:tcPr>
          <w:p w14:paraId="5342FB1D"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Age, sex, and pubertal stage were demographic variables that did not predict sAA or cortisol levels. At all three salivary collection periods, sAA levels were significantly higher in children with higher levels of social anxiety, although cortisol levels did not follow a similar trend.</w:t>
            </w:r>
          </w:p>
        </w:tc>
      </w:tr>
      <w:tr w:rsidR="00D05AB4" w:rsidRPr="00CC2F10" w14:paraId="70EBAB8E" w14:textId="77777777" w:rsidTr="00CC2F10">
        <w:trPr>
          <w:cnfStyle w:val="000000100000" w:firstRow="0" w:lastRow="0" w:firstColumn="0" w:lastColumn="0" w:oddVBand="0" w:evenVBand="0" w:oddHBand="1" w:evenHBand="0" w:firstRowFirstColumn="0" w:firstRowLastColumn="0" w:lastRowFirstColumn="0" w:lastRowLastColumn="0"/>
          <w:trHeight w:val="1872"/>
        </w:trPr>
        <w:tc>
          <w:tcPr>
            <w:cnfStyle w:val="001000000000" w:firstRow="0" w:lastRow="0" w:firstColumn="1" w:lastColumn="0" w:oddVBand="0" w:evenVBand="0" w:oddHBand="0" w:evenHBand="0" w:firstRowFirstColumn="0" w:firstRowLastColumn="0" w:lastRowFirstColumn="0" w:lastRowLastColumn="0"/>
            <w:tcW w:w="1560" w:type="dxa"/>
            <w:noWrap/>
            <w:hideMark/>
          </w:tcPr>
          <w:p w14:paraId="188C5071"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Peedikayil et al. 2022</w:t>
            </w:r>
          </w:p>
        </w:tc>
        <w:tc>
          <w:tcPr>
            <w:tcW w:w="1413" w:type="dxa"/>
            <w:noWrap/>
            <w:hideMark/>
          </w:tcPr>
          <w:p w14:paraId="59F6C542"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India</w:t>
            </w:r>
          </w:p>
        </w:tc>
        <w:tc>
          <w:tcPr>
            <w:tcW w:w="837" w:type="dxa"/>
            <w:noWrap/>
            <w:hideMark/>
          </w:tcPr>
          <w:p w14:paraId="6AFA5662"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RCT</w:t>
            </w:r>
          </w:p>
        </w:tc>
        <w:tc>
          <w:tcPr>
            <w:tcW w:w="878" w:type="dxa"/>
            <w:noWrap/>
            <w:hideMark/>
          </w:tcPr>
          <w:p w14:paraId="20D0CC8A"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80</w:t>
            </w:r>
          </w:p>
        </w:tc>
        <w:tc>
          <w:tcPr>
            <w:tcW w:w="1577" w:type="dxa"/>
            <w:hideMark/>
          </w:tcPr>
          <w:p w14:paraId="05438302"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12-14 (13.4±?)</w:t>
            </w:r>
          </w:p>
        </w:tc>
        <w:tc>
          <w:tcPr>
            <w:tcW w:w="1794" w:type="dxa"/>
            <w:hideMark/>
          </w:tcPr>
          <w:p w14:paraId="0A059209"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Assess and contrast the impact of oil pulling therapy using sesame oil and virgin coconut oil versus Chlorhexidine (CHX) gargling and plain water gargling on the pH, buffering capacity, and total antioxidant capacity of saliva.</w:t>
            </w:r>
          </w:p>
        </w:tc>
        <w:tc>
          <w:tcPr>
            <w:tcW w:w="1365" w:type="dxa"/>
            <w:hideMark/>
          </w:tcPr>
          <w:p w14:paraId="12C0207D"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Spitting</w:t>
            </w:r>
          </w:p>
        </w:tc>
        <w:tc>
          <w:tcPr>
            <w:tcW w:w="1179" w:type="dxa"/>
            <w:hideMark/>
          </w:tcPr>
          <w:p w14:paraId="6FAB1E3E" w14:textId="15387862" w:rsidR="00D05AB4" w:rsidRPr="00333A96" w:rsidRDefault="001E3817"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1178" w:type="dxa"/>
            <w:hideMark/>
          </w:tcPr>
          <w:p w14:paraId="12B431A1"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648" w:type="dxa"/>
            <w:gridSpan w:val="2"/>
            <w:hideMark/>
          </w:tcPr>
          <w:p w14:paraId="25E09FC4" w14:textId="0FB255FA" w:rsidR="00D05AB4" w:rsidRPr="00333A96" w:rsidRDefault="001E3817"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2874" w:type="dxa"/>
            <w:hideMark/>
          </w:tcPr>
          <w:p w14:paraId="355DF779"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Salivary buffering capacity significantly increased after oil pulling with coconut oil and sesame oil as well as after gargling with CHX.</w:t>
            </w:r>
          </w:p>
        </w:tc>
      </w:tr>
      <w:tr w:rsidR="00BB05A0" w:rsidRPr="00CC2F10" w14:paraId="74A253E8" w14:textId="77777777" w:rsidTr="00CC2F10">
        <w:trPr>
          <w:trHeight w:val="1560"/>
        </w:trPr>
        <w:tc>
          <w:tcPr>
            <w:cnfStyle w:val="001000000000" w:firstRow="0" w:lastRow="0" w:firstColumn="1" w:lastColumn="0" w:oddVBand="0" w:evenVBand="0" w:oddHBand="0" w:evenHBand="0" w:firstRowFirstColumn="0" w:firstRowLastColumn="0" w:lastRowFirstColumn="0" w:lastRowLastColumn="0"/>
            <w:tcW w:w="1560" w:type="dxa"/>
            <w:noWrap/>
            <w:hideMark/>
          </w:tcPr>
          <w:p w14:paraId="1C21552F"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lastRenderedPageBreak/>
              <w:t>Peker et al. 2014</w:t>
            </w:r>
          </w:p>
        </w:tc>
        <w:tc>
          <w:tcPr>
            <w:tcW w:w="1413" w:type="dxa"/>
            <w:noWrap/>
            <w:hideMark/>
          </w:tcPr>
          <w:p w14:paraId="45CDA372"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Turkey</w:t>
            </w:r>
          </w:p>
        </w:tc>
        <w:tc>
          <w:tcPr>
            <w:tcW w:w="837" w:type="dxa"/>
            <w:noWrap/>
            <w:hideMark/>
          </w:tcPr>
          <w:p w14:paraId="7D042F2B"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Cohort</w:t>
            </w:r>
          </w:p>
        </w:tc>
        <w:tc>
          <w:tcPr>
            <w:tcW w:w="878" w:type="dxa"/>
            <w:noWrap/>
            <w:hideMark/>
          </w:tcPr>
          <w:p w14:paraId="24926DE6"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60</w:t>
            </w:r>
          </w:p>
        </w:tc>
        <w:tc>
          <w:tcPr>
            <w:tcW w:w="1577" w:type="dxa"/>
            <w:hideMark/>
          </w:tcPr>
          <w:p w14:paraId="208ECBFA"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(9.9±1.4)</w:t>
            </w:r>
          </w:p>
        </w:tc>
        <w:tc>
          <w:tcPr>
            <w:tcW w:w="1794" w:type="dxa"/>
            <w:hideMark/>
          </w:tcPr>
          <w:p w14:paraId="2133EADF"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Examine dental caries and MIH-related factors, including treatment, diet, brushing, and salivary factors, in children with CF</w:t>
            </w:r>
          </w:p>
        </w:tc>
        <w:tc>
          <w:tcPr>
            <w:tcW w:w="1365" w:type="dxa"/>
            <w:hideMark/>
          </w:tcPr>
          <w:p w14:paraId="5FC63790"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Spitting</w:t>
            </w:r>
          </w:p>
        </w:tc>
        <w:tc>
          <w:tcPr>
            <w:tcW w:w="1179" w:type="dxa"/>
            <w:hideMark/>
          </w:tcPr>
          <w:p w14:paraId="524E8540"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Cup</w:t>
            </w:r>
          </w:p>
        </w:tc>
        <w:tc>
          <w:tcPr>
            <w:tcW w:w="1178" w:type="dxa"/>
            <w:hideMark/>
          </w:tcPr>
          <w:p w14:paraId="295ABE58"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 &amp; SS</w:t>
            </w:r>
          </w:p>
        </w:tc>
        <w:tc>
          <w:tcPr>
            <w:tcW w:w="1648" w:type="dxa"/>
            <w:gridSpan w:val="2"/>
            <w:hideMark/>
          </w:tcPr>
          <w:p w14:paraId="1945047F"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1h fasting before sampling </w:t>
            </w:r>
          </w:p>
        </w:tc>
        <w:tc>
          <w:tcPr>
            <w:tcW w:w="2874" w:type="dxa"/>
            <w:hideMark/>
          </w:tcPr>
          <w:p w14:paraId="07CA3D67"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Children with CF had a significantly lower DMF-T score; Antibiotic usage did not significantly correlate with caries in CF children.</w:t>
            </w:r>
            <w:r w:rsidRPr="00333A96">
              <w:rPr>
                <w:rFonts w:ascii="Times New Roman" w:eastAsia="Times New Roman" w:hAnsi="Times New Roman" w:cs="Times New Roman"/>
                <w:sz w:val="18"/>
                <w:szCs w:val="18"/>
                <w:lang w:val="en-GB" w:eastAsia="nl-NL"/>
              </w:rPr>
              <w:br/>
              <w:t>2) Factors as salivary pH and proper oral hygiene might have a protective role for the oral health of CF children, whereas medication and diet could be considered as risk factors for dental caries.</w:t>
            </w:r>
          </w:p>
        </w:tc>
      </w:tr>
      <w:tr w:rsidR="00D05AB4" w:rsidRPr="00CC2F10" w14:paraId="1B82132D" w14:textId="77777777" w:rsidTr="00CC2F10">
        <w:trPr>
          <w:cnfStyle w:val="000000100000" w:firstRow="0" w:lastRow="0" w:firstColumn="0" w:lastColumn="0" w:oddVBand="0" w:evenVBand="0" w:oddHBand="1" w:evenHBand="0" w:firstRowFirstColumn="0" w:firstRowLastColumn="0" w:lastRowFirstColumn="0" w:lastRowLastColumn="0"/>
          <w:trHeight w:val="1872"/>
        </w:trPr>
        <w:tc>
          <w:tcPr>
            <w:cnfStyle w:val="001000000000" w:firstRow="0" w:lastRow="0" w:firstColumn="1" w:lastColumn="0" w:oddVBand="0" w:evenVBand="0" w:oddHBand="0" w:evenHBand="0" w:firstRowFirstColumn="0" w:firstRowLastColumn="0" w:lastRowFirstColumn="0" w:lastRowLastColumn="0"/>
            <w:tcW w:w="1560" w:type="dxa"/>
            <w:noWrap/>
            <w:hideMark/>
          </w:tcPr>
          <w:p w14:paraId="1279F407"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Peker et al. 2015</w:t>
            </w:r>
          </w:p>
        </w:tc>
        <w:tc>
          <w:tcPr>
            <w:tcW w:w="1413" w:type="dxa"/>
            <w:noWrap/>
            <w:hideMark/>
          </w:tcPr>
          <w:p w14:paraId="6B93770C"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Turkey</w:t>
            </w:r>
          </w:p>
        </w:tc>
        <w:tc>
          <w:tcPr>
            <w:tcW w:w="837" w:type="dxa"/>
            <w:noWrap/>
            <w:hideMark/>
          </w:tcPr>
          <w:p w14:paraId="134B04A4"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Cohort</w:t>
            </w:r>
          </w:p>
        </w:tc>
        <w:tc>
          <w:tcPr>
            <w:tcW w:w="878" w:type="dxa"/>
            <w:noWrap/>
            <w:hideMark/>
          </w:tcPr>
          <w:p w14:paraId="3FFDD607"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47</w:t>
            </w:r>
          </w:p>
        </w:tc>
        <w:tc>
          <w:tcPr>
            <w:tcW w:w="1577" w:type="dxa"/>
            <w:hideMark/>
          </w:tcPr>
          <w:p w14:paraId="0808AB34"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3-12 (?)</w:t>
            </w:r>
          </w:p>
        </w:tc>
        <w:tc>
          <w:tcPr>
            <w:tcW w:w="1794" w:type="dxa"/>
            <w:hideMark/>
          </w:tcPr>
          <w:p w14:paraId="4F9CA981"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Compare oral health status and salivary pH, flow rate, and thromboplastic activity in children with CF and healthy controls</w:t>
            </w:r>
          </w:p>
        </w:tc>
        <w:tc>
          <w:tcPr>
            <w:tcW w:w="1365" w:type="dxa"/>
            <w:hideMark/>
          </w:tcPr>
          <w:p w14:paraId="481F9BDF"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Spitting</w:t>
            </w:r>
          </w:p>
        </w:tc>
        <w:tc>
          <w:tcPr>
            <w:tcW w:w="1179" w:type="dxa"/>
            <w:hideMark/>
          </w:tcPr>
          <w:p w14:paraId="7FAB83F6"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Funnel</w:t>
            </w:r>
          </w:p>
        </w:tc>
        <w:tc>
          <w:tcPr>
            <w:tcW w:w="1178" w:type="dxa"/>
            <w:hideMark/>
          </w:tcPr>
          <w:p w14:paraId="71F27F48"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648" w:type="dxa"/>
            <w:gridSpan w:val="2"/>
            <w:hideMark/>
          </w:tcPr>
          <w:p w14:paraId="7F09E45D" w14:textId="60CBC1A1" w:rsidR="00D05AB4" w:rsidRPr="00333A96" w:rsidRDefault="001E3817"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2874" w:type="dxa"/>
            <w:hideMark/>
          </w:tcPr>
          <w:p w14:paraId="398AC3B0"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No significant differences between children with CF and healthy controls: teeth brushing frequency, usage of fluoride tablets, caries experience, dental erosion index, oral hygiene index, salivary flow rate, and total protein levels.</w:t>
            </w:r>
            <w:r w:rsidRPr="00333A96">
              <w:rPr>
                <w:rFonts w:ascii="Times New Roman" w:eastAsia="Times New Roman" w:hAnsi="Times New Roman" w:cs="Times New Roman"/>
                <w:sz w:val="18"/>
                <w:szCs w:val="18"/>
                <w:lang w:val="en-GB" w:eastAsia="nl-NL"/>
              </w:rPr>
              <w:br/>
              <w:t>2) The CF group's salivary thromboplastic activity was significantly lower than that of the healthy controls.</w:t>
            </w:r>
          </w:p>
        </w:tc>
      </w:tr>
      <w:tr w:rsidR="00BB05A0" w:rsidRPr="00CC2F10" w14:paraId="0F0B1AE7" w14:textId="77777777" w:rsidTr="00CC2F10">
        <w:trPr>
          <w:trHeight w:val="2184"/>
        </w:trPr>
        <w:tc>
          <w:tcPr>
            <w:cnfStyle w:val="001000000000" w:firstRow="0" w:lastRow="0" w:firstColumn="1" w:lastColumn="0" w:oddVBand="0" w:evenVBand="0" w:oddHBand="0" w:evenHBand="0" w:firstRowFirstColumn="0" w:firstRowLastColumn="0" w:lastRowFirstColumn="0" w:lastRowLastColumn="0"/>
            <w:tcW w:w="1560" w:type="dxa"/>
            <w:noWrap/>
            <w:hideMark/>
          </w:tcPr>
          <w:p w14:paraId="68266FD3"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Perala et al. 2016</w:t>
            </w:r>
          </w:p>
        </w:tc>
        <w:tc>
          <w:tcPr>
            <w:tcW w:w="1413" w:type="dxa"/>
            <w:noWrap/>
            <w:hideMark/>
          </w:tcPr>
          <w:p w14:paraId="259CE0A0"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India</w:t>
            </w:r>
          </w:p>
        </w:tc>
        <w:tc>
          <w:tcPr>
            <w:tcW w:w="837" w:type="dxa"/>
            <w:noWrap/>
            <w:hideMark/>
          </w:tcPr>
          <w:p w14:paraId="0E620DFB"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RCT</w:t>
            </w:r>
          </w:p>
        </w:tc>
        <w:tc>
          <w:tcPr>
            <w:tcW w:w="878" w:type="dxa"/>
            <w:noWrap/>
            <w:hideMark/>
          </w:tcPr>
          <w:p w14:paraId="62BEFDF8"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1000</w:t>
            </w:r>
          </w:p>
        </w:tc>
        <w:tc>
          <w:tcPr>
            <w:tcW w:w="1577" w:type="dxa"/>
            <w:hideMark/>
          </w:tcPr>
          <w:p w14:paraId="5421FE3E"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6-14 (?)</w:t>
            </w:r>
          </w:p>
        </w:tc>
        <w:tc>
          <w:tcPr>
            <w:tcW w:w="1794" w:type="dxa"/>
            <w:hideMark/>
          </w:tcPr>
          <w:p w14:paraId="3723609F"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Compare the clinical effectiveness of four fluoride mouth rinses on SM in children at high risk for dental caries.</w:t>
            </w:r>
          </w:p>
        </w:tc>
        <w:tc>
          <w:tcPr>
            <w:tcW w:w="1365" w:type="dxa"/>
            <w:hideMark/>
          </w:tcPr>
          <w:p w14:paraId="633E9444"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Spitting</w:t>
            </w:r>
          </w:p>
        </w:tc>
        <w:tc>
          <w:tcPr>
            <w:tcW w:w="1179" w:type="dxa"/>
            <w:hideMark/>
          </w:tcPr>
          <w:p w14:paraId="72CAF31B"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Funnel</w:t>
            </w:r>
          </w:p>
        </w:tc>
        <w:tc>
          <w:tcPr>
            <w:tcW w:w="1178" w:type="dxa"/>
            <w:hideMark/>
          </w:tcPr>
          <w:p w14:paraId="6EDD3D0E"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SS</w:t>
            </w:r>
          </w:p>
        </w:tc>
        <w:tc>
          <w:tcPr>
            <w:tcW w:w="1648" w:type="dxa"/>
            <w:gridSpan w:val="2"/>
            <w:hideMark/>
          </w:tcPr>
          <w:p w14:paraId="387C31CE" w14:textId="1E56C86A" w:rsidR="00D05AB4" w:rsidRPr="00333A96" w:rsidRDefault="001E3817"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2874" w:type="dxa"/>
            <w:hideMark/>
          </w:tcPr>
          <w:p w14:paraId="0F8F7F16"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1)The studied mouthwashes significantly decreased the number of SM CFUs.</w:t>
            </w:r>
            <w:r w:rsidRPr="00333A96">
              <w:rPr>
                <w:rFonts w:ascii="Times New Roman" w:eastAsia="Times New Roman" w:hAnsi="Times New Roman" w:cs="Times New Roman"/>
                <w:sz w:val="18"/>
                <w:szCs w:val="18"/>
                <w:lang w:val="en-GB" w:eastAsia="nl-NL"/>
              </w:rPr>
              <w:br/>
              <w:t xml:space="preserve">2) The most significant percentage decrease of SM was seen in the mouthwash containing S flo. </w:t>
            </w:r>
            <w:r w:rsidRPr="00333A96">
              <w:rPr>
                <w:rFonts w:ascii="Times New Roman" w:eastAsia="Times New Roman" w:hAnsi="Times New Roman" w:cs="Times New Roman"/>
                <w:sz w:val="18"/>
                <w:szCs w:val="18"/>
                <w:lang w:val="en-GB" w:eastAsia="nl-NL"/>
              </w:rPr>
              <w:br/>
              <w:t>3) No significant difference in the reduction of SM levels between the Triclosan-containing and non-Triclosan groups.</w:t>
            </w:r>
          </w:p>
        </w:tc>
      </w:tr>
      <w:tr w:rsidR="00D05AB4" w:rsidRPr="00CC2F10" w14:paraId="03D16F74" w14:textId="77777777" w:rsidTr="00CC2F10">
        <w:trPr>
          <w:cnfStyle w:val="000000100000" w:firstRow="0" w:lastRow="0" w:firstColumn="0" w:lastColumn="0" w:oddVBand="0" w:evenVBand="0" w:oddHBand="1" w:evenHBand="0" w:firstRowFirstColumn="0" w:firstRowLastColumn="0" w:lastRowFirstColumn="0" w:lastRowLastColumn="0"/>
          <w:trHeight w:val="1131"/>
        </w:trPr>
        <w:tc>
          <w:tcPr>
            <w:cnfStyle w:val="001000000000" w:firstRow="0" w:lastRow="0" w:firstColumn="1" w:lastColumn="0" w:oddVBand="0" w:evenVBand="0" w:oddHBand="0" w:evenHBand="0" w:firstRowFirstColumn="0" w:firstRowLastColumn="0" w:lastRowFirstColumn="0" w:lastRowLastColumn="0"/>
            <w:tcW w:w="1560" w:type="dxa"/>
            <w:noWrap/>
            <w:hideMark/>
          </w:tcPr>
          <w:p w14:paraId="3813D454"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Pereira et al. 2019</w:t>
            </w:r>
          </w:p>
        </w:tc>
        <w:tc>
          <w:tcPr>
            <w:tcW w:w="1413" w:type="dxa"/>
            <w:noWrap/>
            <w:hideMark/>
          </w:tcPr>
          <w:p w14:paraId="6BC56E22"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Portugal</w:t>
            </w:r>
          </w:p>
        </w:tc>
        <w:tc>
          <w:tcPr>
            <w:tcW w:w="837" w:type="dxa"/>
            <w:noWrap/>
            <w:hideMark/>
          </w:tcPr>
          <w:p w14:paraId="101F0378"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10D4C27A"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38</w:t>
            </w:r>
          </w:p>
        </w:tc>
        <w:tc>
          <w:tcPr>
            <w:tcW w:w="1577" w:type="dxa"/>
            <w:hideMark/>
          </w:tcPr>
          <w:p w14:paraId="4D35786B"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4-16 (?)</w:t>
            </w:r>
          </w:p>
        </w:tc>
        <w:tc>
          <w:tcPr>
            <w:tcW w:w="1794" w:type="dxa"/>
            <w:hideMark/>
          </w:tcPr>
          <w:p w14:paraId="17598042"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Compare the metabolic profiles of stimulated and unstimulated saliva using 1H-NMR spectroscopy, and to evaluate the feasibility of using passive drooling vs SalivaBio's Children's Swab </w:t>
            </w:r>
          </w:p>
        </w:tc>
        <w:tc>
          <w:tcPr>
            <w:tcW w:w="1365" w:type="dxa"/>
            <w:hideMark/>
          </w:tcPr>
          <w:p w14:paraId="5F9A2038"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Drooling, spitting, absorption</w:t>
            </w:r>
          </w:p>
        </w:tc>
        <w:tc>
          <w:tcPr>
            <w:tcW w:w="1179" w:type="dxa"/>
            <w:hideMark/>
          </w:tcPr>
          <w:p w14:paraId="36D2DFAF"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SalivaBio Children's Swab, tube</w:t>
            </w:r>
          </w:p>
        </w:tc>
        <w:tc>
          <w:tcPr>
            <w:tcW w:w="1178" w:type="dxa"/>
            <w:hideMark/>
          </w:tcPr>
          <w:p w14:paraId="52DC0029"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 &amp; SS</w:t>
            </w:r>
          </w:p>
        </w:tc>
        <w:tc>
          <w:tcPr>
            <w:tcW w:w="1648" w:type="dxa"/>
            <w:gridSpan w:val="2"/>
            <w:hideMark/>
          </w:tcPr>
          <w:p w14:paraId="5CFEF897"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Drooling: US, Spitting: SS, Absorption: US</w:t>
            </w:r>
          </w:p>
        </w:tc>
        <w:tc>
          <w:tcPr>
            <w:tcW w:w="2874" w:type="dxa"/>
            <w:hideMark/>
          </w:tcPr>
          <w:p w14:paraId="3C938E93" w14:textId="64C1855B"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No significant differences in US or SS.</w:t>
            </w:r>
            <w:r w:rsidRPr="00333A96">
              <w:rPr>
                <w:rFonts w:ascii="Times New Roman" w:eastAsia="Times New Roman" w:hAnsi="Times New Roman" w:cs="Times New Roman"/>
                <w:sz w:val="18"/>
                <w:szCs w:val="18"/>
                <w:lang w:val="en-GB" w:eastAsia="nl-NL"/>
              </w:rPr>
              <w:br/>
              <w:t>2)</w:t>
            </w:r>
            <w:r w:rsidR="00FB437A">
              <w:rPr>
                <w:rFonts w:ascii="Times New Roman" w:eastAsia="Times New Roman" w:hAnsi="Times New Roman" w:cs="Times New Roman"/>
                <w:sz w:val="18"/>
                <w:szCs w:val="18"/>
                <w:lang w:val="en-GB" w:eastAsia="nl-NL"/>
              </w:rPr>
              <w:t xml:space="preserve"> </w:t>
            </w:r>
            <w:r w:rsidRPr="00333A96">
              <w:rPr>
                <w:rFonts w:ascii="Times New Roman" w:eastAsia="Times New Roman" w:hAnsi="Times New Roman" w:cs="Times New Roman"/>
                <w:sz w:val="18"/>
                <w:szCs w:val="18"/>
                <w:lang w:val="en-GB" w:eastAsia="nl-NL"/>
              </w:rPr>
              <w:t>Passive drool collection was better to utilizing an absorbent device since it resulted in less changes in sample composition.</w:t>
            </w:r>
          </w:p>
        </w:tc>
      </w:tr>
      <w:tr w:rsidR="00BB05A0" w:rsidRPr="00CC2F10" w14:paraId="7CC1B65E" w14:textId="77777777" w:rsidTr="00CC2F10">
        <w:trPr>
          <w:trHeight w:val="1248"/>
        </w:trPr>
        <w:tc>
          <w:tcPr>
            <w:cnfStyle w:val="001000000000" w:firstRow="0" w:lastRow="0" w:firstColumn="1" w:lastColumn="0" w:oddVBand="0" w:evenVBand="0" w:oddHBand="0" w:evenHBand="0" w:firstRowFirstColumn="0" w:firstRowLastColumn="0" w:lastRowFirstColumn="0" w:lastRowLastColumn="0"/>
            <w:tcW w:w="1560" w:type="dxa"/>
            <w:noWrap/>
            <w:hideMark/>
          </w:tcPr>
          <w:p w14:paraId="14AD64A6"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lastRenderedPageBreak/>
              <w:t>Peros et al. 2011</w:t>
            </w:r>
          </w:p>
        </w:tc>
        <w:tc>
          <w:tcPr>
            <w:tcW w:w="1413" w:type="dxa"/>
            <w:noWrap/>
            <w:hideMark/>
          </w:tcPr>
          <w:p w14:paraId="5AFAEDEC"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Croatia</w:t>
            </w:r>
          </w:p>
        </w:tc>
        <w:tc>
          <w:tcPr>
            <w:tcW w:w="837" w:type="dxa"/>
            <w:noWrap/>
            <w:hideMark/>
          </w:tcPr>
          <w:p w14:paraId="67866AB9"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2AB91BF1"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23</w:t>
            </w:r>
          </w:p>
        </w:tc>
        <w:tc>
          <w:tcPr>
            <w:tcW w:w="1577" w:type="dxa"/>
            <w:hideMark/>
          </w:tcPr>
          <w:p w14:paraId="1A71B323"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12-17 (14.04±1.52)</w:t>
            </w:r>
          </w:p>
        </w:tc>
        <w:tc>
          <w:tcPr>
            <w:tcW w:w="1794" w:type="dxa"/>
            <w:hideMark/>
          </w:tcPr>
          <w:p w14:paraId="16F1FD3D"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Ascertain the physiologic alterations in salivary flow rate, pH, buffer capacity, and levels of SM and </w:t>
            </w:r>
            <w:r w:rsidRPr="0074566B">
              <w:rPr>
                <w:rFonts w:ascii="Times New Roman" w:eastAsia="Times New Roman" w:hAnsi="Times New Roman" w:cs="Times New Roman"/>
                <w:i/>
                <w:iCs/>
                <w:sz w:val="18"/>
                <w:szCs w:val="18"/>
                <w:lang w:val="en-GB" w:eastAsia="nl-NL"/>
              </w:rPr>
              <w:t>Lactobacillus spp</w:t>
            </w:r>
            <w:r w:rsidRPr="00333A96">
              <w:rPr>
                <w:rFonts w:ascii="Times New Roman" w:eastAsia="Times New Roman" w:hAnsi="Times New Roman" w:cs="Times New Roman"/>
                <w:sz w:val="18"/>
                <w:szCs w:val="18"/>
                <w:lang w:val="en-GB" w:eastAsia="nl-NL"/>
              </w:rPr>
              <w:t>. in patients receiving fixed orthodontic treatment</w:t>
            </w:r>
          </w:p>
        </w:tc>
        <w:tc>
          <w:tcPr>
            <w:tcW w:w="1365" w:type="dxa"/>
            <w:hideMark/>
          </w:tcPr>
          <w:p w14:paraId="5C8CD77D"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Spitting</w:t>
            </w:r>
          </w:p>
        </w:tc>
        <w:tc>
          <w:tcPr>
            <w:tcW w:w="1179" w:type="dxa"/>
            <w:hideMark/>
          </w:tcPr>
          <w:p w14:paraId="2233B772"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Cup</w:t>
            </w:r>
          </w:p>
        </w:tc>
        <w:tc>
          <w:tcPr>
            <w:tcW w:w="1178" w:type="dxa"/>
            <w:hideMark/>
          </w:tcPr>
          <w:p w14:paraId="35114C82"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SS</w:t>
            </w:r>
          </w:p>
        </w:tc>
        <w:tc>
          <w:tcPr>
            <w:tcW w:w="1648" w:type="dxa"/>
            <w:gridSpan w:val="2"/>
            <w:hideMark/>
          </w:tcPr>
          <w:p w14:paraId="73B0E4A0"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1h fasting before sampling </w:t>
            </w:r>
          </w:p>
        </w:tc>
        <w:tc>
          <w:tcPr>
            <w:tcW w:w="2874" w:type="dxa"/>
            <w:hideMark/>
          </w:tcPr>
          <w:p w14:paraId="643FC050"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Both salivary pH and stimulated salivary flow rate significantly increased after fixed orthodontic treatment. Salivary levels of SM and </w:t>
            </w:r>
            <w:r w:rsidRPr="0074566B">
              <w:rPr>
                <w:rFonts w:ascii="Times New Roman" w:eastAsia="Times New Roman" w:hAnsi="Times New Roman" w:cs="Times New Roman"/>
                <w:i/>
                <w:iCs/>
                <w:sz w:val="18"/>
                <w:szCs w:val="18"/>
                <w:lang w:val="en-GB" w:eastAsia="nl-NL"/>
              </w:rPr>
              <w:t>Lactobacillus spp</w:t>
            </w:r>
            <w:r w:rsidRPr="00333A96">
              <w:rPr>
                <w:rFonts w:ascii="Times New Roman" w:eastAsia="Times New Roman" w:hAnsi="Times New Roman" w:cs="Times New Roman"/>
                <w:sz w:val="18"/>
                <w:szCs w:val="18"/>
                <w:lang w:val="en-GB" w:eastAsia="nl-NL"/>
              </w:rPr>
              <w:t>. also significantly increased (peaking week 12).</w:t>
            </w:r>
          </w:p>
        </w:tc>
      </w:tr>
      <w:tr w:rsidR="00D05AB4" w:rsidRPr="00CC2F10" w14:paraId="6C5D97F2" w14:textId="77777777" w:rsidTr="00CC2F10">
        <w:trPr>
          <w:cnfStyle w:val="000000100000" w:firstRow="0" w:lastRow="0" w:firstColumn="0" w:lastColumn="0" w:oddVBand="0" w:evenVBand="0" w:oddHBand="1" w:evenHBand="0" w:firstRowFirstColumn="0" w:firstRowLastColumn="0" w:lastRowFirstColumn="0" w:lastRowLastColumn="0"/>
          <w:trHeight w:val="1560"/>
        </w:trPr>
        <w:tc>
          <w:tcPr>
            <w:cnfStyle w:val="001000000000" w:firstRow="0" w:lastRow="0" w:firstColumn="1" w:lastColumn="0" w:oddVBand="0" w:evenVBand="0" w:oddHBand="0" w:evenHBand="0" w:firstRowFirstColumn="0" w:firstRowLastColumn="0" w:lastRowFirstColumn="0" w:lastRowLastColumn="0"/>
            <w:tcW w:w="1560" w:type="dxa"/>
            <w:noWrap/>
            <w:hideMark/>
          </w:tcPr>
          <w:p w14:paraId="2E7E3746"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Petrini et al. 2014</w:t>
            </w:r>
          </w:p>
        </w:tc>
        <w:tc>
          <w:tcPr>
            <w:tcW w:w="1413" w:type="dxa"/>
            <w:noWrap/>
            <w:hideMark/>
          </w:tcPr>
          <w:p w14:paraId="3B1B4D79"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Italy</w:t>
            </w:r>
          </w:p>
        </w:tc>
        <w:tc>
          <w:tcPr>
            <w:tcW w:w="837" w:type="dxa"/>
            <w:noWrap/>
            <w:hideMark/>
          </w:tcPr>
          <w:p w14:paraId="2177FB04"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12E59D0D"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50</w:t>
            </w:r>
          </w:p>
        </w:tc>
        <w:tc>
          <w:tcPr>
            <w:tcW w:w="1577" w:type="dxa"/>
            <w:hideMark/>
          </w:tcPr>
          <w:p w14:paraId="0DC6B1F9"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5-13 (9±2)</w:t>
            </w:r>
          </w:p>
        </w:tc>
        <w:tc>
          <w:tcPr>
            <w:tcW w:w="1794" w:type="dxa"/>
            <w:hideMark/>
          </w:tcPr>
          <w:p w14:paraId="1AA6646B"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Assess the correlation between the oral condition, salivary b-galactosidases, and organoleptic scores in children to aid in distinguishing the causes of halitosis</w:t>
            </w:r>
          </w:p>
        </w:tc>
        <w:tc>
          <w:tcPr>
            <w:tcW w:w="1365" w:type="dxa"/>
            <w:hideMark/>
          </w:tcPr>
          <w:p w14:paraId="7C6710DE"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Spitting</w:t>
            </w:r>
          </w:p>
        </w:tc>
        <w:tc>
          <w:tcPr>
            <w:tcW w:w="1179" w:type="dxa"/>
            <w:hideMark/>
          </w:tcPr>
          <w:p w14:paraId="18FF171A" w14:textId="09EA5C49" w:rsidR="00D05AB4" w:rsidRPr="00333A96" w:rsidRDefault="001E3817"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1178" w:type="dxa"/>
            <w:hideMark/>
          </w:tcPr>
          <w:p w14:paraId="0D25FD11"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648" w:type="dxa"/>
            <w:gridSpan w:val="2"/>
            <w:hideMark/>
          </w:tcPr>
          <w:p w14:paraId="056A26A2"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2h fasting before sampling</w:t>
            </w:r>
          </w:p>
        </w:tc>
        <w:tc>
          <w:tcPr>
            <w:tcW w:w="2874" w:type="dxa"/>
            <w:hideMark/>
          </w:tcPr>
          <w:p w14:paraId="5458C3D5"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Clinical measures including tongue coating score and visible PI as well as organoleptic ratings had a significant association with the quantity of salivary b-galactosidases.</w:t>
            </w:r>
            <w:r w:rsidRPr="00333A96">
              <w:rPr>
                <w:rFonts w:ascii="Times New Roman" w:eastAsia="Times New Roman" w:hAnsi="Times New Roman" w:cs="Times New Roman"/>
                <w:sz w:val="18"/>
                <w:szCs w:val="18"/>
                <w:lang w:val="en-GB" w:eastAsia="nl-NL"/>
              </w:rPr>
              <w:br/>
              <w:t xml:space="preserve">2) Halitosis in children was associated with significantly higher organoleptic ratings and b-galactosidase levels. </w:t>
            </w:r>
          </w:p>
        </w:tc>
      </w:tr>
      <w:tr w:rsidR="00BB05A0" w:rsidRPr="00CC2F10" w14:paraId="635467AF" w14:textId="77777777" w:rsidTr="00CC2F10">
        <w:trPr>
          <w:trHeight w:val="2184"/>
        </w:trPr>
        <w:tc>
          <w:tcPr>
            <w:cnfStyle w:val="001000000000" w:firstRow="0" w:lastRow="0" w:firstColumn="1" w:lastColumn="0" w:oddVBand="0" w:evenVBand="0" w:oddHBand="0" w:evenHBand="0" w:firstRowFirstColumn="0" w:firstRowLastColumn="0" w:lastRowFirstColumn="0" w:lastRowLastColumn="0"/>
            <w:tcW w:w="1560" w:type="dxa"/>
            <w:noWrap/>
            <w:hideMark/>
          </w:tcPr>
          <w:p w14:paraId="5D9B0963"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Petrovic et al. 2022</w:t>
            </w:r>
          </w:p>
        </w:tc>
        <w:tc>
          <w:tcPr>
            <w:tcW w:w="1413" w:type="dxa"/>
            <w:noWrap/>
            <w:hideMark/>
          </w:tcPr>
          <w:p w14:paraId="1FC3F927"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Serbia</w:t>
            </w:r>
          </w:p>
        </w:tc>
        <w:tc>
          <w:tcPr>
            <w:tcW w:w="837" w:type="dxa"/>
            <w:noWrap/>
            <w:hideMark/>
          </w:tcPr>
          <w:p w14:paraId="3C3A0D02"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CC</w:t>
            </w:r>
          </w:p>
        </w:tc>
        <w:tc>
          <w:tcPr>
            <w:tcW w:w="878" w:type="dxa"/>
            <w:noWrap/>
            <w:hideMark/>
          </w:tcPr>
          <w:p w14:paraId="1A11D647"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40</w:t>
            </w:r>
          </w:p>
        </w:tc>
        <w:tc>
          <w:tcPr>
            <w:tcW w:w="1577" w:type="dxa"/>
            <w:hideMark/>
          </w:tcPr>
          <w:p w14:paraId="39561F62"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0-6 (?)</w:t>
            </w:r>
          </w:p>
        </w:tc>
        <w:tc>
          <w:tcPr>
            <w:tcW w:w="1794" w:type="dxa"/>
            <w:hideMark/>
          </w:tcPr>
          <w:p w14:paraId="37FED848"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Assess the level of leptin and adiponectin in children with S-ECC's saliva, as well as their antioxidant status</w:t>
            </w:r>
          </w:p>
        </w:tc>
        <w:tc>
          <w:tcPr>
            <w:tcW w:w="1365" w:type="dxa"/>
            <w:hideMark/>
          </w:tcPr>
          <w:p w14:paraId="46BC084A"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Spitting</w:t>
            </w:r>
          </w:p>
        </w:tc>
        <w:tc>
          <w:tcPr>
            <w:tcW w:w="1179" w:type="dxa"/>
            <w:hideMark/>
          </w:tcPr>
          <w:p w14:paraId="3696D952"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container</w:t>
            </w:r>
          </w:p>
        </w:tc>
        <w:tc>
          <w:tcPr>
            <w:tcW w:w="1178" w:type="dxa"/>
            <w:hideMark/>
          </w:tcPr>
          <w:p w14:paraId="541C01D8"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648" w:type="dxa"/>
            <w:gridSpan w:val="2"/>
            <w:hideMark/>
          </w:tcPr>
          <w:p w14:paraId="517F9A41"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1) 1h fasting before sampling </w:t>
            </w:r>
            <w:r w:rsidRPr="00333A96">
              <w:rPr>
                <w:rFonts w:ascii="Times New Roman" w:eastAsia="Times New Roman" w:hAnsi="Times New Roman" w:cs="Times New Roman"/>
                <w:sz w:val="18"/>
                <w:szCs w:val="18"/>
                <w:lang w:val="en-GB" w:eastAsia="nl-NL"/>
              </w:rPr>
              <w:br/>
              <w:t>2) Younger children not more than 2 min</w:t>
            </w:r>
          </w:p>
        </w:tc>
        <w:tc>
          <w:tcPr>
            <w:tcW w:w="2874" w:type="dxa"/>
            <w:hideMark/>
          </w:tcPr>
          <w:p w14:paraId="274D80D6"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1)Children with S-ECC had significantly greater amounts of salivary leptin.</w:t>
            </w:r>
            <w:r w:rsidRPr="00333A96">
              <w:rPr>
                <w:rFonts w:ascii="Times New Roman" w:eastAsia="Times New Roman" w:hAnsi="Times New Roman" w:cs="Times New Roman"/>
                <w:sz w:val="18"/>
                <w:szCs w:val="18"/>
                <w:lang w:val="en-GB" w:eastAsia="nl-NL"/>
              </w:rPr>
              <w:br/>
              <w:t>2) Children with S-ECC and children without caries had similar amounts of salivary adiponectin, TAC, and FRAP, respectively.</w:t>
            </w:r>
          </w:p>
        </w:tc>
      </w:tr>
      <w:tr w:rsidR="00D05AB4" w:rsidRPr="00CC2F10" w14:paraId="0B411467" w14:textId="77777777" w:rsidTr="00CC2F10">
        <w:trPr>
          <w:cnfStyle w:val="000000100000" w:firstRow="0" w:lastRow="0" w:firstColumn="0" w:lastColumn="0" w:oddVBand="0" w:evenVBand="0" w:oddHBand="1" w:evenHBand="0" w:firstRowFirstColumn="0" w:firstRowLastColumn="0" w:lastRowFirstColumn="0" w:lastRowLastColumn="0"/>
          <w:trHeight w:val="1872"/>
        </w:trPr>
        <w:tc>
          <w:tcPr>
            <w:cnfStyle w:val="001000000000" w:firstRow="0" w:lastRow="0" w:firstColumn="1" w:lastColumn="0" w:oddVBand="0" w:evenVBand="0" w:oddHBand="0" w:evenHBand="0" w:firstRowFirstColumn="0" w:firstRowLastColumn="0" w:lastRowFirstColumn="0" w:lastRowLastColumn="0"/>
            <w:tcW w:w="1560" w:type="dxa"/>
            <w:noWrap/>
            <w:hideMark/>
          </w:tcPr>
          <w:p w14:paraId="381A8B87"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Polak et al. 2020</w:t>
            </w:r>
          </w:p>
        </w:tc>
        <w:tc>
          <w:tcPr>
            <w:tcW w:w="1413" w:type="dxa"/>
            <w:noWrap/>
            <w:hideMark/>
          </w:tcPr>
          <w:p w14:paraId="6D67838C"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Israel</w:t>
            </w:r>
          </w:p>
        </w:tc>
        <w:tc>
          <w:tcPr>
            <w:tcW w:w="837" w:type="dxa"/>
            <w:noWrap/>
            <w:hideMark/>
          </w:tcPr>
          <w:p w14:paraId="372E72F8"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0BFD5728"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47</w:t>
            </w:r>
          </w:p>
        </w:tc>
        <w:tc>
          <w:tcPr>
            <w:tcW w:w="1577" w:type="dxa"/>
            <w:hideMark/>
          </w:tcPr>
          <w:p w14:paraId="110562D0"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(9±4.2)</w:t>
            </w:r>
          </w:p>
        </w:tc>
        <w:tc>
          <w:tcPr>
            <w:tcW w:w="1794" w:type="dxa"/>
            <w:hideMark/>
          </w:tcPr>
          <w:p w14:paraId="16AC91C4"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Compare salivary cytokines and total protein between children with NS and healthy children</w:t>
            </w:r>
          </w:p>
        </w:tc>
        <w:tc>
          <w:tcPr>
            <w:tcW w:w="1365" w:type="dxa"/>
            <w:hideMark/>
          </w:tcPr>
          <w:p w14:paraId="7560DBA0"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Spitting</w:t>
            </w:r>
          </w:p>
        </w:tc>
        <w:tc>
          <w:tcPr>
            <w:tcW w:w="1179" w:type="dxa"/>
            <w:hideMark/>
          </w:tcPr>
          <w:p w14:paraId="1FD677A6"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Tube </w:t>
            </w:r>
          </w:p>
        </w:tc>
        <w:tc>
          <w:tcPr>
            <w:tcW w:w="1178" w:type="dxa"/>
            <w:hideMark/>
          </w:tcPr>
          <w:p w14:paraId="01B8CBCA"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648" w:type="dxa"/>
            <w:gridSpan w:val="2"/>
            <w:hideMark/>
          </w:tcPr>
          <w:p w14:paraId="296EA581"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1h fasting before sampling </w:t>
            </w:r>
          </w:p>
        </w:tc>
        <w:tc>
          <w:tcPr>
            <w:tcW w:w="2874" w:type="dxa"/>
            <w:hideMark/>
          </w:tcPr>
          <w:p w14:paraId="14D00449"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1)Salivary total protein and cytokines (except IFNγ) were significantly lower in NS children than in healthy children, suggesting possible NS biomarkers.</w:t>
            </w:r>
            <w:r w:rsidRPr="00333A96">
              <w:rPr>
                <w:rFonts w:ascii="Times New Roman" w:eastAsia="Times New Roman" w:hAnsi="Times New Roman" w:cs="Times New Roman"/>
                <w:sz w:val="18"/>
                <w:szCs w:val="18"/>
                <w:lang w:val="en-GB" w:eastAsia="nl-NL"/>
              </w:rPr>
              <w:br/>
              <w:t>2) Children with active NS had lower amounts of salivary protein and IL-8 than those in remission, suggesting that salivary indicators may be helpful in differentiating between disease activity stages.</w:t>
            </w:r>
          </w:p>
        </w:tc>
      </w:tr>
      <w:tr w:rsidR="00BB05A0" w:rsidRPr="00CC2F10" w14:paraId="40DB3F8E" w14:textId="77777777" w:rsidTr="00CC2F10">
        <w:trPr>
          <w:trHeight w:val="1248"/>
        </w:trPr>
        <w:tc>
          <w:tcPr>
            <w:cnfStyle w:val="001000000000" w:firstRow="0" w:lastRow="0" w:firstColumn="1" w:lastColumn="0" w:oddVBand="0" w:evenVBand="0" w:oddHBand="0" w:evenHBand="0" w:firstRowFirstColumn="0" w:firstRowLastColumn="0" w:lastRowFirstColumn="0" w:lastRowLastColumn="0"/>
            <w:tcW w:w="1560" w:type="dxa"/>
            <w:noWrap/>
            <w:hideMark/>
          </w:tcPr>
          <w:p w14:paraId="5AB86984"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lastRenderedPageBreak/>
              <w:t>Poletto et al. 2021</w:t>
            </w:r>
          </w:p>
        </w:tc>
        <w:tc>
          <w:tcPr>
            <w:tcW w:w="1413" w:type="dxa"/>
            <w:noWrap/>
            <w:hideMark/>
          </w:tcPr>
          <w:p w14:paraId="6FB4CC56"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Brazil</w:t>
            </w:r>
          </w:p>
        </w:tc>
        <w:tc>
          <w:tcPr>
            <w:tcW w:w="837" w:type="dxa"/>
            <w:noWrap/>
            <w:hideMark/>
          </w:tcPr>
          <w:p w14:paraId="060FE1DA"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2A581D2C"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120</w:t>
            </w:r>
          </w:p>
        </w:tc>
        <w:tc>
          <w:tcPr>
            <w:tcW w:w="1577" w:type="dxa"/>
            <w:hideMark/>
          </w:tcPr>
          <w:p w14:paraId="1163E493"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3-6 (54.2m±9.5)</w:t>
            </w:r>
          </w:p>
        </w:tc>
        <w:tc>
          <w:tcPr>
            <w:tcW w:w="1794" w:type="dxa"/>
            <w:hideMark/>
          </w:tcPr>
          <w:p w14:paraId="404488BC"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Determine the concentrations of Al, Cu, Fe, Mn, and Zn in the saliva of children taking part in an oral hygiene program and investigate the connection to dental caries</w:t>
            </w:r>
          </w:p>
        </w:tc>
        <w:tc>
          <w:tcPr>
            <w:tcW w:w="1365" w:type="dxa"/>
            <w:hideMark/>
          </w:tcPr>
          <w:p w14:paraId="203E6A04"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Suction</w:t>
            </w:r>
          </w:p>
        </w:tc>
        <w:tc>
          <w:tcPr>
            <w:tcW w:w="1179" w:type="dxa"/>
            <w:hideMark/>
          </w:tcPr>
          <w:p w14:paraId="1575ED81"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Pipette</w:t>
            </w:r>
          </w:p>
        </w:tc>
        <w:tc>
          <w:tcPr>
            <w:tcW w:w="1178" w:type="dxa"/>
            <w:hideMark/>
          </w:tcPr>
          <w:p w14:paraId="68251D5E"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648" w:type="dxa"/>
            <w:gridSpan w:val="2"/>
            <w:hideMark/>
          </w:tcPr>
          <w:p w14:paraId="72E47F21" w14:textId="7CB76228" w:rsidR="00D05AB4" w:rsidRPr="00333A96" w:rsidRDefault="001E3817"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2874" w:type="dxa"/>
            <w:hideMark/>
          </w:tcPr>
          <w:p w14:paraId="42EE08FA" w14:textId="3D713D5A"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Preschoolers with dental caries were found to have significantly higher Mn and Fe salivary concentrations; </w:t>
            </w:r>
            <w:r w:rsidR="0074566B" w:rsidRPr="00333A96">
              <w:rPr>
                <w:rFonts w:ascii="Times New Roman" w:eastAsia="Times New Roman" w:hAnsi="Times New Roman" w:cs="Times New Roman"/>
                <w:sz w:val="18"/>
                <w:szCs w:val="18"/>
                <w:lang w:val="en-GB" w:eastAsia="nl-NL"/>
              </w:rPr>
              <w:t>So,</w:t>
            </w:r>
            <w:r w:rsidRPr="00333A96">
              <w:rPr>
                <w:rFonts w:ascii="Times New Roman" w:eastAsia="Times New Roman" w:hAnsi="Times New Roman" w:cs="Times New Roman"/>
                <w:sz w:val="18"/>
                <w:szCs w:val="18"/>
                <w:lang w:val="en-GB" w:eastAsia="nl-NL"/>
              </w:rPr>
              <w:t xml:space="preserve"> this indicate a probable connection between trace elements and tooth caries and imply that these elements may be involved in the metabolism of cariogenic bacteria.</w:t>
            </w:r>
          </w:p>
        </w:tc>
      </w:tr>
      <w:tr w:rsidR="00D05AB4" w:rsidRPr="00333A96" w14:paraId="7FD0BB6F" w14:textId="77777777" w:rsidTr="00CC2F10">
        <w:trPr>
          <w:cnfStyle w:val="000000100000" w:firstRow="0" w:lastRow="0" w:firstColumn="0" w:lastColumn="0" w:oddVBand="0" w:evenVBand="0" w:oddHBand="1" w:evenHBand="0" w:firstRowFirstColumn="0" w:firstRowLastColumn="0" w:lastRowFirstColumn="0" w:lastRowLastColumn="0"/>
          <w:trHeight w:val="1248"/>
        </w:trPr>
        <w:tc>
          <w:tcPr>
            <w:cnfStyle w:val="001000000000" w:firstRow="0" w:lastRow="0" w:firstColumn="1" w:lastColumn="0" w:oddVBand="0" w:evenVBand="0" w:oddHBand="0" w:evenHBand="0" w:firstRowFirstColumn="0" w:firstRowLastColumn="0" w:lastRowFirstColumn="0" w:lastRowLastColumn="0"/>
            <w:tcW w:w="1560" w:type="dxa"/>
            <w:noWrap/>
            <w:hideMark/>
          </w:tcPr>
          <w:p w14:paraId="3621F12B"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Popma et al. 2007</w:t>
            </w:r>
          </w:p>
        </w:tc>
        <w:tc>
          <w:tcPr>
            <w:tcW w:w="1413" w:type="dxa"/>
            <w:noWrap/>
            <w:hideMark/>
          </w:tcPr>
          <w:p w14:paraId="4F2DDC81"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The Netherlands</w:t>
            </w:r>
          </w:p>
        </w:tc>
        <w:tc>
          <w:tcPr>
            <w:tcW w:w="837" w:type="dxa"/>
            <w:noWrap/>
            <w:hideMark/>
          </w:tcPr>
          <w:p w14:paraId="2D71318F"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6A86F59E"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103</w:t>
            </w:r>
          </w:p>
        </w:tc>
        <w:tc>
          <w:tcPr>
            <w:tcW w:w="1577" w:type="dxa"/>
            <w:hideMark/>
          </w:tcPr>
          <w:p w14:paraId="568990DA"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12-14 (13.68±0.74)</w:t>
            </w:r>
          </w:p>
        </w:tc>
        <w:tc>
          <w:tcPr>
            <w:tcW w:w="1794" w:type="dxa"/>
            <w:hideMark/>
          </w:tcPr>
          <w:p w14:paraId="7686EEF5"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Examine the impact of cortisol as a moderator on the association between testosterone and various forms of aggression in male adolescents with a history of delinquency</w:t>
            </w:r>
          </w:p>
        </w:tc>
        <w:tc>
          <w:tcPr>
            <w:tcW w:w="1365" w:type="dxa"/>
            <w:hideMark/>
          </w:tcPr>
          <w:p w14:paraId="318A1F32"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Absorption</w:t>
            </w:r>
          </w:p>
        </w:tc>
        <w:tc>
          <w:tcPr>
            <w:tcW w:w="1179" w:type="dxa"/>
            <w:hideMark/>
          </w:tcPr>
          <w:p w14:paraId="1ADB941D"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Salivette</w:t>
            </w:r>
          </w:p>
        </w:tc>
        <w:tc>
          <w:tcPr>
            <w:tcW w:w="1178" w:type="dxa"/>
            <w:hideMark/>
          </w:tcPr>
          <w:p w14:paraId="74CDD2EE"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US </w:t>
            </w:r>
          </w:p>
        </w:tc>
        <w:tc>
          <w:tcPr>
            <w:tcW w:w="1648" w:type="dxa"/>
            <w:gridSpan w:val="2"/>
            <w:hideMark/>
          </w:tcPr>
          <w:p w14:paraId="1721EFB9"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30min fasting before sampling</w:t>
            </w:r>
          </w:p>
        </w:tc>
        <w:tc>
          <w:tcPr>
            <w:tcW w:w="2874" w:type="dxa"/>
            <w:hideMark/>
          </w:tcPr>
          <w:p w14:paraId="0BF6380B"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Testosterone and overt aggressiveness showed a significant interaction between cortisol and testosterone in participants with low cortisol levels, but not in subjects with high cortisol levels.</w:t>
            </w:r>
            <w:r w:rsidRPr="00333A96">
              <w:rPr>
                <w:rFonts w:ascii="Times New Roman" w:eastAsia="Times New Roman" w:hAnsi="Times New Roman" w:cs="Times New Roman"/>
                <w:sz w:val="18"/>
                <w:szCs w:val="18"/>
                <w:lang w:val="en-GB" w:eastAsia="nl-NL"/>
              </w:rPr>
              <w:br/>
              <w:t>2) For covert aggressiveness, no significant impacts were discovered.</w:t>
            </w:r>
          </w:p>
        </w:tc>
      </w:tr>
      <w:tr w:rsidR="00BB05A0" w:rsidRPr="00CC2F10" w14:paraId="2E5F27E5" w14:textId="77777777" w:rsidTr="00CC2F10">
        <w:trPr>
          <w:trHeight w:val="1248"/>
        </w:trPr>
        <w:tc>
          <w:tcPr>
            <w:cnfStyle w:val="001000000000" w:firstRow="0" w:lastRow="0" w:firstColumn="1" w:lastColumn="0" w:oddVBand="0" w:evenVBand="0" w:oddHBand="0" w:evenHBand="0" w:firstRowFirstColumn="0" w:firstRowLastColumn="0" w:lastRowFirstColumn="0" w:lastRowLastColumn="0"/>
            <w:tcW w:w="1560" w:type="dxa"/>
            <w:noWrap/>
            <w:hideMark/>
          </w:tcPr>
          <w:p w14:paraId="05B38F6F"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Poureslami et al. 2017</w:t>
            </w:r>
          </w:p>
        </w:tc>
        <w:tc>
          <w:tcPr>
            <w:tcW w:w="1413" w:type="dxa"/>
            <w:noWrap/>
            <w:hideMark/>
          </w:tcPr>
          <w:p w14:paraId="54923D69"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Iran</w:t>
            </w:r>
          </w:p>
        </w:tc>
        <w:tc>
          <w:tcPr>
            <w:tcW w:w="837" w:type="dxa"/>
            <w:noWrap/>
            <w:hideMark/>
          </w:tcPr>
          <w:p w14:paraId="094AC5CE"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14932F74"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25</w:t>
            </w:r>
          </w:p>
        </w:tc>
        <w:tc>
          <w:tcPr>
            <w:tcW w:w="1577" w:type="dxa"/>
            <w:hideMark/>
          </w:tcPr>
          <w:p w14:paraId="6D9030C8"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6-9 (?)</w:t>
            </w:r>
          </w:p>
        </w:tc>
        <w:tc>
          <w:tcPr>
            <w:tcW w:w="1794" w:type="dxa"/>
            <w:hideMark/>
          </w:tcPr>
          <w:p w14:paraId="4FAC58F9"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Compare the usage of CPP-ACP paste to CPP-ACPF paste in terms of the levels of calcium, phosphate, and fluoride in the plaque and saliva of children with ECC</w:t>
            </w:r>
          </w:p>
        </w:tc>
        <w:tc>
          <w:tcPr>
            <w:tcW w:w="1365" w:type="dxa"/>
            <w:hideMark/>
          </w:tcPr>
          <w:p w14:paraId="21DE2D17"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Spitting</w:t>
            </w:r>
          </w:p>
        </w:tc>
        <w:tc>
          <w:tcPr>
            <w:tcW w:w="1179" w:type="dxa"/>
            <w:hideMark/>
          </w:tcPr>
          <w:p w14:paraId="63747CA8"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Container</w:t>
            </w:r>
          </w:p>
        </w:tc>
        <w:tc>
          <w:tcPr>
            <w:tcW w:w="1178" w:type="dxa"/>
            <w:hideMark/>
          </w:tcPr>
          <w:p w14:paraId="06DF26CE"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648" w:type="dxa"/>
            <w:gridSpan w:val="2"/>
            <w:hideMark/>
          </w:tcPr>
          <w:p w14:paraId="39E06449" w14:textId="5ECADE1E" w:rsidR="00D05AB4" w:rsidRPr="00333A96" w:rsidRDefault="001E3817"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2874" w:type="dxa"/>
            <w:hideMark/>
          </w:tcPr>
          <w:p w14:paraId="707407E1"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Saliva and tooth plaque both showed greater amounts of calcium, phosphate, and fluoride after using CPP-ACPF and CPP-ACP pastes.</w:t>
            </w:r>
            <w:r w:rsidRPr="00333A96">
              <w:rPr>
                <w:rFonts w:ascii="Times New Roman" w:eastAsia="Times New Roman" w:hAnsi="Times New Roman" w:cs="Times New Roman"/>
                <w:sz w:val="18"/>
                <w:szCs w:val="18"/>
                <w:lang w:val="en-GB" w:eastAsia="nl-NL"/>
              </w:rPr>
              <w:br/>
              <w:t>2) In comparison to CPP-ACP, CPP-ACPF demonstrated a significantly higher salivary fluoride concentration,</w:t>
            </w:r>
          </w:p>
        </w:tc>
      </w:tr>
      <w:tr w:rsidR="00D05AB4" w:rsidRPr="00CC2F10" w14:paraId="612EBA7E" w14:textId="77777777" w:rsidTr="00CC2F10">
        <w:trPr>
          <w:cnfStyle w:val="000000100000" w:firstRow="0" w:lastRow="0" w:firstColumn="0" w:lastColumn="0" w:oddVBand="0" w:evenVBand="0" w:oddHBand="1" w:evenHBand="0" w:firstRowFirstColumn="0" w:firstRowLastColumn="0" w:lastRowFirstColumn="0" w:lastRowLastColumn="0"/>
          <w:trHeight w:val="936"/>
        </w:trPr>
        <w:tc>
          <w:tcPr>
            <w:cnfStyle w:val="001000000000" w:firstRow="0" w:lastRow="0" w:firstColumn="1" w:lastColumn="0" w:oddVBand="0" w:evenVBand="0" w:oddHBand="0" w:evenHBand="0" w:firstRowFirstColumn="0" w:firstRowLastColumn="0" w:lastRowFirstColumn="0" w:lastRowLastColumn="0"/>
            <w:tcW w:w="1560" w:type="dxa"/>
            <w:noWrap/>
            <w:hideMark/>
          </w:tcPr>
          <w:p w14:paraId="138A3810"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Poureslami et al. 2018</w:t>
            </w:r>
          </w:p>
        </w:tc>
        <w:tc>
          <w:tcPr>
            <w:tcW w:w="1413" w:type="dxa"/>
            <w:noWrap/>
            <w:hideMark/>
          </w:tcPr>
          <w:p w14:paraId="3895764F"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Iran</w:t>
            </w:r>
          </w:p>
        </w:tc>
        <w:tc>
          <w:tcPr>
            <w:tcW w:w="837" w:type="dxa"/>
            <w:noWrap/>
            <w:hideMark/>
          </w:tcPr>
          <w:p w14:paraId="58E88CE3"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CC</w:t>
            </w:r>
          </w:p>
        </w:tc>
        <w:tc>
          <w:tcPr>
            <w:tcW w:w="878" w:type="dxa"/>
            <w:noWrap/>
            <w:hideMark/>
          </w:tcPr>
          <w:p w14:paraId="6C71D8A6"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50</w:t>
            </w:r>
          </w:p>
        </w:tc>
        <w:tc>
          <w:tcPr>
            <w:tcW w:w="1577" w:type="dxa"/>
            <w:hideMark/>
          </w:tcPr>
          <w:p w14:paraId="66913FA1"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5-6 (?)</w:t>
            </w:r>
          </w:p>
        </w:tc>
        <w:tc>
          <w:tcPr>
            <w:tcW w:w="1794" w:type="dxa"/>
            <w:hideMark/>
          </w:tcPr>
          <w:p w14:paraId="6D42EFE8"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Compare children with ECC to healthy children's salivary glucose levels</w:t>
            </w:r>
          </w:p>
        </w:tc>
        <w:tc>
          <w:tcPr>
            <w:tcW w:w="1365" w:type="dxa"/>
            <w:hideMark/>
          </w:tcPr>
          <w:p w14:paraId="3BFA911E"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Spitting</w:t>
            </w:r>
          </w:p>
        </w:tc>
        <w:tc>
          <w:tcPr>
            <w:tcW w:w="1179" w:type="dxa"/>
            <w:hideMark/>
          </w:tcPr>
          <w:p w14:paraId="169DECDD"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Container</w:t>
            </w:r>
          </w:p>
        </w:tc>
        <w:tc>
          <w:tcPr>
            <w:tcW w:w="1178" w:type="dxa"/>
            <w:hideMark/>
          </w:tcPr>
          <w:p w14:paraId="4394A045"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SS</w:t>
            </w:r>
          </w:p>
        </w:tc>
        <w:tc>
          <w:tcPr>
            <w:tcW w:w="1648" w:type="dxa"/>
            <w:gridSpan w:val="2"/>
            <w:hideMark/>
          </w:tcPr>
          <w:p w14:paraId="37D54392"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1h fasting before sampling </w:t>
            </w:r>
          </w:p>
        </w:tc>
        <w:tc>
          <w:tcPr>
            <w:tcW w:w="2874" w:type="dxa"/>
            <w:hideMark/>
          </w:tcPr>
          <w:p w14:paraId="0B8DFCFA"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Children with ECC had similar salivary glucose levels to the control group, with no significant difference. </w:t>
            </w:r>
          </w:p>
        </w:tc>
      </w:tr>
      <w:tr w:rsidR="00BB05A0" w:rsidRPr="00CC2F10" w14:paraId="5BE14695" w14:textId="77777777" w:rsidTr="00CC2F10">
        <w:trPr>
          <w:trHeight w:val="1872"/>
        </w:trPr>
        <w:tc>
          <w:tcPr>
            <w:cnfStyle w:val="001000000000" w:firstRow="0" w:lastRow="0" w:firstColumn="1" w:lastColumn="0" w:oddVBand="0" w:evenVBand="0" w:oddHBand="0" w:evenHBand="0" w:firstRowFirstColumn="0" w:firstRowLastColumn="0" w:lastRowFirstColumn="0" w:lastRowLastColumn="0"/>
            <w:tcW w:w="1560" w:type="dxa"/>
            <w:noWrap/>
            <w:hideMark/>
          </w:tcPr>
          <w:p w14:paraId="58B54C0A"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Preethi et al. 2010</w:t>
            </w:r>
          </w:p>
        </w:tc>
        <w:tc>
          <w:tcPr>
            <w:tcW w:w="1413" w:type="dxa"/>
            <w:noWrap/>
            <w:hideMark/>
          </w:tcPr>
          <w:p w14:paraId="3E32F46C"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India</w:t>
            </w:r>
          </w:p>
        </w:tc>
        <w:tc>
          <w:tcPr>
            <w:tcW w:w="837" w:type="dxa"/>
            <w:noWrap/>
            <w:hideMark/>
          </w:tcPr>
          <w:p w14:paraId="43D7B671"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457ED369"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120</w:t>
            </w:r>
          </w:p>
        </w:tc>
        <w:tc>
          <w:tcPr>
            <w:tcW w:w="1577" w:type="dxa"/>
            <w:hideMark/>
          </w:tcPr>
          <w:p w14:paraId="2D812C20"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7-14 (?)</w:t>
            </w:r>
          </w:p>
        </w:tc>
        <w:tc>
          <w:tcPr>
            <w:tcW w:w="1794" w:type="dxa"/>
            <w:hideMark/>
          </w:tcPr>
          <w:p w14:paraId="4F869E51"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Assess the connection between the physicochemical characteristics of saliva in children with and without caries</w:t>
            </w:r>
          </w:p>
        </w:tc>
        <w:tc>
          <w:tcPr>
            <w:tcW w:w="1365" w:type="dxa"/>
            <w:hideMark/>
          </w:tcPr>
          <w:p w14:paraId="7A746955"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Spitting, suction</w:t>
            </w:r>
          </w:p>
        </w:tc>
        <w:tc>
          <w:tcPr>
            <w:tcW w:w="1179" w:type="dxa"/>
            <w:hideMark/>
          </w:tcPr>
          <w:p w14:paraId="5EF9CEE6"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Cylinders</w:t>
            </w:r>
          </w:p>
        </w:tc>
        <w:tc>
          <w:tcPr>
            <w:tcW w:w="1178" w:type="dxa"/>
            <w:hideMark/>
          </w:tcPr>
          <w:p w14:paraId="3083327C"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648" w:type="dxa"/>
            <w:gridSpan w:val="2"/>
            <w:hideMark/>
          </w:tcPr>
          <w:p w14:paraId="34348C39" w14:textId="0DD99BAA" w:rsidR="00D05AB4" w:rsidRPr="00333A96" w:rsidRDefault="001E3817"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2874" w:type="dxa"/>
            <w:hideMark/>
          </w:tcPr>
          <w:p w14:paraId="5EF443FE"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1) Children with caries exhibited somewhat lower flow rates, pHs, and buffering capacities than those without cavities. </w:t>
            </w:r>
            <w:r w:rsidRPr="00333A96">
              <w:rPr>
                <w:rFonts w:ascii="Times New Roman" w:eastAsia="Times New Roman" w:hAnsi="Times New Roman" w:cs="Times New Roman"/>
                <w:sz w:val="18"/>
                <w:szCs w:val="18"/>
                <w:lang w:val="en-GB" w:eastAsia="nl-NL"/>
              </w:rPr>
              <w:br/>
              <w:t xml:space="preserve">2) Total protein and antioxidant capacity levels were significantly higher in caries-active children whereas total calcium levels were significantly lower. Children's dental caries are significantly </w:t>
            </w:r>
            <w:r w:rsidRPr="00333A96">
              <w:rPr>
                <w:rFonts w:ascii="Times New Roman" w:eastAsia="Times New Roman" w:hAnsi="Times New Roman" w:cs="Times New Roman"/>
                <w:sz w:val="18"/>
                <w:szCs w:val="18"/>
                <w:lang w:val="en-GB" w:eastAsia="nl-NL"/>
              </w:rPr>
              <w:lastRenderedPageBreak/>
              <w:t>influenced by the physicochemical characteristics of saliva.</w:t>
            </w:r>
          </w:p>
        </w:tc>
      </w:tr>
      <w:tr w:rsidR="00D05AB4" w:rsidRPr="00CC2F10" w14:paraId="6F09E8A6" w14:textId="77777777" w:rsidTr="00CC2F10">
        <w:trPr>
          <w:cnfStyle w:val="000000100000" w:firstRow="0" w:lastRow="0" w:firstColumn="0" w:lastColumn="0" w:oddVBand="0" w:evenVBand="0" w:oddHBand="1" w:evenHBand="0" w:firstRowFirstColumn="0" w:firstRowLastColumn="0" w:lastRowFirstColumn="0" w:lastRowLastColumn="0"/>
          <w:trHeight w:val="1248"/>
        </w:trPr>
        <w:tc>
          <w:tcPr>
            <w:cnfStyle w:val="001000000000" w:firstRow="0" w:lastRow="0" w:firstColumn="1" w:lastColumn="0" w:oddVBand="0" w:evenVBand="0" w:oddHBand="0" w:evenHBand="0" w:firstRowFirstColumn="0" w:firstRowLastColumn="0" w:lastRowFirstColumn="0" w:lastRowLastColumn="0"/>
            <w:tcW w:w="1560" w:type="dxa"/>
            <w:noWrap/>
            <w:hideMark/>
          </w:tcPr>
          <w:p w14:paraId="6C5D9DC4"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lastRenderedPageBreak/>
              <w:t>Ravikumar et al. 2021</w:t>
            </w:r>
          </w:p>
        </w:tc>
        <w:tc>
          <w:tcPr>
            <w:tcW w:w="1413" w:type="dxa"/>
            <w:noWrap/>
            <w:hideMark/>
          </w:tcPr>
          <w:p w14:paraId="5E7A47A9"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India</w:t>
            </w:r>
          </w:p>
        </w:tc>
        <w:tc>
          <w:tcPr>
            <w:tcW w:w="837" w:type="dxa"/>
            <w:noWrap/>
            <w:hideMark/>
          </w:tcPr>
          <w:p w14:paraId="141C081F"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12704C0E"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60</w:t>
            </w:r>
          </w:p>
        </w:tc>
        <w:tc>
          <w:tcPr>
            <w:tcW w:w="1577" w:type="dxa"/>
            <w:hideMark/>
          </w:tcPr>
          <w:p w14:paraId="792270CD"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3-6 (?)</w:t>
            </w:r>
          </w:p>
        </w:tc>
        <w:tc>
          <w:tcPr>
            <w:tcW w:w="1794" w:type="dxa"/>
            <w:hideMark/>
          </w:tcPr>
          <w:p w14:paraId="394E5FC2"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Measure the amounts of malondialdehyde in the saliva and compare them to those of the three groups of children who had different caries experiences</w:t>
            </w:r>
          </w:p>
        </w:tc>
        <w:tc>
          <w:tcPr>
            <w:tcW w:w="1365" w:type="dxa"/>
            <w:hideMark/>
          </w:tcPr>
          <w:p w14:paraId="0EBC75EA"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Spitting</w:t>
            </w:r>
          </w:p>
        </w:tc>
        <w:tc>
          <w:tcPr>
            <w:tcW w:w="1179" w:type="dxa"/>
            <w:hideMark/>
          </w:tcPr>
          <w:p w14:paraId="6F043CB7"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Container</w:t>
            </w:r>
          </w:p>
        </w:tc>
        <w:tc>
          <w:tcPr>
            <w:tcW w:w="1178" w:type="dxa"/>
            <w:hideMark/>
          </w:tcPr>
          <w:p w14:paraId="109A26DA"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648" w:type="dxa"/>
            <w:gridSpan w:val="2"/>
            <w:hideMark/>
          </w:tcPr>
          <w:p w14:paraId="04D1421B"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2h fasting before sampling</w:t>
            </w:r>
          </w:p>
        </w:tc>
        <w:tc>
          <w:tcPr>
            <w:tcW w:w="2874" w:type="dxa"/>
            <w:hideMark/>
          </w:tcPr>
          <w:p w14:paraId="6AE1AF2B"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A significant variation between children with caries, ECC children, and S-ECC children in terms of salivary malondialdehyde levels.</w:t>
            </w:r>
            <w:r w:rsidRPr="00333A96">
              <w:rPr>
                <w:rFonts w:ascii="Times New Roman" w:eastAsia="Times New Roman" w:hAnsi="Times New Roman" w:cs="Times New Roman"/>
                <w:sz w:val="18"/>
                <w:szCs w:val="18"/>
                <w:lang w:val="en-GB" w:eastAsia="nl-NL"/>
              </w:rPr>
              <w:br/>
              <w:t>2) In children with ECC and S-ECC, there is a positive association between salivary malondialdehyde levels and pufa score.</w:t>
            </w:r>
          </w:p>
        </w:tc>
      </w:tr>
      <w:tr w:rsidR="00BB05A0" w:rsidRPr="00CC2F10" w14:paraId="3254F6A8" w14:textId="77777777" w:rsidTr="00CC2F10">
        <w:trPr>
          <w:trHeight w:val="1248"/>
        </w:trPr>
        <w:tc>
          <w:tcPr>
            <w:cnfStyle w:val="001000000000" w:firstRow="0" w:lastRow="0" w:firstColumn="1" w:lastColumn="0" w:oddVBand="0" w:evenVBand="0" w:oddHBand="0" w:evenHBand="0" w:firstRowFirstColumn="0" w:firstRowLastColumn="0" w:lastRowFirstColumn="0" w:lastRowLastColumn="0"/>
            <w:tcW w:w="1560" w:type="dxa"/>
            <w:noWrap/>
            <w:hideMark/>
          </w:tcPr>
          <w:p w14:paraId="6A2F1506"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Razi et al. 2020</w:t>
            </w:r>
          </w:p>
        </w:tc>
        <w:tc>
          <w:tcPr>
            <w:tcW w:w="1413" w:type="dxa"/>
            <w:noWrap/>
            <w:hideMark/>
          </w:tcPr>
          <w:p w14:paraId="2B46769A"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India</w:t>
            </w:r>
          </w:p>
        </w:tc>
        <w:tc>
          <w:tcPr>
            <w:tcW w:w="837" w:type="dxa"/>
            <w:noWrap/>
            <w:hideMark/>
          </w:tcPr>
          <w:p w14:paraId="4940A93E"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50A98B4F"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82</w:t>
            </w:r>
          </w:p>
        </w:tc>
        <w:tc>
          <w:tcPr>
            <w:tcW w:w="1577" w:type="dxa"/>
            <w:hideMark/>
          </w:tcPr>
          <w:p w14:paraId="13524319"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12-15 (?)</w:t>
            </w:r>
          </w:p>
        </w:tc>
        <w:tc>
          <w:tcPr>
            <w:tcW w:w="1794" w:type="dxa"/>
            <w:hideMark/>
          </w:tcPr>
          <w:p w14:paraId="55E4D10D"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Contrast children with and without caries in terms of the levels of salivary IgA, IgG, proteins, calcium, inorganic phosphorus, and alkaline phosphatase</w:t>
            </w:r>
          </w:p>
        </w:tc>
        <w:tc>
          <w:tcPr>
            <w:tcW w:w="1365" w:type="dxa"/>
            <w:hideMark/>
          </w:tcPr>
          <w:p w14:paraId="4634B7B0"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Drooling</w:t>
            </w:r>
          </w:p>
        </w:tc>
        <w:tc>
          <w:tcPr>
            <w:tcW w:w="1179" w:type="dxa"/>
            <w:hideMark/>
          </w:tcPr>
          <w:p w14:paraId="6F77BE37"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container</w:t>
            </w:r>
          </w:p>
        </w:tc>
        <w:tc>
          <w:tcPr>
            <w:tcW w:w="1178" w:type="dxa"/>
            <w:hideMark/>
          </w:tcPr>
          <w:p w14:paraId="5FC937AB"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648" w:type="dxa"/>
            <w:gridSpan w:val="2"/>
            <w:hideMark/>
          </w:tcPr>
          <w:p w14:paraId="45698658"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90min fasting before sampling</w:t>
            </w:r>
          </w:p>
        </w:tc>
        <w:tc>
          <w:tcPr>
            <w:tcW w:w="2874" w:type="dxa"/>
            <w:hideMark/>
          </w:tcPr>
          <w:p w14:paraId="7C53B508"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Comparing children with and without caries, those without caries showed significantly greater levels of salivary IgA. Children with active caries had significantly greater salivary protein concentrations.</w:t>
            </w:r>
          </w:p>
        </w:tc>
      </w:tr>
      <w:tr w:rsidR="00D05AB4" w:rsidRPr="00333A96" w14:paraId="2463A440" w14:textId="77777777" w:rsidTr="00CC2F10">
        <w:trPr>
          <w:cnfStyle w:val="000000100000" w:firstRow="0" w:lastRow="0" w:firstColumn="0" w:lastColumn="0" w:oddVBand="0" w:evenVBand="0" w:oddHBand="1" w:evenHBand="0" w:firstRowFirstColumn="0" w:firstRowLastColumn="0" w:lastRowFirstColumn="0" w:lastRowLastColumn="0"/>
          <w:trHeight w:val="1560"/>
        </w:trPr>
        <w:tc>
          <w:tcPr>
            <w:cnfStyle w:val="001000000000" w:firstRow="0" w:lastRow="0" w:firstColumn="1" w:lastColumn="0" w:oddVBand="0" w:evenVBand="0" w:oddHBand="0" w:evenHBand="0" w:firstRowFirstColumn="0" w:firstRowLastColumn="0" w:lastRowFirstColumn="0" w:lastRowLastColumn="0"/>
            <w:tcW w:w="1560" w:type="dxa"/>
            <w:noWrap/>
            <w:hideMark/>
          </w:tcPr>
          <w:p w14:paraId="00876387"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Reddy et al. 2020</w:t>
            </w:r>
          </w:p>
        </w:tc>
        <w:tc>
          <w:tcPr>
            <w:tcW w:w="1413" w:type="dxa"/>
            <w:noWrap/>
            <w:hideMark/>
          </w:tcPr>
          <w:p w14:paraId="6501D302"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India</w:t>
            </w:r>
          </w:p>
        </w:tc>
        <w:tc>
          <w:tcPr>
            <w:tcW w:w="837" w:type="dxa"/>
            <w:noWrap/>
            <w:hideMark/>
          </w:tcPr>
          <w:p w14:paraId="1208F0F0"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7C0FD3C4"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200</w:t>
            </w:r>
          </w:p>
        </w:tc>
        <w:tc>
          <w:tcPr>
            <w:tcW w:w="1577" w:type="dxa"/>
            <w:hideMark/>
          </w:tcPr>
          <w:p w14:paraId="063C0955"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13-17 (?)</w:t>
            </w:r>
          </w:p>
        </w:tc>
        <w:tc>
          <w:tcPr>
            <w:tcW w:w="1794" w:type="dxa"/>
            <w:hideMark/>
          </w:tcPr>
          <w:p w14:paraId="483EB08F"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Investigate the prevalence of dental caries in children using the ICDAS-II scoring system and to identify risk factors for the various ICDAS-defined dental caries thresholds</w:t>
            </w:r>
          </w:p>
        </w:tc>
        <w:tc>
          <w:tcPr>
            <w:tcW w:w="1365" w:type="dxa"/>
            <w:hideMark/>
          </w:tcPr>
          <w:p w14:paraId="28083E02"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Spitting</w:t>
            </w:r>
          </w:p>
        </w:tc>
        <w:tc>
          <w:tcPr>
            <w:tcW w:w="1179" w:type="dxa"/>
            <w:hideMark/>
          </w:tcPr>
          <w:p w14:paraId="5F3FA752"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spittoon</w:t>
            </w:r>
          </w:p>
        </w:tc>
        <w:tc>
          <w:tcPr>
            <w:tcW w:w="1178" w:type="dxa"/>
            <w:hideMark/>
          </w:tcPr>
          <w:p w14:paraId="2802D167"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SS</w:t>
            </w:r>
          </w:p>
        </w:tc>
        <w:tc>
          <w:tcPr>
            <w:tcW w:w="1648" w:type="dxa"/>
            <w:gridSpan w:val="2"/>
            <w:hideMark/>
          </w:tcPr>
          <w:p w14:paraId="0F282361" w14:textId="5B2AF0B4" w:rsidR="00D05AB4" w:rsidRPr="00333A96" w:rsidRDefault="001E3817"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2874" w:type="dxa"/>
            <w:hideMark/>
          </w:tcPr>
          <w:p w14:paraId="11E1F43E" w14:textId="5D718F10"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1) The overall </w:t>
            </w:r>
            <w:r w:rsidR="0074566B" w:rsidRPr="00333A96">
              <w:rPr>
                <w:rFonts w:ascii="Times New Roman" w:eastAsia="Times New Roman" w:hAnsi="Times New Roman" w:cs="Times New Roman"/>
                <w:sz w:val="18"/>
                <w:szCs w:val="18"/>
                <w:lang w:val="en-GB" w:eastAsia="nl-NL"/>
              </w:rPr>
              <w:t>prevalence</w:t>
            </w:r>
            <w:r w:rsidRPr="00333A96">
              <w:rPr>
                <w:rFonts w:ascii="Times New Roman" w:eastAsia="Times New Roman" w:hAnsi="Times New Roman" w:cs="Times New Roman"/>
                <w:sz w:val="18"/>
                <w:szCs w:val="18"/>
                <w:lang w:val="en-GB" w:eastAsia="nl-NL"/>
              </w:rPr>
              <w:t xml:space="preserve"> of caries: 57.5% Children with different caries thresholds: 55% ICDAS-2, 51% ICDAS-3/4 and 25% ICDAS-5/6. </w:t>
            </w:r>
            <w:r w:rsidRPr="00333A96">
              <w:rPr>
                <w:rFonts w:ascii="Times New Roman" w:eastAsia="Times New Roman" w:hAnsi="Times New Roman" w:cs="Times New Roman"/>
                <w:sz w:val="18"/>
                <w:szCs w:val="18"/>
                <w:lang w:val="en-GB" w:eastAsia="nl-NL"/>
              </w:rPr>
              <w:br/>
              <w:t xml:space="preserve">2) While the amount of saliva was related to mild and moderate caries, reduced pH was significantly associated with severe caries. Mild caries and low buffering capacity have been related. </w:t>
            </w:r>
          </w:p>
        </w:tc>
      </w:tr>
      <w:tr w:rsidR="00BB05A0" w:rsidRPr="00CC2F10" w14:paraId="0864E1A0" w14:textId="77777777" w:rsidTr="00CC2F10">
        <w:trPr>
          <w:trHeight w:val="1872"/>
        </w:trPr>
        <w:tc>
          <w:tcPr>
            <w:cnfStyle w:val="001000000000" w:firstRow="0" w:lastRow="0" w:firstColumn="1" w:lastColumn="0" w:oddVBand="0" w:evenVBand="0" w:oddHBand="0" w:evenHBand="0" w:firstRowFirstColumn="0" w:firstRowLastColumn="0" w:lastRowFirstColumn="0" w:lastRowLastColumn="0"/>
            <w:tcW w:w="1560" w:type="dxa"/>
            <w:noWrap/>
            <w:hideMark/>
          </w:tcPr>
          <w:p w14:paraId="1DA0E7CB"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Renda et al. 2017</w:t>
            </w:r>
          </w:p>
        </w:tc>
        <w:tc>
          <w:tcPr>
            <w:tcW w:w="1413" w:type="dxa"/>
            <w:noWrap/>
            <w:hideMark/>
          </w:tcPr>
          <w:p w14:paraId="40E92798"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Turkey</w:t>
            </w:r>
          </w:p>
        </w:tc>
        <w:tc>
          <w:tcPr>
            <w:tcW w:w="837" w:type="dxa"/>
            <w:noWrap/>
            <w:hideMark/>
          </w:tcPr>
          <w:p w14:paraId="4BA0CBAF"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CC</w:t>
            </w:r>
          </w:p>
        </w:tc>
        <w:tc>
          <w:tcPr>
            <w:tcW w:w="878" w:type="dxa"/>
            <w:noWrap/>
            <w:hideMark/>
          </w:tcPr>
          <w:p w14:paraId="72B2CDC4"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63</w:t>
            </w:r>
          </w:p>
        </w:tc>
        <w:tc>
          <w:tcPr>
            <w:tcW w:w="1577" w:type="dxa"/>
            <w:hideMark/>
          </w:tcPr>
          <w:p w14:paraId="508CC632"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6-18 (14.86±3.11)</w:t>
            </w:r>
          </w:p>
        </w:tc>
        <w:tc>
          <w:tcPr>
            <w:tcW w:w="1794" w:type="dxa"/>
            <w:hideMark/>
          </w:tcPr>
          <w:p w14:paraId="439C5EE1" w14:textId="017B1345"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Compare serum and salivary urea and creatinine levels in children with CKD and healthy controls, and to evaluate if salivary creatinine and urea levels can be used to diagnose CKD in children as </w:t>
            </w:r>
            <w:r w:rsidRPr="00333A96">
              <w:rPr>
                <w:rFonts w:ascii="Times New Roman" w:eastAsia="Times New Roman" w:hAnsi="Times New Roman" w:cs="Times New Roman"/>
                <w:sz w:val="18"/>
                <w:szCs w:val="18"/>
                <w:lang w:val="en-GB" w:eastAsia="nl-NL"/>
              </w:rPr>
              <w:lastRenderedPageBreak/>
              <w:t>reliably as serum creatinine and urea levels</w:t>
            </w:r>
          </w:p>
        </w:tc>
        <w:tc>
          <w:tcPr>
            <w:tcW w:w="1365" w:type="dxa"/>
            <w:hideMark/>
          </w:tcPr>
          <w:p w14:paraId="60F0BB19"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lastRenderedPageBreak/>
              <w:t>Spitting</w:t>
            </w:r>
          </w:p>
        </w:tc>
        <w:tc>
          <w:tcPr>
            <w:tcW w:w="1179" w:type="dxa"/>
            <w:hideMark/>
          </w:tcPr>
          <w:p w14:paraId="0E46945D"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Plastic bottle</w:t>
            </w:r>
          </w:p>
        </w:tc>
        <w:tc>
          <w:tcPr>
            <w:tcW w:w="1178" w:type="dxa"/>
            <w:hideMark/>
          </w:tcPr>
          <w:p w14:paraId="44B664F0"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648" w:type="dxa"/>
            <w:gridSpan w:val="2"/>
            <w:hideMark/>
          </w:tcPr>
          <w:p w14:paraId="244B2B06"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2h fasting before sampling</w:t>
            </w:r>
          </w:p>
        </w:tc>
        <w:tc>
          <w:tcPr>
            <w:tcW w:w="2874" w:type="dxa"/>
            <w:hideMark/>
          </w:tcPr>
          <w:p w14:paraId="72BE44DE" w14:textId="64EBB969"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Children with CKD had significantly higher amounts of salivary urea and creatinine than healthy controls. Additionally, CKD patients had significantly higher serum levels of urea and creatinine.</w:t>
            </w:r>
            <w:r w:rsidRPr="00333A96">
              <w:rPr>
                <w:rFonts w:ascii="Times New Roman" w:eastAsia="Times New Roman" w:hAnsi="Times New Roman" w:cs="Times New Roman"/>
                <w:sz w:val="18"/>
                <w:szCs w:val="18"/>
                <w:lang w:val="en-GB" w:eastAsia="nl-NL"/>
              </w:rPr>
              <w:br/>
              <w:t xml:space="preserve">2) When used as a </w:t>
            </w:r>
            <w:r w:rsidR="0074566B" w:rsidRPr="00333A96">
              <w:rPr>
                <w:rFonts w:ascii="Times New Roman" w:eastAsia="Times New Roman" w:hAnsi="Times New Roman" w:cs="Times New Roman"/>
                <w:sz w:val="18"/>
                <w:szCs w:val="18"/>
                <w:lang w:val="en-GB" w:eastAsia="nl-NL"/>
              </w:rPr>
              <w:t>non-invasive</w:t>
            </w:r>
            <w:r w:rsidRPr="00333A96">
              <w:rPr>
                <w:rFonts w:ascii="Times New Roman" w:eastAsia="Times New Roman" w:hAnsi="Times New Roman" w:cs="Times New Roman"/>
                <w:sz w:val="18"/>
                <w:szCs w:val="18"/>
                <w:lang w:val="en-GB" w:eastAsia="nl-NL"/>
              </w:rPr>
              <w:t xml:space="preserve"> alternative for blood analysis to diagnose CKD in children, salivary </w:t>
            </w:r>
            <w:r w:rsidRPr="00333A96">
              <w:rPr>
                <w:rFonts w:ascii="Times New Roman" w:eastAsia="Times New Roman" w:hAnsi="Times New Roman" w:cs="Times New Roman"/>
                <w:sz w:val="18"/>
                <w:szCs w:val="18"/>
                <w:lang w:val="en-GB" w:eastAsia="nl-NL"/>
              </w:rPr>
              <w:lastRenderedPageBreak/>
              <w:t>creatinine demonstrated good diagnostic performance.</w:t>
            </w:r>
          </w:p>
        </w:tc>
      </w:tr>
      <w:tr w:rsidR="00D05AB4" w:rsidRPr="00CC2F10" w14:paraId="14B7ADA9" w14:textId="77777777" w:rsidTr="00CC2F10">
        <w:trPr>
          <w:cnfStyle w:val="000000100000" w:firstRow="0" w:lastRow="0" w:firstColumn="0" w:lastColumn="0" w:oddVBand="0" w:evenVBand="0" w:oddHBand="1" w:evenHBand="0" w:firstRowFirstColumn="0" w:firstRowLastColumn="0" w:lastRowFirstColumn="0" w:lastRowLastColumn="0"/>
          <w:trHeight w:val="1872"/>
        </w:trPr>
        <w:tc>
          <w:tcPr>
            <w:cnfStyle w:val="001000000000" w:firstRow="0" w:lastRow="0" w:firstColumn="1" w:lastColumn="0" w:oddVBand="0" w:evenVBand="0" w:oddHBand="0" w:evenHBand="0" w:firstRowFirstColumn="0" w:firstRowLastColumn="0" w:lastRowFirstColumn="0" w:lastRowLastColumn="0"/>
            <w:tcW w:w="1560" w:type="dxa"/>
            <w:noWrap/>
            <w:hideMark/>
          </w:tcPr>
          <w:p w14:paraId="21307D09"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lastRenderedPageBreak/>
              <w:t>Richards et al. 2013</w:t>
            </w:r>
          </w:p>
        </w:tc>
        <w:tc>
          <w:tcPr>
            <w:tcW w:w="1413" w:type="dxa"/>
            <w:noWrap/>
            <w:hideMark/>
          </w:tcPr>
          <w:p w14:paraId="5C3987CD"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Denmark</w:t>
            </w:r>
          </w:p>
        </w:tc>
        <w:tc>
          <w:tcPr>
            <w:tcW w:w="837" w:type="dxa"/>
            <w:noWrap/>
            <w:hideMark/>
          </w:tcPr>
          <w:p w14:paraId="261BB2E5"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0FAAB27E"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287</w:t>
            </w:r>
          </w:p>
        </w:tc>
        <w:tc>
          <w:tcPr>
            <w:tcW w:w="1577" w:type="dxa"/>
            <w:hideMark/>
          </w:tcPr>
          <w:p w14:paraId="228E4133"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10-14 (11.3±?)</w:t>
            </w:r>
          </w:p>
        </w:tc>
        <w:tc>
          <w:tcPr>
            <w:tcW w:w="1794" w:type="dxa"/>
            <w:hideMark/>
          </w:tcPr>
          <w:p w14:paraId="4668088F" w14:textId="1B43567B"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Examine the changes in saliva fluoride over time, the impact of rinsing, and the relationship between saliva fluoride and the progression of caries and plaque </w:t>
            </w:r>
            <w:r w:rsidR="0074566B" w:rsidRPr="00333A96">
              <w:rPr>
                <w:rFonts w:ascii="Times New Roman" w:eastAsia="Times New Roman" w:hAnsi="Times New Roman" w:cs="Times New Roman"/>
                <w:sz w:val="18"/>
                <w:szCs w:val="18"/>
                <w:lang w:val="en-GB" w:eastAsia="nl-NL"/>
              </w:rPr>
              <w:t>build-up</w:t>
            </w:r>
          </w:p>
        </w:tc>
        <w:tc>
          <w:tcPr>
            <w:tcW w:w="1365" w:type="dxa"/>
            <w:hideMark/>
          </w:tcPr>
          <w:p w14:paraId="201D3749"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Drooling</w:t>
            </w:r>
          </w:p>
        </w:tc>
        <w:tc>
          <w:tcPr>
            <w:tcW w:w="1179" w:type="dxa"/>
            <w:hideMark/>
          </w:tcPr>
          <w:p w14:paraId="1BDE9D20"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Plastic vials</w:t>
            </w:r>
          </w:p>
        </w:tc>
        <w:tc>
          <w:tcPr>
            <w:tcW w:w="1178" w:type="dxa"/>
            <w:hideMark/>
          </w:tcPr>
          <w:p w14:paraId="463E918B"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648" w:type="dxa"/>
            <w:gridSpan w:val="2"/>
            <w:hideMark/>
          </w:tcPr>
          <w:p w14:paraId="69624ED2" w14:textId="03CBC6B7" w:rsidR="00D05AB4" w:rsidRPr="00333A96" w:rsidRDefault="001E3817"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2874" w:type="dxa"/>
            <w:hideMark/>
          </w:tcPr>
          <w:p w14:paraId="7B76B982"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Children who brushed their teeth every day had significantly greater saliva fluoride concentrations; The amount of fluoride in saliva was not significantly affected by rinsing with water after brushing.</w:t>
            </w:r>
            <w:r w:rsidRPr="00333A96">
              <w:rPr>
                <w:rFonts w:ascii="Times New Roman" w:eastAsia="Times New Roman" w:hAnsi="Times New Roman" w:cs="Times New Roman"/>
                <w:sz w:val="18"/>
                <w:szCs w:val="18"/>
                <w:lang w:val="en-GB" w:eastAsia="nl-NL"/>
              </w:rPr>
              <w:br/>
              <w:t>2) Fluoride toothpaste is efficient in maintaining ambient saliva fluoride concentrations; Saliva fluoride levels are comparable to those observed in locations with fluoridated water.</w:t>
            </w:r>
          </w:p>
        </w:tc>
      </w:tr>
      <w:tr w:rsidR="00BB05A0" w:rsidRPr="00CC2F10" w14:paraId="68D23B00" w14:textId="77777777" w:rsidTr="00CC2F10">
        <w:trPr>
          <w:trHeight w:val="1248"/>
        </w:trPr>
        <w:tc>
          <w:tcPr>
            <w:cnfStyle w:val="001000000000" w:firstRow="0" w:lastRow="0" w:firstColumn="1" w:lastColumn="0" w:oddVBand="0" w:evenVBand="0" w:oddHBand="0" w:evenHBand="0" w:firstRowFirstColumn="0" w:firstRowLastColumn="0" w:lastRowFirstColumn="0" w:lastRowLastColumn="0"/>
            <w:tcW w:w="1560" w:type="dxa"/>
            <w:noWrap/>
            <w:hideMark/>
          </w:tcPr>
          <w:p w14:paraId="658DE291"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Rotenberg et al. 2014</w:t>
            </w:r>
          </w:p>
        </w:tc>
        <w:tc>
          <w:tcPr>
            <w:tcW w:w="1413" w:type="dxa"/>
            <w:noWrap/>
            <w:hideMark/>
          </w:tcPr>
          <w:p w14:paraId="0F39BB08"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Canada</w:t>
            </w:r>
          </w:p>
        </w:tc>
        <w:tc>
          <w:tcPr>
            <w:tcW w:w="837" w:type="dxa"/>
            <w:noWrap/>
            <w:hideMark/>
          </w:tcPr>
          <w:p w14:paraId="34C8DA07"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18611A42"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201</w:t>
            </w:r>
          </w:p>
        </w:tc>
        <w:tc>
          <w:tcPr>
            <w:tcW w:w="1577" w:type="dxa"/>
            <w:hideMark/>
          </w:tcPr>
          <w:p w14:paraId="6039160A"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8-18 (?)</w:t>
            </w:r>
          </w:p>
        </w:tc>
        <w:tc>
          <w:tcPr>
            <w:tcW w:w="1794" w:type="dxa"/>
            <w:hideMark/>
          </w:tcPr>
          <w:p w14:paraId="090F6317" w14:textId="23C4E6CA"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Assess the adherence of children and adolescents in providing an awake saliva sample validated against </w:t>
            </w:r>
            <w:r w:rsidR="0074566B" w:rsidRPr="00333A96">
              <w:rPr>
                <w:rFonts w:ascii="Times New Roman" w:eastAsia="Times New Roman" w:hAnsi="Times New Roman" w:cs="Times New Roman"/>
                <w:sz w:val="18"/>
                <w:szCs w:val="18"/>
                <w:lang w:val="en-GB" w:eastAsia="nl-NL"/>
              </w:rPr>
              <w:t>accelerometery</w:t>
            </w:r>
            <w:r w:rsidRPr="00333A96">
              <w:rPr>
                <w:rFonts w:ascii="Times New Roman" w:eastAsia="Times New Roman" w:hAnsi="Times New Roman" w:cs="Times New Roman"/>
                <w:sz w:val="18"/>
                <w:szCs w:val="18"/>
                <w:lang w:val="en-GB" w:eastAsia="nl-NL"/>
              </w:rPr>
              <w:t>, as an objective measure of wake-time</w:t>
            </w:r>
          </w:p>
        </w:tc>
        <w:tc>
          <w:tcPr>
            <w:tcW w:w="1365" w:type="dxa"/>
            <w:hideMark/>
          </w:tcPr>
          <w:p w14:paraId="2E591A96"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Absorption</w:t>
            </w:r>
          </w:p>
        </w:tc>
        <w:tc>
          <w:tcPr>
            <w:tcW w:w="1179" w:type="dxa"/>
            <w:hideMark/>
          </w:tcPr>
          <w:p w14:paraId="2B5DACEF"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Salivette cotton swab</w:t>
            </w:r>
          </w:p>
        </w:tc>
        <w:tc>
          <w:tcPr>
            <w:tcW w:w="1178" w:type="dxa"/>
            <w:hideMark/>
          </w:tcPr>
          <w:p w14:paraId="43C00864"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648" w:type="dxa"/>
            <w:gridSpan w:val="2"/>
            <w:hideMark/>
          </w:tcPr>
          <w:p w14:paraId="390ECDAE"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10min fasting before sampling</w:t>
            </w:r>
          </w:p>
        </w:tc>
        <w:tc>
          <w:tcPr>
            <w:tcW w:w="2874" w:type="dxa"/>
            <w:hideMark/>
          </w:tcPr>
          <w:p w14:paraId="07F54E87"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Children and adolescents complied with waking salivary collection to a high degree.</w:t>
            </w:r>
            <w:r w:rsidRPr="00333A96">
              <w:rPr>
                <w:rFonts w:ascii="Times New Roman" w:eastAsia="Times New Roman" w:hAnsi="Times New Roman" w:cs="Times New Roman"/>
                <w:sz w:val="18"/>
                <w:szCs w:val="18"/>
                <w:lang w:val="en-GB" w:eastAsia="nl-NL"/>
              </w:rPr>
              <w:br/>
              <w:t>2) In children, a delay in cortisol sampling at awakening was linked to a steeper diurnal cortisol slope and greater cortisol levels at awakening.</w:t>
            </w:r>
          </w:p>
        </w:tc>
      </w:tr>
      <w:tr w:rsidR="00D05AB4" w:rsidRPr="00CC2F10" w14:paraId="5304C42E" w14:textId="77777777" w:rsidTr="00CC2F10">
        <w:trPr>
          <w:cnfStyle w:val="000000100000" w:firstRow="0" w:lastRow="0" w:firstColumn="0" w:lastColumn="0" w:oddVBand="0" w:evenVBand="0" w:oddHBand="1" w:evenHBand="0" w:firstRowFirstColumn="0" w:firstRowLastColumn="0" w:lastRowFirstColumn="0" w:lastRowLastColumn="0"/>
          <w:trHeight w:val="1560"/>
        </w:trPr>
        <w:tc>
          <w:tcPr>
            <w:cnfStyle w:val="001000000000" w:firstRow="0" w:lastRow="0" w:firstColumn="1" w:lastColumn="0" w:oddVBand="0" w:evenVBand="0" w:oddHBand="0" w:evenHBand="0" w:firstRowFirstColumn="0" w:firstRowLastColumn="0" w:lastRowFirstColumn="0" w:lastRowLastColumn="0"/>
            <w:tcW w:w="1560" w:type="dxa"/>
            <w:noWrap/>
            <w:hideMark/>
          </w:tcPr>
          <w:p w14:paraId="642E6469"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Rotteveel et al. 2004</w:t>
            </w:r>
          </w:p>
        </w:tc>
        <w:tc>
          <w:tcPr>
            <w:tcW w:w="1413" w:type="dxa"/>
            <w:noWrap/>
            <w:hideMark/>
          </w:tcPr>
          <w:p w14:paraId="62CF022F"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The Netherlands</w:t>
            </w:r>
          </w:p>
        </w:tc>
        <w:tc>
          <w:tcPr>
            <w:tcW w:w="837" w:type="dxa"/>
            <w:noWrap/>
            <w:hideMark/>
          </w:tcPr>
          <w:p w14:paraId="3A93B072"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4EE4EA6B"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62</w:t>
            </w:r>
          </w:p>
        </w:tc>
        <w:tc>
          <w:tcPr>
            <w:tcW w:w="1577" w:type="dxa"/>
            <w:hideMark/>
          </w:tcPr>
          <w:p w14:paraId="3F01DF04"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6-11 (8.03±1.83)</w:t>
            </w:r>
          </w:p>
        </w:tc>
        <w:tc>
          <w:tcPr>
            <w:tcW w:w="1794" w:type="dxa"/>
            <w:hideMark/>
          </w:tcPr>
          <w:p w14:paraId="45D5759E"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Establish reference values for unstimulated salivary flow rate, which can be used in the management of drooling in children with mental and physical disabilities</w:t>
            </w:r>
          </w:p>
        </w:tc>
        <w:tc>
          <w:tcPr>
            <w:tcW w:w="1365" w:type="dxa"/>
            <w:hideMark/>
          </w:tcPr>
          <w:p w14:paraId="290E0E15"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Absorption</w:t>
            </w:r>
          </w:p>
        </w:tc>
        <w:tc>
          <w:tcPr>
            <w:tcW w:w="1179" w:type="dxa"/>
            <w:hideMark/>
          </w:tcPr>
          <w:p w14:paraId="1B3F13BF"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Cotton rolls</w:t>
            </w:r>
          </w:p>
        </w:tc>
        <w:tc>
          <w:tcPr>
            <w:tcW w:w="1178" w:type="dxa"/>
            <w:hideMark/>
          </w:tcPr>
          <w:p w14:paraId="5DE5513D"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648" w:type="dxa"/>
            <w:gridSpan w:val="2"/>
            <w:hideMark/>
          </w:tcPr>
          <w:p w14:paraId="416A7C9C" w14:textId="39C2A157" w:rsidR="00D05AB4" w:rsidRPr="00333A96" w:rsidRDefault="001E3817"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2874" w:type="dxa"/>
            <w:hideMark/>
          </w:tcPr>
          <w:p w14:paraId="2D3B3248"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No significant difference in the rate of salivation between boys/girls or between children in the age range.</w:t>
            </w:r>
            <w:r w:rsidRPr="00333A96">
              <w:rPr>
                <w:rFonts w:ascii="Times New Roman" w:eastAsia="Times New Roman" w:hAnsi="Times New Roman" w:cs="Times New Roman"/>
                <w:sz w:val="18"/>
                <w:szCs w:val="18"/>
                <w:lang w:val="en-GB" w:eastAsia="nl-NL"/>
              </w:rPr>
              <w:br/>
              <w:t xml:space="preserve">2) The flow rate between the right and left parotid glands (0.15 ml/min) and the floor of the mouth (0.32 ml/min) was constant, and the swab procedure was shown to be reliable. </w:t>
            </w:r>
          </w:p>
        </w:tc>
      </w:tr>
      <w:tr w:rsidR="00BB05A0" w:rsidRPr="00CC2F10" w14:paraId="5C9FB3C7" w14:textId="77777777" w:rsidTr="00CC2F10">
        <w:trPr>
          <w:trHeight w:val="1560"/>
        </w:trPr>
        <w:tc>
          <w:tcPr>
            <w:cnfStyle w:val="001000000000" w:firstRow="0" w:lastRow="0" w:firstColumn="1" w:lastColumn="0" w:oddVBand="0" w:evenVBand="0" w:oddHBand="0" w:evenHBand="0" w:firstRowFirstColumn="0" w:firstRowLastColumn="0" w:lastRowFirstColumn="0" w:lastRowLastColumn="0"/>
            <w:tcW w:w="1560" w:type="dxa"/>
            <w:noWrap/>
            <w:hideMark/>
          </w:tcPr>
          <w:p w14:paraId="78E6F23F"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lastRenderedPageBreak/>
              <w:t>Sahiner et al. 2015</w:t>
            </w:r>
          </w:p>
        </w:tc>
        <w:tc>
          <w:tcPr>
            <w:tcW w:w="1413" w:type="dxa"/>
            <w:noWrap/>
            <w:hideMark/>
          </w:tcPr>
          <w:p w14:paraId="4EE85D69"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Turkey</w:t>
            </w:r>
          </w:p>
        </w:tc>
        <w:tc>
          <w:tcPr>
            <w:tcW w:w="837" w:type="dxa"/>
            <w:noWrap/>
            <w:hideMark/>
          </w:tcPr>
          <w:p w14:paraId="43546F2B"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19399F49"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944</w:t>
            </w:r>
          </w:p>
        </w:tc>
        <w:tc>
          <w:tcPr>
            <w:tcW w:w="1577" w:type="dxa"/>
            <w:hideMark/>
          </w:tcPr>
          <w:p w14:paraId="52A0851E"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0 (?)</w:t>
            </w:r>
          </w:p>
        </w:tc>
        <w:tc>
          <w:tcPr>
            <w:tcW w:w="1794" w:type="dxa"/>
            <w:hideMark/>
          </w:tcPr>
          <w:p w14:paraId="731FA251"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Investigate the prevalence of congenital CMV infection in newborns and the distribution of CMV glycoprotein b genotypes in infants with congenital CMV infection</w:t>
            </w:r>
          </w:p>
        </w:tc>
        <w:tc>
          <w:tcPr>
            <w:tcW w:w="1365" w:type="dxa"/>
            <w:hideMark/>
          </w:tcPr>
          <w:p w14:paraId="1FA2F623"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Absorption</w:t>
            </w:r>
          </w:p>
        </w:tc>
        <w:tc>
          <w:tcPr>
            <w:tcW w:w="1179" w:type="dxa"/>
            <w:hideMark/>
          </w:tcPr>
          <w:p w14:paraId="49C9682B"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Fiber-tipped swab</w:t>
            </w:r>
          </w:p>
        </w:tc>
        <w:tc>
          <w:tcPr>
            <w:tcW w:w="1178" w:type="dxa"/>
            <w:hideMark/>
          </w:tcPr>
          <w:p w14:paraId="4EAE1016"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US </w:t>
            </w:r>
          </w:p>
        </w:tc>
        <w:tc>
          <w:tcPr>
            <w:tcW w:w="1648" w:type="dxa"/>
            <w:gridSpan w:val="2"/>
            <w:hideMark/>
          </w:tcPr>
          <w:p w14:paraId="06AC0D5D"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30min fasting before sampling</w:t>
            </w:r>
          </w:p>
        </w:tc>
        <w:tc>
          <w:tcPr>
            <w:tcW w:w="2874" w:type="dxa"/>
            <w:hideMark/>
          </w:tcPr>
          <w:p w14:paraId="11895572"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Congenital CMV infection at birth in infants: 1.91% (which is a significant proportion of cases)</w:t>
            </w:r>
            <w:r w:rsidRPr="00333A96">
              <w:rPr>
                <w:rFonts w:ascii="Times New Roman" w:eastAsia="Times New Roman" w:hAnsi="Times New Roman" w:cs="Times New Roman"/>
                <w:sz w:val="18"/>
                <w:szCs w:val="18"/>
                <w:lang w:val="en-GB" w:eastAsia="nl-NL"/>
              </w:rPr>
              <w:br/>
              <w:t>2) The fact that all congenitally infected infants were asymptomatic at birth emphasizes the value of neonatal CMV screening and early identification.</w:t>
            </w:r>
          </w:p>
        </w:tc>
      </w:tr>
      <w:tr w:rsidR="00D05AB4" w:rsidRPr="00CC2F10" w14:paraId="7F1B78EE" w14:textId="77777777" w:rsidTr="00CC2F10">
        <w:trPr>
          <w:cnfStyle w:val="000000100000" w:firstRow="0" w:lastRow="0" w:firstColumn="0" w:lastColumn="0" w:oddVBand="0" w:evenVBand="0" w:oddHBand="1" w:evenHBand="0" w:firstRowFirstColumn="0" w:firstRowLastColumn="0" w:lastRowFirstColumn="0" w:lastRowLastColumn="0"/>
          <w:trHeight w:val="1248"/>
        </w:trPr>
        <w:tc>
          <w:tcPr>
            <w:cnfStyle w:val="001000000000" w:firstRow="0" w:lastRow="0" w:firstColumn="1" w:lastColumn="0" w:oddVBand="0" w:evenVBand="0" w:oddHBand="0" w:evenHBand="0" w:firstRowFirstColumn="0" w:firstRowLastColumn="0" w:lastRowFirstColumn="0" w:lastRowLastColumn="0"/>
            <w:tcW w:w="1560" w:type="dxa"/>
            <w:noWrap/>
            <w:hideMark/>
          </w:tcPr>
          <w:p w14:paraId="75C0D06D"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Samuel et al. 2017</w:t>
            </w:r>
          </w:p>
        </w:tc>
        <w:tc>
          <w:tcPr>
            <w:tcW w:w="1413" w:type="dxa"/>
            <w:noWrap/>
            <w:hideMark/>
          </w:tcPr>
          <w:p w14:paraId="0108DE76"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India</w:t>
            </w:r>
          </w:p>
        </w:tc>
        <w:tc>
          <w:tcPr>
            <w:tcW w:w="837" w:type="dxa"/>
            <w:noWrap/>
            <w:hideMark/>
          </w:tcPr>
          <w:p w14:paraId="4C4B07E5"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757AAA6A"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120</w:t>
            </w:r>
          </w:p>
        </w:tc>
        <w:tc>
          <w:tcPr>
            <w:tcW w:w="1577" w:type="dxa"/>
            <w:hideMark/>
          </w:tcPr>
          <w:p w14:paraId="7DE8A216"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3-8 (?)</w:t>
            </w:r>
          </w:p>
        </w:tc>
        <w:tc>
          <w:tcPr>
            <w:tcW w:w="1794" w:type="dxa"/>
            <w:hideMark/>
          </w:tcPr>
          <w:p w14:paraId="609F1050"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Assess the efficiency of TCP, CPP-ACP, and CSP supplemented with fluoride in lowering the levels of SM in the saliva of children</w:t>
            </w:r>
          </w:p>
        </w:tc>
        <w:tc>
          <w:tcPr>
            <w:tcW w:w="1365" w:type="dxa"/>
            <w:hideMark/>
          </w:tcPr>
          <w:p w14:paraId="5141C3AC"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Spitting</w:t>
            </w:r>
          </w:p>
        </w:tc>
        <w:tc>
          <w:tcPr>
            <w:tcW w:w="1179" w:type="dxa"/>
            <w:hideMark/>
          </w:tcPr>
          <w:p w14:paraId="62FC8BED"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Container</w:t>
            </w:r>
          </w:p>
        </w:tc>
        <w:tc>
          <w:tcPr>
            <w:tcW w:w="1178" w:type="dxa"/>
            <w:hideMark/>
          </w:tcPr>
          <w:p w14:paraId="0D90F943"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US </w:t>
            </w:r>
          </w:p>
        </w:tc>
        <w:tc>
          <w:tcPr>
            <w:tcW w:w="1648" w:type="dxa"/>
            <w:gridSpan w:val="2"/>
            <w:hideMark/>
          </w:tcPr>
          <w:p w14:paraId="0DB743FA"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2h fasting before sampling</w:t>
            </w:r>
          </w:p>
        </w:tc>
        <w:tc>
          <w:tcPr>
            <w:tcW w:w="2874" w:type="dxa"/>
            <w:hideMark/>
          </w:tcPr>
          <w:p w14:paraId="4AB78FFB"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The most significant decrease in SM levels was shown in the group using CPP-ACP with fluoride, followed by the group utilizing CSP, demonstrating the efficiency of these agents in reducing SM colonization in the oral cavity.</w:t>
            </w:r>
          </w:p>
        </w:tc>
      </w:tr>
      <w:tr w:rsidR="00BB05A0" w:rsidRPr="00CC2F10" w14:paraId="763E046E" w14:textId="77777777" w:rsidTr="00CC2F10">
        <w:trPr>
          <w:trHeight w:val="1560"/>
        </w:trPr>
        <w:tc>
          <w:tcPr>
            <w:cnfStyle w:val="001000000000" w:firstRow="0" w:lastRow="0" w:firstColumn="1" w:lastColumn="0" w:oddVBand="0" w:evenVBand="0" w:oddHBand="0" w:evenHBand="0" w:firstRowFirstColumn="0" w:firstRowLastColumn="0" w:lastRowFirstColumn="0" w:lastRowLastColumn="0"/>
            <w:tcW w:w="1560" w:type="dxa"/>
            <w:noWrap/>
            <w:hideMark/>
          </w:tcPr>
          <w:p w14:paraId="5BFB401D"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Sánchez-Pérez et al. 2016</w:t>
            </w:r>
          </w:p>
        </w:tc>
        <w:tc>
          <w:tcPr>
            <w:tcW w:w="1413" w:type="dxa"/>
            <w:noWrap/>
            <w:hideMark/>
          </w:tcPr>
          <w:p w14:paraId="50D789E7"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Mexico</w:t>
            </w:r>
          </w:p>
        </w:tc>
        <w:tc>
          <w:tcPr>
            <w:tcW w:w="837" w:type="dxa"/>
            <w:noWrap/>
            <w:hideMark/>
          </w:tcPr>
          <w:p w14:paraId="77D235EF"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Cohort</w:t>
            </w:r>
          </w:p>
        </w:tc>
        <w:tc>
          <w:tcPr>
            <w:tcW w:w="878" w:type="dxa"/>
            <w:noWrap/>
            <w:hideMark/>
          </w:tcPr>
          <w:p w14:paraId="566C1BEB"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100</w:t>
            </w:r>
          </w:p>
        </w:tc>
        <w:tc>
          <w:tcPr>
            <w:tcW w:w="1577" w:type="dxa"/>
            <w:hideMark/>
          </w:tcPr>
          <w:p w14:paraId="0C77D739"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7-12 (?)</w:t>
            </w:r>
          </w:p>
        </w:tc>
        <w:tc>
          <w:tcPr>
            <w:tcW w:w="1794" w:type="dxa"/>
            <w:hideMark/>
          </w:tcPr>
          <w:p w14:paraId="6C8858CE"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Investigate the stability of the USFR and the SSFR in children </w:t>
            </w:r>
          </w:p>
        </w:tc>
        <w:tc>
          <w:tcPr>
            <w:tcW w:w="1365" w:type="dxa"/>
            <w:hideMark/>
          </w:tcPr>
          <w:p w14:paraId="45C3D265"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Absorption, Spitting</w:t>
            </w:r>
          </w:p>
        </w:tc>
        <w:tc>
          <w:tcPr>
            <w:tcW w:w="1179" w:type="dxa"/>
            <w:hideMark/>
          </w:tcPr>
          <w:p w14:paraId="046B3467"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Strip, container</w:t>
            </w:r>
          </w:p>
        </w:tc>
        <w:tc>
          <w:tcPr>
            <w:tcW w:w="1178" w:type="dxa"/>
            <w:hideMark/>
          </w:tcPr>
          <w:p w14:paraId="1FC60061"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 &amp; SS</w:t>
            </w:r>
          </w:p>
        </w:tc>
        <w:tc>
          <w:tcPr>
            <w:tcW w:w="1648" w:type="dxa"/>
            <w:gridSpan w:val="2"/>
            <w:hideMark/>
          </w:tcPr>
          <w:p w14:paraId="0A093C1E"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90min fasting before sampling</w:t>
            </w:r>
            <w:r w:rsidRPr="00333A96">
              <w:rPr>
                <w:rFonts w:ascii="Times New Roman" w:eastAsia="Times New Roman" w:hAnsi="Times New Roman" w:cs="Times New Roman"/>
                <w:sz w:val="18"/>
                <w:szCs w:val="18"/>
                <w:lang w:val="en-GB" w:eastAsia="nl-NL"/>
              </w:rPr>
              <w:br/>
              <w:t>2) Absorption: US, Spitting: SS</w:t>
            </w:r>
          </w:p>
        </w:tc>
        <w:tc>
          <w:tcPr>
            <w:tcW w:w="2874" w:type="dxa"/>
            <w:hideMark/>
          </w:tcPr>
          <w:p w14:paraId="1F540B30"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1) Over a 6-year follow-up period, there were no significant changes in the USFR of children. </w:t>
            </w:r>
            <w:r w:rsidRPr="00333A96">
              <w:rPr>
                <w:rFonts w:ascii="Times New Roman" w:eastAsia="Times New Roman" w:hAnsi="Times New Roman" w:cs="Times New Roman"/>
                <w:sz w:val="18"/>
                <w:szCs w:val="18"/>
                <w:lang w:val="en-GB" w:eastAsia="nl-NL"/>
              </w:rPr>
              <w:br/>
              <w:t xml:space="preserve">2) Sex, BMI, and body temperature did not significantly affect the patterns of the USFR and SSFR. </w:t>
            </w:r>
          </w:p>
        </w:tc>
      </w:tr>
      <w:tr w:rsidR="00D05AB4" w:rsidRPr="00CC2F10" w14:paraId="1CCEF5EF" w14:textId="77777777" w:rsidTr="00CC2F10">
        <w:trPr>
          <w:cnfStyle w:val="000000100000" w:firstRow="0" w:lastRow="0" w:firstColumn="0" w:lastColumn="0" w:oddVBand="0" w:evenVBand="0" w:oddHBand="1" w:evenHBand="0" w:firstRowFirstColumn="0" w:firstRowLastColumn="0" w:lastRowFirstColumn="0" w:lastRowLastColumn="0"/>
          <w:trHeight w:val="1248"/>
        </w:trPr>
        <w:tc>
          <w:tcPr>
            <w:cnfStyle w:val="001000000000" w:firstRow="0" w:lastRow="0" w:firstColumn="1" w:lastColumn="0" w:oddVBand="0" w:evenVBand="0" w:oddHBand="0" w:evenHBand="0" w:firstRowFirstColumn="0" w:firstRowLastColumn="0" w:lastRowFirstColumn="0" w:lastRowLastColumn="0"/>
            <w:tcW w:w="1560" w:type="dxa"/>
            <w:noWrap/>
            <w:hideMark/>
          </w:tcPr>
          <w:p w14:paraId="443CE18D"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Santos et al. 2007</w:t>
            </w:r>
          </w:p>
        </w:tc>
        <w:tc>
          <w:tcPr>
            <w:tcW w:w="1413" w:type="dxa"/>
            <w:noWrap/>
            <w:hideMark/>
          </w:tcPr>
          <w:p w14:paraId="6EA5C625"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Brazil</w:t>
            </w:r>
          </w:p>
        </w:tc>
        <w:tc>
          <w:tcPr>
            <w:tcW w:w="837" w:type="dxa"/>
            <w:noWrap/>
            <w:hideMark/>
          </w:tcPr>
          <w:p w14:paraId="68AF772B"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2E7BA508"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42</w:t>
            </w:r>
          </w:p>
        </w:tc>
        <w:tc>
          <w:tcPr>
            <w:tcW w:w="1577" w:type="dxa"/>
            <w:hideMark/>
          </w:tcPr>
          <w:p w14:paraId="5876F9C6"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(12±1)</w:t>
            </w:r>
          </w:p>
        </w:tc>
        <w:tc>
          <w:tcPr>
            <w:tcW w:w="1794" w:type="dxa"/>
            <w:hideMark/>
          </w:tcPr>
          <w:p w14:paraId="675900E9"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Assess the salivary flow rate, amylase and peroxidase activities, total protein, and sialic acid contents in adolescents with cerebral palsy</w:t>
            </w:r>
          </w:p>
        </w:tc>
        <w:tc>
          <w:tcPr>
            <w:tcW w:w="1365" w:type="dxa"/>
            <w:hideMark/>
          </w:tcPr>
          <w:p w14:paraId="5C84DEA2"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Suction</w:t>
            </w:r>
          </w:p>
        </w:tc>
        <w:tc>
          <w:tcPr>
            <w:tcW w:w="1179" w:type="dxa"/>
            <w:hideMark/>
          </w:tcPr>
          <w:p w14:paraId="705DCD95"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Plastic catheter</w:t>
            </w:r>
          </w:p>
        </w:tc>
        <w:tc>
          <w:tcPr>
            <w:tcW w:w="1178" w:type="dxa"/>
            <w:hideMark/>
          </w:tcPr>
          <w:p w14:paraId="59A4BA13"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648" w:type="dxa"/>
            <w:gridSpan w:val="2"/>
            <w:hideMark/>
          </w:tcPr>
          <w:p w14:paraId="1F8348F1"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2h fasting before sampling</w:t>
            </w:r>
          </w:p>
        </w:tc>
        <w:tc>
          <w:tcPr>
            <w:tcW w:w="2874" w:type="dxa"/>
            <w:hideMark/>
          </w:tcPr>
          <w:p w14:paraId="0A91F775"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The total protein and sialic acid (both free and total) content were higher in the CP group, which also had a reduced flow rate and lower amylase and peroxidase activity.</w:t>
            </w:r>
          </w:p>
        </w:tc>
      </w:tr>
      <w:tr w:rsidR="00BB05A0" w:rsidRPr="00CC2F10" w14:paraId="3B28F324" w14:textId="77777777" w:rsidTr="00CC2F10">
        <w:trPr>
          <w:trHeight w:val="1248"/>
        </w:trPr>
        <w:tc>
          <w:tcPr>
            <w:cnfStyle w:val="001000000000" w:firstRow="0" w:lastRow="0" w:firstColumn="1" w:lastColumn="0" w:oddVBand="0" w:evenVBand="0" w:oddHBand="0" w:evenHBand="0" w:firstRowFirstColumn="0" w:firstRowLastColumn="0" w:lastRowFirstColumn="0" w:lastRowLastColumn="0"/>
            <w:tcW w:w="1560" w:type="dxa"/>
            <w:noWrap/>
            <w:hideMark/>
          </w:tcPr>
          <w:p w14:paraId="4ABD8EAA"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Santos et al. 2010</w:t>
            </w:r>
          </w:p>
        </w:tc>
        <w:tc>
          <w:tcPr>
            <w:tcW w:w="1413" w:type="dxa"/>
            <w:noWrap/>
            <w:hideMark/>
          </w:tcPr>
          <w:p w14:paraId="6516FC7A"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Brazil</w:t>
            </w:r>
          </w:p>
        </w:tc>
        <w:tc>
          <w:tcPr>
            <w:tcW w:w="837" w:type="dxa"/>
            <w:noWrap/>
            <w:hideMark/>
          </w:tcPr>
          <w:p w14:paraId="3DE0C3AA"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72BF2772"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102</w:t>
            </w:r>
          </w:p>
        </w:tc>
        <w:tc>
          <w:tcPr>
            <w:tcW w:w="1577" w:type="dxa"/>
            <w:hideMark/>
          </w:tcPr>
          <w:p w14:paraId="2A5946B0"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3-16 (?)</w:t>
            </w:r>
          </w:p>
        </w:tc>
        <w:tc>
          <w:tcPr>
            <w:tcW w:w="1794" w:type="dxa"/>
            <w:hideMark/>
          </w:tcPr>
          <w:p w14:paraId="3DF99498"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Assess salivary flow rate, pH, and buffer capacity in those with CP, along with the type of spastic neuromotor abnormality and clinical patterns of involvement</w:t>
            </w:r>
          </w:p>
        </w:tc>
        <w:tc>
          <w:tcPr>
            <w:tcW w:w="1365" w:type="dxa"/>
            <w:hideMark/>
          </w:tcPr>
          <w:p w14:paraId="2AC67013"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Suction</w:t>
            </w:r>
          </w:p>
        </w:tc>
        <w:tc>
          <w:tcPr>
            <w:tcW w:w="1179" w:type="dxa"/>
            <w:hideMark/>
          </w:tcPr>
          <w:p w14:paraId="19C64F1D"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Plastic catheter</w:t>
            </w:r>
          </w:p>
        </w:tc>
        <w:tc>
          <w:tcPr>
            <w:tcW w:w="1178" w:type="dxa"/>
            <w:hideMark/>
          </w:tcPr>
          <w:p w14:paraId="67D5C694"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648" w:type="dxa"/>
            <w:gridSpan w:val="2"/>
            <w:hideMark/>
          </w:tcPr>
          <w:p w14:paraId="0F2FFAB4"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Uncooperative children: excluded</w:t>
            </w:r>
          </w:p>
        </w:tc>
        <w:tc>
          <w:tcPr>
            <w:tcW w:w="2874" w:type="dxa"/>
            <w:hideMark/>
          </w:tcPr>
          <w:p w14:paraId="3EB18430"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In the group of people with spastic CP, the saliva flow rate, pH, and buffer capacity were all significantly decreased.</w:t>
            </w:r>
          </w:p>
        </w:tc>
      </w:tr>
      <w:tr w:rsidR="00D05AB4" w:rsidRPr="00CC2F10" w14:paraId="777B9379" w14:textId="77777777" w:rsidTr="00CC2F10">
        <w:trPr>
          <w:cnfStyle w:val="000000100000" w:firstRow="0" w:lastRow="0" w:firstColumn="0" w:lastColumn="0" w:oddVBand="0" w:evenVBand="0" w:oddHBand="1" w:evenHBand="0" w:firstRowFirstColumn="0" w:firstRowLastColumn="0" w:lastRowFirstColumn="0" w:lastRowLastColumn="0"/>
          <w:trHeight w:val="2184"/>
        </w:trPr>
        <w:tc>
          <w:tcPr>
            <w:cnfStyle w:val="001000000000" w:firstRow="0" w:lastRow="0" w:firstColumn="1" w:lastColumn="0" w:oddVBand="0" w:evenVBand="0" w:oddHBand="0" w:evenHBand="0" w:firstRowFirstColumn="0" w:firstRowLastColumn="0" w:lastRowFirstColumn="0" w:lastRowLastColumn="0"/>
            <w:tcW w:w="1560" w:type="dxa"/>
            <w:noWrap/>
            <w:hideMark/>
          </w:tcPr>
          <w:p w14:paraId="2D046D6B"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lastRenderedPageBreak/>
              <w:t>Santos et al. 2011</w:t>
            </w:r>
          </w:p>
        </w:tc>
        <w:tc>
          <w:tcPr>
            <w:tcW w:w="1413" w:type="dxa"/>
            <w:noWrap/>
            <w:hideMark/>
          </w:tcPr>
          <w:p w14:paraId="1DE66456"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Brazil</w:t>
            </w:r>
          </w:p>
        </w:tc>
        <w:tc>
          <w:tcPr>
            <w:tcW w:w="837" w:type="dxa"/>
            <w:noWrap/>
            <w:hideMark/>
          </w:tcPr>
          <w:p w14:paraId="2AA3EF24"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6E19FEE2"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186</w:t>
            </w:r>
          </w:p>
        </w:tc>
        <w:tc>
          <w:tcPr>
            <w:tcW w:w="1577" w:type="dxa"/>
            <w:hideMark/>
          </w:tcPr>
          <w:p w14:paraId="765416E4"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3-16 (9.1±3.2)</w:t>
            </w:r>
          </w:p>
        </w:tc>
        <w:tc>
          <w:tcPr>
            <w:tcW w:w="1794" w:type="dxa"/>
            <w:hideMark/>
          </w:tcPr>
          <w:p w14:paraId="12FF0D29"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Examine the flow rate, pH and buffering capacity in saliva of children with cerebral palsy who drool</w:t>
            </w:r>
          </w:p>
        </w:tc>
        <w:tc>
          <w:tcPr>
            <w:tcW w:w="1365" w:type="dxa"/>
            <w:hideMark/>
          </w:tcPr>
          <w:p w14:paraId="5DA899C3"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Suction</w:t>
            </w:r>
          </w:p>
        </w:tc>
        <w:tc>
          <w:tcPr>
            <w:tcW w:w="1179" w:type="dxa"/>
            <w:hideMark/>
          </w:tcPr>
          <w:p w14:paraId="281FACB3"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Plastic catheter</w:t>
            </w:r>
          </w:p>
        </w:tc>
        <w:tc>
          <w:tcPr>
            <w:tcW w:w="1178" w:type="dxa"/>
            <w:hideMark/>
          </w:tcPr>
          <w:p w14:paraId="62312737"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648" w:type="dxa"/>
            <w:gridSpan w:val="2"/>
            <w:hideMark/>
          </w:tcPr>
          <w:p w14:paraId="12BA612B"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1) 2h fasting before sampling </w:t>
            </w:r>
            <w:r w:rsidRPr="00333A96">
              <w:rPr>
                <w:rFonts w:ascii="Times New Roman" w:eastAsia="Times New Roman" w:hAnsi="Times New Roman" w:cs="Times New Roman"/>
                <w:sz w:val="18"/>
                <w:szCs w:val="18"/>
                <w:lang w:val="en-GB" w:eastAsia="nl-NL"/>
              </w:rPr>
              <w:br/>
              <w:t>2) Uncooperative children: excluded</w:t>
            </w:r>
          </w:p>
        </w:tc>
        <w:tc>
          <w:tcPr>
            <w:tcW w:w="2874" w:type="dxa"/>
            <w:hideMark/>
          </w:tcPr>
          <w:p w14:paraId="132E6F96"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In comparison to children without neurological harm, children with CP who drool exhibited a greater prevalence of severe drooling and significant reductions in salivary flow rate, initial pH, and buffering capacity.</w:t>
            </w:r>
          </w:p>
        </w:tc>
      </w:tr>
      <w:tr w:rsidR="00BB05A0" w:rsidRPr="00CC2F10" w14:paraId="6A996FCE" w14:textId="77777777" w:rsidTr="00CC2F10">
        <w:trPr>
          <w:trHeight w:val="1872"/>
        </w:trPr>
        <w:tc>
          <w:tcPr>
            <w:cnfStyle w:val="001000000000" w:firstRow="0" w:lastRow="0" w:firstColumn="1" w:lastColumn="0" w:oddVBand="0" w:evenVBand="0" w:oddHBand="0" w:evenHBand="0" w:firstRowFirstColumn="0" w:firstRowLastColumn="0" w:lastRowFirstColumn="0" w:lastRowLastColumn="0"/>
            <w:tcW w:w="1560" w:type="dxa"/>
            <w:noWrap/>
            <w:hideMark/>
          </w:tcPr>
          <w:p w14:paraId="5AD57BD2"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Sawczuk et al. 2021</w:t>
            </w:r>
          </w:p>
        </w:tc>
        <w:tc>
          <w:tcPr>
            <w:tcW w:w="1413" w:type="dxa"/>
            <w:noWrap/>
            <w:hideMark/>
          </w:tcPr>
          <w:p w14:paraId="4AFC12A9"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United Kingdom</w:t>
            </w:r>
          </w:p>
        </w:tc>
        <w:tc>
          <w:tcPr>
            <w:tcW w:w="837" w:type="dxa"/>
            <w:noWrap/>
            <w:hideMark/>
          </w:tcPr>
          <w:p w14:paraId="4364C266"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0B829734"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22</w:t>
            </w:r>
          </w:p>
        </w:tc>
        <w:tc>
          <w:tcPr>
            <w:tcW w:w="1577" w:type="dxa"/>
            <w:hideMark/>
          </w:tcPr>
          <w:p w14:paraId="2BEF58B2"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16-18 (16.8±0.5)</w:t>
            </w:r>
          </w:p>
        </w:tc>
        <w:tc>
          <w:tcPr>
            <w:tcW w:w="1794" w:type="dxa"/>
            <w:hideMark/>
          </w:tcPr>
          <w:p w14:paraId="182A5DFD"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Assess the relative significance and prognostic value of s-IgA measurements in relation to URI in young athletes</w:t>
            </w:r>
          </w:p>
        </w:tc>
        <w:tc>
          <w:tcPr>
            <w:tcW w:w="1365" w:type="dxa"/>
            <w:hideMark/>
          </w:tcPr>
          <w:p w14:paraId="2C6464AA"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Drooling</w:t>
            </w:r>
          </w:p>
        </w:tc>
        <w:tc>
          <w:tcPr>
            <w:tcW w:w="1179" w:type="dxa"/>
            <w:hideMark/>
          </w:tcPr>
          <w:p w14:paraId="2276989D"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Vial</w:t>
            </w:r>
          </w:p>
        </w:tc>
        <w:tc>
          <w:tcPr>
            <w:tcW w:w="1178" w:type="dxa"/>
            <w:hideMark/>
          </w:tcPr>
          <w:p w14:paraId="3AC9841F"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648" w:type="dxa"/>
            <w:gridSpan w:val="2"/>
            <w:hideMark/>
          </w:tcPr>
          <w:p w14:paraId="5FDE5EDE"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2h fasting before sampling</w:t>
            </w:r>
          </w:p>
        </w:tc>
        <w:tc>
          <w:tcPr>
            <w:tcW w:w="2874" w:type="dxa"/>
            <w:hideMark/>
          </w:tcPr>
          <w:p w14:paraId="70EA6108"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1) The most significant characteristic for URIday was the percentage deviation from the healthy s-IgA concentration average. </w:t>
            </w:r>
            <w:r w:rsidRPr="00333A96">
              <w:rPr>
                <w:rFonts w:ascii="Times New Roman" w:eastAsia="Times New Roman" w:hAnsi="Times New Roman" w:cs="Times New Roman"/>
                <w:sz w:val="18"/>
                <w:szCs w:val="18"/>
                <w:lang w:val="en-GB" w:eastAsia="nl-NL"/>
              </w:rPr>
              <w:br/>
              <w:t>2) The most significant component of URI4wk was the average healthy s- IgA secretion rate.</w:t>
            </w:r>
            <w:r w:rsidRPr="00333A96">
              <w:rPr>
                <w:rFonts w:ascii="Times New Roman" w:eastAsia="Times New Roman" w:hAnsi="Times New Roman" w:cs="Times New Roman"/>
                <w:sz w:val="18"/>
                <w:szCs w:val="18"/>
                <w:lang w:val="en-GB" w:eastAsia="nl-NL"/>
              </w:rPr>
              <w:br/>
              <w:t>3) s-IgA are not reliable indicators of URI onset within a four-week timeframe in young athletes.</w:t>
            </w:r>
          </w:p>
        </w:tc>
      </w:tr>
      <w:tr w:rsidR="00D05AB4" w:rsidRPr="00CC2F10" w14:paraId="44885A02" w14:textId="77777777" w:rsidTr="00CC2F10">
        <w:trPr>
          <w:cnfStyle w:val="000000100000" w:firstRow="0" w:lastRow="0" w:firstColumn="0" w:lastColumn="0" w:oddVBand="0" w:evenVBand="0" w:oddHBand="1" w:evenHBand="0" w:firstRowFirstColumn="0" w:firstRowLastColumn="0" w:lastRowFirstColumn="0" w:lastRowLastColumn="0"/>
          <w:trHeight w:val="1872"/>
        </w:trPr>
        <w:tc>
          <w:tcPr>
            <w:cnfStyle w:val="001000000000" w:firstRow="0" w:lastRow="0" w:firstColumn="1" w:lastColumn="0" w:oddVBand="0" w:evenVBand="0" w:oddHBand="0" w:evenHBand="0" w:firstRowFirstColumn="0" w:firstRowLastColumn="0" w:lastRowFirstColumn="0" w:lastRowLastColumn="0"/>
            <w:tcW w:w="1560" w:type="dxa"/>
            <w:noWrap/>
            <w:hideMark/>
          </w:tcPr>
          <w:p w14:paraId="1B633470"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Sberna et al. 2022</w:t>
            </w:r>
          </w:p>
        </w:tc>
        <w:tc>
          <w:tcPr>
            <w:tcW w:w="1413" w:type="dxa"/>
            <w:noWrap/>
            <w:hideMark/>
          </w:tcPr>
          <w:p w14:paraId="47DF772B"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Italy</w:t>
            </w:r>
          </w:p>
        </w:tc>
        <w:tc>
          <w:tcPr>
            <w:tcW w:w="837" w:type="dxa"/>
            <w:noWrap/>
            <w:hideMark/>
          </w:tcPr>
          <w:p w14:paraId="62EB753A"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7DFD0C48"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2222</w:t>
            </w:r>
          </w:p>
        </w:tc>
        <w:tc>
          <w:tcPr>
            <w:tcW w:w="1577" w:type="dxa"/>
            <w:hideMark/>
          </w:tcPr>
          <w:p w14:paraId="6FCD1AAB"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6-14 (10±?)</w:t>
            </w:r>
          </w:p>
        </w:tc>
        <w:tc>
          <w:tcPr>
            <w:tcW w:w="1794" w:type="dxa"/>
            <w:hideMark/>
          </w:tcPr>
          <w:p w14:paraId="2A84FD58"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Characterize the pattern of SARS-CoV-2 RNA found in saliva samples taken from children</w:t>
            </w:r>
          </w:p>
        </w:tc>
        <w:tc>
          <w:tcPr>
            <w:tcW w:w="1365" w:type="dxa"/>
            <w:hideMark/>
          </w:tcPr>
          <w:p w14:paraId="4AF7F01C"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Absorption</w:t>
            </w:r>
          </w:p>
        </w:tc>
        <w:tc>
          <w:tcPr>
            <w:tcW w:w="1179" w:type="dxa"/>
            <w:hideMark/>
          </w:tcPr>
          <w:p w14:paraId="24C34587" w14:textId="281F9CC4"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Copan </w:t>
            </w:r>
            <w:r w:rsidR="0074566B" w:rsidRPr="00333A96">
              <w:rPr>
                <w:rFonts w:ascii="Times New Roman" w:eastAsia="Times New Roman" w:hAnsi="Times New Roman" w:cs="Times New Roman"/>
                <w:sz w:val="18"/>
                <w:szCs w:val="18"/>
                <w:lang w:val="en-GB" w:eastAsia="nl-NL"/>
              </w:rPr>
              <w:t>Lolli sponge</w:t>
            </w:r>
          </w:p>
        </w:tc>
        <w:tc>
          <w:tcPr>
            <w:tcW w:w="1178" w:type="dxa"/>
            <w:hideMark/>
          </w:tcPr>
          <w:p w14:paraId="724F2056"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648" w:type="dxa"/>
            <w:gridSpan w:val="2"/>
            <w:hideMark/>
          </w:tcPr>
          <w:p w14:paraId="60986A58" w14:textId="7289C6D5" w:rsidR="00D05AB4" w:rsidRPr="00333A96" w:rsidRDefault="001E3817"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2874" w:type="dxa"/>
            <w:hideMark/>
          </w:tcPr>
          <w:p w14:paraId="52348969"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Student saliva samples had a lower percentage of positive SARS-CoV-2 RNA results (0.9%) compared to NPSs from the general population (33.43%).</w:t>
            </w:r>
            <w:r w:rsidRPr="00333A96">
              <w:rPr>
                <w:rFonts w:ascii="Times New Roman" w:eastAsia="Times New Roman" w:hAnsi="Times New Roman" w:cs="Times New Roman"/>
                <w:sz w:val="18"/>
                <w:szCs w:val="18"/>
                <w:lang w:val="en-GB" w:eastAsia="nl-NL"/>
              </w:rPr>
              <w:br/>
              <w:t>2) With somewhat earlier peaks, the SARS-CoV-2 RNA pattern in student saliva samples closely paralleled that seen in NPSs from the general population.</w:t>
            </w:r>
          </w:p>
        </w:tc>
      </w:tr>
      <w:tr w:rsidR="00BB05A0" w:rsidRPr="00CC2F10" w14:paraId="1BA63DA0" w14:textId="77777777" w:rsidTr="00CC2F10">
        <w:trPr>
          <w:trHeight w:val="1248"/>
        </w:trPr>
        <w:tc>
          <w:tcPr>
            <w:cnfStyle w:val="001000000000" w:firstRow="0" w:lastRow="0" w:firstColumn="1" w:lastColumn="0" w:oddVBand="0" w:evenVBand="0" w:oddHBand="0" w:evenHBand="0" w:firstRowFirstColumn="0" w:firstRowLastColumn="0" w:lastRowFirstColumn="0" w:lastRowLastColumn="0"/>
            <w:tcW w:w="1560" w:type="dxa"/>
            <w:noWrap/>
            <w:hideMark/>
          </w:tcPr>
          <w:p w14:paraId="3DF1E8E7"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Schwertner et al. 2016</w:t>
            </w:r>
          </w:p>
        </w:tc>
        <w:tc>
          <w:tcPr>
            <w:tcW w:w="1413" w:type="dxa"/>
            <w:noWrap/>
            <w:hideMark/>
          </w:tcPr>
          <w:p w14:paraId="0480A829"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Brazil</w:t>
            </w:r>
          </w:p>
        </w:tc>
        <w:tc>
          <w:tcPr>
            <w:tcW w:w="837" w:type="dxa"/>
            <w:noWrap/>
            <w:hideMark/>
          </w:tcPr>
          <w:p w14:paraId="56BFCFE3"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17970AA3"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144</w:t>
            </w:r>
          </w:p>
        </w:tc>
        <w:tc>
          <w:tcPr>
            <w:tcW w:w="1577" w:type="dxa"/>
            <w:hideMark/>
          </w:tcPr>
          <w:p w14:paraId="187FDA85"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6-14 (9.43±1.84)</w:t>
            </w:r>
          </w:p>
        </w:tc>
        <w:tc>
          <w:tcPr>
            <w:tcW w:w="1794" w:type="dxa"/>
            <w:hideMark/>
          </w:tcPr>
          <w:p w14:paraId="7BEEE8D8"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Assess the biochemical makeup of the dental biofilm and saliva of children with DS</w:t>
            </w:r>
          </w:p>
        </w:tc>
        <w:tc>
          <w:tcPr>
            <w:tcW w:w="1365" w:type="dxa"/>
            <w:hideMark/>
          </w:tcPr>
          <w:p w14:paraId="1767A015"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Spitting</w:t>
            </w:r>
          </w:p>
        </w:tc>
        <w:tc>
          <w:tcPr>
            <w:tcW w:w="1179" w:type="dxa"/>
            <w:hideMark/>
          </w:tcPr>
          <w:p w14:paraId="7D74F19C"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Tube</w:t>
            </w:r>
          </w:p>
        </w:tc>
        <w:tc>
          <w:tcPr>
            <w:tcW w:w="1178" w:type="dxa"/>
            <w:hideMark/>
          </w:tcPr>
          <w:p w14:paraId="0A65DF6B"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SS</w:t>
            </w:r>
          </w:p>
        </w:tc>
        <w:tc>
          <w:tcPr>
            <w:tcW w:w="1648" w:type="dxa"/>
            <w:gridSpan w:val="2"/>
            <w:hideMark/>
          </w:tcPr>
          <w:p w14:paraId="0138B529"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2h fasting before sampling</w:t>
            </w:r>
          </w:p>
        </w:tc>
        <w:tc>
          <w:tcPr>
            <w:tcW w:w="2874" w:type="dxa"/>
            <w:hideMark/>
          </w:tcPr>
          <w:p w14:paraId="778A9C97"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Children with and without DS did not significantly differ in their salivary concentrations of F, Ca, or Pi.</w:t>
            </w:r>
            <w:r w:rsidRPr="00333A96">
              <w:rPr>
                <w:rFonts w:ascii="Times New Roman" w:eastAsia="Times New Roman" w:hAnsi="Times New Roman" w:cs="Times New Roman"/>
                <w:sz w:val="18"/>
                <w:szCs w:val="18"/>
                <w:lang w:val="en-GB" w:eastAsia="nl-NL"/>
              </w:rPr>
              <w:br/>
              <w:t>2) Children with DS had greater amounts of Pi and EPS in their dental biofilm than children without the syndrome</w:t>
            </w:r>
          </w:p>
        </w:tc>
      </w:tr>
      <w:tr w:rsidR="00D05AB4" w:rsidRPr="00CC2F10" w14:paraId="359AEAC0" w14:textId="77777777" w:rsidTr="00CC2F10">
        <w:trPr>
          <w:cnfStyle w:val="000000100000" w:firstRow="0" w:lastRow="0" w:firstColumn="0" w:lastColumn="0" w:oddVBand="0" w:evenVBand="0" w:oddHBand="1" w:evenHBand="0" w:firstRowFirstColumn="0" w:firstRowLastColumn="0" w:lastRowFirstColumn="0" w:lastRowLastColumn="0"/>
          <w:trHeight w:val="1872"/>
        </w:trPr>
        <w:tc>
          <w:tcPr>
            <w:cnfStyle w:val="001000000000" w:firstRow="0" w:lastRow="0" w:firstColumn="1" w:lastColumn="0" w:oddVBand="0" w:evenVBand="0" w:oddHBand="0" w:evenHBand="0" w:firstRowFirstColumn="0" w:firstRowLastColumn="0" w:lastRowFirstColumn="0" w:lastRowLastColumn="0"/>
            <w:tcW w:w="1560" w:type="dxa"/>
            <w:noWrap/>
            <w:hideMark/>
          </w:tcPr>
          <w:p w14:paraId="5396F060"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lastRenderedPageBreak/>
              <w:t>Seidel et al. 2001</w:t>
            </w:r>
          </w:p>
        </w:tc>
        <w:tc>
          <w:tcPr>
            <w:tcW w:w="1413" w:type="dxa"/>
            <w:noWrap/>
            <w:hideMark/>
          </w:tcPr>
          <w:p w14:paraId="60907721"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Germany</w:t>
            </w:r>
          </w:p>
        </w:tc>
        <w:tc>
          <w:tcPr>
            <w:tcW w:w="837" w:type="dxa"/>
            <w:noWrap/>
            <w:hideMark/>
          </w:tcPr>
          <w:p w14:paraId="2137082E"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5741825C"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73</w:t>
            </w:r>
          </w:p>
        </w:tc>
        <w:tc>
          <w:tcPr>
            <w:tcW w:w="1577" w:type="dxa"/>
            <w:hideMark/>
          </w:tcPr>
          <w:p w14:paraId="0732DF5D"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0 (?)</w:t>
            </w:r>
          </w:p>
        </w:tc>
        <w:tc>
          <w:tcPr>
            <w:tcW w:w="1794" w:type="dxa"/>
            <w:hideMark/>
          </w:tcPr>
          <w:p w14:paraId="45AFA164"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Measure sIgA, FSC, and IgD levels in newborn babies' saliva at 1 day old and to assess detection patterns, the impact of saliva flow, and the relationship to serum-derived proteins</w:t>
            </w:r>
          </w:p>
        </w:tc>
        <w:tc>
          <w:tcPr>
            <w:tcW w:w="1365" w:type="dxa"/>
            <w:hideMark/>
          </w:tcPr>
          <w:p w14:paraId="7DCF526A"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Suction</w:t>
            </w:r>
          </w:p>
        </w:tc>
        <w:tc>
          <w:tcPr>
            <w:tcW w:w="1179" w:type="dxa"/>
            <w:hideMark/>
          </w:tcPr>
          <w:p w14:paraId="1599AB97"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Syringe</w:t>
            </w:r>
          </w:p>
        </w:tc>
        <w:tc>
          <w:tcPr>
            <w:tcW w:w="1178" w:type="dxa"/>
            <w:hideMark/>
          </w:tcPr>
          <w:p w14:paraId="435875BB"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648" w:type="dxa"/>
            <w:gridSpan w:val="2"/>
            <w:hideMark/>
          </w:tcPr>
          <w:p w14:paraId="33A9516A" w14:textId="62570853" w:rsidR="00D05AB4" w:rsidRPr="00333A96" w:rsidRDefault="001E3817"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r w:rsidR="00D05AB4" w:rsidRPr="00333A96">
              <w:rPr>
                <w:rFonts w:ascii="Times New Roman" w:eastAsia="Times New Roman" w:hAnsi="Times New Roman" w:cs="Times New Roman"/>
                <w:sz w:val="18"/>
                <w:szCs w:val="18"/>
                <w:lang w:val="en-GB" w:eastAsia="nl-NL"/>
              </w:rPr>
              <w:t xml:space="preserve"> </w:t>
            </w:r>
          </w:p>
        </w:tc>
        <w:tc>
          <w:tcPr>
            <w:tcW w:w="2874" w:type="dxa"/>
            <w:hideMark/>
          </w:tcPr>
          <w:p w14:paraId="01A5181E"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FSC and IgD were found in 94.5% and 75.3% of the samples, respectively. sIgA was found in 74.0% of the saliva samples.</w:t>
            </w:r>
            <w:r w:rsidRPr="00333A96">
              <w:rPr>
                <w:rFonts w:ascii="Times New Roman" w:eastAsia="Times New Roman" w:hAnsi="Times New Roman" w:cs="Times New Roman"/>
                <w:sz w:val="18"/>
                <w:szCs w:val="18"/>
                <w:lang w:val="en-GB" w:eastAsia="nl-NL"/>
              </w:rPr>
              <w:br/>
              <w:t xml:space="preserve">2) Saliva flow affects the secretion of FSC and sIgA into the oral cavity and is similarly regulated. </w:t>
            </w:r>
            <w:r w:rsidRPr="00333A96">
              <w:rPr>
                <w:rFonts w:ascii="Times New Roman" w:eastAsia="Times New Roman" w:hAnsi="Times New Roman" w:cs="Times New Roman"/>
                <w:sz w:val="18"/>
                <w:szCs w:val="18"/>
                <w:lang w:val="en-GB" w:eastAsia="nl-NL"/>
              </w:rPr>
              <w:br/>
              <w:t>3) Compared to adolescents, the flow rate of US in newborn newborns was much lower.</w:t>
            </w:r>
          </w:p>
        </w:tc>
      </w:tr>
      <w:tr w:rsidR="00BB05A0" w:rsidRPr="00CC2F10" w14:paraId="267C97A0" w14:textId="77777777" w:rsidTr="00CC2F10">
        <w:trPr>
          <w:trHeight w:val="624"/>
        </w:trPr>
        <w:tc>
          <w:tcPr>
            <w:cnfStyle w:val="001000000000" w:firstRow="0" w:lastRow="0" w:firstColumn="1" w:lastColumn="0" w:oddVBand="0" w:evenVBand="0" w:oddHBand="0" w:evenHBand="0" w:firstRowFirstColumn="0" w:firstRowLastColumn="0" w:lastRowFirstColumn="0" w:lastRowLastColumn="0"/>
            <w:tcW w:w="1560" w:type="dxa"/>
            <w:noWrap/>
            <w:hideMark/>
          </w:tcPr>
          <w:p w14:paraId="132C95E8"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Selvarajan et al. 2020</w:t>
            </w:r>
          </w:p>
        </w:tc>
        <w:tc>
          <w:tcPr>
            <w:tcW w:w="1413" w:type="dxa"/>
            <w:noWrap/>
            <w:hideMark/>
          </w:tcPr>
          <w:p w14:paraId="307F8F2B"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India</w:t>
            </w:r>
          </w:p>
        </w:tc>
        <w:tc>
          <w:tcPr>
            <w:tcW w:w="837" w:type="dxa"/>
            <w:noWrap/>
            <w:hideMark/>
          </w:tcPr>
          <w:p w14:paraId="28A42CB4"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RCT</w:t>
            </w:r>
          </w:p>
        </w:tc>
        <w:tc>
          <w:tcPr>
            <w:tcW w:w="878" w:type="dxa"/>
            <w:noWrap/>
            <w:hideMark/>
          </w:tcPr>
          <w:p w14:paraId="3D53C531"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40</w:t>
            </w:r>
          </w:p>
        </w:tc>
        <w:tc>
          <w:tcPr>
            <w:tcW w:w="1577" w:type="dxa"/>
            <w:hideMark/>
          </w:tcPr>
          <w:p w14:paraId="51C0AD6F"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9-13 (?)</w:t>
            </w:r>
          </w:p>
        </w:tc>
        <w:tc>
          <w:tcPr>
            <w:tcW w:w="1794" w:type="dxa"/>
            <w:hideMark/>
          </w:tcPr>
          <w:p w14:paraId="67CA63D9"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Estimate the levels of salivary pH, SM, and BD counts in children consuming PC and NPC</w:t>
            </w:r>
          </w:p>
        </w:tc>
        <w:tc>
          <w:tcPr>
            <w:tcW w:w="1365" w:type="dxa"/>
            <w:hideMark/>
          </w:tcPr>
          <w:p w14:paraId="5A656495"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Drooling</w:t>
            </w:r>
          </w:p>
        </w:tc>
        <w:tc>
          <w:tcPr>
            <w:tcW w:w="1179" w:type="dxa"/>
            <w:hideMark/>
          </w:tcPr>
          <w:p w14:paraId="7ED07F6B" w14:textId="3918F150" w:rsidR="00D05AB4" w:rsidRPr="00333A96" w:rsidRDefault="001E3817"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1178" w:type="dxa"/>
            <w:hideMark/>
          </w:tcPr>
          <w:p w14:paraId="1FB51D2A"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648" w:type="dxa"/>
            <w:gridSpan w:val="2"/>
            <w:hideMark/>
          </w:tcPr>
          <w:p w14:paraId="022CA050" w14:textId="5EFF9D29" w:rsidR="00D05AB4" w:rsidRPr="00333A96" w:rsidRDefault="001E3817"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2874" w:type="dxa"/>
            <w:hideMark/>
          </w:tcPr>
          <w:p w14:paraId="050EDE8E"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Probiotic curd significantly decreased the colony counts of B. dentium, SM, and salivary pH.</w:t>
            </w:r>
          </w:p>
        </w:tc>
      </w:tr>
      <w:tr w:rsidR="00D05AB4" w:rsidRPr="00CC2F10" w14:paraId="281EF6E5" w14:textId="77777777" w:rsidTr="00CC2F10">
        <w:trPr>
          <w:cnfStyle w:val="000000100000" w:firstRow="0" w:lastRow="0" w:firstColumn="0" w:lastColumn="0" w:oddVBand="0" w:evenVBand="0" w:oddHBand="1" w:evenHBand="0" w:firstRowFirstColumn="0" w:firstRowLastColumn="0" w:lastRowFirstColumn="0" w:lastRowLastColumn="0"/>
          <w:trHeight w:val="1872"/>
        </w:trPr>
        <w:tc>
          <w:tcPr>
            <w:cnfStyle w:val="001000000000" w:firstRow="0" w:lastRow="0" w:firstColumn="1" w:lastColumn="0" w:oddVBand="0" w:evenVBand="0" w:oddHBand="0" w:evenHBand="0" w:firstRowFirstColumn="0" w:firstRowLastColumn="0" w:lastRowFirstColumn="0" w:lastRowLastColumn="0"/>
            <w:tcW w:w="1560" w:type="dxa"/>
            <w:noWrap/>
            <w:hideMark/>
          </w:tcPr>
          <w:p w14:paraId="14D19BC7"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Selvaraju et al. 2020</w:t>
            </w:r>
          </w:p>
        </w:tc>
        <w:tc>
          <w:tcPr>
            <w:tcW w:w="1413" w:type="dxa"/>
            <w:noWrap/>
            <w:hideMark/>
          </w:tcPr>
          <w:p w14:paraId="4851D089"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United States</w:t>
            </w:r>
          </w:p>
        </w:tc>
        <w:tc>
          <w:tcPr>
            <w:tcW w:w="837" w:type="dxa"/>
            <w:noWrap/>
            <w:hideMark/>
          </w:tcPr>
          <w:p w14:paraId="05B9F28D"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499AADB0"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76</w:t>
            </w:r>
          </w:p>
        </w:tc>
        <w:tc>
          <w:tcPr>
            <w:tcW w:w="1577" w:type="dxa"/>
            <w:hideMark/>
          </w:tcPr>
          <w:p w14:paraId="4E06280E"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6-10 (8.43±?)</w:t>
            </w:r>
          </w:p>
        </w:tc>
        <w:tc>
          <w:tcPr>
            <w:tcW w:w="1794" w:type="dxa"/>
            <w:hideMark/>
          </w:tcPr>
          <w:p w14:paraId="5D3B893C"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Examine the expression of fetuin-A, insulin, and adiponectin levels in salivary samples from elementary school-aged children who are normal weight, overweight, and obese</w:t>
            </w:r>
          </w:p>
        </w:tc>
        <w:tc>
          <w:tcPr>
            <w:tcW w:w="1365" w:type="dxa"/>
            <w:hideMark/>
          </w:tcPr>
          <w:p w14:paraId="500CAF11"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Absorption</w:t>
            </w:r>
          </w:p>
        </w:tc>
        <w:tc>
          <w:tcPr>
            <w:tcW w:w="1179" w:type="dxa"/>
            <w:hideMark/>
          </w:tcPr>
          <w:p w14:paraId="11A50B13"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SalivaBio LLC</w:t>
            </w:r>
          </w:p>
        </w:tc>
        <w:tc>
          <w:tcPr>
            <w:tcW w:w="1178" w:type="dxa"/>
            <w:hideMark/>
          </w:tcPr>
          <w:p w14:paraId="03A6A0F6"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648" w:type="dxa"/>
            <w:gridSpan w:val="2"/>
            <w:hideMark/>
          </w:tcPr>
          <w:p w14:paraId="2A79B4AA"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30min fasting before sampling</w:t>
            </w:r>
          </w:p>
        </w:tc>
        <w:tc>
          <w:tcPr>
            <w:tcW w:w="2874" w:type="dxa"/>
            <w:hideMark/>
          </w:tcPr>
          <w:p w14:paraId="1A14B98C"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In comparison to children who were overweight/obese, normal weight children had a higher AMY1 copy number.</w:t>
            </w:r>
            <w:r w:rsidRPr="00333A96">
              <w:rPr>
                <w:rFonts w:ascii="Times New Roman" w:eastAsia="Times New Roman" w:hAnsi="Times New Roman" w:cs="Times New Roman"/>
                <w:sz w:val="18"/>
                <w:szCs w:val="18"/>
                <w:lang w:val="en-GB" w:eastAsia="nl-NL"/>
              </w:rPr>
              <w:br/>
              <w:t xml:space="preserve">2) Except for complement factor D, TNF, and IL-6, there was a significant negative correlation between AMY1 CNV and obesity and inflammatory markers. AMY1 copy number and the anti-inflammatory cytokine IL-10 revealed a positive connection. </w:t>
            </w:r>
          </w:p>
        </w:tc>
      </w:tr>
      <w:tr w:rsidR="00BB05A0" w:rsidRPr="00CC2F10" w14:paraId="1E905317" w14:textId="77777777" w:rsidTr="00CC2F10">
        <w:trPr>
          <w:trHeight w:val="1560"/>
        </w:trPr>
        <w:tc>
          <w:tcPr>
            <w:cnfStyle w:val="001000000000" w:firstRow="0" w:lastRow="0" w:firstColumn="1" w:lastColumn="0" w:oddVBand="0" w:evenVBand="0" w:oddHBand="0" w:evenHBand="0" w:firstRowFirstColumn="0" w:firstRowLastColumn="0" w:lastRowFirstColumn="0" w:lastRowLastColumn="0"/>
            <w:tcW w:w="1560" w:type="dxa"/>
            <w:noWrap/>
            <w:hideMark/>
          </w:tcPr>
          <w:p w14:paraId="46F26A29"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Shah et al. 2022</w:t>
            </w:r>
          </w:p>
        </w:tc>
        <w:tc>
          <w:tcPr>
            <w:tcW w:w="1413" w:type="dxa"/>
            <w:noWrap/>
            <w:hideMark/>
          </w:tcPr>
          <w:p w14:paraId="5CDF7EDC"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India</w:t>
            </w:r>
          </w:p>
        </w:tc>
        <w:tc>
          <w:tcPr>
            <w:tcW w:w="837" w:type="dxa"/>
            <w:noWrap/>
            <w:hideMark/>
          </w:tcPr>
          <w:p w14:paraId="0512A135"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RCT</w:t>
            </w:r>
          </w:p>
        </w:tc>
        <w:tc>
          <w:tcPr>
            <w:tcW w:w="878" w:type="dxa"/>
            <w:noWrap/>
            <w:hideMark/>
          </w:tcPr>
          <w:p w14:paraId="36BF1538"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60</w:t>
            </w:r>
          </w:p>
        </w:tc>
        <w:tc>
          <w:tcPr>
            <w:tcW w:w="1577" w:type="dxa"/>
            <w:hideMark/>
          </w:tcPr>
          <w:p w14:paraId="5B9DCA34"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5-12 (?)</w:t>
            </w:r>
          </w:p>
        </w:tc>
        <w:tc>
          <w:tcPr>
            <w:tcW w:w="1794" w:type="dxa"/>
            <w:hideMark/>
          </w:tcPr>
          <w:p w14:paraId="4F6303F5"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Measure and compare the changes in saliva's pH, calcium, phosphorus, alkaline phosphatase, and TAC after eating candy, followed by a water rinse and paneer ingestion</w:t>
            </w:r>
          </w:p>
        </w:tc>
        <w:tc>
          <w:tcPr>
            <w:tcW w:w="1365" w:type="dxa"/>
            <w:hideMark/>
          </w:tcPr>
          <w:p w14:paraId="249BAA64"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Drooling</w:t>
            </w:r>
          </w:p>
        </w:tc>
        <w:tc>
          <w:tcPr>
            <w:tcW w:w="1179" w:type="dxa"/>
            <w:hideMark/>
          </w:tcPr>
          <w:p w14:paraId="02E496BF"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container</w:t>
            </w:r>
          </w:p>
        </w:tc>
        <w:tc>
          <w:tcPr>
            <w:tcW w:w="1178" w:type="dxa"/>
            <w:hideMark/>
          </w:tcPr>
          <w:p w14:paraId="1677DDC1"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US </w:t>
            </w:r>
          </w:p>
        </w:tc>
        <w:tc>
          <w:tcPr>
            <w:tcW w:w="1648" w:type="dxa"/>
            <w:gridSpan w:val="2"/>
            <w:hideMark/>
          </w:tcPr>
          <w:p w14:paraId="0F82E9B8"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2h fasting before sampling</w:t>
            </w:r>
          </w:p>
        </w:tc>
        <w:tc>
          <w:tcPr>
            <w:tcW w:w="2874" w:type="dxa"/>
            <w:hideMark/>
          </w:tcPr>
          <w:p w14:paraId="2C4CEF98" w14:textId="5FCDE32B"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After consuming candies, a significant decrease in pH, calcium, phosphorus, and alkaline phosphatase levels in saliva. Rinsing with water and consuming paneer lead to a significant increase.</w:t>
            </w:r>
            <w:r w:rsidRPr="00333A96">
              <w:rPr>
                <w:rFonts w:ascii="Times New Roman" w:eastAsia="Times New Roman" w:hAnsi="Times New Roman" w:cs="Times New Roman"/>
                <w:sz w:val="18"/>
                <w:szCs w:val="18"/>
                <w:lang w:val="en-GB" w:eastAsia="nl-NL"/>
              </w:rPr>
              <w:br/>
              <w:t>2) TAC levels significant increased after candy intake and decreased after paneer consumption and water rinsing.</w:t>
            </w:r>
          </w:p>
        </w:tc>
      </w:tr>
      <w:tr w:rsidR="00D05AB4" w:rsidRPr="00CC2F10" w14:paraId="2CDD176C" w14:textId="77777777" w:rsidTr="00CC2F10">
        <w:trPr>
          <w:cnfStyle w:val="000000100000" w:firstRow="0" w:lastRow="0" w:firstColumn="0" w:lastColumn="0" w:oddVBand="0" w:evenVBand="0" w:oddHBand="1" w:evenHBand="0" w:firstRowFirstColumn="0" w:firstRowLastColumn="0" w:lastRowFirstColumn="0" w:lastRowLastColumn="0"/>
          <w:trHeight w:val="1248"/>
        </w:trPr>
        <w:tc>
          <w:tcPr>
            <w:cnfStyle w:val="001000000000" w:firstRow="0" w:lastRow="0" w:firstColumn="1" w:lastColumn="0" w:oddVBand="0" w:evenVBand="0" w:oddHBand="0" w:evenHBand="0" w:firstRowFirstColumn="0" w:firstRowLastColumn="0" w:lastRowFirstColumn="0" w:lastRowLastColumn="0"/>
            <w:tcW w:w="1560" w:type="dxa"/>
            <w:noWrap/>
            <w:hideMark/>
          </w:tcPr>
          <w:p w14:paraId="21D06E07"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Shaki et al. 2020</w:t>
            </w:r>
          </w:p>
        </w:tc>
        <w:tc>
          <w:tcPr>
            <w:tcW w:w="1413" w:type="dxa"/>
            <w:noWrap/>
            <w:hideMark/>
          </w:tcPr>
          <w:p w14:paraId="5419BFC2"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Iran</w:t>
            </w:r>
          </w:p>
        </w:tc>
        <w:tc>
          <w:tcPr>
            <w:tcW w:w="837" w:type="dxa"/>
            <w:noWrap/>
            <w:hideMark/>
          </w:tcPr>
          <w:p w14:paraId="7ADE5EAC"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3FE2ED96"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80</w:t>
            </w:r>
          </w:p>
        </w:tc>
        <w:tc>
          <w:tcPr>
            <w:tcW w:w="1577" w:type="dxa"/>
            <w:hideMark/>
          </w:tcPr>
          <w:p w14:paraId="7FC16C21"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3-5 (?)</w:t>
            </w:r>
          </w:p>
        </w:tc>
        <w:tc>
          <w:tcPr>
            <w:tcW w:w="1794" w:type="dxa"/>
            <w:hideMark/>
          </w:tcPr>
          <w:p w14:paraId="3A5E299F"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Assess the levels of total protein, TAC, pH, and NO in the saliva of two populations of caries-</w:t>
            </w:r>
            <w:r w:rsidRPr="00333A96">
              <w:rPr>
                <w:rFonts w:ascii="Times New Roman" w:eastAsia="Times New Roman" w:hAnsi="Times New Roman" w:cs="Times New Roman"/>
                <w:sz w:val="18"/>
                <w:szCs w:val="18"/>
                <w:lang w:val="en-GB" w:eastAsia="nl-NL"/>
              </w:rPr>
              <w:lastRenderedPageBreak/>
              <w:t>active and caries-free children, all of which can have an impact on the caries process</w:t>
            </w:r>
          </w:p>
        </w:tc>
        <w:tc>
          <w:tcPr>
            <w:tcW w:w="1365" w:type="dxa"/>
            <w:hideMark/>
          </w:tcPr>
          <w:p w14:paraId="496F8783"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lastRenderedPageBreak/>
              <w:t>Spitting</w:t>
            </w:r>
          </w:p>
        </w:tc>
        <w:tc>
          <w:tcPr>
            <w:tcW w:w="1179" w:type="dxa"/>
            <w:hideMark/>
          </w:tcPr>
          <w:p w14:paraId="56AE82C2" w14:textId="274B5360" w:rsidR="00D05AB4" w:rsidRPr="00333A96" w:rsidRDefault="001E3817"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1178" w:type="dxa"/>
            <w:hideMark/>
          </w:tcPr>
          <w:p w14:paraId="7FDB21F7"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648" w:type="dxa"/>
            <w:gridSpan w:val="2"/>
            <w:hideMark/>
          </w:tcPr>
          <w:p w14:paraId="14B30A9A"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2h fasting before sampling</w:t>
            </w:r>
          </w:p>
        </w:tc>
        <w:tc>
          <w:tcPr>
            <w:tcW w:w="2874" w:type="dxa"/>
            <w:hideMark/>
          </w:tcPr>
          <w:p w14:paraId="33AA71D0"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CF children had significant lower total antioxidant capacity and total protein concentration in saliva compared to CA children.</w:t>
            </w:r>
            <w:r w:rsidRPr="00333A96">
              <w:rPr>
                <w:rFonts w:ascii="Times New Roman" w:eastAsia="Times New Roman" w:hAnsi="Times New Roman" w:cs="Times New Roman"/>
                <w:sz w:val="18"/>
                <w:szCs w:val="18"/>
                <w:lang w:val="en-GB" w:eastAsia="nl-NL"/>
              </w:rPr>
              <w:br/>
              <w:t xml:space="preserve">2) Nitric oxide levels in saliva were </w:t>
            </w:r>
            <w:r w:rsidRPr="00333A96">
              <w:rPr>
                <w:rFonts w:ascii="Times New Roman" w:eastAsia="Times New Roman" w:hAnsi="Times New Roman" w:cs="Times New Roman"/>
                <w:sz w:val="18"/>
                <w:szCs w:val="18"/>
                <w:lang w:val="en-GB" w:eastAsia="nl-NL"/>
              </w:rPr>
              <w:lastRenderedPageBreak/>
              <w:t>significantly lower in CA children.</w:t>
            </w:r>
            <w:r w:rsidRPr="00333A96">
              <w:rPr>
                <w:rFonts w:ascii="Times New Roman" w:eastAsia="Times New Roman" w:hAnsi="Times New Roman" w:cs="Times New Roman"/>
                <w:sz w:val="18"/>
                <w:szCs w:val="18"/>
                <w:lang w:val="en-GB" w:eastAsia="nl-NL"/>
              </w:rPr>
              <w:br/>
              <w:t>3) CA children had a decrease in saliva pH compared to CF children.</w:t>
            </w:r>
          </w:p>
        </w:tc>
      </w:tr>
      <w:tr w:rsidR="00BB05A0" w:rsidRPr="00CC2F10" w14:paraId="5A5F7002" w14:textId="77777777" w:rsidTr="00CC2F10">
        <w:trPr>
          <w:trHeight w:val="2184"/>
        </w:trPr>
        <w:tc>
          <w:tcPr>
            <w:cnfStyle w:val="001000000000" w:firstRow="0" w:lastRow="0" w:firstColumn="1" w:lastColumn="0" w:oddVBand="0" w:evenVBand="0" w:oddHBand="0" w:evenHBand="0" w:firstRowFirstColumn="0" w:firstRowLastColumn="0" w:lastRowFirstColumn="0" w:lastRowLastColumn="0"/>
            <w:tcW w:w="1560" w:type="dxa"/>
            <w:noWrap/>
            <w:hideMark/>
          </w:tcPr>
          <w:p w14:paraId="38D8626D"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lastRenderedPageBreak/>
              <w:t>Sharma et al. 2012</w:t>
            </w:r>
          </w:p>
        </w:tc>
        <w:tc>
          <w:tcPr>
            <w:tcW w:w="1413" w:type="dxa"/>
            <w:noWrap/>
            <w:hideMark/>
          </w:tcPr>
          <w:p w14:paraId="6044C16B"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India</w:t>
            </w:r>
          </w:p>
        </w:tc>
        <w:tc>
          <w:tcPr>
            <w:tcW w:w="837" w:type="dxa"/>
            <w:noWrap/>
            <w:hideMark/>
          </w:tcPr>
          <w:p w14:paraId="48BD0D32"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17B02383"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160</w:t>
            </w:r>
          </w:p>
        </w:tc>
        <w:tc>
          <w:tcPr>
            <w:tcW w:w="1577" w:type="dxa"/>
            <w:hideMark/>
          </w:tcPr>
          <w:p w14:paraId="5B4F2517"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0-3 (?)</w:t>
            </w:r>
          </w:p>
        </w:tc>
        <w:tc>
          <w:tcPr>
            <w:tcW w:w="1794" w:type="dxa"/>
            <w:hideMark/>
          </w:tcPr>
          <w:p w14:paraId="064ECEA8"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Investigate the connections between infant SM colonization and eating habits, age, and the number of teeth present</w:t>
            </w:r>
          </w:p>
        </w:tc>
        <w:tc>
          <w:tcPr>
            <w:tcW w:w="1365" w:type="dxa"/>
            <w:hideMark/>
          </w:tcPr>
          <w:p w14:paraId="185ABAB5"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Absorption</w:t>
            </w:r>
          </w:p>
        </w:tc>
        <w:tc>
          <w:tcPr>
            <w:tcW w:w="1179" w:type="dxa"/>
            <w:hideMark/>
          </w:tcPr>
          <w:p w14:paraId="6BB963A7"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Wooden tongue blade</w:t>
            </w:r>
          </w:p>
        </w:tc>
        <w:tc>
          <w:tcPr>
            <w:tcW w:w="1178" w:type="dxa"/>
            <w:hideMark/>
          </w:tcPr>
          <w:p w14:paraId="4230FCD2"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648" w:type="dxa"/>
            <w:gridSpan w:val="2"/>
            <w:hideMark/>
          </w:tcPr>
          <w:p w14:paraId="6C5FE791" w14:textId="52E70B20" w:rsidR="00D05AB4" w:rsidRPr="00333A96" w:rsidRDefault="00D82031"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2874" w:type="dxa"/>
            <w:hideMark/>
          </w:tcPr>
          <w:p w14:paraId="3643995E" w14:textId="7890CBE6"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All children (breastfed, nursing bottles, no bottles use), had SM colonization.</w:t>
            </w:r>
            <w:r w:rsidRPr="00333A96">
              <w:rPr>
                <w:rFonts w:ascii="Times New Roman" w:eastAsia="Times New Roman" w:hAnsi="Times New Roman" w:cs="Times New Roman"/>
                <w:sz w:val="18"/>
                <w:szCs w:val="18"/>
                <w:lang w:val="en-GB" w:eastAsia="nl-NL"/>
              </w:rPr>
              <w:br/>
              <w:t>2) Infants who were breastfed: lowest count of high colony forming units, nursing bottles: higher levels, no nursing bottle use: highest amounts.</w:t>
            </w:r>
            <w:r w:rsidRPr="00333A96">
              <w:rPr>
                <w:rFonts w:ascii="Times New Roman" w:eastAsia="Times New Roman" w:hAnsi="Times New Roman" w:cs="Times New Roman"/>
                <w:sz w:val="18"/>
                <w:szCs w:val="18"/>
                <w:lang w:val="en-GB" w:eastAsia="nl-NL"/>
              </w:rPr>
              <w:br/>
              <w:t xml:space="preserve">3) With age and the number of teeth present, SM colonization rates increased, with higher colony forming units being seen as the number of teeth increased. </w:t>
            </w:r>
          </w:p>
        </w:tc>
      </w:tr>
      <w:tr w:rsidR="00D05AB4" w:rsidRPr="00CC2F10" w14:paraId="59CB08E0" w14:textId="77777777" w:rsidTr="00CC2F10">
        <w:trPr>
          <w:cnfStyle w:val="000000100000" w:firstRow="0" w:lastRow="0" w:firstColumn="0" w:lastColumn="0" w:oddVBand="0" w:evenVBand="0" w:oddHBand="1" w:evenHBand="0" w:firstRowFirstColumn="0" w:firstRowLastColumn="0" w:lastRowFirstColumn="0" w:lastRowLastColumn="0"/>
          <w:trHeight w:val="1248"/>
        </w:trPr>
        <w:tc>
          <w:tcPr>
            <w:cnfStyle w:val="001000000000" w:firstRow="0" w:lastRow="0" w:firstColumn="1" w:lastColumn="0" w:oddVBand="0" w:evenVBand="0" w:oddHBand="0" w:evenHBand="0" w:firstRowFirstColumn="0" w:firstRowLastColumn="0" w:lastRowFirstColumn="0" w:lastRowLastColumn="0"/>
            <w:tcW w:w="1560" w:type="dxa"/>
            <w:noWrap/>
            <w:hideMark/>
          </w:tcPr>
          <w:p w14:paraId="1A58D3CC"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Shitsuka et al. 2018</w:t>
            </w:r>
          </w:p>
        </w:tc>
        <w:tc>
          <w:tcPr>
            <w:tcW w:w="1413" w:type="dxa"/>
            <w:noWrap/>
            <w:hideMark/>
          </w:tcPr>
          <w:p w14:paraId="5CC1EF22"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Brazil</w:t>
            </w:r>
          </w:p>
        </w:tc>
        <w:tc>
          <w:tcPr>
            <w:tcW w:w="837" w:type="dxa"/>
            <w:noWrap/>
            <w:hideMark/>
          </w:tcPr>
          <w:p w14:paraId="16FFC3C5"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6D061CED"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40</w:t>
            </w:r>
          </w:p>
        </w:tc>
        <w:tc>
          <w:tcPr>
            <w:tcW w:w="1577" w:type="dxa"/>
            <w:hideMark/>
          </w:tcPr>
          <w:p w14:paraId="1E90B16D"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4-6 (5.16±0.85)</w:t>
            </w:r>
          </w:p>
        </w:tc>
        <w:tc>
          <w:tcPr>
            <w:tcW w:w="1794" w:type="dxa"/>
            <w:hideMark/>
          </w:tcPr>
          <w:p w14:paraId="2FF369DB"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Compare children with tooth erosion to those who don't, in order to assess the level of oxidative stress in their saliva</w:t>
            </w:r>
          </w:p>
        </w:tc>
        <w:tc>
          <w:tcPr>
            <w:tcW w:w="1365" w:type="dxa"/>
            <w:hideMark/>
          </w:tcPr>
          <w:p w14:paraId="2830C66F"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Drooling</w:t>
            </w:r>
          </w:p>
        </w:tc>
        <w:tc>
          <w:tcPr>
            <w:tcW w:w="1179" w:type="dxa"/>
            <w:hideMark/>
          </w:tcPr>
          <w:p w14:paraId="72395BED"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Tube</w:t>
            </w:r>
          </w:p>
        </w:tc>
        <w:tc>
          <w:tcPr>
            <w:tcW w:w="1178" w:type="dxa"/>
            <w:hideMark/>
          </w:tcPr>
          <w:p w14:paraId="1D887781"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648" w:type="dxa"/>
            <w:gridSpan w:val="2"/>
            <w:hideMark/>
          </w:tcPr>
          <w:p w14:paraId="175D52A1"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2h fasting before sampling</w:t>
            </w:r>
          </w:p>
        </w:tc>
        <w:tc>
          <w:tcPr>
            <w:tcW w:w="2874" w:type="dxa"/>
            <w:hideMark/>
          </w:tcPr>
          <w:p w14:paraId="723797E4"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In comparison to children without dental erosion, those with dental erosion had less dental biofilm.</w:t>
            </w:r>
            <w:r w:rsidRPr="00333A96">
              <w:rPr>
                <w:rFonts w:ascii="Times New Roman" w:eastAsia="Times New Roman" w:hAnsi="Times New Roman" w:cs="Times New Roman"/>
                <w:sz w:val="18"/>
                <w:szCs w:val="18"/>
                <w:lang w:val="en-GB" w:eastAsia="nl-NL"/>
              </w:rPr>
              <w:br/>
              <w:t>2) Children with and without tooth erosion did not vary statistically in the oxidative stress characteristics of their saliva.</w:t>
            </w:r>
          </w:p>
        </w:tc>
      </w:tr>
      <w:tr w:rsidR="00BB05A0" w:rsidRPr="00CC2F10" w14:paraId="34510883" w14:textId="77777777" w:rsidTr="00CC2F10">
        <w:trPr>
          <w:trHeight w:val="423"/>
        </w:trPr>
        <w:tc>
          <w:tcPr>
            <w:cnfStyle w:val="001000000000" w:firstRow="0" w:lastRow="0" w:firstColumn="1" w:lastColumn="0" w:oddVBand="0" w:evenVBand="0" w:oddHBand="0" w:evenHBand="0" w:firstRowFirstColumn="0" w:firstRowLastColumn="0" w:lastRowFirstColumn="0" w:lastRowLastColumn="0"/>
            <w:tcW w:w="1560" w:type="dxa"/>
            <w:noWrap/>
            <w:hideMark/>
          </w:tcPr>
          <w:p w14:paraId="5D206DBD"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Shteyer et al. 2013</w:t>
            </w:r>
          </w:p>
        </w:tc>
        <w:tc>
          <w:tcPr>
            <w:tcW w:w="1413" w:type="dxa"/>
            <w:noWrap/>
            <w:hideMark/>
          </w:tcPr>
          <w:p w14:paraId="401EC8DF"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Israel</w:t>
            </w:r>
          </w:p>
        </w:tc>
        <w:tc>
          <w:tcPr>
            <w:tcW w:w="837" w:type="dxa"/>
            <w:noWrap/>
            <w:hideMark/>
          </w:tcPr>
          <w:p w14:paraId="780CEB59"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22ADBB75"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90</w:t>
            </w:r>
          </w:p>
        </w:tc>
        <w:tc>
          <w:tcPr>
            <w:tcW w:w="1577" w:type="dxa"/>
            <w:hideMark/>
          </w:tcPr>
          <w:p w14:paraId="7DFD305F"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1-18 (6±2.9)</w:t>
            </w:r>
          </w:p>
        </w:tc>
        <w:tc>
          <w:tcPr>
            <w:tcW w:w="1794" w:type="dxa"/>
            <w:hideMark/>
          </w:tcPr>
          <w:p w14:paraId="7535A78B"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Evaluate oral health, individuals with CD upon diagnosis had their bacterial colonization and salivary buffering capacity compared to CD patients on a gluten-free diet (GFD) and healthy children </w:t>
            </w:r>
          </w:p>
        </w:tc>
        <w:tc>
          <w:tcPr>
            <w:tcW w:w="1365" w:type="dxa"/>
            <w:hideMark/>
          </w:tcPr>
          <w:p w14:paraId="2669633A"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Absorption</w:t>
            </w:r>
          </w:p>
        </w:tc>
        <w:tc>
          <w:tcPr>
            <w:tcW w:w="1179" w:type="dxa"/>
            <w:hideMark/>
          </w:tcPr>
          <w:p w14:paraId="341078EB"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Cotton pallet</w:t>
            </w:r>
          </w:p>
        </w:tc>
        <w:tc>
          <w:tcPr>
            <w:tcW w:w="1178" w:type="dxa"/>
            <w:hideMark/>
          </w:tcPr>
          <w:p w14:paraId="76FBA8D5"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648" w:type="dxa"/>
            <w:gridSpan w:val="2"/>
            <w:hideMark/>
          </w:tcPr>
          <w:p w14:paraId="2F88EEF0" w14:textId="06C5C8B4" w:rsidR="00D05AB4" w:rsidRPr="00333A96" w:rsidRDefault="00D82031"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2874" w:type="dxa"/>
            <w:hideMark/>
          </w:tcPr>
          <w:p w14:paraId="334334E5" w14:textId="65EB2A3E"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Enamel hypoplasia was more prevalent in children with CD than in healthy children; Children with CD who were getting a GFD showed a lower PI than newly diagnosed CD patients (indicating better oral hygiene).</w:t>
            </w:r>
            <w:r w:rsidRPr="00333A96">
              <w:rPr>
                <w:rFonts w:ascii="Times New Roman" w:eastAsia="Times New Roman" w:hAnsi="Times New Roman" w:cs="Times New Roman"/>
                <w:sz w:val="18"/>
                <w:szCs w:val="18"/>
                <w:lang w:val="en-GB" w:eastAsia="nl-NL"/>
              </w:rPr>
              <w:br/>
              <w:t>2)</w:t>
            </w:r>
            <w:r w:rsidR="0074566B">
              <w:rPr>
                <w:rFonts w:ascii="Times New Roman" w:eastAsia="Times New Roman" w:hAnsi="Times New Roman" w:cs="Times New Roman"/>
                <w:sz w:val="18"/>
                <w:szCs w:val="18"/>
                <w:lang w:val="en-GB" w:eastAsia="nl-NL"/>
              </w:rPr>
              <w:t xml:space="preserve"> </w:t>
            </w:r>
            <w:r w:rsidRPr="00333A96">
              <w:rPr>
                <w:rFonts w:ascii="Times New Roman" w:eastAsia="Times New Roman" w:hAnsi="Times New Roman" w:cs="Times New Roman"/>
                <w:sz w:val="18"/>
                <w:szCs w:val="18"/>
                <w:lang w:val="en-GB" w:eastAsia="nl-NL"/>
              </w:rPr>
              <w:t>Between the CD groups and the control group, no significant differences in salivary characteristics or bacterial colonization were discovered.</w:t>
            </w:r>
          </w:p>
        </w:tc>
      </w:tr>
      <w:tr w:rsidR="00D05AB4" w:rsidRPr="00CC2F10" w14:paraId="15BC9F19" w14:textId="77777777" w:rsidTr="00CC2F10">
        <w:trPr>
          <w:cnfStyle w:val="000000100000" w:firstRow="0" w:lastRow="0" w:firstColumn="0" w:lastColumn="0" w:oddVBand="0" w:evenVBand="0" w:oddHBand="1" w:evenHBand="0" w:firstRowFirstColumn="0" w:firstRowLastColumn="0" w:lastRowFirstColumn="0" w:lastRowLastColumn="0"/>
          <w:trHeight w:val="1560"/>
        </w:trPr>
        <w:tc>
          <w:tcPr>
            <w:cnfStyle w:val="001000000000" w:firstRow="0" w:lastRow="0" w:firstColumn="1" w:lastColumn="0" w:oddVBand="0" w:evenVBand="0" w:oddHBand="0" w:evenHBand="0" w:firstRowFirstColumn="0" w:firstRowLastColumn="0" w:lastRowFirstColumn="0" w:lastRowLastColumn="0"/>
            <w:tcW w:w="1560" w:type="dxa"/>
            <w:noWrap/>
            <w:hideMark/>
          </w:tcPr>
          <w:p w14:paraId="23C062D5"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lastRenderedPageBreak/>
              <w:t>Siani-Rose et al. 2021</w:t>
            </w:r>
          </w:p>
        </w:tc>
        <w:tc>
          <w:tcPr>
            <w:tcW w:w="1413" w:type="dxa"/>
            <w:noWrap/>
            <w:hideMark/>
          </w:tcPr>
          <w:p w14:paraId="269C45AB"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United States</w:t>
            </w:r>
          </w:p>
        </w:tc>
        <w:tc>
          <w:tcPr>
            <w:tcW w:w="837" w:type="dxa"/>
            <w:noWrap/>
            <w:hideMark/>
          </w:tcPr>
          <w:p w14:paraId="5429851D"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57E49B20"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36</w:t>
            </w:r>
          </w:p>
        </w:tc>
        <w:tc>
          <w:tcPr>
            <w:tcW w:w="1577" w:type="dxa"/>
            <w:hideMark/>
          </w:tcPr>
          <w:p w14:paraId="7820028C"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6-12 (9.3±?)</w:t>
            </w:r>
          </w:p>
        </w:tc>
        <w:tc>
          <w:tcPr>
            <w:tcW w:w="1794" w:type="dxa"/>
            <w:hideMark/>
          </w:tcPr>
          <w:p w14:paraId="7F0EB296"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Investigate the potential of metabolic biomarkers in determining the effects of MC treatment on metabolites and to identify the metabolic pathways of ASD children who react to MC treatment</w:t>
            </w:r>
          </w:p>
        </w:tc>
        <w:tc>
          <w:tcPr>
            <w:tcW w:w="1365" w:type="dxa"/>
            <w:hideMark/>
          </w:tcPr>
          <w:p w14:paraId="71E61CE6"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Drooling</w:t>
            </w:r>
          </w:p>
        </w:tc>
        <w:tc>
          <w:tcPr>
            <w:tcW w:w="1179" w:type="dxa"/>
            <w:hideMark/>
          </w:tcPr>
          <w:p w14:paraId="23EF9FDD"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Saliva Collection Aid (SCA) Salimetrics</w:t>
            </w:r>
          </w:p>
        </w:tc>
        <w:tc>
          <w:tcPr>
            <w:tcW w:w="1178" w:type="dxa"/>
            <w:hideMark/>
          </w:tcPr>
          <w:p w14:paraId="3AD4A1F3"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648" w:type="dxa"/>
            <w:gridSpan w:val="2"/>
            <w:hideMark/>
          </w:tcPr>
          <w:p w14:paraId="0A55B7C1"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1h fasting before sampling </w:t>
            </w:r>
          </w:p>
        </w:tc>
        <w:tc>
          <w:tcPr>
            <w:tcW w:w="2874" w:type="dxa"/>
            <w:hideMark/>
          </w:tcPr>
          <w:p w14:paraId="15771DBD"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Children with ASD showed a change in cannabis-responsive biomarkers after receiving MC therapy toward levels found in children with average development, indicating possible therapeutic advantages at the metabolic level.</w:t>
            </w:r>
          </w:p>
        </w:tc>
      </w:tr>
      <w:tr w:rsidR="00BB05A0" w:rsidRPr="00CC2F10" w14:paraId="15BD28FA" w14:textId="77777777" w:rsidTr="00CC2F10">
        <w:trPr>
          <w:trHeight w:val="1524"/>
        </w:trPr>
        <w:tc>
          <w:tcPr>
            <w:cnfStyle w:val="001000000000" w:firstRow="0" w:lastRow="0" w:firstColumn="1" w:lastColumn="0" w:oddVBand="0" w:evenVBand="0" w:oddHBand="0" w:evenHBand="0" w:firstRowFirstColumn="0" w:firstRowLastColumn="0" w:lastRowFirstColumn="0" w:lastRowLastColumn="0"/>
            <w:tcW w:w="1560" w:type="dxa"/>
            <w:noWrap/>
            <w:hideMark/>
          </w:tcPr>
          <w:p w14:paraId="003047D8"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Siddique et al. 2020</w:t>
            </w:r>
          </w:p>
        </w:tc>
        <w:tc>
          <w:tcPr>
            <w:tcW w:w="1413" w:type="dxa"/>
            <w:noWrap/>
            <w:hideMark/>
          </w:tcPr>
          <w:p w14:paraId="5740E110"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Pakistan</w:t>
            </w:r>
          </w:p>
        </w:tc>
        <w:tc>
          <w:tcPr>
            <w:tcW w:w="837" w:type="dxa"/>
            <w:noWrap/>
            <w:hideMark/>
          </w:tcPr>
          <w:p w14:paraId="6F071A79"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7E8F7F40"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80</w:t>
            </w:r>
          </w:p>
        </w:tc>
        <w:tc>
          <w:tcPr>
            <w:tcW w:w="1577" w:type="dxa"/>
            <w:hideMark/>
          </w:tcPr>
          <w:p w14:paraId="6211BEA6"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4-8 (5.78±1.23)</w:t>
            </w:r>
          </w:p>
        </w:tc>
        <w:tc>
          <w:tcPr>
            <w:tcW w:w="1794" w:type="dxa"/>
            <w:hideMark/>
          </w:tcPr>
          <w:p w14:paraId="5DCBBEA5"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Determine the concentrations of a-syn-mono and a-syn-oligo in the saliva of children with ASD in order to use saliva as a diagnostic tool</w:t>
            </w:r>
          </w:p>
        </w:tc>
        <w:tc>
          <w:tcPr>
            <w:tcW w:w="1365" w:type="dxa"/>
            <w:hideMark/>
          </w:tcPr>
          <w:p w14:paraId="6C5D9FB3"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Absorption</w:t>
            </w:r>
          </w:p>
        </w:tc>
        <w:tc>
          <w:tcPr>
            <w:tcW w:w="1179" w:type="dxa"/>
            <w:hideMark/>
          </w:tcPr>
          <w:p w14:paraId="5EC4751C"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Cotton pad</w:t>
            </w:r>
          </w:p>
        </w:tc>
        <w:tc>
          <w:tcPr>
            <w:tcW w:w="1178" w:type="dxa"/>
            <w:hideMark/>
          </w:tcPr>
          <w:p w14:paraId="31CDA058"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SS</w:t>
            </w:r>
          </w:p>
        </w:tc>
        <w:tc>
          <w:tcPr>
            <w:tcW w:w="1648" w:type="dxa"/>
            <w:gridSpan w:val="2"/>
            <w:hideMark/>
          </w:tcPr>
          <w:p w14:paraId="388D1C65"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1) 1h fasting before sampling </w:t>
            </w:r>
            <w:r w:rsidRPr="00333A96">
              <w:rPr>
                <w:rFonts w:ascii="Times New Roman" w:eastAsia="Times New Roman" w:hAnsi="Times New Roman" w:cs="Times New Roman"/>
                <w:sz w:val="18"/>
                <w:szCs w:val="18"/>
                <w:lang w:val="en-GB" w:eastAsia="nl-NL"/>
              </w:rPr>
              <w:br/>
              <w:t>2) Parents imitating chewing movement in front of children</w:t>
            </w:r>
          </w:p>
        </w:tc>
        <w:tc>
          <w:tcPr>
            <w:tcW w:w="2874" w:type="dxa"/>
            <w:hideMark/>
          </w:tcPr>
          <w:p w14:paraId="18873306"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Alpha-synuclein monomer and oligomer levels in saliva were significantly lower in children with ASD compared to healthy children, revealing a unique pattern distinct from other degenerative brain diseases. </w:t>
            </w:r>
          </w:p>
        </w:tc>
      </w:tr>
      <w:tr w:rsidR="00D05AB4" w:rsidRPr="00CC2F10" w14:paraId="25B3E647" w14:textId="77777777" w:rsidTr="00CC2F10">
        <w:trPr>
          <w:cnfStyle w:val="000000100000" w:firstRow="0" w:lastRow="0" w:firstColumn="0" w:lastColumn="0" w:oddVBand="0" w:evenVBand="0" w:oddHBand="1" w:evenHBand="0" w:firstRowFirstColumn="0" w:firstRowLastColumn="0" w:lastRowFirstColumn="0" w:lastRowLastColumn="0"/>
          <w:trHeight w:val="936"/>
        </w:trPr>
        <w:tc>
          <w:tcPr>
            <w:cnfStyle w:val="001000000000" w:firstRow="0" w:lastRow="0" w:firstColumn="1" w:lastColumn="0" w:oddVBand="0" w:evenVBand="0" w:oddHBand="0" w:evenHBand="0" w:firstRowFirstColumn="0" w:firstRowLastColumn="0" w:lastRowFirstColumn="0" w:lastRowLastColumn="0"/>
            <w:tcW w:w="1560" w:type="dxa"/>
            <w:noWrap/>
            <w:hideMark/>
          </w:tcPr>
          <w:p w14:paraId="14D9B05A"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Sims et al. 2006</w:t>
            </w:r>
          </w:p>
        </w:tc>
        <w:tc>
          <w:tcPr>
            <w:tcW w:w="1413" w:type="dxa"/>
            <w:noWrap/>
            <w:hideMark/>
          </w:tcPr>
          <w:p w14:paraId="7E4F22A4"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Australia</w:t>
            </w:r>
          </w:p>
        </w:tc>
        <w:tc>
          <w:tcPr>
            <w:tcW w:w="837" w:type="dxa"/>
            <w:noWrap/>
            <w:hideMark/>
          </w:tcPr>
          <w:p w14:paraId="3CF0E564"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009CF1E4"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117</w:t>
            </w:r>
          </w:p>
        </w:tc>
        <w:tc>
          <w:tcPr>
            <w:tcW w:w="1577" w:type="dxa"/>
            <w:hideMark/>
          </w:tcPr>
          <w:p w14:paraId="1FF87306"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3-6 (?)</w:t>
            </w:r>
          </w:p>
        </w:tc>
        <w:tc>
          <w:tcPr>
            <w:tcW w:w="1794" w:type="dxa"/>
            <w:hideMark/>
          </w:tcPr>
          <w:p w14:paraId="196173B1"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Investigate the relationship between cortisol levels and the quality of care in long-day care centres</w:t>
            </w:r>
          </w:p>
        </w:tc>
        <w:tc>
          <w:tcPr>
            <w:tcW w:w="1365" w:type="dxa"/>
            <w:hideMark/>
          </w:tcPr>
          <w:p w14:paraId="4AA0095B"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Absorption</w:t>
            </w:r>
          </w:p>
        </w:tc>
        <w:tc>
          <w:tcPr>
            <w:tcW w:w="1179" w:type="dxa"/>
            <w:hideMark/>
          </w:tcPr>
          <w:p w14:paraId="7893C527"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Eye spear</w:t>
            </w:r>
          </w:p>
        </w:tc>
        <w:tc>
          <w:tcPr>
            <w:tcW w:w="1178" w:type="dxa"/>
            <w:hideMark/>
          </w:tcPr>
          <w:p w14:paraId="57FF70A3"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648" w:type="dxa"/>
            <w:gridSpan w:val="2"/>
            <w:hideMark/>
          </w:tcPr>
          <w:p w14:paraId="7D9106A3" w14:textId="13063C74" w:rsidR="00D05AB4" w:rsidRPr="00333A96" w:rsidRDefault="00D82031"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2874" w:type="dxa"/>
            <w:hideMark/>
          </w:tcPr>
          <w:p w14:paraId="3FB88ADC" w14:textId="37BEB174"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Children who participated in high-quality programs had lower cortisol levels throughout the day of </w:t>
            </w:r>
            <w:r w:rsidR="0074566B" w:rsidRPr="00333A96">
              <w:rPr>
                <w:rFonts w:ascii="Times New Roman" w:eastAsia="Times New Roman" w:hAnsi="Times New Roman" w:cs="Times New Roman"/>
                <w:sz w:val="18"/>
                <w:szCs w:val="18"/>
                <w:lang w:val="en-GB" w:eastAsia="nl-NL"/>
              </w:rPr>
              <w:t>childcare</w:t>
            </w:r>
            <w:r w:rsidRPr="00333A96">
              <w:rPr>
                <w:rFonts w:ascii="Times New Roman" w:eastAsia="Times New Roman" w:hAnsi="Times New Roman" w:cs="Times New Roman"/>
                <w:sz w:val="18"/>
                <w:szCs w:val="18"/>
                <w:lang w:val="en-GB" w:eastAsia="nl-NL"/>
              </w:rPr>
              <w:t>. Children's attendance to unsatisfactory programs increased over the course of the day.</w:t>
            </w:r>
          </w:p>
        </w:tc>
      </w:tr>
      <w:tr w:rsidR="00BB05A0" w:rsidRPr="00CC2F10" w14:paraId="18618FF9" w14:textId="77777777" w:rsidTr="00CC2F10">
        <w:trPr>
          <w:trHeight w:val="1872"/>
        </w:trPr>
        <w:tc>
          <w:tcPr>
            <w:cnfStyle w:val="001000000000" w:firstRow="0" w:lastRow="0" w:firstColumn="1" w:lastColumn="0" w:oddVBand="0" w:evenVBand="0" w:oddHBand="0" w:evenHBand="0" w:firstRowFirstColumn="0" w:firstRowLastColumn="0" w:lastRowFirstColumn="0" w:lastRowLastColumn="0"/>
            <w:tcW w:w="1560" w:type="dxa"/>
            <w:noWrap/>
            <w:hideMark/>
          </w:tcPr>
          <w:p w14:paraId="0195E8CB"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Siqueira et al. 2007</w:t>
            </w:r>
          </w:p>
        </w:tc>
        <w:tc>
          <w:tcPr>
            <w:tcW w:w="1413" w:type="dxa"/>
            <w:noWrap/>
            <w:hideMark/>
          </w:tcPr>
          <w:p w14:paraId="6F1073A8"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Brazil</w:t>
            </w:r>
          </w:p>
        </w:tc>
        <w:tc>
          <w:tcPr>
            <w:tcW w:w="837" w:type="dxa"/>
            <w:noWrap/>
            <w:hideMark/>
          </w:tcPr>
          <w:p w14:paraId="6531F1E9"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481A6304"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72</w:t>
            </w:r>
          </w:p>
        </w:tc>
        <w:tc>
          <w:tcPr>
            <w:tcW w:w="1577" w:type="dxa"/>
            <w:hideMark/>
          </w:tcPr>
          <w:p w14:paraId="37557575"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(12±1.8)</w:t>
            </w:r>
          </w:p>
        </w:tc>
        <w:tc>
          <w:tcPr>
            <w:tcW w:w="1794" w:type="dxa"/>
            <w:hideMark/>
          </w:tcPr>
          <w:p w14:paraId="6487DDA5"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Examine and contrast the sodium, potassium, calcium, phosphorus, and magnesium concentrations in entire saliva of adolescents with CP with those of healthy people</w:t>
            </w:r>
          </w:p>
        </w:tc>
        <w:tc>
          <w:tcPr>
            <w:tcW w:w="1365" w:type="dxa"/>
            <w:hideMark/>
          </w:tcPr>
          <w:p w14:paraId="4B4F0278"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Suction</w:t>
            </w:r>
          </w:p>
        </w:tc>
        <w:tc>
          <w:tcPr>
            <w:tcW w:w="1179" w:type="dxa"/>
            <w:hideMark/>
          </w:tcPr>
          <w:p w14:paraId="311E9547"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Plastic catheter</w:t>
            </w:r>
          </w:p>
        </w:tc>
        <w:tc>
          <w:tcPr>
            <w:tcW w:w="1178" w:type="dxa"/>
            <w:hideMark/>
          </w:tcPr>
          <w:p w14:paraId="7D519CE8"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648" w:type="dxa"/>
            <w:gridSpan w:val="2"/>
            <w:hideMark/>
          </w:tcPr>
          <w:p w14:paraId="3EFD6180" w14:textId="3992AA29" w:rsidR="00D05AB4" w:rsidRPr="00333A96" w:rsidRDefault="00D82031"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2874" w:type="dxa"/>
            <w:hideMark/>
          </w:tcPr>
          <w:p w14:paraId="199230A9" w14:textId="29AA8B8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Adolescents with CP had significantly lower sodium concentrations in the whole saliva than healthy controls.</w:t>
            </w:r>
            <w:r w:rsidRPr="00333A96">
              <w:rPr>
                <w:rFonts w:ascii="Times New Roman" w:eastAsia="Times New Roman" w:hAnsi="Times New Roman" w:cs="Times New Roman"/>
                <w:sz w:val="18"/>
                <w:szCs w:val="18"/>
                <w:lang w:val="en-GB" w:eastAsia="nl-NL"/>
              </w:rPr>
              <w:br/>
              <w:t>2)</w:t>
            </w:r>
            <w:r w:rsidR="0074566B">
              <w:rPr>
                <w:rFonts w:ascii="Times New Roman" w:eastAsia="Times New Roman" w:hAnsi="Times New Roman" w:cs="Times New Roman"/>
                <w:sz w:val="18"/>
                <w:szCs w:val="18"/>
                <w:lang w:val="en-GB" w:eastAsia="nl-NL"/>
              </w:rPr>
              <w:t xml:space="preserve"> </w:t>
            </w:r>
            <w:r w:rsidRPr="00333A96">
              <w:rPr>
                <w:rFonts w:ascii="Times New Roman" w:eastAsia="Times New Roman" w:hAnsi="Times New Roman" w:cs="Times New Roman"/>
                <w:sz w:val="18"/>
                <w:szCs w:val="18"/>
                <w:lang w:val="en-GB" w:eastAsia="nl-NL"/>
              </w:rPr>
              <w:t xml:space="preserve">The total potassium content of the saliva of adolescents with CP was significantly higher. </w:t>
            </w:r>
            <w:r w:rsidRPr="00333A96">
              <w:rPr>
                <w:rFonts w:ascii="Times New Roman" w:eastAsia="Times New Roman" w:hAnsi="Times New Roman" w:cs="Times New Roman"/>
                <w:sz w:val="18"/>
                <w:szCs w:val="18"/>
                <w:lang w:val="en-GB" w:eastAsia="nl-NL"/>
              </w:rPr>
              <w:br/>
              <w:t>3) The amounts of phosphorus, magnesium, and calcium in the saliva samples between the two groups did not differ significantly.</w:t>
            </w:r>
          </w:p>
        </w:tc>
      </w:tr>
      <w:tr w:rsidR="00D05AB4" w:rsidRPr="00CC2F10" w14:paraId="39A45E53" w14:textId="77777777" w:rsidTr="00CC2F10">
        <w:trPr>
          <w:cnfStyle w:val="000000100000" w:firstRow="0" w:lastRow="0" w:firstColumn="0" w:lastColumn="0" w:oddVBand="0" w:evenVBand="0" w:oddHBand="1" w:evenHBand="0" w:firstRowFirstColumn="0" w:firstRowLastColumn="0" w:lastRowFirstColumn="0" w:lastRowLastColumn="0"/>
          <w:trHeight w:val="936"/>
        </w:trPr>
        <w:tc>
          <w:tcPr>
            <w:cnfStyle w:val="001000000000" w:firstRow="0" w:lastRow="0" w:firstColumn="1" w:lastColumn="0" w:oddVBand="0" w:evenVBand="0" w:oddHBand="0" w:evenHBand="0" w:firstRowFirstColumn="0" w:firstRowLastColumn="0" w:lastRowFirstColumn="0" w:lastRowLastColumn="0"/>
            <w:tcW w:w="1560" w:type="dxa"/>
            <w:noWrap/>
            <w:hideMark/>
          </w:tcPr>
          <w:p w14:paraId="71DD0F5B"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Smith et al. 2014</w:t>
            </w:r>
          </w:p>
        </w:tc>
        <w:tc>
          <w:tcPr>
            <w:tcW w:w="1413" w:type="dxa"/>
            <w:noWrap/>
            <w:hideMark/>
          </w:tcPr>
          <w:p w14:paraId="48A31656"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United States</w:t>
            </w:r>
          </w:p>
        </w:tc>
        <w:tc>
          <w:tcPr>
            <w:tcW w:w="837" w:type="dxa"/>
            <w:noWrap/>
            <w:hideMark/>
          </w:tcPr>
          <w:p w14:paraId="339CB9E2"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1E93E85F"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81</w:t>
            </w:r>
          </w:p>
        </w:tc>
        <w:tc>
          <w:tcPr>
            <w:tcW w:w="1577" w:type="dxa"/>
            <w:hideMark/>
          </w:tcPr>
          <w:p w14:paraId="2B46531D"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3-5 (?)</w:t>
            </w:r>
          </w:p>
        </w:tc>
        <w:tc>
          <w:tcPr>
            <w:tcW w:w="1794" w:type="dxa"/>
            <w:hideMark/>
          </w:tcPr>
          <w:p w14:paraId="43EF47C4"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Impact of parental involvement on a sample of preschoolers' CAR and diurnal cortisol gradients </w:t>
            </w:r>
          </w:p>
        </w:tc>
        <w:tc>
          <w:tcPr>
            <w:tcW w:w="1365" w:type="dxa"/>
            <w:hideMark/>
          </w:tcPr>
          <w:p w14:paraId="4DA107F0"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Absorption</w:t>
            </w:r>
          </w:p>
        </w:tc>
        <w:tc>
          <w:tcPr>
            <w:tcW w:w="1179" w:type="dxa"/>
            <w:hideMark/>
          </w:tcPr>
          <w:p w14:paraId="35BA64F2"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Cotton rolls</w:t>
            </w:r>
          </w:p>
        </w:tc>
        <w:tc>
          <w:tcPr>
            <w:tcW w:w="1178" w:type="dxa"/>
            <w:hideMark/>
          </w:tcPr>
          <w:p w14:paraId="4ABF5AD3"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SS</w:t>
            </w:r>
          </w:p>
        </w:tc>
        <w:tc>
          <w:tcPr>
            <w:tcW w:w="1648" w:type="dxa"/>
            <w:gridSpan w:val="2"/>
            <w:hideMark/>
          </w:tcPr>
          <w:p w14:paraId="2A0C325C"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Fasting the night prior sampling</w:t>
            </w:r>
          </w:p>
        </w:tc>
        <w:tc>
          <w:tcPr>
            <w:tcW w:w="2874" w:type="dxa"/>
            <w:hideMark/>
          </w:tcPr>
          <w:p w14:paraId="30F4C7DE"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Parental noncompliance has been associated to increased cortisol levels in the state of awaking and a reduced cortisol awakening response, according to electronic monitoring of parental compliance.</w:t>
            </w:r>
          </w:p>
        </w:tc>
      </w:tr>
      <w:tr w:rsidR="00BB05A0" w:rsidRPr="00CC2F10" w14:paraId="631C47CE" w14:textId="77777777" w:rsidTr="00CC2F10">
        <w:trPr>
          <w:trHeight w:val="1872"/>
        </w:trPr>
        <w:tc>
          <w:tcPr>
            <w:cnfStyle w:val="001000000000" w:firstRow="0" w:lastRow="0" w:firstColumn="1" w:lastColumn="0" w:oddVBand="0" w:evenVBand="0" w:oddHBand="0" w:evenHBand="0" w:firstRowFirstColumn="0" w:firstRowLastColumn="0" w:lastRowFirstColumn="0" w:lastRowLastColumn="0"/>
            <w:tcW w:w="1560" w:type="dxa"/>
            <w:noWrap/>
            <w:hideMark/>
          </w:tcPr>
          <w:p w14:paraId="71C36559"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lastRenderedPageBreak/>
              <w:t>Stalder et al. 2013</w:t>
            </w:r>
          </w:p>
        </w:tc>
        <w:tc>
          <w:tcPr>
            <w:tcW w:w="1413" w:type="dxa"/>
            <w:noWrap/>
            <w:hideMark/>
          </w:tcPr>
          <w:p w14:paraId="7014074F"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Germany</w:t>
            </w:r>
          </w:p>
        </w:tc>
        <w:tc>
          <w:tcPr>
            <w:tcW w:w="837" w:type="dxa"/>
            <w:noWrap/>
            <w:hideMark/>
          </w:tcPr>
          <w:p w14:paraId="4B6944D4"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20825ED8"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33</w:t>
            </w:r>
          </w:p>
        </w:tc>
        <w:tc>
          <w:tcPr>
            <w:tcW w:w="1577" w:type="dxa"/>
            <w:hideMark/>
          </w:tcPr>
          <w:p w14:paraId="447D588A"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0-1 (6.52m±2.84)</w:t>
            </w:r>
          </w:p>
        </w:tc>
        <w:tc>
          <w:tcPr>
            <w:tcW w:w="1794" w:type="dxa"/>
            <w:hideMark/>
          </w:tcPr>
          <w:p w14:paraId="17BA7855"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Investigate the ontogeny of the CAR in infants</w:t>
            </w:r>
          </w:p>
        </w:tc>
        <w:tc>
          <w:tcPr>
            <w:tcW w:w="1365" w:type="dxa"/>
            <w:hideMark/>
          </w:tcPr>
          <w:p w14:paraId="67A71251"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Absorption</w:t>
            </w:r>
          </w:p>
        </w:tc>
        <w:tc>
          <w:tcPr>
            <w:tcW w:w="1179" w:type="dxa"/>
            <w:hideMark/>
          </w:tcPr>
          <w:p w14:paraId="0F76AB89"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Eye sponge</w:t>
            </w:r>
          </w:p>
        </w:tc>
        <w:tc>
          <w:tcPr>
            <w:tcW w:w="1178" w:type="dxa"/>
            <w:hideMark/>
          </w:tcPr>
          <w:p w14:paraId="569F4EC8"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648" w:type="dxa"/>
            <w:gridSpan w:val="2"/>
            <w:hideMark/>
          </w:tcPr>
          <w:p w14:paraId="389E2859"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2h fasting before sampling</w:t>
            </w:r>
          </w:p>
        </w:tc>
        <w:tc>
          <w:tcPr>
            <w:tcW w:w="2874" w:type="dxa"/>
            <w:hideMark/>
          </w:tcPr>
          <w:p w14:paraId="267EA212"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1) The cortisol level at awakening and the CAR were connected to several aspects of newborn development, including physical and sleep-related development, weight, and BMI at birth. The magnitude of the CAR differed between infants. </w:t>
            </w:r>
            <w:r w:rsidRPr="00333A96">
              <w:rPr>
                <w:rFonts w:ascii="Times New Roman" w:eastAsia="Times New Roman" w:hAnsi="Times New Roman" w:cs="Times New Roman"/>
                <w:sz w:val="18"/>
                <w:szCs w:val="18"/>
                <w:lang w:val="en-GB" w:eastAsia="nl-NL"/>
              </w:rPr>
              <w:br/>
              <w:t>2) The CAR's ontogeny appears to occur as early as two months of age, throughout development.</w:t>
            </w:r>
          </w:p>
        </w:tc>
      </w:tr>
      <w:tr w:rsidR="00D05AB4" w:rsidRPr="00CC2F10" w14:paraId="2F275BC2" w14:textId="77777777" w:rsidTr="00CC2F10">
        <w:trPr>
          <w:cnfStyle w:val="000000100000" w:firstRow="0" w:lastRow="0" w:firstColumn="0" w:lastColumn="0" w:oddVBand="0" w:evenVBand="0" w:oddHBand="1" w:evenHBand="0" w:firstRowFirstColumn="0" w:firstRowLastColumn="0" w:lastRowFirstColumn="0" w:lastRowLastColumn="0"/>
          <w:trHeight w:val="1872"/>
        </w:trPr>
        <w:tc>
          <w:tcPr>
            <w:cnfStyle w:val="001000000000" w:firstRow="0" w:lastRow="0" w:firstColumn="1" w:lastColumn="0" w:oddVBand="0" w:evenVBand="0" w:oddHBand="0" w:evenHBand="0" w:firstRowFirstColumn="0" w:firstRowLastColumn="0" w:lastRowFirstColumn="0" w:lastRowLastColumn="0"/>
            <w:tcW w:w="1560" w:type="dxa"/>
            <w:noWrap/>
            <w:hideMark/>
          </w:tcPr>
          <w:p w14:paraId="4EFB9DAD"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Stenius et al. 2008</w:t>
            </w:r>
          </w:p>
        </w:tc>
        <w:tc>
          <w:tcPr>
            <w:tcW w:w="1413" w:type="dxa"/>
            <w:noWrap/>
            <w:hideMark/>
          </w:tcPr>
          <w:p w14:paraId="25DCC8A5"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Sweden</w:t>
            </w:r>
          </w:p>
        </w:tc>
        <w:tc>
          <w:tcPr>
            <w:tcW w:w="837" w:type="dxa"/>
            <w:noWrap/>
            <w:hideMark/>
          </w:tcPr>
          <w:p w14:paraId="220A30C5"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7BFDAC56"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51</w:t>
            </w:r>
          </w:p>
        </w:tc>
        <w:tc>
          <w:tcPr>
            <w:tcW w:w="1577" w:type="dxa"/>
            <w:hideMark/>
          </w:tcPr>
          <w:p w14:paraId="4DC956FA"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0 (?)</w:t>
            </w:r>
          </w:p>
        </w:tc>
        <w:tc>
          <w:tcPr>
            <w:tcW w:w="1794" w:type="dxa"/>
            <w:hideMark/>
          </w:tcPr>
          <w:p w14:paraId="401A98DA" w14:textId="7C89A765"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Investigate the relationship between cortisol levels of infants and their parents' cortisol levels, as well as the psychosocial environment of the infant, including maternal </w:t>
            </w:r>
            <w:r w:rsidR="0074566B" w:rsidRPr="00333A96">
              <w:rPr>
                <w:rFonts w:ascii="Times New Roman" w:eastAsia="Times New Roman" w:hAnsi="Times New Roman" w:cs="Times New Roman"/>
                <w:sz w:val="18"/>
                <w:szCs w:val="18"/>
                <w:lang w:val="en-GB" w:eastAsia="nl-NL"/>
              </w:rPr>
              <w:t>behaviour</w:t>
            </w:r>
          </w:p>
        </w:tc>
        <w:tc>
          <w:tcPr>
            <w:tcW w:w="1365" w:type="dxa"/>
            <w:hideMark/>
          </w:tcPr>
          <w:p w14:paraId="5766A97A"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Absorption</w:t>
            </w:r>
          </w:p>
        </w:tc>
        <w:tc>
          <w:tcPr>
            <w:tcW w:w="1179" w:type="dxa"/>
            <w:hideMark/>
          </w:tcPr>
          <w:p w14:paraId="188095B3"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Cotton rolls</w:t>
            </w:r>
          </w:p>
        </w:tc>
        <w:tc>
          <w:tcPr>
            <w:tcW w:w="1178" w:type="dxa"/>
            <w:hideMark/>
          </w:tcPr>
          <w:p w14:paraId="17FBA87B"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648" w:type="dxa"/>
            <w:gridSpan w:val="2"/>
            <w:hideMark/>
          </w:tcPr>
          <w:p w14:paraId="2C7B2FDB" w14:textId="0FD25559" w:rsidR="00D05AB4" w:rsidRPr="00333A96" w:rsidRDefault="00D82031"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r w:rsidR="00D05AB4" w:rsidRPr="00333A96">
              <w:rPr>
                <w:rFonts w:ascii="Times New Roman" w:eastAsia="Times New Roman" w:hAnsi="Times New Roman" w:cs="Times New Roman"/>
                <w:sz w:val="18"/>
                <w:szCs w:val="18"/>
                <w:lang w:val="en-GB" w:eastAsia="nl-NL"/>
              </w:rPr>
              <w:t xml:space="preserve"> </w:t>
            </w:r>
          </w:p>
        </w:tc>
        <w:tc>
          <w:tcPr>
            <w:tcW w:w="2874" w:type="dxa"/>
            <w:hideMark/>
          </w:tcPr>
          <w:p w14:paraId="0CE7AEBE"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1) All sampling occasions revealed strong relationships between mother and child levels, while only the afternoon and evening samples revealed decreased correlations between father and child levels. </w:t>
            </w:r>
            <w:r w:rsidRPr="00333A96">
              <w:rPr>
                <w:rFonts w:ascii="Times New Roman" w:eastAsia="Times New Roman" w:hAnsi="Times New Roman" w:cs="Times New Roman"/>
                <w:sz w:val="18"/>
                <w:szCs w:val="18"/>
                <w:lang w:val="en-GB" w:eastAsia="nl-NL"/>
              </w:rPr>
              <w:br/>
              <w:t>2) There was a significant association between the mother and children's waking up/bedtime differences and a weaker correlation between the comparable measure in the father and child.</w:t>
            </w:r>
          </w:p>
        </w:tc>
      </w:tr>
      <w:tr w:rsidR="00BB05A0" w:rsidRPr="00CC2F10" w14:paraId="68DCDBCC" w14:textId="77777777" w:rsidTr="00CC2F10">
        <w:trPr>
          <w:trHeight w:val="936"/>
        </w:trPr>
        <w:tc>
          <w:tcPr>
            <w:cnfStyle w:val="001000000000" w:firstRow="0" w:lastRow="0" w:firstColumn="1" w:lastColumn="0" w:oddVBand="0" w:evenVBand="0" w:oddHBand="0" w:evenHBand="0" w:firstRowFirstColumn="0" w:firstRowLastColumn="0" w:lastRowFirstColumn="0" w:lastRowLastColumn="0"/>
            <w:tcW w:w="1560" w:type="dxa"/>
            <w:noWrap/>
            <w:hideMark/>
          </w:tcPr>
          <w:p w14:paraId="13F7E5D0"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Stuart et al. 1992</w:t>
            </w:r>
          </w:p>
        </w:tc>
        <w:tc>
          <w:tcPr>
            <w:tcW w:w="1413" w:type="dxa"/>
            <w:noWrap/>
            <w:hideMark/>
          </w:tcPr>
          <w:p w14:paraId="28382937"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United Kingdom</w:t>
            </w:r>
          </w:p>
        </w:tc>
        <w:tc>
          <w:tcPr>
            <w:tcW w:w="837" w:type="dxa"/>
            <w:noWrap/>
            <w:hideMark/>
          </w:tcPr>
          <w:p w14:paraId="0D91F5DB"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339181FD"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1124</w:t>
            </w:r>
          </w:p>
        </w:tc>
        <w:tc>
          <w:tcPr>
            <w:tcW w:w="1577" w:type="dxa"/>
            <w:hideMark/>
          </w:tcPr>
          <w:p w14:paraId="70349FEC"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1-10 (?)</w:t>
            </w:r>
          </w:p>
        </w:tc>
        <w:tc>
          <w:tcPr>
            <w:tcW w:w="1794" w:type="dxa"/>
            <w:hideMark/>
          </w:tcPr>
          <w:p w14:paraId="2DE818D9"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Compare the salivary cortisol concentrations of young riders and their jumping horses during competition</w:t>
            </w:r>
          </w:p>
        </w:tc>
        <w:tc>
          <w:tcPr>
            <w:tcW w:w="1365" w:type="dxa"/>
            <w:hideMark/>
          </w:tcPr>
          <w:p w14:paraId="3C0DF6E7"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Absorption</w:t>
            </w:r>
          </w:p>
        </w:tc>
        <w:tc>
          <w:tcPr>
            <w:tcW w:w="1179" w:type="dxa"/>
            <w:hideMark/>
          </w:tcPr>
          <w:p w14:paraId="7EC5CCFD"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Salivette, cotton rolls</w:t>
            </w:r>
          </w:p>
        </w:tc>
        <w:tc>
          <w:tcPr>
            <w:tcW w:w="1178" w:type="dxa"/>
            <w:hideMark/>
          </w:tcPr>
          <w:p w14:paraId="0555F449"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648" w:type="dxa"/>
            <w:gridSpan w:val="2"/>
            <w:hideMark/>
          </w:tcPr>
          <w:p w14:paraId="4D893710" w14:textId="6EB3D7FA" w:rsidR="00D05AB4" w:rsidRPr="00333A96" w:rsidRDefault="00D82031"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2874" w:type="dxa"/>
            <w:hideMark/>
          </w:tcPr>
          <w:p w14:paraId="2412308A"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With age, the percentage of immunological children with a history of clinical hepatitis changed. HNIG prophylaxis did not prevent infection in some household contacts.</w:t>
            </w:r>
          </w:p>
        </w:tc>
      </w:tr>
      <w:tr w:rsidR="00D05AB4" w:rsidRPr="00CC2F10" w14:paraId="29CAEFE6" w14:textId="77777777" w:rsidTr="00CC2F10">
        <w:trPr>
          <w:cnfStyle w:val="000000100000" w:firstRow="0" w:lastRow="0" w:firstColumn="0" w:lastColumn="0" w:oddVBand="0" w:evenVBand="0" w:oddHBand="1" w:evenHBand="0" w:firstRowFirstColumn="0" w:firstRowLastColumn="0" w:lastRowFirstColumn="0" w:lastRowLastColumn="0"/>
          <w:trHeight w:val="1560"/>
        </w:trPr>
        <w:tc>
          <w:tcPr>
            <w:cnfStyle w:val="001000000000" w:firstRow="0" w:lastRow="0" w:firstColumn="1" w:lastColumn="0" w:oddVBand="0" w:evenVBand="0" w:oddHBand="0" w:evenHBand="0" w:firstRowFirstColumn="0" w:firstRowLastColumn="0" w:lastRowFirstColumn="0" w:lastRowLastColumn="0"/>
            <w:tcW w:w="1560" w:type="dxa"/>
            <w:noWrap/>
            <w:hideMark/>
          </w:tcPr>
          <w:p w14:paraId="7BE90DC1"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Sundaram et al. 2013</w:t>
            </w:r>
          </w:p>
        </w:tc>
        <w:tc>
          <w:tcPr>
            <w:tcW w:w="1413" w:type="dxa"/>
            <w:noWrap/>
            <w:hideMark/>
          </w:tcPr>
          <w:p w14:paraId="36C18D7D"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India</w:t>
            </w:r>
          </w:p>
        </w:tc>
        <w:tc>
          <w:tcPr>
            <w:tcW w:w="837" w:type="dxa"/>
            <w:noWrap/>
            <w:hideMark/>
          </w:tcPr>
          <w:p w14:paraId="3A5DCF4D"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3BE67D1D"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90</w:t>
            </w:r>
          </w:p>
        </w:tc>
        <w:tc>
          <w:tcPr>
            <w:tcW w:w="1577" w:type="dxa"/>
            <w:hideMark/>
          </w:tcPr>
          <w:p w14:paraId="145A8799"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6-12 (?)</w:t>
            </w:r>
          </w:p>
        </w:tc>
        <w:tc>
          <w:tcPr>
            <w:tcW w:w="1794" w:type="dxa"/>
            <w:hideMark/>
          </w:tcPr>
          <w:p w14:paraId="7010A5B0"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Determine if Oratest can be utilized as a diagnostic tool in measuring the caries activity</w:t>
            </w:r>
          </w:p>
        </w:tc>
        <w:tc>
          <w:tcPr>
            <w:tcW w:w="1365" w:type="dxa"/>
            <w:hideMark/>
          </w:tcPr>
          <w:p w14:paraId="49B1381D"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Absorption</w:t>
            </w:r>
          </w:p>
        </w:tc>
        <w:tc>
          <w:tcPr>
            <w:tcW w:w="1179" w:type="dxa"/>
            <w:hideMark/>
          </w:tcPr>
          <w:p w14:paraId="2EC28F05"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Wooden spatula</w:t>
            </w:r>
          </w:p>
        </w:tc>
        <w:tc>
          <w:tcPr>
            <w:tcW w:w="1178" w:type="dxa"/>
            <w:hideMark/>
          </w:tcPr>
          <w:p w14:paraId="78F58E87"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648" w:type="dxa"/>
            <w:gridSpan w:val="2"/>
            <w:hideMark/>
          </w:tcPr>
          <w:p w14:paraId="7F69B777" w14:textId="00BBEC74" w:rsidR="00D05AB4" w:rsidRPr="00333A96" w:rsidRDefault="00D82031"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2874" w:type="dxa"/>
            <w:hideMark/>
          </w:tcPr>
          <w:p w14:paraId="15B05C20"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SM count and Oratest time have a significant negative linear connection.</w:t>
            </w:r>
            <w:r w:rsidRPr="00333A96">
              <w:rPr>
                <w:rFonts w:ascii="Times New Roman" w:eastAsia="Times New Roman" w:hAnsi="Times New Roman" w:cs="Times New Roman"/>
                <w:sz w:val="18"/>
                <w:szCs w:val="18"/>
                <w:lang w:val="en-GB" w:eastAsia="nl-NL"/>
              </w:rPr>
              <w:br/>
              <w:t>2) Significant positive linear relationships between caries status and SM count and significant negative linear relationships between caries status and Oratest duration were observed.</w:t>
            </w:r>
          </w:p>
        </w:tc>
      </w:tr>
      <w:tr w:rsidR="00BB05A0" w:rsidRPr="00CC2F10" w14:paraId="0C5D861C" w14:textId="77777777" w:rsidTr="00CC2F10">
        <w:trPr>
          <w:trHeight w:val="936"/>
        </w:trPr>
        <w:tc>
          <w:tcPr>
            <w:cnfStyle w:val="001000000000" w:firstRow="0" w:lastRow="0" w:firstColumn="1" w:lastColumn="0" w:oddVBand="0" w:evenVBand="0" w:oddHBand="0" w:evenHBand="0" w:firstRowFirstColumn="0" w:firstRowLastColumn="0" w:lastRowFirstColumn="0" w:lastRowLastColumn="0"/>
            <w:tcW w:w="1560" w:type="dxa"/>
            <w:noWrap/>
            <w:hideMark/>
          </w:tcPr>
          <w:p w14:paraId="69620DD7"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Tahmassebi et al. 2003</w:t>
            </w:r>
          </w:p>
        </w:tc>
        <w:tc>
          <w:tcPr>
            <w:tcW w:w="1413" w:type="dxa"/>
            <w:noWrap/>
            <w:hideMark/>
          </w:tcPr>
          <w:p w14:paraId="71B9CF4A"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United Kingdom</w:t>
            </w:r>
          </w:p>
        </w:tc>
        <w:tc>
          <w:tcPr>
            <w:tcW w:w="837" w:type="dxa"/>
            <w:noWrap/>
            <w:hideMark/>
          </w:tcPr>
          <w:p w14:paraId="00523017"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6C0B8C8A"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20</w:t>
            </w:r>
          </w:p>
        </w:tc>
        <w:tc>
          <w:tcPr>
            <w:tcW w:w="1577" w:type="dxa"/>
            <w:hideMark/>
          </w:tcPr>
          <w:p w14:paraId="121B6E17"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5-15 (10.56±1.13)</w:t>
            </w:r>
          </w:p>
        </w:tc>
        <w:tc>
          <w:tcPr>
            <w:tcW w:w="1794" w:type="dxa"/>
            <w:hideMark/>
          </w:tcPr>
          <w:p w14:paraId="415B360E"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Determine if hypersalivation could be the cause of drooling in children with CP</w:t>
            </w:r>
          </w:p>
        </w:tc>
        <w:tc>
          <w:tcPr>
            <w:tcW w:w="1365" w:type="dxa"/>
            <w:hideMark/>
          </w:tcPr>
          <w:p w14:paraId="63359EC9"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Drooling</w:t>
            </w:r>
          </w:p>
        </w:tc>
        <w:tc>
          <w:tcPr>
            <w:tcW w:w="1179" w:type="dxa"/>
            <w:hideMark/>
          </w:tcPr>
          <w:p w14:paraId="1B196DD9"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Chin Cup</w:t>
            </w:r>
          </w:p>
        </w:tc>
        <w:tc>
          <w:tcPr>
            <w:tcW w:w="1178" w:type="dxa"/>
            <w:hideMark/>
          </w:tcPr>
          <w:p w14:paraId="3997D5BB"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648" w:type="dxa"/>
            <w:gridSpan w:val="2"/>
            <w:hideMark/>
          </w:tcPr>
          <w:p w14:paraId="10EF2DBE" w14:textId="525C22ED" w:rsidR="00D05AB4" w:rsidRPr="00333A96" w:rsidRDefault="00D82031"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2874" w:type="dxa"/>
            <w:hideMark/>
          </w:tcPr>
          <w:p w14:paraId="42BA9E73" w14:textId="77106980"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No significant difference between the CP group and the control group in the rate of salivary flow; </w:t>
            </w:r>
            <w:r w:rsidR="00D82031" w:rsidRPr="00333A96">
              <w:rPr>
                <w:rFonts w:ascii="Times New Roman" w:eastAsia="Times New Roman" w:hAnsi="Times New Roman" w:cs="Times New Roman"/>
                <w:sz w:val="18"/>
                <w:szCs w:val="18"/>
                <w:lang w:val="en-GB" w:eastAsia="nl-NL"/>
              </w:rPr>
              <w:t>Also,</w:t>
            </w:r>
            <w:r w:rsidRPr="00333A96">
              <w:rPr>
                <w:rFonts w:ascii="Times New Roman" w:eastAsia="Times New Roman" w:hAnsi="Times New Roman" w:cs="Times New Roman"/>
                <w:sz w:val="18"/>
                <w:szCs w:val="18"/>
                <w:lang w:val="en-GB" w:eastAsia="nl-NL"/>
              </w:rPr>
              <w:t xml:space="preserve"> no differences in the groups' salivary sodium and potassium ion </w:t>
            </w:r>
            <w:r w:rsidRPr="00333A96">
              <w:rPr>
                <w:rFonts w:ascii="Times New Roman" w:eastAsia="Times New Roman" w:hAnsi="Times New Roman" w:cs="Times New Roman"/>
                <w:sz w:val="18"/>
                <w:szCs w:val="18"/>
                <w:lang w:val="en-GB" w:eastAsia="nl-NL"/>
              </w:rPr>
              <w:lastRenderedPageBreak/>
              <w:t>concentrations or buffering capacities.</w:t>
            </w:r>
          </w:p>
        </w:tc>
      </w:tr>
      <w:tr w:rsidR="00D05AB4" w:rsidRPr="00CC2F10" w14:paraId="450AEB09" w14:textId="77777777" w:rsidTr="00CC2F10">
        <w:trPr>
          <w:cnfStyle w:val="000000100000" w:firstRow="0" w:lastRow="0" w:firstColumn="0" w:lastColumn="0" w:oddVBand="0" w:evenVBand="0" w:oddHBand="1" w:evenHBand="0" w:firstRowFirstColumn="0" w:firstRowLastColumn="0" w:lastRowFirstColumn="0" w:lastRowLastColumn="0"/>
          <w:trHeight w:val="706"/>
        </w:trPr>
        <w:tc>
          <w:tcPr>
            <w:cnfStyle w:val="001000000000" w:firstRow="0" w:lastRow="0" w:firstColumn="1" w:lastColumn="0" w:oddVBand="0" w:evenVBand="0" w:oddHBand="0" w:evenHBand="0" w:firstRowFirstColumn="0" w:firstRowLastColumn="0" w:lastRowFirstColumn="0" w:lastRowLastColumn="0"/>
            <w:tcW w:w="1560" w:type="dxa"/>
            <w:noWrap/>
            <w:hideMark/>
          </w:tcPr>
          <w:p w14:paraId="7AEE9BF6"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lastRenderedPageBreak/>
              <w:t>Thomas et al. 2009</w:t>
            </w:r>
          </w:p>
        </w:tc>
        <w:tc>
          <w:tcPr>
            <w:tcW w:w="1413" w:type="dxa"/>
            <w:noWrap/>
            <w:hideMark/>
          </w:tcPr>
          <w:p w14:paraId="2EE22A9F"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United Kingdom</w:t>
            </w:r>
          </w:p>
        </w:tc>
        <w:tc>
          <w:tcPr>
            <w:tcW w:w="837" w:type="dxa"/>
            <w:noWrap/>
            <w:hideMark/>
          </w:tcPr>
          <w:p w14:paraId="3589F226"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081B7439"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17</w:t>
            </w:r>
          </w:p>
        </w:tc>
        <w:tc>
          <w:tcPr>
            <w:tcW w:w="1577" w:type="dxa"/>
            <w:hideMark/>
          </w:tcPr>
          <w:p w14:paraId="20466F13"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(15.5±0.4)</w:t>
            </w:r>
          </w:p>
        </w:tc>
        <w:tc>
          <w:tcPr>
            <w:tcW w:w="1794" w:type="dxa"/>
            <w:hideMark/>
          </w:tcPr>
          <w:p w14:paraId="491FE080" w14:textId="13195D51" w:rsidR="00D05AB4" w:rsidRPr="00333A96" w:rsidRDefault="0074566B"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Analyse</w:t>
            </w:r>
            <w:r w:rsidR="00D05AB4" w:rsidRPr="00333A96">
              <w:rPr>
                <w:rFonts w:ascii="Times New Roman" w:eastAsia="Times New Roman" w:hAnsi="Times New Roman" w:cs="Times New Roman"/>
                <w:sz w:val="18"/>
                <w:szCs w:val="18"/>
                <w:lang w:val="en-GB" w:eastAsia="nl-NL"/>
              </w:rPr>
              <w:t xml:space="preserve"> the effects of repeated brief bursts of intense cycling activity on adolescents' salivary levels of cortisol, testosterone, and immunoglobulin (A) concentrations</w:t>
            </w:r>
          </w:p>
        </w:tc>
        <w:tc>
          <w:tcPr>
            <w:tcW w:w="1365" w:type="dxa"/>
            <w:hideMark/>
          </w:tcPr>
          <w:p w14:paraId="66F47BF8"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Drooling</w:t>
            </w:r>
          </w:p>
        </w:tc>
        <w:tc>
          <w:tcPr>
            <w:tcW w:w="1179" w:type="dxa"/>
            <w:hideMark/>
          </w:tcPr>
          <w:p w14:paraId="4C44C165"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Tube </w:t>
            </w:r>
          </w:p>
        </w:tc>
        <w:tc>
          <w:tcPr>
            <w:tcW w:w="1178" w:type="dxa"/>
            <w:hideMark/>
          </w:tcPr>
          <w:p w14:paraId="04BC138A"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648" w:type="dxa"/>
            <w:gridSpan w:val="2"/>
            <w:hideMark/>
          </w:tcPr>
          <w:p w14:paraId="3E46526D"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3h fasting before sampling</w:t>
            </w:r>
          </w:p>
        </w:tc>
        <w:tc>
          <w:tcPr>
            <w:tcW w:w="2874" w:type="dxa"/>
            <w:hideMark/>
          </w:tcPr>
          <w:p w14:paraId="2AD4E967"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Teenage boys who cycled for a short period of time at a high intensity had a significant increase in their SalT and SalC contents.</w:t>
            </w:r>
            <w:r w:rsidRPr="00333A96">
              <w:rPr>
                <w:rFonts w:ascii="Times New Roman" w:eastAsia="Times New Roman" w:hAnsi="Times New Roman" w:cs="Times New Roman"/>
                <w:sz w:val="18"/>
                <w:szCs w:val="18"/>
                <w:lang w:val="en-GB" w:eastAsia="nl-NL"/>
              </w:rPr>
              <w:br/>
              <w:t>2) The exercise had no significant effect on sIgA levels, so mucosal immune function was unaffected.</w:t>
            </w:r>
          </w:p>
        </w:tc>
      </w:tr>
      <w:tr w:rsidR="00BB05A0" w:rsidRPr="00CC2F10" w14:paraId="0CAB9D2A" w14:textId="77777777" w:rsidTr="00CC2F10">
        <w:trPr>
          <w:trHeight w:val="1560"/>
        </w:trPr>
        <w:tc>
          <w:tcPr>
            <w:cnfStyle w:val="001000000000" w:firstRow="0" w:lastRow="0" w:firstColumn="1" w:lastColumn="0" w:oddVBand="0" w:evenVBand="0" w:oddHBand="0" w:evenHBand="0" w:firstRowFirstColumn="0" w:firstRowLastColumn="0" w:lastRowFirstColumn="0" w:lastRowLastColumn="0"/>
            <w:tcW w:w="1560" w:type="dxa"/>
            <w:noWrap/>
            <w:hideMark/>
          </w:tcPr>
          <w:p w14:paraId="4EE79135"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Tordjman et al. 2014</w:t>
            </w:r>
          </w:p>
        </w:tc>
        <w:tc>
          <w:tcPr>
            <w:tcW w:w="1413" w:type="dxa"/>
            <w:noWrap/>
            <w:hideMark/>
          </w:tcPr>
          <w:p w14:paraId="24BA8F66"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France</w:t>
            </w:r>
          </w:p>
        </w:tc>
        <w:tc>
          <w:tcPr>
            <w:tcW w:w="837" w:type="dxa"/>
            <w:noWrap/>
            <w:hideMark/>
          </w:tcPr>
          <w:p w14:paraId="241BFA2C"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605933B6"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87</w:t>
            </w:r>
          </w:p>
        </w:tc>
        <w:tc>
          <w:tcPr>
            <w:tcW w:w="1577" w:type="dxa"/>
            <w:hideMark/>
          </w:tcPr>
          <w:p w14:paraId="5921C321"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(11.7±4.9)</w:t>
            </w:r>
          </w:p>
        </w:tc>
        <w:tc>
          <w:tcPr>
            <w:tcW w:w="1794" w:type="dxa"/>
            <w:hideMark/>
          </w:tcPr>
          <w:p w14:paraId="7F47A60C" w14:textId="12E18FA5" w:rsidR="00D05AB4" w:rsidRPr="00333A96" w:rsidRDefault="0074566B"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Analyse</w:t>
            </w:r>
            <w:r w:rsidR="00D05AB4" w:rsidRPr="00333A96">
              <w:rPr>
                <w:rFonts w:ascii="Times New Roman" w:eastAsia="Times New Roman" w:hAnsi="Times New Roman" w:cs="Times New Roman"/>
                <w:sz w:val="18"/>
                <w:szCs w:val="18"/>
                <w:lang w:val="en-GB" w:eastAsia="nl-NL"/>
              </w:rPr>
              <w:t xml:space="preserve"> diurnal variations and possible circadian rhythm changes in children and adolescents with autism by looking at the circadian patterns of salivary cortisol</w:t>
            </w:r>
          </w:p>
        </w:tc>
        <w:tc>
          <w:tcPr>
            <w:tcW w:w="1365" w:type="dxa"/>
            <w:hideMark/>
          </w:tcPr>
          <w:p w14:paraId="7ABA0B20"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Absorption</w:t>
            </w:r>
          </w:p>
        </w:tc>
        <w:tc>
          <w:tcPr>
            <w:tcW w:w="1179" w:type="dxa"/>
            <w:hideMark/>
          </w:tcPr>
          <w:p w14:paraId="4E49B2B3"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Cotton rolls</w:t>
            </w:r>
          </w:p>
        </w:tc>
        <w:tc>
          <w:tcPr>
            <w:tcW w:w="1178" w:type="dxa"/>
            <w:hideMark/>
          </w:tcPr>
          <w:p w14:paraId="7C596267"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648" w:type="dxa"/>
            <w:gridSpan w:val="2"/>
            <w:hideMark/>
          </w:tcPr>
          <w:p w14:paraId="0C210068"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1h fasting before sampling </w:t>
            </w:r>
          </w:p>
        </w:tc>
        <w:tc>
          <w:tcPr>
            <w:tcW w:w="2874" w:type="dxa"/>
            <w:hideMark/>
          </w:tcPr>
          <w:p w14:paraId="69195A57" w14:textId="49C4879C"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Salivary cortisol levels were significantly higher throughout the day in children/ adolescents with autism. They also had flatter daytime and </w:t>
            </w:r>
            <w:r w:rsidR="0074566B" w:rsidRPr="00333A96">
              <w:rPr>
                <w:rFonts w:ascii="Times New Roman" w:eastAsia="Times New Roman" w:hAnsi="Times New Roman" w:cs="Times New Roman"/>
                <w:sz w:val="18"/>
                <w:szCs w:val="18"/>
                <w:lang w:val="en-GB" w:eastAsia="nl-NL"/>
              </w:rPr>
              <w:t>night-time</w:t>
            </w:r>
            <w:r w:rsidRPr="00333A96">
              <w:rPr>
                <w:rFonts w:ascii="Times New Roman" w:eastAsia="Times New Roman" w:hAnsi="Times New Roman" w:cs="Times New Roman"/>
                <w:sz w:val="18"/>
                <w:szCs w:val="18"/>
                <w:lang w:val="en-GB" w:eastAsia="nl-NL"/>
              </w:rPr>
              <w:t xml:space="preserve"> cortisol patterns, higher cortisol levels on the second day, and more variability in salivary and urine cortisol. This may be as a result of anticipating the stressful collecting method.</w:t>
            </w:r>
          </w:p>
        </w:tc>
      </w:tr>
      <w:tr w:rsidR="00D05AB4" w:rsidRPr="00CC2F10" w14:paraId="6DFDAE07" w14:textId="77777777" w:rsidTr="00CC2F10">
        <w:trPr>
          <w:cnfStyle w:val="000000100000" w:firstRow="0" w:lastRow="0" w:firstColumn="0" w:lastColumn="0" w:oddVBand="0" w:evenVBand="0" w:oddHBand="1" w:evenHBand="0" w:firstRowFirstColumn="0" w:firstRowLastColumn="0" w:lastRowFirstColumn="0" w:lastRowLastColumn="0"/>
          <w:trHeight w:val="1560"/>
        </w:trPr>
        <w:tc>
          <w:tcPr>
            <w:cnfStyle w:val="001000000000" w:firstRow="0" w:lastRow="0" w:firstColumn="1" w:lastColumn="0" w:oddVBand="0" w:evenVBand="0" w:oddHBand="0" w:evenHBand="0" w:firstRowFirstColumn="0" w:firstRowLastColumn="0" w:lastRowFirstColumn="0" w:lastRowLastColumn="0"/>
            <w:tcW w:w="1560" w:type="dxa"/>
            <w:noWrap/>
            <w:hideMark/>
          </w:tcPr>
          <w:p w14:paraId="2EB91AC4"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Törnhage 2002</w:t>
            </w:r>
          </w:p>
        </w:tc>
        <w:tc>
          <w:tcPr>
            <w:tcW w:w="1413" w:type="dxa"/>
            <w:noWrap/>
            <w:hideMark/>
          </w:tcPr>
          <w:p w14:paraId="0E44A820"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Sweden</w:t>
            </w:r>
          </w:p>
        </w:tc>
        <w:tc>
          <w:tcPr>
            <w:tcW w:w="837" w:type="dxa"/>
            <w:noWrap/>
            <w:hideMark/>
          </w:tcPr>
          <w:p w14:paraId="7AF27BB5"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4380D5C6"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386</w:t>
            </w:r>
          </w:p>
        </w:tc>
        <w:tc>
          <w:tcPr>
            <w:tcW w:w="1577" w:type="dxa"/>
            <w:hideMark/>
          </w:tcPr>
          <w:p w14:paraId="4095F30F"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7-15 (?)</w:t>
            </w:r>
          </w:p>
        </w:tc>
        <w:tc>
          <w:tcPr>
            <w:tcW w:w="1794" w:type="dxa"/>
            <w:hideMark/>
          </w:tcPr>
          <w:p w14:paraId="539A5007"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Calculate the levels of salivary cortisol in healthy school-aged children and compare the levels to those of adults and other age- and sex-appropriate groups</w:t>
            </w:r>
          </w:p>
        </w:tc>
        <w:tc>
          <w:tcPr>
            <w:tcW w:w="1365" w:type="dxa"/>
            <w:hideMark/>
          </w:tcPr>
          <w:p w14:paraId="61FD049E"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Absorption</w:t>
            </w:r>
          </w:p>
        </w:tc>
        <w:tc>
          <w:tcPr>
            <w:tcW w:w="1179" w:type="dxa"/>
            <w:hideMark/>
          </w:tcPr>
          <w:p w14:paraId="42A706B4"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Salivette</w:t>
            </w:r>
          </w:p>
        </w:tc>
        <w:tc>
          <w:tcPr>
            <w:tcW w:w="1178" w:type="dxa"/>
            <w:hideMark/>
          </w:tcPr>
          <w:p w14:paraId="1CB8F10C"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SS</w:t>
            </w:r>
          </w:p>
        </w:tc>
        <w:tc>
          <w:tcPr>
            <w:tcW w:w="1648" w:type="dxa"/>
            <w:gridSpan w:val="2"/>
            <w:hideMark/>
          </w:tcPr>
          <w:p w14:paraId="7E042209" w14:textId="020F5E78" w:rsidR="00D05AB4" w:rsidRPr="00333A96" w:rsidRDefault="00D82031"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2874" w:type="dxa"/>
            <w:hideMark/>
          </w:tcPr>
          <w:p w14:paraId="7F9ABAD0"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With larger concentrations in children aged 10 to 12 than in those aged 7-9 years and depending on the stage of puberty, cortisol levels in children varied with age and puberty stage.</w:t>
            </w:r>
            <w:r w:rsidRPr="00333A96">
              <w:rPr>
                <w:rFonts w:ascii="Times New Roman" w:eastAsia="Times New Roman" w:hAnsi="Times New Roman" w:cs="Times New Roman"/>
                <w:sz w:val="18"/>
                <w:szCs w:val="18"/>
                <w:lang w:val="en-GB" w:eastAsia="nl-NL"/>
              </w:rPr>
              <w:br/>
              <w:t>2) In terms of median cortisol levels, boys and girls were comparable, while girls had higher maximum levels than boys.</w:t>
            </w:r>
          </w:p>
        </w:tc>
      </w:tr>
      <w:tr w:rsidR="00BB05A0" w:rsidRPr="00CC2F10" w14:paraId="1ACA8270" w14:textId="77777777" w:rsidTr="00CC2F10">
        <w:trPr>
          <w:trHeight w:val="1560"/>
        </w:trPr>
        <w:tc>
          <w:tcPr>
            <w:cnfStyle w:val="001000000000" w:firstRow="0" w:lastRow="0" w:firstColumn="1" w:lastColumn="0" w:oddVBand="0" w:evenVBand="0" w:oddHBand="0" w:evenHBand="0" w:firstRowFirstColumn="0" w:firstRowLastColumn="0" w:lastRowFirstColumn="0" w:lastRowLastColumn="0"/>
            <w:tcW w:w="1560" w:type="dxa"/>
            <w:noWrap/>
            <w:hideMark/>
          </w:tcPr>
          <w:p w14:paraId="380A351C"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Toro et al. 2010</w:t>
            </w:r>
          </w:p>
        </w:tc>
        <w:tc>
          <w:tcPr>
            <w:tcW w:w="1413" w:type="dxa"/>
            <w:noWrap/>
            <w:hideMark/>
          </w:tcPr>
          <w:p w14:paraId="7AA442AB"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Puerto Rico</w:t>
            </w:r>
          </w:p>
        </w:tc>
        <w:tc>
          <w:tcPr>
            <w:tcW w:w="837" w:type="dxa"/>
            <w:noWrap/>
            <w:hideMark/>
          </w:tcPr>
          <w:p w14:paraId="0A9E8F9D"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7FF82650"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20</w:t>
            </w:r>
          </w:p>
        </w:tc>
        <w:tc>
          <w:tcPr>
            <w:tcW w:w="1577" w:type="dxa"/>
            <w:hideMark/>
          </w:tcPr>
          <w:p w14:paraId="6DE2D8AD"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5-12 (8.8±2.3)</w:t>
            </w:r>
          </w:p>
        </w:tc>
        <w:tc>
          <w:tcPr>
            <w:tcW w:w="1794" w:type="dxa"/>
            <w:hideMark/>
          </w:tcPr>
          <w:p w14:paraId="329F4A60"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Assess the short-term impact of a brief sucrose exposure on plaque and saliva urease activity and expression, and relate this impact to caries experience</w:t>
            </w:r>
          </w:p>
        </w:tc>
        <w:tc>
          <w:tcPr>
            <w:tcW w:w="1365" w:type="dxa"/>
            <w:hideMark/>
          </w:tcPr>
          <w:p w14:paraId="23F52383"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Suction</w:t>
            </w:r>
          </w:p>
        </w:tc>
        <w:tc>
          <w:tcPr>
            <w:tcW w:w="1179" w:type="dxa"/>
            <w:hideMark/>
          </w:tcPr>
          <w:p w14:paraId="0E601BE1"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Mucous trap</w:t>
            </w:r>
          </w:p>
        </w:tc>
        <w:tc>
          <w:tcPr>
            <w:tcW w:w="1178" w:type="dxa"/>
            <w:hideMark/>
          </w:tcPr>
          <w:p w14:paraId="181A3E90"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648" w:type="dxa"/>
            <w:gridSpan w:val="2"/>
            <w:hideMark/>
          </w:tcPr>
          <w:p w14:paraId="41DEDA27"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8h fasting before sampling</w:t>
            </w:r>
          </w:p>
        </w:tc>
        <w:tc>
          <w:tcPr>
            <w:tcW w:w="2874" w:type="dxa"/>
            <w:hideMark/>
          </w:tcPr>
          <w:p w14:paraId="1D63DAB8" w14:textId="42A28384"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1) Cortisol levels varied according to age, with children 10–12 years having greater median levels than children 7-9 years. The puberty stage also </w:t>
            </w:r>
            <w:r w:rsidR="0074566B" w:rsidRPr="00333A96">
              <w:rPr>
                <w:rFonts w:ascii="Times New Roman" w:eastAsia="Times New Roman" w:hAnsi="Times New Roman" w:cs="Times New Roman"/>
                <w:sz w:val="18"/>
                <w:szCs w:val="18"/>
                <w:lang w:val="en-GB" w:eastAsia="nl-NL"/>
              </w:rPr>
              <w:t>influenced</w:t>
            </w:r>
            <w:r w:rsidRPr="00333A96">
              <w:rPr>
                <w:rFonts w:ascii="Times New Roman" w:eastAsia="Times New Roman" w:hAnsi="Times New Roman" w:cs="Times New Roman"/>
                <w:sz w:val="18"/>
                <w:szCs w:val="18"/>
                <w:lang w:val="en-GB" w:eastAsia="nl-NL"/>
              </w:rPr>
              <w:t xml:space="preserve"> cortisol levels.</w:t>
            </w:r>
            <w:r w:rsidRPr="00333A96">
              <w:rPr>
                <w:rFonts w:ascii="Times New Roman" w:eastAsia="Times New Roman" w:hAnsi="Times New Roman" w:cs="Times New Roman"/>
                <w:sz w:val="18"/>
                <w:szCs w:val="18"/>
                <w:lang w:val="en-GB" w:eastAsia="nl-NL"/>
              </w:rPr>
              <w:br/>
              <w:t>2) Children's median cortisol levels were often lower than those of adults, demonstrating age-related variations in cortisol production.</w:t>
            </w:r>
          </w:p>
        </w:tc>
      </w:tr>
      <w:tr w:rsidR="00D05AB4" w:rsidRPr="00CC2F10" w14:paraId="62CD558C" w14:textId="77777777" w:rsidTr="00CC2F10">
        <w:trPr>
          <w:cnfStyle w:val="000000100000" w:firstRow="0" w:lastRow="0" w:firstColumn="0" w:lastColumn="0" w:oddVBand="0" w:evenVBand="0" w:oddHBand="1" w:evenHBand="0" w:firstRowFirstColumn="0" w:firstRowLastColumn="0" w:lastRowFirstColumn="0" w:lastRowLastColumn="0"/>
          <w:trHeight w:val="1560"/>
        </w:trPr>
        <w:tc>
          <w:tcPr>
            <w:cnfStyle w:val="001000000000" w:firstRow="0" w:lastRow="0" w:firstColumn="1" w:lastColumn="0" w:oddVBand="0" w:evenVBand="0" w:oddHBand="0" w:evenHBand="0" w:firstRowFirstColumn="0" w:firstRowLastColumn="0" w:lastRowFirstColumn="0" w:lastRowLastColumn="0"/>
            <w:tcW w:w="1560" w:type="dxa"/>
            <w:noWrap/>
            <w:hideMark/>
          </w:tcPr>
          <w:p w14:paraId="65FAC200"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lastRenderedPageBreak/>
              <w:t>Torres et al. 2022</w:t>
            </w:r>
          </w:p>
        </w:tc>
        <w:tc>
          <w:tcPr>
            <w:tcW w:w="1413" w:type="dxa"/>
            <w:noWrap/>
            <w:hideMark/>
          </w:tcPr>
          <w:p w14:paraId="5FF1667F"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Portugal</w:t>
            </w:r>
          </w:p>
        </w:tc>
        <w:tc>
          <w:tcPr>
            <w:tcW w:w="837" w:type="dxa"/>
            <w:noWrap/>
            <w:hideMark/>
          </w:tcPr>
          <w:p w14:paraId="4AF5F093"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581B1A75"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30</w:t>
            </w:r>
          </w:p>
        </w:tc>
        <w:tc>
          <w:tcPr>
            <w:tcW w:w="1577" w:type="dxa"/>
            <w:hideMark/>
          </w:tcPr>
          <w:p w14:paraId="22D2D94A"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(60.9m±9.5)</w:t>
            </w:r>
          </w:p>
        </w:tc>
        <w:tc>
          <w:tcPr>
            <w:tcW w:w="1794" w:type="dxa"/>
            <w:hideMark/>
          </w:tcPr>
          <w:p w14:paraId="0DE6BD1C" w14:textId="3DBCB3D2"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Investigate at the accuracy of monitoring salivary oxytocin levels and their possible connection to </w:t>
            </w:r>
            <w:r w:rsidR="0074566B" w:rsidRPr="00333A96">
              <w:rPr>
                <w:rFonts w:ascii="Times New Roman" w:eastAsia="Times New Roman" w:hAnsi="Times New Roman" w:cs="Times New Roman"/>
                <w:sz w:val="18"/>
                <w:szCs w:val="18"/>
                <w:lang w:val="en-GB" w:eastAsia="nl-NL"/>
              </w:rPr>
              <w:t>behavioural</w:t>
            </w:r>
            <w:r w:rsidRPr="00333A96">
              <w:rPr>
                <w:rFonts w:ascii="Times New Roman" w:eastAsia="Times New Roman" w:hAnsi="Times New Roman" w:cs="Times New Roman"/>
                <w:sz w:val="18"/>
                <w:szCs w:val="18"/>
                <w:lang w:val="en-GB" w:eastAsia="nl-NL"/>
              </w:rPr>
              <w:t xml:space="preserve"> issues in preschoolers</w:t>
            </w:r>
          </w:p>
        </w:tc>
        <w:tc>
          <w:tcPr>
            <w:tcW w:w="1365" w:type="dxa"/>
            <w:hideMark/>
          </w:tcPr>
          <w:p w14:paraId="67F18AC0"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Drooling</w:t>
            </w:r>
          </w:p>
        </w:tc>
        <w:tc>
          <w:tcPr>
            <w:tcW w:w="1179" w:type="dxa"/>
            <w:hideMark/>
          </w:tcPr>
          <w:p w14:paraId="3864CEB4"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Tube </w:t>
            </w:r>
          </w:p>
        </w:tc>
        <w:tc>
          <w:tcPr>
            <w:tcW w:w="1178" w:type="dxa"/>
            <w:hideMark/>
          </w:tcPr>
          <w:p w14:paraId="0E5A98E6"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648" w:type="dxa"/>
            <w:gridSpan w:val="2"/>
            <w:hideMark/>
          </w:tcPr>
          <w:p w14:paraId="44A86A4C"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2h fasting before sampling</w:t>
            </w:r>
          </w:p>
        </w:tc>
        <w:tc>
          <w:tcPr>
            <w:tcW w:w="2874" w:type="dxa"/>
            <w:hideMark/>
          </w:tcPr>
          <w:p w14:paraId="0C02CF09" w14:textId="2880745E"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1) At baseline, salivary oxytocin (OXT) levels in preschoolers were found to be unrelated to </w:t>
            </w:r>
            <w:r w:rsidR="0074566B" w:rsidRPr="00333A96">
              <w:rPr>
                <w:rFonts w:ascii="Times New Roman" w:eastAsia="Times New Roman" w:hAnsi="Times New Roman" w:cs="Times New Roman"/>
                <w:sz w:val="18"/>
                <w:szCs w:val="18"/>
                <w:lang w:val="en-GB" w:eastAsia="nl-NL"/>
              </w:rPr>
              <w:t>behavioural</w:t>
            </w:r>
            <w:r w:rsidRPr="00333A96">
              <w:rPr>
                <w:rFonts w:ascii="Times New Roman" w:eastAsia="Times New Roman" w:hAnsi="Times New Roman" w:cs="Times New Roman"/>
                <w:sz w:val="18"/>
                <w:szCs w:val="18"/>
                <w:lang w:val="en-GB" w:eastAsia="nl-NL"/>
              </w:rPr>
              <w:t xml:space="preserve"> issues.</w:t>
            </w:r>
            <w:r w:rsidRPr="00333A96">
              <w:rPr>
                <w:rFonts w:ascii="Times New Roman" w:eastAsia="Times New Roman" w:hAnsi="Times New Roman" w:cs="Times New Roman"/>
                <w:sz w:val="18"/>
                <w:szCs w:val="18"/>
                <w:lang w:val="en-GB" w:eastAsia="nl-NL"/>
              </w:rPr>
              <w:br/>
              <w:t xml:space="preserve">2) Salivary OXT levels after positive play sessions with parents exhibited negative associations with sadness and opposition scores, indicating a possible relationship between OXT and these </w:t>
            </w:r>
            <w:r w:rsidR="0074566B" w:rsidRPr="00333A96">
              <w:rPr>
                <w:rFonts w:ascii="Times New Roman" w:eastAsia="Times New Roman" w:hAnsi="Times New Roman" w:cs="Times New Roman"/>
                <w:sz w:val="18"/>
                <w:szCs w:val="18"/>
                <w:lang w:val="en-GB" w:eastAsia="nl-NL"/>
              </w:rPr>
              <w:t>behavioural</w:t>
            </w:r>
            <w:r w:rsidRPr="00333A96">
              <w:rPr>
                <w:rFonts w:ascii="Times New Roman" w:eastAsia="Times New Roman" w:hAnsi="Times New Roman" w:cs="Times New Roman"/>
                <w:sz w:val="18"/>
                <w:szCs w:val="18"/>
                <w:lang w:val="en-GB" w:eastAsia="nl-NL"/>
              </w:rPr>
              <w:t xml:space="preserve"> characteristics.</w:t>
            </w:r>
          </w:p>
        </w:tc>
      </w:tr>
      <w:tr w:rsidR="00BB05A0" w:rsidRPr="00333A96" w14:paraId="135C81EC" w14:textId="77777777" w:rsidTr="00CC2F10">
        <w:trPr>
          <w:trHeight w:val="1560"/>
        </w:trPr>
        <w:tc>
          <w:tcPr>
            <w:cnfStyle w:val="001000000000" w:firstRow="0" w:lastRow="0" w:firstColumn="1" w:lastColumn="0" w:oddVBand="0" w:evenVBand="0" w:oddHBand="0" w:evenHBand="0" w:firstRowFirstColumn="0" w:firstRowLastColumn="0" w:lastRowFirstColumn="0" w:lastRowLastColumn="0"/>
            <w:tcW w:w="1560" w:type="dxa"/>
            <w:noWrap/>
            <w:hideMark/>
          </w:tcPr>
          <w:p w14:paraId="7A57CE6C"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Tothova et al. 2013</w:t>
            </w:r>
          </w:p>
        </w:tc>
        <w:tc>
          <w:tcPr>
            <w:tcW w:w="1413" w:type="dxa"/>
            <w:noWrap/>
            <w:hideMark/>
          </w:tcPr>
          <w:p w14:paraId="1596FB06"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Slovakia</w:t>
            </w:r>
          </w:p>
        </w:tc>
        <w:tc>
          <w:tcPr>
            <w:tcW w:w="837" w:type="dxa"/>
            <w:noWrap/>
            <w:hideMark/>
          </w:tcPr>
          <w:p w14:paraId="5C28DD56"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26C00303"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82</w:t>
            </w:r>
          </w:p>
        </w:tc>
        <w:tc>
          <w:tcPr>
            <w:tcW w:w="1577" w:type="dxa"/>
            <w:hideMark/>
          </w:tcPr>
          <w:p w14:paraId="2F404A9B"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4-18 (13.4±3.6)</w:t>
            </w:r>
          </w:p>
        </w:tc>
        <w:tc>
          <w:tcPr>
            <w:tcW w:w="1794" w:type="dxa"/>
            <w:hideMark/>
          </w:tcPr>
          <w:p w14:paraId="507ADED8"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Examine the relationship between children's periodontal and oral health and salivary indicators of oxidative stress</w:t>
            </w:r>
          </w:p>
        </w:tc>
        <w:tc>
          <w:tcPr>
            <w:tcW w:w="1365" w:type="dxa"/>
            <w:hideMark/>
          </w:tcPr>
          <w:p w14:paraId="14C3E9B3"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Spitting</w:t>
            </w:r>
          </w:p>
        </w:tc>
        <w:tc>
          <w:tcPr>
            <w:tcW w:w="1179" w:type="dxa"/>
            <w:hideMark/>
          </w:tcPr>
          <w:p w14:paraId="3AE93AB7"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Tube </w:t>
            </w:r>
          </w:p>
        </w:tc>
        <w:tc>
          <w:tcPr>
            <w:tcW w:w="1178" w:type="dxa"/>
            <w:hideMark/>
          </w:tcPr>
          <w:p w14:paraId="207E4B49"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648" w:type="dxa"/>
            <w:gridSpan w:val="2"/>
            <w:hideMark/>
          </w:tcPr>
          <w:p w14:paraId="281AE9F7" w14:textId="0E3D8692" w:rsidR="00D05AB4" w:rsidRPr="00333A96" w:rsidRDefault="00D82031"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2874" w:type="dxa"/>
            <w:hideMark/>
          </w:tcPr>
          <w:p w14:paraId="2B8E7648"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The correlation between TBARS and PBI suggests a possible association between oxidative stress and children's periodontal health.</w:t>
            </w:r>
            <w:r w:rsidRPr="00333A96">
              <w:rPr>
                <w:rFonts w:ascii="Times New Roman" w:eastAsia="Times New Roman" w:hAnsi="Times New Roman" w:cs="Times New Roman"/>
                <w:sz w:val="18"/>
                <w:szCs w:val="18"/>
                <w:lang w:val="en-GB" w:eastAsia="nl-NL"/>
              </w:rPr>
              <w:br/>
              <w:t>2) OHI and PBI were partially responsible for determining measures of salivary antioxidant status, indicating that oral health and periodontal status can affect antioxidant levels. Salivary AOPP had a connection to CI.</w:t>
            </w:r>
          </w:p>
        </w:tc>
      </w:tr>
      <w:tr w:rsidR="00D05AB4" w:rsidRPr="00CC2F10" w14:paraId="2B92B2E1" w14:textId="77777777" w:rsidTr="00CC2F10">
        <w:trPr>
          <w:cnfStyle w:val="000000100000" w:firstRow="0" w:lastRow="0" w:firstColumn="0" w:lastColumn="0" w:oddVBand="0" w:evenVBand="0" w:oddHBand="1" w:evenHBand="0" w:firstRowFirstColumn="0" w:firstRowLastColumn="0" w:lastRowFirstColumn="0" w:lastRowLastColumn="0"/>
          <w:trHeight w:val="2184"/>
        </w:trPr>
        <w:tc>
          <w:tcPr>
            <w:cnfStyle w:val="001000000000" w:firstRow="0" w:lastRow="0" w:firstColumn="1" w:lastColumn="0" w:oddVBand="0" w:evenVBand="0" w:oddHBand="0" w:evenHBand="0" w:firstRowFirstColumn="0" w:firstRowLastColumn="0" w:lastRowFirstColumn="0" w:lastRowLastColumn="0"/>
            <w:tcW w:w="1560" w:type="dxa"/>
            <w:noWrap/>
            <w:hideMark/>
          </w:tcPr>
          <w:p w14:paraId="5EF10570"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Troisi et al. 2019</w:t>
            </w:r>
          </w:p>
        </w:tc>
        <w:tc>
          <w:tcPr>
            <w:tcW w:w="1413" w:type="dxa"/>
            <w:noWrap/>
            <w:hideMark/>
          </w:tcPr>
          <w:p w14:paraId="5F6A7732"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Italy</w:t>
            </w:r>
          </w:p>
        </w:tc>
        <w:tc>
          <w:tcPr>
            <w:tcW w:w="837" w:type="dxa"/>
            <w:noWrap/>
            <w:hideMark/>
          </w:tcPr>
          <w:p w14:paraId="126BAD62"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CC</w:t>
            </w:r>
          </w:p>
        </w:tc>
        <w:tc>
          <w:tcPr>
            <w:tcW w:w="878" w:type="dxa"/>
            <w:noWrap/>
            <w:hideMark/>
          </w:tcPr>
          <w:p w14:paraId="47E73183"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41</w:t>
            </w:r>
          </w:p>
        </w:tc>
        <w:tc>
          <w:tcPr>
            <w:tcW w:w="1577" w:type="dxa"/>
            <w:hideMark/>
          </w:tcPr>
          <w:p w14:paraId="0B634F2D"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7-15 (10.53±2.57)</w:t>
            </w:r>
          </w:p>
        </w:tc>
        <w:tc>
          <w:tcPr>
            <w:tcW w:w="1794" w:type="dxa"/>
            <w:hideMark/>
          </w:tcPr>
          <w:p w14:paraId="7BE129FD"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Examine at the salivary metabolomic signature in children with obesity-related MetS and NAFLD, which are becoming more common diseases with difficult-to-diagnose symptoms and ineffective monitoring and treatment options</w:t>
            </w:r>
          </w:p>
        </w:tc>
        <w:tc>
          <w:tcPr>
            <w:tcW w:w="1365" w:type="dxa"/>
            <w:hideMark/>
          </w:tcPr>
          <w:p w14:paraId="0814DB68"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Absorption</w:t>
            </w:r>
          </w:p>
        </w:tc>
        <w:tc>
          <w:tcPr>
            <w:tcW w:w="1179" w:type="dxa"/>
            <w:hideMark/>
          </w:tcPr>
          <w:p w14:paraId="2331C813"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Salivette cotton swab</w:t>
            </w:r>
          </w:p>
        </w:tc>
        <w:tc>
          <w:tcPr>
            <w:tcW w:w="1178" w:type="dxa"/>
            <w:hideMark/>
          </w:tcPr>
          <w:p w14:paraId="47D54995"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SS</w:t>
            </w:r>
          </w:p>
        </w:tc>
        <w:tc>
          <w:tcPr>
            <w:tcW w:w="1648" w:type="dxa"/>
            <w:gridSpan w:val="2"/>
            <w:hideMark/>
          </w:tcPr>
          <w:p w14:paraId="5C74BA4F"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1h fasting before sampling </w:t>
            </w:r>
          </w:p>
        </w:tc>
        <w:tc>
          <w:tcPr>
            <w:tcW w:w="2874" w:type="dxa"/>
            <w:hideMark/>
          </w:tcPr>
          <w:p w14:paraId="051C5918"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Different salivary metabolomic signatures associated with childhood obesity, hepatic steatosis, and MetS were discovered using a PLS-DA model.</w:t>
            </w:r>
            <w:r w:rsidRPr="00333A96">
              <w:rPr>
                <w:rFonts w:ascii="Times New Roman" w:eastAsia="Times New Roman" w:hAnsi="Times New Roman" w:cs="Times New Roman"/>
                <w:sz w:val="18"/>
                <w:szCs w:val="18"/>
                <w:lang w:val="en-GB" w:eastAsia="nl-NL"/>
              </w:rPr>
              <w:br/>
              <w:t>2) A relationship to diet, fatty acid production pathways, and the interaction between the microbiota and intestinal mucins may be implied by the noticeable changes in the metabolism of intestinal bacteria, amino acids, and organic acids.</w:t>
            </w:r>
          </w:p>
        </w:tc>
      </w:tr>
      <w:tr w:rsidR="00BB05A0" w:rsidRPr="00CC2F10" w14:paraId="74155F81" w14:textId="77777777" w:rsidTr="00CC2F10">
        <w:trPr>
          <w:trHeight w:val="936"/>
        </w:trPr>
        <w:tc>
          <w:tcPr>
            <w:cnfStyle w:val="001000000000" w:firstRow="0" w:lastRow="0" w:firstColumn="1" w:lastColumn="0" w:oddVBand="0" w:evenVBand="0" w:oddHBand="0" w:evenHBand="0" w:firstRowFirstColumn="0" w:firstRowLastColumn="0" w:lastRowFirstColumn="0" w:lastRowLastColumn="0"/>
            <w:tcW w:w="1560" w:type="dxa"/>
            <w:noWrap/>
            <w:hideMark/>
          </w:tcPr>
          <w:p w14:paraId="35E52E51"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Tsai et al. 2020</w:t>
            </w:r>
          </w:p>
        </w:tc>
        <w:tc>
          <w:tcPr>
            <w:tcW w:w="1413" w:type="dxa"/>
            <w:noWrap/>
            <w:hideMark/>
          </w:tcPr>
          <w:p w14:paraId="342EA554"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Taiwan</w:t>
            </w:r>
          </w:p>
        </w:tc>
        <w:tc>
          <w:tcPr>
            <w:tcW w:w="837" w:type="dxa"/>
            <w:noWrap/>
            <w:hideMark/>
          </w:tcPr>
          <w:p w14:paraId="7C89616D"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Cohort</w:t>
            </w:r>
          </w:p>
        </w:tc>
        <w:tc>
          <w:tcPr>
            <w:tcW w:w="878" w:type="dxa"/>
            <w:noWrap/>
            <w:hideMark/>
          </w:tcPr>
          <w:p w14:paraId="3D6B919A"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40</w:t>
            </w:r>
          </w:p>
        </w:tc>
        <w:tc>
          <w:tcPr>
            <w:tcW w:w="1577" w:type="dxa"/>
            <w:hideMark/>
          </w:tcPr>
          <w:p w14:paraId="62BD9649"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2-17 (6.23±0.84)</w:t>
            </w:r>
          </w:p>
        </w:tc>
        <w:tc>
          <w:tcPr>
            <w:tcW w:w="1794" w:type="dxa"/>
            <w:hideMark/>
          </w:tcPr>
          <w:p w14:paraId="1E3B6A74"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Assess the use of salivary CRP as a biomarker for pediatric pneumonia</w:t>
            </w:r>
          </w:p>
        </w:tc>
        <w:tc>
          <w:tcPr>
            <w:tcW w:w="1365" w:type="dxa"/>
            <w:hideMark/>
          </w:tcPr>
          <w:p w14:paraId="686FA840"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Absorption</w:t>
            </w:r>
          </w:p>
        </w:tc>
        <w:tc>
          <w:tcPr>
            <w:tcW w:w="1179" w:type="dxa"/>
            <w:hideMark/>
          </w:tcPr>
          <w:p w14:paraId="1E967D5D"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SalivaBio Children's Swab</w:t>
            </w:r>
          </w:p>
        </w:tc>
        <w:tc>
          <w:tcPr>
            <w:tcW w:w="1178" w:type="dxa"/>
            <w:hideMark/>
          </w:tcPr>
          <w:p w14:paraId="0E5411A9"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648" w:type="dxa"/>
            <w:gridSpan w:val="2"/>
            <w:hideMark/>
          </w:tcPr>
          <w:p w14:paraId="4A362EB3"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2h fasting before sampling</w:t>
            </w:r>
          </w:p>
        </w:tc>
        <w:tc>
          <w:tcPr>
            <w:tcW w:w="2874" w:type="dxa"/>
            <w:hideMark/>
          </w:tcPr>
          <w:p w14:paraId="1BAA6C9C"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Salivary CRP has the potential to be used as a monitoring tool because it decreased along with serum CRP levels as the pneumonia improved over the follow-up period.</w:t>
            </w:r>
          </w:p>
        </w:tc>
      </w:tr>
      <w:tr w:rsidR="00D05AB4" w:rsidRPr="00333A96" w14:paraId="3EF73619" w14:textId="77777777" w:rsidTr="00CC2F10">
        <w:trPr>
          <w:cnfStyle w:val="000000100000" w:firstRow="0" w:lastRow="0" w:firstColumn="0" w:lastColumn="0" w:oddVBand="0" w:evenVBand="0" w:oddHBand="1" w:evenHBand="0" w:firstRowFirstColumn="0" w:firstRowLastColumn="0" w:lastRowFirstColumn="0" w:lastRowLastColumn="0"/>
          <w:trHeight w:val="1560"/>
        </w:trPr>
        <w:tc>
          <w:tcPr>
            <w:cnfStyle w:val="001000000000" w:firstRow="0" w:lastRow="0" w:firstColumn="1" w:lastColumn="0" w:oddVBand="0" w:evenVBand="0" w:oddHBand="0" w:evenHBand="0" w:firstRowFirstColumn="0" w:firstRowLastColumn="0" w:lastRowFirstColumn="0" w:lastRowLastColumn="0"/>
            <w:tcW w:w="1560" w:type="dxa"/>
            <w:noWrap/>
            <w:hideMark/>
          </w:tcPr>
          <w:p w14:paraId="72FDD8F6"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lastRenderedPageBreak/>
              <w:t>Tvarijonaviciute et al. 2020</w:t>
            </w:r>
          </w:p>
        </w:tc>
        <w:tc>
          <w:tcPr>
            <w:tcW w:w="1413" w:type="dxa"/>
            <w:noWrap/>
            <w:hideMark/>
          </w:tcPr>
          <w:p w14:paraId="0F795460"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Spain</w:t>
            </w:r>
          </w:p>
        </w:tc>
        <w:tc>
          <w:tcPr>
            <w:tcW w:w="837" w:type="dxa"/>
            <w:noWrap/>
            <w:hideMark/>
          </w:tcPr>
          <w:p w14:paraId="3CA695DB"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5DCFC820"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129</w:t>
            </w:r>
          </w:p>
        </w:tc>
        <w:tc>
          <w:tcPr>
            <w:tcW w:w="1577" w:type="dxa"/>
            <w:hideMark/>
          </w:tcPr>
          <w:p w14:paraId="073D5E1A"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8-12 (?)</w:t>
            </w:r>
          </w:p>
        </w:tc>
        <w:tc>
          <w:tcPr>
            <w:tcW w:w="1794" w:type="dxa"/>
            <w:hideMark/>
          </w:tcPr>
          <w:p w14:paraId="584FC331"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Assess the effectiveness of using saliva as a non-invasive method in epidemiological studies conducted in school-age children to record metabolic changes associated with BMI, dietary factors, and physical activity </w:t>
            </w:r>
          </w:p>
        </w:tc>
        <w:tc>
          <w:tcPr>
            <w:tcW w:w="1365" w:type="dxa"/>
            <w:hideMark/>
          </w:tcPr>
          <w:p w14:paraId="07000E0A"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Absorption</w:t>
            </w:r>
          </w:p>
        </w:tc>
        <w:tc>
          <w:tcPr>
            <w:tcW w:w="1179" w:type="dxa"/>
            <w:hideMark/>
          </w:tcPr>
          <w:p w14:paraId="282743F1"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Salivette cotton swab</w:t>
            </w:r>
          </w:p>
        </w:tc>
        <w:tc>
          <w:tcPr>
            <w:tcW w:w="1178" w:type="dxa"/>
            <w:hideMark/>
          </w:tcPr>
          <w:p w14:paraId="056631C5"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648" w:type="dxa"/>
            <w:gridSpan w:val="2"/>
            <w:hideMark/>
          </w:tcPr>
          <w:p w14:paraId="3C901567"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Fasting the night prior sampling</w:t>
            </w:r>
          </w:p>
        </w:tc>
        <w:tc>
          <w:tcPr>
            <w:tcW w:w="2874" w:type="dxa"/>
            <w:hideMark/>
          </w:tcPr>
          <w:p w14:paraId="7E91EB27"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Pro-inflammatory biomarkers were positively connected with obesity and diet composition, while other metabolic indicators such IL6, NGF, and glucose were correlated with diet composition and levels of physical activity. Between boys and girls, these connections varied.  </w:t>
            </w:r>
          </w:p>
        </w:tc>
      </w:tr>
      <w:tr w:rsidR="00BB05A0" w:rsidRPr="00CC2F10" w14:paraId="3A803F3C" w14:textId="77777777" w:rsidTr="00CC2F10">
        <w:trPr>
          <w:trHeight w:val="848"/>
        </w:trPr>
        <w:tc>
          <w:tcPr>
            <w:cnfStyle w:val="001000000000" w:firstRow="0" w:lastRow="0" w:firstColumn="1" w:lastColumn="0" w:oddVBand="0" w:evenVBand="0" w:oddHBand="0" w:evenHBand="0" w:firstRowFirstColumn="0" w:firstRowLastColumn="0" w:lastRowFirstColumn="0" w:lastRowLastColumn="0"/>
            <w:tcW w:w="1560" w:type="dxa"/>
            <w:noWrap/>
            <w:hideMark/>
          </w:tcPr>
          <w:p w14:paraId="2CE32B89"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Tyrka et al. 2012</w:t>
            </w:r>
          </w:p>
        </w:tc>
        <w:tc>
          <w:tcPr>
            <w:tcW w:w="1413" w:type="dxa"/>
            <w:noWrap/>
            <w:hideMark/>
          </w:tcPr>
          <w:p w14:paraId="2209E111"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United States</w:t>
            </w:r>
          </w:p>
        </w:tc>
        <w:tc>
          <w:tcPr>
            <w:tcW w:w="837" w:type="dxa"/>
            <w:noWrap/>
            <w:hideMark/>
          </w:tcPr>
          <w:p w14:paraId="700C08CA"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Cohort</w:t>
            </w:r>
          </w:p>
        </w:tc>
        <w:tc>
          <w:tcPr>
            <w:tcW w:w="878" w:type="dxa"/>
            <w:noWrap/>
            <w:hideMark/>
          </w:tcPr>
          <w:p w14:paraId="18BA0F64"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78</w:t>
            </w:r>
          </w:p>
        </w:tc>
        <w:tc>
          <w:tcPr>
            <w:tcW w:w="1577" w:type="dxa"/>
            <w:hideMark/>
          </w:tcPr>
          <w:p w14:paraId="34ED3949"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10-14 (12.3±0.72)</w:t>
            </w:r>
          </w:p>
        </w:tc>
        <w:tc>
          <w:tcPr>
            <w:tcW w:w="1794" w:type="dxa"/>
            <w:hideMark/>
          </w:tcPr>
          <w:p w14:paraId="0BBB63B7" w14:textId="358CC9A9"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Investigate the relationship between cortisol levels and emotional/</w:t>
            </w:r>
            <w:r w:rsidR="0074566B" w:rsidRPr="00333A96">
              <w:rPr>
                <w:rFonts w:ascii="Times New Roman" w:eastAsia="Times New Roman" w:hAnsi="Times New Roman" w:cs="Times New Roman"/>
                <w:sz w:val="18"/>
                <w:szCs w:val="18"/>
                <w:lang w:val="en-GB" w:eastAsia="nl-NL"/>
              </w:rPr>
              <w:t>behaviour</w:t>
            </w:r>
            <w:r w:rsidRPr="00333A96">
              <w:rPr>
                <w:rFonts w:ascii="Times New Roman" w:eastAsia="Times New Roman" w:hAnsi="Times New Roman" w:cs="Times New Roman"/>
                <w:sz w:val="18"/>
                <w:szCs w:val="18"/>
                <w:lang w:val="en-GB" w:eastAsia="nl-NL"/>
              </w:rPr>
              <w:t xml:space="preserve"> issues, as well as to see if the initial level of cortisol might indicate if those issues would get worse in the future</w:t>
            </w:r>
          </w:p>
        </w:tc>
        <w:tc>
          <w:tcPr>
            <w:tcW w:w="1365" w:type="dxa"/>
            <w:hideMark/>
          </w:tcPr>
          <w:p w14:paraId="2EED0DD1"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Absorption, spitting</w:t>
            </w:r>
          </w:p>
        </w:tc>
        <w:tc>
          <w:tcPr>
            <w:tcW w:w="1179" w:type="dxa"/>
            <w:hideMark/>
          </w:tcPr>
          <w:p w14:paraId="5737D674"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Salivette, straw</w:t>
            </w:r>
          </w:p>
        </w:tc>
        <w:tc>
          <w:tcPr>
            <w:tcW w:w="1178" w:type="dxa"/>
            <w:hideMark/>
          </w:tcPr>
          <w:p w14:paraId="142AFD94"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648" w:type="dxa"/>
            <w:gridSpan w:val="2"/>
            <w:hideMark/>
          </w:tcPr>
          <w:p w14:paraId="504EDDA6" w14:textId="686A34DC" w:rsidR="00D05AB4" w:rsidRPr="00333A96" w:rsidRDefault="00D82031"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2874" w:type="dxa"/>
            <w:hideMark/>
          </w:tcPr>
          <w:p w14:paraId="7C99FCB2" w14:textId="09DC38AA"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Boys who struggle with mood and anxiety problems are more likely to have HPA axis dysregulation, as seen by changed cortisol levels.</w:t>
            </w:r>
            <w:r w:rsidRPr="00333A96">
              <w:rPr>
                <w:rFonts w:ascii="Times New Roman" w:eastAsia="Times New Roman" w:hAnsi="Times New Roman" w:cs="Times New Roman"/>
                <w:sz w:val="18"/>
                <w:szCs w:val="18"/>
                <w:lang w:val="en-GB" w:eastAsia="nl-NL"/>
              </w:rPr>
              <w:br/>
              <w:t xml:space="preserve">2) Boys' long-term emotional and </w:t>
            </w:r>
            <w:r w:rsidR="0074566B" w:rsidRPr="00333A96">
              <w:rPr>
                <w:rFonts w:ascii="Times New Roman" w:eastAsia="Times New Roman" w:hAnsi="Times New Roman" w:cs="Times New Roman"/>
                <w:sz w:val="18"/>
                <w:szCs w:val="18"/>
                <w:lang w:val="en-GB" w:eastAsia="nl-NL"/>
              </w:rPr>
              <w:t>behavioural</w:t>
            </w:r>
            <w:r w:rsidRPr="00333A96">
              <w:rPr>
                <w:rFonts w:ascii="Times New Roman" w:eastAsia="Times New Roman" w:hAnsi="Times New Roman" w:cs="Times New Roman"/>
                <w:sz w:val="18"/>
                <w:szCs w:val="18"/>
                <w:lang w:val="en-GB" w:eastAsia="nl-NL"/>
              </w:rPr>
              <w:t xml:space="preserve"> issues are predicted by changes in cortisol levels during a home visit task.</w:t>
            </w:r>
            <w:r w:rsidRPr="00333A96">
              <w:rPr>
                <w:rFonts w:ascii="Times New Roman" w:eastAsia="Times New Roman" w:hAnsi="Times New Roman" w:cs="Times New Roman"/>
                <w:sz w:val="18"/>
                <w:szCs w:val="18"/>
                <w:lang w:val="en-GB" w:eastAsia="nl-NL"/>
              </w:rPr>
              <w:br/>
              <w:t>3) Boys who initially have elevated cortisol levels are more likely to eventually develop depressed symptoms.</w:t>
            </w:r>
          </w:p>
        </w:tc>
      </w:tr>
      <w:tr w:rsidR="00D05AB4" w:rsidRPr="00CC2F10" w14:paraId="795F8EB6" w14:textId="77777777" w:rsidTr="00CC2F10">
        <w:trPr>
          <w:cnfStyle w:val="000000100000" w:firstRow="0" w:lastRow="0" w:firstColumn="0" w:lastColumn="0" w:oddVBand="0" w:evenVBand="0" w:oddHBand="1" w:evenHBand="0" w:firstRowFirstColumn="0" w:firstRowLastColumn="0" w:lastRowFirstColumn="0" w:lastRowLastColumn="0"/>
          <w:trHeight w:val="1560"/>
        </w:trPr>
        <w:tc>
          <w:tcPr>
            <w:cnfStyle w:val="001000000000" w:firstRow="0" w:lastRow="0" w:firstColumn="1" w:lastColumn="0" w:oddVBand="0" w:evenVBand="0" w:oddHBand="0" w:evenHBand="0" w:firstRowFirstColumn="0" w:firstRowLastColumn="0" w:lastRowFirstColumn="0" w:lastRowLastColumn="0"/>
            <w:tcW w:w="1560" w:type="dxa"/>
            <w:noWrap/>
            <w:hideMark/>
          </w:tcPr>
          <w:p w14:paraId="6506C353"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Tzortzi et al. 2009</w:t>
            </w:r>
          </w:p>
        </w:tc>
        <w:tc>
          <w:tcPr>
            <w:tcW w:w="1413" w:type="dxa"/>
            <w:noWrap/>
            <w:hideMark/>
          </w:tcPr>
          <w:p w14:paraId="4F8041E2"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Germany</w:t>
            </w:r>
          </w:p>
        </w:tc>
        <w:tc>
          <w:tcPr>
            <w:tcW w:w="837" w:type="dxa"/>
            <w:noWrap/>
            <w:hideMark/>
          </w:tcPr>
          <w:p w14:paraId="066C692D"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080B904F"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21</w:t>
            </w:r>
          </w:p>
        </w:tc>
        <w:tc>
          <w:tcPr>
            <w:tcW w:w="1577" w:type="dxa"/>
            <w:hideMark/>
          </w:tcPr>
          <w:p w14:paraId="3EABD993"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10-14 (?)</w:t>
            </w:r>
          </w:p>
        </w:tc>
        <w:tc>
          <w:tcPr>
            <w:tcW w:w="1794" w:type="dxa"/>
            <w:hideMark/>
          </w:tcPr>
          <w:p w14:paraId="61C6C30D"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Examine at the daily rhythm of cortisol levels in schoolchildren's saliva</w:t>
            </w:r>
          </w:p>
        </w:tc>
        <w:tc>
          <w:tcPr>
            <w:tcW w:w="1365" w:type="dxa"/>
            <w:hideMark/>
          </w:tcPr>
          <w:p w14:paraId="2135C415"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Spitting</w:t>
            </w:r>
          </w:p>
        </w:tc>
        <w:tc>
          <w:tcPr>
            <w:tcW w:w="1179" w:type="dxa"/>
            <w:hideMark/>
          </w:tcPr>
          <w:p w14:paraId="26B024DC"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SaliCap collection tube</w:t>
            </w:r>
          </w:p>
        </w:tc>
        <w:tc>
          <w:tcPr>
            <w:tcW w:w="1178" w:type="dxa"/>
            <w:hideMark/>
          </w:tcPr>
          <w:p w14:paraId="4E82CD7C"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648" w:type="dxa"/>
            <w:gridSpan w:val="2"/>
            <w:hideMark/>
          </w:tcPr>
          <w:p w14:paraId="0B11E56B" w14:textId="356BEB71" w:rsidR="00D05AB4" w:rsidRPr="00333A96" w:rsidRDefault="00D82031"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2874" w:type="dxa"/>
            <w:hideMark/>
          </w:tcPr>
          <w:p w14:paraId="489AE567" w14:textId="3C0D958D"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Throughout the day, there was a consistent pattern of cortisol concentration in saliva, with the greatest levels occurring 20 minutes after waking up.</w:t>
            </w:r>
            <w:r w:rsidRPr="00333A96">
              <w:rPr>
                <w:rFonts w:ascii="Times New Roman" w:eastAsia="Times New Roman" w:hAnsi="Times New Roman" w:cs="Times New Roman"/>
                <w:sz w:val="18"/>
                <w:szCs w:val="18"/>
                <w:lang w:val="en-GB" w:eastAsia="nl-NL"/>
              </w:rPr>
              <w:br/>
              <w:t xml:space="preserve">2) Except for a few </w:t>
            </w:r>
            <w:r w:rsidR="0074566B" w:rsidRPr="00333A96">
              <w:rPr>
                <w:rFonts w:ascii="Times New Roman" w:eastAsia="Times New Roman" w:hAnsi="Times New Roman" w:cs="Times New Roman"/>
                <w:sz w:val="18"/>
                <w:szCs w:val="18"/>
                <w:lang w:val="en-GB" w:eastAsia="nl-NL"/>
              </w:rPr>
              <w:t>time</w:t>
            </w:r>
            <w:r w:rsidRPr="00333A96">
              <w:rPr>
                <w:rFonts w:ascii="Times New Roman" w:eastAsia="Times New Roman" w:hAnsi="Times New Roman" w:cs="Times New Roman"/>
                <w:sz w:val="18"/>
                <w:szCs w:val="18"/>
                <w:lang w:val="en-GB" w:eastAsia="nl-NL"/>
              </w:rPr>
              <w:t xml:space="preserve"> periods, gender-specific variations in saliva cortisol levels were not frequently seen. </w:t>
            </w:r>
          </w:p>
        </w:tc>
      </w:tr>
      <w:tr w:rsidR="00BB05A0" w:rsidRPr="00CC2F10" w14:paraId="3E726EF5" w14:textId="77777777" w:rsidTr="00CC2F10">
        <w:trPr>
          <w:trHeight w:val="1560"/>
        </w:trPr>
        <w:tc>
          <w:tcPr>
            <w:cnfStyle w:val="001000000000" w:firstRow="0" w:lastRow="0" w:firstColumn="1" w:lastColumn="0" w:oddVBand="0" w:evenVBand="0" w:oddHBand="0" w:evenHBand="0" w:firstRowFirstColumn="0" w:firstRowLastColumn="0" w:lastRowFirstColumn="0" w:lastRowLastColumn="0"/>
            <w:tcW w:w="1560" w:type="dxa"/>
            <w:noWrap/>
            <w:hideMark/>
          </w:tcPr>
          <w:p w14:paraId="61F2C457"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Ueda et al. 2015</w:t>
            </w:r>
          </w:p>
        </w:tc>
        <w:tc>
          <w:tcPr>
            <w:tcW w:w="1413" w:type="dxa"/>
            <w:noWrap/>
            <w:hideMark/>
          </w:tcPr>
          <w:p w14:paraId="396330EC"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Japan</w:t>
            </w:r>
          </w:p>
        </w:tc>
        <w:tc>
          <w:tcPr>
            <w:tcW w:w="837" w:type="dxa"/>
            <w:noWrap/>
            <w:hideMark/>
          </w:tcPr>
          <w:p w14:paraId="2D58961E"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3A83C235"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418</w:t>
            </w:r>
          </w:p>
        </w:tc>
        <w:tc>
          <w:tcPr>
            <w:tcW w:w="1577" w:type="dxa"/>
            <w:hideMark/>
          </w:tcPr>
          <w:p w14:paraId="6BBE45C4"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3-6 (?)</w:t>
            </w:r>
          </w:p>
        </w:tc>
        <w:tc>
          <w:tcPr>
            <w:tcW w:w="1794" w:type="dxa"/>
            <w:hideMark/>
          </w:tcPr>
          <w:p w14:paraId="7D875A39"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Investigate the period of initial infection of </w:t>
            </w:r>
            <w:r w:rsidRPr="0074566B">
              <w:rPr>
                <w:rFonts w:ascii="Times New Roman" w:eastAsia="Times New Roman" w:hAnsi="Times New Roman" w:cs="Times New Roman"/>
                <w:i/>
                <w:iCs/>
                <w:sz w:val="18"/>
                <w:szCs w:val="18"/>
                <w:lang w:val="en-GB" w:eastAsia="nl-NL"/>
              </w:rPr>
              <w:t>Helicobacter pylori</w:t>
            </w:r>
            <w:r w:rsidRPr="00333A96">
              <w:rPr>
                <w:rFonts w:ascii="Times New Roman" w:eastAsia="Times New Roman" w:hAnsi="Times New Roman" w:cs="Times New Roman"/>
                <w:sz w:val="18"/>
                <w:szCs w:val="18"/>
                <w:lang w:val="en-GB" w:eastAsia="nl-NL"/>
              </w:rPr>
              <w:t xml:space="preserve"> in children </w:t>
            </w:r>
          </w:p>
        </w:tc>
        <w:tc>
          <w:tcPr>
            <w:tcW w:w="1365" w:type="dxa"/>
            <w:hideMark/>
          </w:tcPr>
          <w:p w14:paraId="4C9D3DCF"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Absorption</w:t>
            </w:r>
          </w:p>
        </w:tc>
        <w:tc>
          <w:tcPr>
            <w:tcW w:w="1179" w:type="dxa"/>
            <w:hideMark/>
          </w:tcPr>
          <w:p w14:paraId="475906D7"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Cotton rolls</w:t>
            </w:r>
          </w:p>
        </w:tc>
        <w:tc>
          <w:tcPr>
            <w:tcW w:w="1178" w:type="dxa"/>
            <w:hideMark/>
          </w:tcPr>
          <w:p w14:paraId="3D683B60"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SS</w:t>
            </w:r>
          </w:p>
        </w:tc>
        <w:tc>
          <w:tcPr>
            <w:tcW w:w="1648" w:type="dxa"/>
            <w:gridSpan w:val="2"/>
            <w:hideMark/>
          </w:tcPr>
          <w:p w14:paraId="62BAA079" w14:textId="234A422E" w:rsidR="00D05AB4" w:rsidRPr="00333A96" w:rsidRDefault="00D82031"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2874" w:type="dxa"/>
            <w:hideMark/>
          </w:tcPr>
          <w:p w14:paraId="2CAB308D" w14:textId="5771A4B8"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1)With age, the frequency of H. pylori DNA detection in children increased (</w:t>
            </w:r>
            <w:r w:rsidR="0074566B" w:rsidRPr="00333A96">
              <w:rPr>
                <w:rFonts w:ascii="Times New Roman" w:eastAsia="Times New Roman" w:hAnsi="Times New Roman" w:cs="Times New Roman"/>
                <w:sz w:val="18"/>
                <w:szCs w:val="18"/>
                <w:lang w:val="en-GB" w:eastAsia="nl-NL"/>
              </w:rPr>
              <w:t>between</w:t>
            </w:r>
            <w:r w:rsidRPr="00333A96">
              <w:rPr>
                <w:rFonts w:ascii="Times New Roman" w:eastAsia="Times New Roman" w:hAnsi="Times New Roman" w:cs="Times New Roman"/>
                <w:sz w:val="18"/>
                <w:szCs w:val="18"/>
                <w:lang w:val="en-GB" w:eastAsia="nl-NL"/>
              </w:rPr>
              <w:t xml:space="preserve"> 4-5 years).</w:t>
            </w:r>
            <w:r w:rsidRPr="00333A96">
              <w:rPr>
                <w:rFonts w:ascii="Times New Roman" w:eastAsia="Times New Roman" w:hAnsi="Times New Roman" w:cs="Times New Roman"/>
                <w:sz w:val="18"/>
                <w:szCs w:val="18"/>
                <w:lang w:val="en-GB" w:eastAsia="nl-NL"/>
              </w:rPr>
              <w:br/>
              <w:t xml:space="preserve">2) Mother-to-child transmission of </w:t>
            </w:r>
            <w:r w:rsidRPr="0074566B">
              <w:rPr>
                <w:rFonts w:ascii="Times New Roman" w:eastAsia="Times New Roman" w:hAnsi="Times New Roman" w:cs="Times New Roman"/>
                <w:i/>
                <w:iCs/>
                <w:sz w:val="18"/>
                <w:szCs w:val="18"/>
                <w:lang w:val="en-GB" w:eastAsia="nl-NL"/>
              </w:rPr>
              <w:t>H. pylori</w:t>
            </w:r>
            <w:r w:rsidRPr="00333A96">
              <w:rPr>
                <w:rFonts w:ascii="Times New Roman" w:eastAsia="Times New Roman" w:hAnsi="Times New Roman" w:cs="Times New Roman"/>
                <w:sz w:val="18"/>
                <w:szCs w:val="18"/>
                <w:lang w:val="en-GB" w:eastAsia="nl-NL"/>
              </w:rPr>
              <w:t xml:space="preserve"> is the most important route of infection, because of the much higher rate of infection in mothers of </w:t>
            </w:r>
            <w:r w:rsidRPr="0074566B">
              <w:rPr>
                <w:rFonts w:ascii="Times New Roman" w:eastAsia="Times New Roman" w:hAnsi="Times New Roman" w:cs="Times New Roman"/>
                <w:i/>
                <w:iCs/>
                <w:sz w:val="18"/>
                <w:szCs w:val="18"/>
                <w:lang w:val="en-GB" w:eastAsia="nl-NL"/>
              </w:rPr>
              <w:t>H. pylori</w:t>
            </w:r>
            <w:r w:rsidRPr="00333A96">
              <w:rPr>
                <w:rFonts w:ascii="Times New Roman" w:eastAsia="Times New Roman" w:hAnsi="Times New Roman" w:cs="Times New Roman"/>
                <w:sz w:val="18"/>
                <w:szCs w:val="18"/>
                <w:lang w:val="en-GB" w:eastAsia="nl-NL"/>
              </w:rPr>
              <w:t>-positive children.</w:t>
            </w:r>
          </w:p>
        </w:tc>
      </w:tr>
      <w:tr w:rsidR="00D05AB4" w:rsidRPr="00CC2F10" w14:paraId="09A46554" w14:textId="77777777" w:rsidTr="00CC2F10">
        <w:trPr>
          <w:cnfStyle w:val="000000100000" w:firstRow="0" w:lastRow="0" w:firstColumn="0" w:lastColumn="0" w:oddVBand="0" w:evenVBand="0" w:oddHBand="1" w:evenHBand="0" w:firstRowFirstColumn="0" w:firstRowLastColumn="0" w:lastRowFirstColumn="0" w:lastRowLastColumn="0"/>
          <w:trHeight w:val="2184"/>
        </w:trPr>
        <w:tc>
          <w:tcPr>
            <w:cnfStyle w:val="001000000000" w:firstRow="0" w:lastRow="0" w:firstColumn="1" w:lastColumn="0" w:oddVBand="0" w:evenVBand="0" w:oddHBand="0" w:evenHBand="0" w:firstRowFirstColumn="0" w:firstRowLastColumn="0" w:lastRowFirstColumn="0" w:lastRowLastColumn="0"/>
            <w:tcW w:w="1560" w:type="dxa"/>
            <w:noWrap/>
            <w:hideMark/>
          </w:tcPr>
          <w:p w14:paraId="47178FC2"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lastRenderedPageBreak/>
              <w:t>Umeda et al. 2004</w:t>
            </w:r>
          </w:p>
        </w:tc>
        <w:tc>
          <w:tcPr>
            <w:tcW w:w="1413" w:type="dxa"/>
            <w:noWrap/>
            <w:hideMark/>
          </w:tcPr>
          <w:p w14:paraId="6DF2EEC0"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Japan</w:t>
            </w:r>
          </w:p>
        </w:tc>
        <w:tc>
          <w:tcPr>
            <w:tcW w:w="837" w:type="dxa"/>
            <w:noWrap/>
            <w:hideMark/>
          </w:tcPr>
          <w:p w14:paraId="1BBE1D76"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677CE5F2"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56</w:t>
            </w:r>
          </w:p>
        </w:tc>
        <w:tc>
          <w:tcPr>
            <w:tcW w:w="1577" w:type="dxa"/>
            <w:hideMark/>
          </w:tcPr>
          <w:p w14:paraId="3D8E69F4"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1-15 (8.3±3.5)</w:t>
            </w:r>
          </w:p>
        </w:tc>
        <w:tc>
          <w:tcPr>
            <w:tcW w:w="1794" w:type="dxa"/>
            <w:hideMark/>
          </w:tcPr>
          <w:p w14:paraId="1B8384D8"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Examine at the distribution of periodontal disease-causing bacteria in the mouths of children and their parents, as well as the correlation between the bacterial discoveries and clinical indicators</w:t>
            </w:r>
          </w:p>
        </w:tc>
        <w:tc>
          <w:tcPr>
            <w:tcW w:w="1365" w:type="dxa"/>
            <w:hideMark/>
          </w:tcPr>
          <w:p w14:paraId="1F8C05B9"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Spitting</w:t>
            </w:r>
          </w:p>
        </w:tc>
        <w:tc>
          <w:tcPr>
            <w:tcW w:w="1179" w:type="dxa"/>
            <w:hideMark/>
          </w:tcPr>
          <w:p w14:paraId="59C446F9"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Tube </w:t>
            </w:r>
          </w:p>
        </w:tc>
        <w:tc>
          <w:tcPr>
            <w:tcW w:w="1178" w:type="dxa"/>
            <w:hideMark/>
          </w:tcPr>
          <w:p w14:paraId="59E3A435"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648" w:type="dxa"/>
            <w:gridSpan w:val="2"/>
            <w:hideMark/>
          </w:tcPr>
          <w:p w14:paraId="0D1F78B9" w14:textId="233D9FCB" w:rsidR="00D05AB4" w:rsidRPr="00333A96" w:rsidRDefault="00D82031"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2874" w:type="dxa"/>
            <w:hideMark/>
          </w:tcPr>
          <w:p w14:paraId="0B67012A" w14:textId="3DC9179C"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1) Different periodontopathic bacteria were discovered at different frequencies in children's cavities. </w:t>
            </w:r>
            <w:r w:rsidRPr="00333A96">
              <w:rPr>
                <w:rFonts w:ascii="Times New Roman" w:eastAsia="Times New Roman" w:hAnsi="Times New Roman" w:cs="Times New Roman"/>
                <w:sz w:val="18"/>
                <w:szCs w:val="18"/>
                <w:lang w:val="en-GB" w:eastAsia="nl-NL"/>
              </w:rPr>
              <w:br/>
              <w:t>2) High plaque retention has been associated to more periodontal infections colonizing children' cavities, and there was evidence of bacterial transfer within families.</w:t>
            </w:r>
            <w:r w:rsidRPr="00333A96">
              <w:rPr>
                <w:rFonts w:ascii="Times New Roman" w:eastAsia="Times New Roman" w:hAnsi="Times New Roman" w:cs="Times New Roman"/>
                <w:sz w:val="18"/>
                <w:szCs w:val="18"/>
                <w:lang w:val="en-GB" w:eastAsia="nl-NL"/>
              </w:rPr>
              <w:br/>
              <w:t>3)</w:t>
            </w:r>
            <w:r w:rsidR="0074566B">
              <w:rPr>
                <w:rFonts w:ascii="Times New Roman" w:eastAsia="Times New Roman" w:hAnsi="Times New Roman" w:cs="Times New Roman"/>
                <w:sz w:val="18"/>
                <w:szCs w:val="18"/>
                <w:lang w:val="en-GB" w:eastAsia="nl-NL"/>
              </w:rPr>
              <w:t xml:space="preserve"> </w:t>
            </w:r>
            <w:r w:rsidRPr="00333A96">
              <w:rPr>
                <w:rFonts w:ascii="Times New Roman" w:eastAsia="Times New Roman" w:hAnsi="Times New Roman" w:cs="Times New Roman"/>
                <w:sz w:val="18"/>
                <w:szCs w:val="18"/>
                <w:lang w:val="en-GB" w:eastAsia="nl-NL"/>
              </w:rPr>
              <w:t>Oral debris scores were higher in children with certain periodontopathic bacteria; a sign of poor oral hygiene.</w:t>
            </w:r>
          </w:p>
        </w:tc>
      </w:tr>
      <w:tr w:rsidR="00BB05A0" w:rsidRPr="00CC2F10" w14:paraId="7A7BA2DB" w14:textId="77777777" w:rsidTr="00CC2F10">
        <w:trPr>
          <w:trHeight w:val="936"/>
        </w:trPr>
        <w:tc>
          <w:tcPr>
            <w:cnfStyle w:val="001000000000" w:firstRow="0" w:lastRow="0" w:firstColumn="1" w:lastColumn="0" w:oddVBand="0" w:evenVBand="0" w:oddHBand="0" w:evenHBand="0" w:firstRowFirstColumn="0" w:firstRowLastColumn="0" w:lastRowFirstColumn="0" w:lastRowLastColumn="0"/>
            <w:tcW w:w="1560" w:type="dxa"/>
            <w:noWrap/>
            <w:hideMark/>
          </w:tcPr>
          <w:p w14:paraId="02CFFC6B"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Vahabzadeh et al. 2020</w:t>
            </w:r>
          </w:p>
        </w:tc>
        <w:tc>
          <w:tcPr>
            <w:tcW w:w="1413" w:type="dxa"/>
            <w:noWrap/>
            <w:hideMark/>
          </w:tcPr>
          <w:p w14:paraId="0013517E"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Iran</w:t>
            </w:r>
          </w:p>
        </w:tc>
        <w:tc>
          <w:tcPr>
            <w:tcW w:w="837" w:type="dxa"/>
            <w:noWrap/>
            <w:hideMark/>
          </w:tcPr>
          <w:p w14:paraId="002A003C"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66579D69"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90</w:t>
            </w:r>
          </w:p>
        </w:tc>
        <w:tc>
          <w:tcPr>
            <w:tcW w:w="1577" w:type="dxa"/>
            <w:hideMark/>
          </w:tcPr>
          <w:p w14:paraId="4A3EA70A"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7-12 (?)</w:t>
            </w:r>
          </w:p>
        </w:tc>
        <w:tc>
          <w:tcPr>
            <w:tcW w:w="1794" w:type="dxa"/>
            <w:hideMark/>
          </w:tcPr>
          <w:p w14:paraId="609B116F"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Assess the relationship between various degrees of dental caries and salivary enzymatic antioxidant activity in children</w:t>
            </w:r>
          </w:p>
        </w:tc>
        <w:tc>
          <w:tcPr>
            <w:tcW w:w="1365" w:type="dxa"/>
            <w:hideMark/>
          </w:tcPr>
          <w:p w14:paraId="37F8B142"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Drooling</w:t>
            </w:r>
          </w:p>
        </w:tc>
        <w:tc>
          <w:tcPr>
            <w:tcW w:w="1179" w:type="dxa"/>
            <w:hideMark/>
          </w:tcPr>
          <w:p w14:paraId="5AB4F3F6"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Tube </w:t>
            </w:r>
          </w:p>
        </w:tc>
        <w:tc>
          <w:tcPr>
            <w:tcW w:w="1178" w:type="dxa"/>
            <w:hideMark/>
          </w:tcPr>
          <w:p w14:paraId="6B000D0A"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648" w:type="dxa"/>
            <w:gridSpan w:val="2"/>
            <w:hideMark/>
          </w:tcPr>
          <w:p w14:paraId="7C012F51"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2h fasting before sampling</w:t>
            </w:r>
          </w:p>
        </w:tc>
        <w:tc>
          <w:tcPr>
            <w:tcW w:w="2874" w:type="dxa"/>
            <w:hideMark/>
          </w:tcPr>
          <w:p w14:paraId="54812BD6"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Enzymatic antioxidants were positively connected with the number of decaying teeth and the improvement in oral hygiene but not with DMFT/dmft.</w:t>
            </w:r>
          </w:p>
        </w:tc>
      </w:tr>
      <w:tr w:rsidR="00D05AB4" w:rsidRPr="00CC2F10" w14:paraId="17A6D439" w14:textId="77777777" w:rsidTr="00CC2F10">
        <w:trPr>
          <w:cnfStyle w:val="000000100000" w:firstRow="0" w:lastRow="0" w:firstColumn="0" w:lastColumn="0" w:oddVBand="0" w:evenVBand="0" w:oddHBand="1" w:evenHBand="0" w:firstRowFirstColumn="0" w:firstRowLastColumn="0" w:lastRowFirstColumn="0" w:lastRowLastColumn="0"/>
          <w:trHeight w:val="565"/>
        </w:trPr>
        <w:tc>
          <w:tcPr>
            <w:cnfStyle w:val="001000000000" w:firstRow="0" w:lastRow="0" w:firstColumn="1" w:lastColumn="0" w:oddVBand="0" w:evenVBand="0" w:oddHBand="0" w:evenHBand="0" w:firstRowFirstColumn="0" w:firstRowLastColumn="0" w:lastRowFirstColumn="0" w:lastRowLastColumn="0"/>
            <w:tcW w:w="1560" w:type="dxa"/>
            <w:noWrap/>
            <w:hideMark/>
          </w:tcPr>
          <w:p w14:paraId="74239DE5"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Venkatesh et al. 2011</w:t>
            </w:r>
          </w:p>
        </w:tc>
        <w:tc>
          <w:tcPr>
            <w:tcW w:w="1413" w:type="dxa"/>
            <w:noWrap/>
            <w:hideMark/>
          </w:tcPr>
          <w:p w14:paraId="156D6197"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India</w:t>
            </w:r>
          </w:p>
        </w:tc>
        <w:tc>
          <w:tcPr>
            <w:tcW w:w="837" w:type="dxa"/>
            <w:noWrap/>
            <w:hideMark/>
          </w:tcPr>
          <w:p w14:paraId="20459A06"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RCT</w:t>
            </w:r>
          </w:p>
        </w:tc>
        <w:tc>
          <w:tcPr>
            <w:tcW w:w="878" w:type="dxa"/>
            <w:noWrap/>
            <w:hideMark/>
          </w:tcPr>
          <w:p w14:paraId="2932AC8D"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50</w:t>
            </w:r>
          </w:p>
        </w:tc>
        <w:tc>
          <w:tcPr>
            <w:tcW w:w="1577" w:type="dxa"/>
            <w:hideMark/>
          </w:tcPr>
          <w:p w14:paraId="181264EF"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6-10 (?)</w:t>
            </w:r>
          </w:p>
        </w:tc>
        <w:tc>
          <w:tcPr>
            <w:tcW w:w="1794" w:type="dxa"/>
            <w:hideMark/>
          </w:tcPr>
          <w:p w14:paraId="14B6D1C9"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Evaluate the antibacterial effectiveness of cocoa bean husk extract and chlorhexidine mouthwashes in children</w:t>
            </w:r>
          </w:p>
        </w:tc>
        <w:tc>
          <w:tcPr>
            <w:tcW w:w="1365" w:type="dxa"/>
            <w:hideMark/>
          </w:tcPr>
          <w:p w14:paraId="449ABEE5"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Absorption</w:t>
            </w:r>
          </w:p>
        </w:tc>
        <w:tc>
          <w:tcPr>
            <w:tcW w:w="1179" w:type="dxa"/>
            <w:hideMark/>
          </w:tcPr>
          <w:p w14:paraId="7F9A3DD7"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Dentocult strip</w:t>
            </w:r>
          </w:p>
        </w:tc>
        <w:tc>
          <w:tcPr>
            <w:tcW w:w="1178" w:type="dxa"/>
            <w:hideMark/>
          </w:tcPr>
          <w:p w14:paraId="5B435B76"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SS</w:t>
            </w:r>
          </w:p>
        </w:tc>
        <w:tc>
          <w:tcPr>
            <w:tcW w:w="1648" w:type="dxa"/>
            <w:gridSpan w:val="2"/>
            <w:hideMark/>
          </w:tcPr>
          <w:p w14:paraId="4218AF89" w14:textId="04A41E77" w:rsidR="00D05AB4" w:rsidRPr="00333A96" w:rsidRDefault="00D82031"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2874" w:type="dxa"/>
            <w:hideMark/>
          </w:tcPr>
          <w:p w14:paraId="4812E34D" w14:textId="4F47CC61"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1) At all follow-up intervals, both </w:t>
            </w:r>
            <w:r w:rsidR="0074566B" w:rsidRPr="00333A96">
              <w:rPr>
                <w:rFonts w:ascii="Times New Roman" w:eastAsia="Times New Roman" w:hAnsi="Times New Roman" w:cs="Times New Roman"/>
                <w:sz w:val="18"/>
                <w:szCs w:val="18"/>
                <w:lang w:val="en-GB" w:eastAsia="nl-NL"/>
              </w:rPr>
              <w:t>mouth rinse</w:t>
            </w:r>
            <w:r w:rsidRPr="00333A96">
              <w:rPr>
                <w:rFonts w:ascii="Times New Roman" w:eastAsia="Times New Roman" w:hAnsi="Times New Roman" w:cs="Times New Roman"/>
                <w:sz w:val="18"/>
                <w:szCs w:val="18"/>
                <w:lang w:val="en-GB" w:eastAsia="nl-NL"/>
              </w:rPr>
              <w:t xml:space="preserve"> groups resulted in a substantial decrease in salivary SM counts.</w:t>
            </w:r>
            <w:r w:rsidRPr="00333A96">
              <w:rPr>
                <w:rFonts w:ascii="Times New Roman" w:eastAsia="Times New Roman" w:hAnsi="Times New Roman" w:cs="Times New Roman"/>
                <w:sz w:val="18"/>
                <w:szCs w:val="18"/>
                <w:lang w:val="en-GB" w:eastAsia="nl-NL"/>
              </w:rPr>
              <w:br/>
              <w:t xml:space="preserve">2) No significant difference between the CHX and cocoa bean extract </w:t>
            </w:r>
            <w:r w:rsidR="0074566B" w:rsidRPr="00333A96">
              <w:rPr>
                <w:rFonts w:ascii="Times New Roman" w:eastAsia="Times New Roman" w:hAnsi="Times New Roman" w:cs="Times New Roman"/>
                <w:sz w:val="18"/>
                <w:szCs w:val="18"/>
                <w:lang w:val="en-GB" w:eastAsia="nl-NL"/>
              </w:rPr>
              <w:t>mouth rinse</w:t>
            </w:r>
            <w:r w:rsidRPr="00333A96">
              <w:rPr>
                <w:rFonts w:ascii="Times New Roman" w:eastAsia="Times New Roman" w:hAnsi="Times New Roman" w:cs="Times New Roman"/>
                <w:sz w:val="18"/>
                <w:szCs w:val="18"/>
                <w:lang w:val="en-GB" w:eastAsia="nl-NL"/>
              </w:rPr>
              <w:t xml:space="preserve"> groups in the lowering of SM counts.</w:t>
            </w:r>
          </w:p>
        </w:tc>
      </w:tr>
      <w:tr w:rsidR="00BB05A0" w:rsidRPr="00CC2F10" w14:paraId="16F419D0" w14:textId="77777777" w:rsidTr="00CC2F10">
        <w:trPr>
          <w:trHeight w:val="2808"/>
        </w:trPr>
        <w:tc>
          <w:tcPr>
            <w:cnfStyle w:val="001000000000" w:firstRow="0" w:lastRow="0" w:firstColumn="1" w:lastColumn="0" w:oddVBand="0" w:evenVBand="0" w:oddHBand="0" w:evenHBand="0" w:firstRowFirstColumn="0" w:firstRowLastColumn="0" w:lastRowFirstColumn="0" w:lastRowLastColumn="0"/>
            <w:tcW w:w="1560" w:type="dxa"/>
            <w:noWrap/>
            <w:hideMark/>
          </w:tcPr>
          <w:p w14:paraId="76283A9D"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Verey et al. 2011</w:t>
            </w:r>
          </w:p>
        </w:tc>
        <w:tc>
          <w:tcPr>
            <w:tcW w:w="1413" w:type="dxa"/>
            <w:noWrap/>
            <w:hideMark/>
          </w:tcPr>
          <w:p w14:paraId="005D83D0"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United Kingdom</w:t>
            </w:r>
          </w:p>
        </w:tc>
        <w:tc>
          <w:tcPr>
            <w:tcW w:w="837" w:type="dxa"/>
            <w:noWrap/>
            <w:hideMark/>
          </w:tcPr>
          <w:p w14:paraId="1E966FE6"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0C4F79EA"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121</w:t>
            </w:r>
          </w:p>
        </w:tc>
        <w:tc>
          <w:tcPr>
            <w:tcW w:w="1577" w:type="dxa"/>
            <w:hideMark/>
          </w:tcPr>
          <w:p w14:paraId="6004C013"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0-17 (?)</w:t>
            </w:r>
          </w:p>
        </w:tc>
        <w:tc>
          <w:tcPr>
            <w:tcW w:w="1794" w:type="dxa"/>
            <w:hideMark/>
          </w:tcPr>
          <w:p w14:paraId="31499057"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Evaluate any trefoil peptide level changes in oncology patients with and without mucositis</w:t>
            </w:r>
          </w:p>
        </w:tc>
        <w:tc>
          <w:tcPr>
            <w:tcW w:w="1365" w:type="dxa"/>
            <w:hideMark/>
          </w:tcPr>
          <w:p w14:paraId="6E33219C"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Spitting, suction</w:t>
            </w:r>
          </w:p>
        </w:tc>
        <w:tc>
          <w:tcPr>
            <w:tcW w:w="1179" w:type="dxa"/>
            <w:hideMark/>
          </w:tcPr>
          <w:p w14:paraId="3A9D4CDE" w14:textId="7C2B375A"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Pipette, </w:t>
            </w:r>
            <w:r w:rsidR="0074566B">
              <w:rPr>
                <w:rFonts w:ascii="Times New Roman" w:eastAsia="Times New Roman" w:hAnsi="Times New Roman" w:cs="Times New Roman"/>
                <w:sz w:val="18"/>
                <w:szCs w:val="18"/>
                <w:lang w:val="en-GB" w:eastAsia="nl-NL"/>
              </w:rPr>
              <w:t>N</w:t>
            </w:r>
            <w:r w:rsidRPr="00333A96">
              <w:rPr>
                <w:rFonts w:ascii="Times New Roman" w:eastAsia="Times New Roman" w:hAnsi="Times New Roman" w:cs="Times New Roman"/>
                <w:sz w:val="18"/>
                <w:szCs w:val="18"/>
                <w:lang w:val="en-GB" w:eastAsia="nl-NL"/>
              </w:rPr>
              <w:t>a</w:t>
            </w:r>
          </w:p>
        </w:tc>
        <w:tc>
          <w:tcPr>
            <w:tcW w:w="1178" w:type="dxa"/>
            <w:hideMark/>
          </w:tcPr>
          <w:p w14:paraId="3F9AA967"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US </w:t>
            </w:r>
          </w:p>
        </w:tc>
        <w:tc>
          <w:tcPr>
            <w:tcW w:w="1648" w:type="dxa"/>
            <w:gridSpan w:val="2"/>
            <w:hideMark/>
          </w:tcPr>
          <w:p w14:paraId="2B61BC92"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1) 1h fasting before sampling </w:t>
            </w:r>
            <w:r w:rsidRPr="00333A96">
              <w:rPr>
                <w:rFonts w:ascii="Times New Roman" w:eastAsia="Times New Roman" w:hAnsi="Times New Roman" w:cs="Times New Roman"/>
                <w:sz w:val="18"/>
                <w:szCs w:val="18"/>
                <w:lang w:val="en-GB" w:eastAsia="nl-NL"/>
              </w:rPr>
              <w:br/>
              <w:t>2) Stressed children: abandoned</w:t>
            </w:r>
            <w:r w:rsidRPr="00333A96">
              <w:rPr>
                <w:rFonts w:ascii="Times New Roman" w:eastAsia="Times New Roman" w:hAnsi="Times New Roman" w:cs="Times New Roman"/>
                <w:sz w:val="18"/>
                <w:szCs w:val="18"/>
                <w:lang w:val="en-GB" w:eastAsia="nl-NL"/>
              </w:rPr>
              <w:br/>
              <w:t>3) Young children: suction</w:t>
            </w:r>
          </w:p>
        </w:tc>
        <w:tc>
          <w:tcPr>
            <w:tcW w:w="2874" w:type="dxa"/>
            <w:hideMark/>
          </w:tcPr>
          <w:p w14:paraId="5F8BF2F2"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In children in good health, TFF2 and TFF3 positively related with age. </w:t>
            </w:r>
            <w:r w:rsidRPr="00333A96">
              <w:rPr>
                <w:rFonts w:ascii="Times New Roman" w:eastAsia="Times New Roman" w:hAnsi="Times New Roman" w:cs="Times New Roman"/>
                <w:sz w:val="18"/>
                <w:szCs w:val="18"/>
                <w:lang w:val="en-GB" w:eastAsia="nl-NL"/>
              </w:rPr>
              <w:br/>
              <w:t>TFF3 levels in mucositic individuals were significantly higher than in all other groups.</w:t>
            </w:r>
          </w:p>
        </w:tc>
      </w:tr>
      <w:tr w:rsidR="00D05AB4" w:rsidRPr="00CC2F10" w14:paraId="6637B22B" w14:textId="77777777" w:rsidTr="00CC2F10">
        <w:trPr>
          <w:cnfStyle w:val="000000100000" w:firstRow="0" w:lastRow="0" w:firstColumn="0" w:lastColumn="0" w:oddVBand="0" w:evenVBand="0" w:oddHBand="1" w:evenHBand="0" w:firstRowFirstColumn="0" w:firstRowLastColumn="0" w:lastRowFirstColumn="0" w:lastRowLastColumn="0"/>
          <w:trHeight w:val="1872"/>
        </w:trPr>
        <w:tc>
          <w:tcPr>
            <w:cnfStyle w:val="001000000000" w:firstRow="0" w:lastRow="0" w:firstColumn="1" w:lastColumn="0" w:oddVBand="0" w:evenVBand="0" w:oddHBand="0" w:evenHBand="0" w:firstRowFirstColumn="0" w:firstRowLastColumn="0" w:lastRowFirstColumn="0" w:lastRowLastColumn="0"/>
            <w:tcW w:w="1560" w:type="dxa"/>
            <w:noWrap/>
            <w:hideMark/>
          </w:tcPr>
          <w:p w14:paraId="2D8F099E"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lastRenderedPageBreak/>
              <w:t>Verhagen et al. 2016</w:t>
            </w:r>
          </w:p>
        </w:tc>
        <w:tc>
          <w:tcPr>
            <w:tcW w:w="1413" w:type="dxa"/>
            <w:noWrap/>
            <w:hideMark/>
          </w:tcPr>
          <w:p w14:paraId="6370D00F"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Venezuela</w:t>
            </w:r>
          </w:p>
        </w:tc>
        <w:tc>
          <w:tcPr>
            <w:tcW w:w="837" w:type="dxa"/>
            <w:noWrap/>
            <w:hideMark/>
          </w:tcPr>
          <w:p w14:paraId="79EAAB3C"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Cohort</w:t>
            </w:r>
          </w:p>
        </w:tc>
        <w:tc>
          <w:tcPr>
            <w:tcW w:w="878" w:type="dxa"/>
            <w:noWrap/>
            <w:hideMark/>
          </w:tcPr>
          <w:p w14:paraId="3AB80A31"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411</w:t>
            </w:r>
          </w:p>
        </w:tc>
        <w:tc>
          <w:tcPr>
            <w:tcW w:w="1577" w:type="dxa"/>
            <w:hideMark/>
          </w:tcPr>
          <w:p w14:paraId="416BDB22"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0-5 (?)</w:t>
            </w:r>
          </w:p>
        </w:tc>
        <w:tc>
          <w:tcPr>
            <w:tcW w:w="1794" w:type="dxa"/>
            <w:hideMark/>
          </w:tcPr>
          <w:p w14:paraId="61C27F51"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Explore if saliva may be utilized as a read-out for these vaccine reactions, and assess the effect of pre-vaccination nutritional status on vaccine responses in children who received the PCV13 vaccine</w:t>
            </w:r>
          </w:p>
        </w:tc>
        <w:tc>
          <w:tcPr>
            <w:tcW w:w="1365" w:type="dxa"/>
            <w:hideMark/>
          </w:tcPr>
          <w:p w14:paraId="7D9B29B4"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Absorption</w:t>
            </w:r>
          </w:p>
        </w:tc>
        <w:tc>
          <w:tcPr>
            <w:tcW w:w="1179" w:type="dxa"/>
            <w:hideMark/>
          </w:tcPr>
          <w:p w14:paraId="449BD214"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Cotton rolls</w:t>
            </w:r>
          </w:p>
        </w:tc>
        <w:tc>
          <w:tcPr>
            <w:tcW w:w="1178" w:type="dxa"/>
            <w:hideMark/>
          </w:tcPr>
          <w:p w14:paraId="28D7347D"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648" w:type="dxa"/>
            <w:gridSpan w:val="2"/>
            <w:hideMark/>
          </w:tcPr>
          <w:p w14:paraId="6305767A" w14:textId="0D58C2C1" w:rsidR="00D05AB4" w:rsidRPr="00333A96" w:rsidRDefault="00D82031"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2874" w:type="dxa"/>
            <w:hideMark/>
          </w:tcPr>
          <w:p w14:paraId="639F02B4" w14:textId="522C93F4"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1)When children with and without stunting received the PCV13 vaccination, salivary antibody levels for all serotypes corresponded positively with serum levels.</w:t>
            </w:r>
            <w:r w:rsidRPr="00333A96">
              <w:rPr>
                <w:rFonts w:ascii="Times New Roman" w:eastAsia="Times New Roman" w:hAnsi="Times New Roman" w:cs="Times New Roman"/>
                <w:sz w:val="18"/>
                <w:szCs w:val="18"/>
                <w:lang w:val="en-GB" w:eastAsia="nl-NL"/>
              </w:rPr>
              <w:br/>
              <w:t xml:space="preserve">2) For </w:t>
            </w:r>
            <w:r w:rsidR="0074566B" w:rsidRPr="00333A96">
              <w:rPr>
                <w:rFonts w:ascii="Times New Roman" w:eastAsia="Times New Roman" w:hAnsi="Times New Roman" w:cs="Times New Roman"/>
                <w:sz w:val="18"/>
                <w:szCs w:val="18"/>
                <w:lang w:val="en-GB" w:eastAsia="nl-NL"/>
              </w:rPr>
              <w:t>most</w:t>
            </w:r>
            <w:r w:rsidRPr="00333A96">
              <w:rPr>
                <w:rFonts w:ascii="Times New Roman" w:eastAsia="Times New Roman" w:hAnsi="Times New Roman" w:cs="Times New Roman"/>
                <w:sz w:val="18"/>
                <w:szCs w:val="18"/>
                <w:lang w:val="en-GB" w:eastAsia="nl-NL"/>
              </w:rPr>
              <w:t xml:space="preserve"> serotypes, higher serum and salivary antibody levels were seen together with significantly increasing levels of stunting in children.</w:t>
            </w:r>
          </w:p>
        </w:tc>
      </w:tr>
      <w:tr w:rsidR="00BB05A0" w:rsidRPr="00CC2F10" w14:paraId="43696529" w14:textId="77777777" w:rsidTr="00CC2F10">
        <w:trPr>
          <w:trHeight w:val="1248"/>
        </w:trPr>
        <w:tc>
          <w:tcPr>
            <w:cnfStyle w:val="001000000000" w:firstRow="0" w:lastRow="0" w:firstColumn="1" w:lastColumn="0" w:oddVBand="0" w:evenVBand="0" w:oddHBand="0" w:evenHBand="0" w:firstRowFirstColumn="0" w:firstRowLastColumn="0" w:lastRowFirstColumn="0" w:lastRowLastColumn="0"/>
            <w:tcW w:w="1560" w:type="dxa"/>
            <w:noWrap/>
            <w:hideMark/>
          </w:tcPr>
          <w:p w14:paraId="01BB025A"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Vogel et al. 2022</w:t>
            </w:r>
          </w:p>
        </w:tc>
        <w:tc>
          <w:tcPr>
            <w:tcW w:w="1413" w:type="dxa"/>
            <w:noWrap/>
            <w:hideMark/>
          </w:tcPr>
          <w:p w14:paraId="7E55EB4B"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Germany</w:t>
            </w:r>
          </w:p>
        </w:tc>
        <w:tc>
          <w:tcPr>
            <w:tcW w:w="837" w:type="dxa"/>
            <w:noWrap/>
            <w:hideMark/>
          </w:tcPr>
          <w:p w14:paraId="413089B8"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Cohort</w:t>
            </w:r>
          </w:p>
        </w:tc>
        <w:tc>
          <w:tcPr>
            <w:tcW w:w="878" w:type="dxa"/>
            <w:noWrap/>
            <w:hideMark/>
          </w:tcPr>
          <w:p w14:paraId="7E2030C8"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3752</w:t>
            </w:r>
          </w:p>
        </w:tc>
        <w:tc>
          <w:tcPr>
            <w:tcW w:w="1577" w:type="dxa"/>
            <w:hideMark/>
          </w:tcPr>
          <w:p w14:paraId="33FC59CD"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6-13 (?)</w:t>
            </w:r>
          </w:p>
        </w:tc>
        <w:tc>
          <w:tcPr>
            <w:tcW w:w="1794" w:type="dxa"/>
            <w:hideMark/>
          </w:tcPr>
          <w:p w14:paraId="730DCBBC"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Test the viability of saliva mass screening by having elementary school students and staff self-sample their saliva</w:t>
            </w:r>
          </w:p>
        </w:tc>
        <w:tc>
          <w:tcPr>
            <w:tcW w:w="1365" w:type="dxa"/>
            <w:hideMark/>
          </w:tcPr>
          <w:p w14:paraId="734DE953"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Absorption</w:t>
            </w:r>
          </w:p>
        </w:tc>
        <w:tc>
          <w:tcPr>
            <w:tcW w:w="1179" w:type="dxa"/>
            <w:hideMark/>
          </w:tcPr>
          <w:p w14:paraId="0EFD0313"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Salivette</w:t>
            </w:r>
          </w:p>
        </w:tc>
        <w:tc>
          <w:tcPr>
            <w:tcW w:w="1178" w:type="dxa"/>
            <w:hideMark/>
          </w:tcPr>
          <w:p w14:paraId="1B6BB55D"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648" w:type="dxa"/>
            <w:gridSpan w:val="2"/>
            <w:hideMark/>
          </w:tcPr>
          <w:p w14:paraId="0E1972E0"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30min fasting before sampling</w:t>
            </w:r>
          </w:p>
        </w:tc>
        <w:tc>
          <w:tcPr>
            <w:tcW w:w="2874" w:type="dxa"/>
            <w:hideMark/>
          </w:tcPr>
          <w:p w14:paraId="0158B6CC"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SARS-CoV-2 detection frequency was 0.13% in children and 0.44% in staff; There were no documented secondary cases.</w:t>
            </w:r>
            <w:r w:rsidRPr="00333A96">
              <w:rPr>
                <w:rFonts w:ascii="Times New Roman" w:eastAsia="Times New Roman" w:hAnsi="Times New Roman" w:cs="Times New Roman"/>
                <w:sz w:val="18"/>
                <w:szCs w:val="18"/>
                <w:lang w:val="en-GB" w:eastAsia="nl-NL"/>
              </w:rPr>
              <w:br/>
              <w:t>2) The Salivette self-sampling approach was practical, dependable, and secure for mass screenings in children</w:t>
            </w:r>
          </w:p>
        </w:tc>
      </w:tr>
      <w:tr w:rsidR="00D05AB4" w:rsidRPr="00CC2F10" w14:paraId="737DD2BD" w14:textId="77777777" w:rsidTr="00CC2F10">
        <w:trPr>
          <w:cnfStyle w:val="000000100000" w:firstRow="0" w:lastRow="0" w:firstColumn="0" w:lastColumn="0" w:oddVBand="0" w:evenVBand="0" w:oddHBand="1" w:evenHBand="0" w:firstRowFirstColumn="0" w:firstRowLastColumn="0" w:lastRowFirstColumn="0" w:lastRowLastColumn="0"/>
          <w:trHeight w:val="2184"/>
        </w:trPr>
        <w:tc>
          <w:tcPr>
            <w:cnfStyle w:val="001000000000" w:firstRow="0" w:lastRow="0" w:firstColumn="1" w:lastColumn="0" w:oddVBand="0" w:evenVBand="0" w:oddHBand="0" w:evenHBand="0" w:firstRowFirstColumn="0" w:firstRowLastColumn="0" w:lastRowFirstColumn="0" w:lastRowLastColumn="0"/>
            <w:tcW w:w="1560" w:type="dxa"/>
            <w:noWrap/>
            <w:hideMark/>
          </w:tcPr>
          <w:p w14:paraId="3D5AA073"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Vyse et al. 2001</w:t>
            </w:r>
          </w:p>
        </w:tc>
        <w:tc>
          <w:tcPr>
            <w:tcW w:w="1413" w:type="dxa"/>
            <w:noWrap/>
            <w:hideMark/>
          </w:tcPr>
          <w:p w14:paraId="58CA36D0"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United Kingdom</w:t>
            </w:r>
          </w:p>
        </w:tc>
        <w:tc>
          <w:tcPr>
            <w:tcW w:w="837" w:type="dxa"/>
            <w:noWrap/>
            <w:hideMark/>
          </w:tcPr>
          <w:p w14:paraId="60A5BE00"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5176EA2E"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125</w:t>
            </w:r>
          </w:p>
        </w:tc>
        <w:tc>
          <w:tcPr>
            <w:tcW w:w="1577" w:type="dxa"/>
            <w:hideMark/>
          </w:tcPr>
          <w:p w14:paraId="5A02BAEE"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3-5 (?)</w:t>
            </w:r>
          </w:p>
        </w:tc>
        <w:tc>
          <w:tcPr>
            <w:tcW w:w="1794" w:type="dxa"/>
            <w:hideMark/>
          </w:tcPr>
          <w:p w14:paraId="35CA1C98"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Evaluate the participants' acceptance of the collection devices and to compare the quality of oral fluid collected by three different devices for antibody testing</w:t>
            </w:r>
          </w:p>
        </w:tc>
        <w:tc>
          <w:tcPr>
            <w:tcW w:w="1365" w:type="dxa"/>
            <w:hideMark/>
          </w:tcPr>
          <w:p w14:paraId="25B7CEC8"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Absorption</w:t>
            </w:r>
          </w:p>
        </w:tc>
        <w:tc>
          <w:tcPr>
            <w:tcW w:w="1179" w:type="dxa"/>
            <w:hideMark/>
          </w:tcPr>
          <w:p w14:paraId="1784A726"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OraSure, Omni-SAL, Oracol</w:t>
            </w:r>
          </w:p>
        </w:tc>
        <w:tc>
          <w:tcPr>
            <w:tcW w:w="1178" w:type="dxa"/>
            <w:hideMark/>
          </w:tcPr>
          <w:p w14:paraId="570D2423"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648" w:type="dxa"/>
            <w:gridSpan w:val="2"/>
            <w:hideMark/>
          </w:tcPr>
          <w:p w14:paraId="2E30298F" w14:textId="046259D6" w:rsidR="00D05AB4" w:rsidRPr="00333A96" w:rsidRDefault="00D82031"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2874" w:type="dxa"/>
            <w:hideMark/>
          </w:tcPr>
          <w:p w14:paraId="08B71A6F"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Compared to the Omni-SAL device, a higher number of parents felt the Oracol and OraSure devices to be simpler to use.</w:t>
            </w:r>
            <w:r w:rsidRPr="00333A96">
              <w:rPr>
                <w:rFonts w:ascii="Times New Roman" w:eastAsia="Times New Roman" w:hAnsi="Times New Roman" w:cs="Times New Roman"/>
                <w:sz w:val="18"/>
                <w:szCs w:val="18"/>
                <w:lang w:val="en-GB" w:eastAsia="nl-NL"/>
              </w:rPr>
              <w:br/>
              <w:t>2) Participants were most likely to accept the Oracol device, then OraSure, and least likely to accept the Omni-SAL.</w:t>
            </w:r>
            <w:r w:rsidRPr="00333A96">
              <w:rPr>
                <w:rFonts w:ascii="Times New Roman" w:eastAsia="Times New Roman" w:hAnsi="Times New Roman" w:cs="Times New Roman"/>
                <w:sz w:val="18"/>
                <w:szCs w:val="18"/>
                <w:lang w:val="en-GB" w:eastAsia="nl-NL"/>
              </w:rPr>
              <w:br/>
              <w:t>3) All three devices' collection of oral fluid samples yielded qualitative data that was adequate for epidemiological and surveillance research on parvovirus B19 and rubella.</w:t>
            </w:r>
          </w:p>
        </w:tc>
      </w:tr>
      <w:tr w:rsidR="00BB05A0" w:rsidRPr="00CC2F10" w14:paraId="4D6274D7" w14:textId="77777777" w:rsidTr="00CC2F10">
        <w:trPr>
          <w:trHeight w:val="1560"/>
        </w:trPr>
        <w:tc>
          <w:tcPr>
            <w:cnfStyle w:val="001000000000" w:firstRow="0" w:lastRow="0" w:firstColumn="1" w:lastColumn="0" w:oddVBand="0" w:evenVBand="0" w:oddHBand="0" w:evenHBand="0" w:firstRowFirstColumn="0" w:firstRowLastColumn="0" w:lastRowFirstColumn="0" w:lastRowLastColumn="0"/>
            <w:tcW w:w="1560" w:type="dxa"/>
            <w:noWrap/>
            <w:hideMark/>
          </w:tcPr>
          <w:p w14:paraId="3D0A8243"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Wagenaar et al. 1993</w:t>
            </w:r>
          </w:p>
        </w:tc>
        <w:tc>
          <w:tcPr>
            <w:tcW w:w="1413" w:type="dxa"/>
            <w:noWrap/>
            <w:hideMark/>
          </w:tcPr>
          <w:p w14:paraId="573429DE"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United States</w:t>
            </w:r>
          </w:p>
        </w:tc>
        <w:tc>
          <w:tcPr>
            <w:tcW w:w="837" w:type="dxa"/>
            <w:noWrap/>
            <w:hideMark/>
          </w:tcPr>
          <w:p w14:paraId="07370836"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6542BBEF"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1582</w:t>
            </w:r>
          </w:p>
        </w:tc>
        <w:tc>
          <w:tcPr>
            <w:tcW w:w="1577" w:type="dxa"/>
            <w:hideMark/>
          </w:tcPr>
          <w:p w14:paraId="4C30A221"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(12.28±?)</w:t>
            </w:r>
          </w:p>
        </w:tc>
        <w:tc>
          <w:tcPr>
            <w:tcW w:w="1794" w:type="dxa"/>
            <w:hideMark/>
          </w:tcPr>
          <w:p w14:paraId="00C8B1D2"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Determine if a saliva test pipeline technique increases teenage drinking disclosure rates</w:t>
            </w:r>
          </w:p>
        </w:tc>
        <w:tc>
          <w:tcPr>
            <w:tcW w:w="1365" w:type="dxa"/>
            <w:hideMark/>
          </w:tcPr>
          <w:p w14:paraId="2E5A72FF"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Absorption</w:t>
            </w:r>
          </w:p>
        </w:tc>
        <w:tc>
          <w:tcPr>
            <w:tcW w:w="1179" w:type="dxa"/>
            <w:hideMark/>
          </w:tcPr>
          <w:p w14:paraId="5EFA72D5"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Cotton rolls</w:t>
            </w:r>
          </w:p>
        </w:tc>
        <w:tc>
          <w:tcPr>
            <w:tcW w:w="1178" w:type="dxa"/>
            <w:hideMark/>
          </w:tcPr>
          <w:p w14:paraId="491444AF"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648" w:type="dxa"/>
            <w:gridSpan w:val="2"/>
            <w:hideMark/>
          </w:tcPr>
          <w:p w14:paraId="299BD3EE" w14:textId="76504C57" w:rsidR="00D05AB4" w:rsidRPr="00333A96" w:rsidRDefault="00D82031"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2874" w:type="dxa"/>
            <w:hideMark/>
          </w:tcPr>
          <w:p w14:paraId="5A1E0995" w14:textId="6AA8E09F"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1) In comparison to the control group, 6 students who were exposed to the alcohol procedure reported slightly higher </w:t>
            </w:r>
            <w:r w:rsidR="0074566B" w:rsidRPr="00333A96">
              <w:rPr>
                <w:rFonts w:ascii="Times New Roman" w:eastAsia="Times New Roman" w:hAnsi="Times New Roman" w:cs="Times New Roman"/>
                <w:sz w:val="18"/>
                <w:szCs w:val="18"/>
                <w:lang w:val="en-GB" w:eastAsia="nl-NL"/>
              </w:rPr>
              <w:t>prevalence</w:t>
            </w:r>
            <w:r w:rsidRPr="00333A96">
              <w:rPr>
                <w:rFonts w:ascii="Times New Roman" w:eastAsia="Times New Roman" w:hAnsi="Times New Roman" w:cs="Times New Roman"/>
                <w:sz w:val="18"/>
                <w:szCs w:val="18"/>
                <w:lang w:val="en-GB" w:eastAsia="nl-NL"/>
              </w:rPr>
              <w:t xml:space="preserve"> of alcohol usage.</w:t>
            </w:r>
            <w:r w:rsidRPr="00333A96">
              <w:rPr>
                <w:rFonts w:ascii="Times New Roman" w:eastAsia="Times New Roman" w:hAnsi="Times New Roman" w:cs="Times New Roman"/>
                <w:sz w:val="18"/>
                <w:szCs w:val="18"/>
                <w:lang w:val="en-GB" w:eastAsia="nl-NL"/>
              </w:rPr>
              <w:br/>
              <w:t>2) 1/4 alcohol-use indicators showed a significant effect of the pipeline procedures on adolescents' self-reported alcohol usage.</w:t>
            </w:r>
          </w:p>
        </w:tc>
      </w:tr>
      <w:tr w:rsidR="00D05AB4" w:rsidRPr="00CC2F10" w14:paraId="3A895884" w14:textId="77777777" w:rsidTr="00CC2F10">
        <w:trPr>
          <w:cnfStyle w:val="000000100000" w:firstRow="0" w:lastRow="0" w:firstColumn="0" w:lastColumn="0" w:oddVBand="0" w:evenVBand="0" w:oddHBand="1" w:evenHBand="0" w:firstRowFirstColumn="0" w:firstRowLastColumn="0" w:lastRowFirstColumn="0" w:lastRowLastColumn="0"/>
          <w:trHeight w:val="1872"/>
        </w:trPr>
        <w:tc>
          <w:tcPr>
            <w:cnfStyle w:val="001000000000" w:firstRow="0" w:lastRow="0" w:firstColumn="1" w:lastColumn="0" w:oddVBand="0" w:evenVBand="0" w:oddHBand="0" w:evenHBand="0" w:firstRowFirstColumn="0" w:firstRowLastColumn="0" w:lastRowFirstColumn="0" w:lastRowLastColumn="0"/>
            <w:tcW w:w="1560" w:type="dxa"/>
            <w:noWrap/>
            <w:hideMark/>
          </w:tcPr>
          <w:p w14:paraId="55294288"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lastRenderedPageBreak/>
              <w:t>Wang et al. 2018</w:t>
            </w:r>
          </w:p>
        </w:tc>
        <w:tc>
          <w:tcPr>
            <w:tcW w:w="1413" w:type="dxa"/>
            <w:noWrap/>
            <w:hideMark/>
          </w:tcPr>
          <w:p w14:paraId="2AEA40DC"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China</w:t>
            </w:r>
          </w:p>
        </w:tc>
        <w:tc>
          <w:tcPr>
            <w:tcW w:w="837" w:type="dxa"/>
            <w:noWrap/>
            <w:hideMark/>
          </w:tcPr>
          <w:p w14:paraId="77C70F83"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2AAAFB65"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389</w:t>
            </w:r>
          </w:p>
        </w:tc>
        <w:tc>
          <w:tcPr>
            <w:tcW w:w="1577" w:type="dxa"/>
            <w:hideMark/>
          </w:tcPr>
          <w:p w14:paraId="7C7B0D42"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0-1 (?)</w:t>
            </w:r>
          </w:p>
        </w:tc>
        <w:tc>
          <w:tcPr>
            <w:tcW w:w="1794" w:type="dxa"/>
            <w:hideMark/>
          </w:tcPr>
          <w:p w14:paraId="17B88654" w14:textId="27FE7736"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Determine if maternal protective measures, avoidance </w:t>
            </w:r>
            <w:r w:rsidR="0074566B" w:rsidRPr="00333A96">
              <w:rPr>
                <w:rFonts w:ascii="Times New Roman" w:eastAsia="Times New Roman" w:hAnsi="Times New Roman" w:cs="Times New Roman"/>
                <w:sz w:val="18"/>
                <w:szCs w:val="18"/>
                <w:lang w:val="en-GB" w:eastAsia="nl-NL"/>
              </w:rPr>
              <w:t>behaviours</w:t>
            </w:r>
            <w:r w:rsidRPr="00333A96">
              <w:rPr>
                <w:rFonts w:ascii="Times New Roman" w:eastAsia="Times New Roman" w:hAnsi="Times New Roman" w:cs="Times New Roman"/>
                <w:sz w:val="18"/>
                <w:szCs w:val="18"/>
                <w:lang w:val="en-GB" w:eastAsia="nl-NL"/>
              </w:rPr>
              <w:t>, and smoke-free house rules are associated with infants' salivary cotinine</w:t>
            </w:r>
          </w:p>
        </w:tc>
        <w:tc>
          <w:tcPr>
            <w:tcW w:w="1365" w:type="dxa"/>
            <w:hideMark/>
          </w:tcPr>
          <w:p w14:paraId="1D0606FB"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Absorption</w:t>
            </w:r>
          </w:p>
        </w:tc>
        <w:tc>
          <w:tcPr>
            <w:tcW w:w="1179" w:type="dxa"/>
            <w:hideMark/>
          </w:tcPr>
          <w:p w14:paraId="0B468315"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Sorbettes</w:t>
            </w:r>
          </w:p>
        </w:tc>
        <w:tc>
          <w:tcPr>
            <w:tcW w:w="1178" w:type="dxa"/>
            <w:hideMark/>
          </w:tcPr>
          <w:p w14:paraId="2B1F8370"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648" w:type="dxa"/>
            <w:gridSpan w:val="2"/>
            <w:hideMark/>
          </w:tcPr>
          <w:p w14:paraId="73022C1D" w14:textId="51DB0AD9" w:rsidR="00D05AB4" w:rsidRPr="00333A96" w:rsidRDefault="00D82031"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2874" w:type="dxa"/>
            <w:hideMark/>
          </w:tcPr>
          <w:p w14:paraId="356338DD" w14:textId="5AEBBD2C"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Infants exposed to SHS and living in smoking homes showed considerably higher cotinine levels.</w:t>
            </w:r>
            <w:r w:rsidRPr="00333A96">
              <w:rPr>
                <w:rFonts w:ascii="Times New Roman" w:eastAsia="Times New Roman" w:hAnsi="Times New Roman" w:cs="Times New Roman"/>
                <w:sz w:val="18"/>
                <w:szCs w:val="18"/>
                <w:lang w:val="en-GB" w:eastAsia="nl-NL"/>
              </w:rPr>
              <w:br/>
              <w:t xml:space="preserve">2) Higher cotinine levels were associated with fathers smoking </w:t>
            </w:r>
            <w:r w:rsidR="0074566B" w:rsidRPr="00333A96">
              <w:rPr>
                <w:rFonts w:ascii="Times New Roman" w:eastAsia="Times New Roman" w:hAnsi="Times New Roman" w:cs="Times New Roman"/>
                <w:sz w:val="18"/>
                <w:szCs w:val="18"/>
                <w:lang w:val="en-GB" w:eastAsia="nl-NL"/>
              </w:rPr>
              <w:t>near</w:t>
            </w:r>
            <w:r w:rsidRPr="00333A96">
              <w:rPr>
                <w:rFonts w:ascii="Times New Roman" w:eastAsia="Times New Roman" w:hAnsi="Times New Roman" w:cs="Times New Roman"/>
                <w:sz w:val="18"/>
                <w:szCs w:val="18"/>
                <w:lang w:val="en-GB" w:eastAsia="nl-NL"/>
              </w:rPr>
              <w:t xml:space="preserve"> newborns, and avoidance strategies did not lower the cotinine levels. </w:t>
            </w:r>
            <w:r w:rsidR="0074566B" w:rsidRPr="00333A96">
              <w:rPr>
                <w:rFonts w:ascii="Times New Roman" w:eastAsia="Times New Roman" w:hAnsi="Times New Roman" w:cs="Times New Roman"/>
                <w:sz w:val="18"/>
                <w:szCs w:val="18"/>
                <w:lang w:val="en-GB" w:eastAsia="nl-NL"/>
              </w:rPr>
              <w:t>So,</w:t>
            </w:r>
            <w:r w:rsidRPr="00333A96">
              <w:rPr>
                <w:rFonts w:ascii="Times New Roman" w:eastAsia="Times New Roman" w:hAnsi="Times New Roman" w:cs="Times New Roman"/>
                <w:sz w:val="18"/>
                <w:szCs w:val="18"/>
                <w:lang w:val="en-GB" w:eastAsia="nl-NL"/>
              </w:rPr>
              <w:t xml:space="preserve"> no association between lower cotinine levels in babies with maternal protective measures or smoke-free household regulations.</w:t>
            </w:r>
          </w:p>
        </w:tc>
      </w:tr>
      <w:tr w:rsidR="00BB05A0" w:rsidRPr="00CC2F10" w14:paraId="49174ABB" w14:textId="77777777" w:rsidTr="00CC2F10">
        <w:trPr>
          <w:trHeight w:val="1560"/>
        </w:trPr>
        <w:tc>
          <w:tcPr>
            <w:cnfStyle w:val="001000000000" w:firstRow="0" w:lastRow="0" w:firstColumn="1" w:lastColumn="0" w:oddVBand="0" w:evenVBand="0" w:oddHBand="0" w:evenHBand="0" w:firstRowFirstColumn="0" w:firstRowLastColumn="0" w:lastRowFirstColumn="0" w:lastRowLastColumn="0"/>
            <w:tcW w:w="1560" w:type="dxa"/>
            <w:noWrap/>
            <w:hideMark/>
          </w:tcPr>
          <w:p w14:paraId="42159ED0"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Watanabe et al. 2011</w:t>
            </w:r>
          </w:p>
        </w:tc>
        <w:tc>
          <w:tcPr>
            <w:tcW w:w="1413" w:type="dxa"/>
            <w:noWrap/>
            <w:hideMark/>
          </w:tcPr>
          <w:p w14:paraId="527A69C1"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Japan</w:t>
            </w:r>
          </w:p>
        </w:tc>
        <w:tc>
          <w:tcPr>
            <w:tcW w:w="837" w:type="dxa"/>
            <w:noWrap/>
            <w:hideMark/>
          </w:tcPr>
          <w:p w14:paraId="3D37E2EF"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2409D227"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562</w:t>
            </w:r>
          </w:p>
        </w:tc>
        <w:tc>
          <w:tcPr>
            <w:tcW w:w="1577" w:type="dxa"/>
            <w:hideMark/>
          </w:tcPr>
          <w:p w14:paraId="27CFE827"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6-12 (?)</w:t>
            </w:r>
          </w:p>
        </w:tc>
        <w:tc>
          <w:tcPr>
            <w:tcW w:w="1794" w:type="dxa"/>
            <w:hideMark/>
          </w:tcPr>
          <w:p w14:paraId="6E09ECAB"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Measure the Al and Fe concentrations in children's mixed saliva and research the connection between these levels and dental caries</w:t>
            </w:r>
          </w:p>
        </w:tc>
        <w:tc>
          <w:tcPr>
            <w:tcW w:w="1365" w:type="dxa"/>
            <w:hideMark/>
          </w:tcPr>
          <w:p w14:paraId="0DC9476C"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Spitting</w:t>
            </w:r>
          </w:p>
        </w:tc>
        <w:tc>
          <w:tcPr>
            <w:tcW w:w="1179" w:type="dxa"/>
            <w:hideMark/>
          </w:tcPr>
          <w:p w14:paraId="7DC5B1E7"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Tube </w:t>
            </w:r>
          </w:p>
        </w:tc>
        <w:tc>
          <w:tcPr>
            <w:tcW w:w="1178" w:type="dxa"/>
            <w:hideMark/>
          </w:tcPr>
          <w:p w14:paraId="2446E98C"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648" w:type="dxa"/>
            <w:gridSpan w:val="2"/>
            <w:hideMark/>
          </w:tcPr>
          <w:p w14:paraId="4F7A78CC" w14:textId="58C32993" w:rsidR="00D05AB4" w:rsidRPr="00333A96" w:rsidRDefault="00D82031"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2874" w:type="dxa"/>
            <w:hideMark/>
          </w:tcPr>
          <w:p w14:paraId="28791B41"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The without a history of caries had significantly lower Al and Fe levels.</w:t>
            </w:r>
            <w:r w:rsidRPr="00333A96">
              <w:rPr>
                <w:rFonts w:ascii="Times New Roman" w:eastAsia="Times New Roman" w:hAnsi="Times New Roman" w:cs="Times New Roman"/>
                <w:sz w:val="18"/>
                <w:szCs w:val="18"/>
                <w:lang w:val="en-GB" w:eastAsia="nl-NL"/>
              </w:rPr>
              <w:br/>
              <w:t>2) Salivary levels of Fe and Al were impacted by the kind of dental restoration and tooth type (deciduous vs. permanent, with composite resin restorations raising Fe levels and sound permanent teeth eluting Al more so than sound deciduous teeth.</w:t>
            </w:r>
          </w:p>
        </w:tc>
      </w:tr>
      <w:tr w:rsidR="00D05AB4" w:rsidRPr="00CC2F10" w14:paraId="38B532C2" w14:textId="77777777" w:rsidTr="00CC2F10">
        <w:trPr>
          <w:cnfStyle w:val="000000100000" w:firstRow="0" w:lastRow="0" w:firstColumn="0" w:lastColumn="0" w:oddVBand="0" w:evenVBand="0" w:oddHBand="1" w:evenHBand="0" w:firstRowFirstColumn="0" w:firstRowLastColumn="0" w:lastRowFirstColumn="0" w:lastRowLastColumn="0"/>
          <w:trHeight w:val="1872"/>
        </w:trPr>
        <w:tc>
          <w:tcPr>
            <w:cnfStyle w:val="001000000000" w:firstRow="0" w:lastRow="0" w:firstColumn="1" w:lastColumn="0" w:oddVBand="0" w:evenVBand="0" w:oddHBand="0" w:evenHBand="0" w:firstRowFirstColumn="0" w:firstRowLastColumn="0" w:lastRowFirstColumn="0" w:lastRowLastColumn="0"/>
            <w:tcW w:w="1560" w:type="dxa"/>
            <w:noWrap/>
            <w:hideMark/>
          </w:tcPr>
          <w:p w14:paraId="1D9AB1AA"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Waters et al. 2014</w:t>
            </w:r>
          </w:p>
        </w:tc>
        <w:tc>
          <w:tcPr>
            <w:tcW w:w="1413" w:type="dxa"/>
            <w:noWrap/>
            <w:hideMark/>
          </w:tcPr>
          <w:p w14:paraId="529E9668"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Ireland</w:t>
            </w:r>
          </w:p>
        </w:tc>
        <w:tc>
          <w:tcPr>
            <w:tcW w:w="837" w:type="dxa"/>
            <w:noWrap/>
            <w:hideMark/>
          </w:tcPr>
          <w:p w14:paraId="28FCF0D8"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0AB058E0"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1044</w:t>
            </w:r>
          </w:p>
        </w:tc>
        <w:tc>
          <w:tcPr>
            <w:tcW w:w="1577" w:type="dxa"/>
            <w:hideMark/>
          </w:tcPr>
          <w:p w14:paraId="2A4E4B04"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0 (?)</w:t>
            </w:r>
          </w:p>
        </w:tc>
        <w:tc>
          <w:tcPr>
            <w:tcW w:w="1794" w:type="dxa"/>
            <w:hideMark/>
          </w:tcPr>
          <w:p w14:paraId="18A0906D" w14:textId="20C52C6F"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Identify the optimal collection methods for neonatal screening and the prevalence of cCMV infection</w:t>
            </w:r>
          </w:p>
        </w:tc>
        <w:tc>
          <w:tcPr>
            <w:tcW w:w="1365" w:type="dxa"/>
            <w:hideMark/>
          </w:tcPr>
          <w:p w14:paraId="62D1735F"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Absorption</w:t>
            </w:r>
          </w:p>
        </w:tc>
        <w:tc>
          <w:tcPr>
            <w:tcW w:w="1179" w:type="dxa"/>
            <w:hideMark/>
          </w:tcPr>
          <w:p w14:paraId="1843F22F"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Oracol Salica Collection System</w:t>
            </w:r>
          </w:p>
        </w:tc>
        <w:tc>
          <w:tcPr>
            <w:tcW w:w="1178" w:type="dxa"/>
            <w:hideMark/>
          </w:tcPr>
          <w:p w14:paraId="01AEB36B"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US </w:t>
            </w:r>
          </w:p>
        </w:tc>
        <w:tc>
          <w:tcPr>
            <w:tcW w:w="1648" w:type="dxa"/>
            <w:gridSpan w:val="2"/>
            <w:hideMark/>
          </w:tcPr>
          <w:p w14:paraId="2625C825" w14:textId="31467DC4" w:rsidR="00D05AB4" w:rsidRPr="00333A96" w:rsidRDefault="00D82031"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2874" w:type="dxa"/>
            <w:hideMark/>
          </w:tcPr>
          <w:p w14:paraId="127BF6BC"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The prevalence of cCMV infection was determined to be 0.19% among asymptomatic newborns who underwent screening, and the total prevalence based on extrapolation was estimated to be 0.23%.</w:t>
            </w:r>
            <w:r w:rsidRPr="00333A96">
              <w:rPr>
                <w:rFonts w:ascii="Times New Roman" w:eastAsia="Times New Roman" w:hAnsi="Times New Roman" w:cs="Times New Roman"/>
                <w:sz w:val="18"/>
                <w:szCs w:val="18"/>
                <w:lang w:val="en-GB" w:eastAsia="nl-NL"/>
              </w:rPr>
              <w:br/>
              <w:t>2) Following a cost-benefit analysis, the addition of neonatal CMV DNA testing of saliva is feasible and might be taken into consideration as part of the national newborn screening program.</w:t>
            </w:r>
          </w:p>
        </w:tc>
      </w:tr>
      <w:tr w:rsidR="00BB05A0" w:rsidRPr="00CC2F10" w14:paraId="3A9E43C8" w14:textId="77777777" w:rsidTr="00CC2F10">
        <w:trPr>
          <w:trHeight w:val="1560"/>
        </w:trPr>
        <w:tc>
          <w:tcPr>
            <w:cnfStyle w:val="001000000000" w:firstRow="0" w:lastRow="0" w:firstColumn="1" w:lastColumn="0" w:oddVBand="0" w:evenVBand="0" w:oddHBand="0" w:evenHBand="0" w:firstRowFirstColumn="0" w:firstRowLastColumn="0" w:lastRowFirstColumn="0" w:lastRowLastColumn="0"/>
            <w:tcW w:w="1560" w:type="dxa"/>
            <w:noWrap/>
            <w:hideMark/>
          </w:tcPr>
          <w:p w14:paraId="1A69199D"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Weinberger et al. 1989</w:t>
            </w:r>
          </w:p>
        </w:tc>
        <w:tc>
          <w:tcPr>
            <w:tcW w:w="1413" w:type="dxa"/>
            <w:noWrap/>
            <w:hideMark/>
          </w:tcPr>
          <w:p w14:paraId="4D086D68"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Canada</w:t>
            </w:r>
          </w:p>
        </w:tc>
        <w:tc>
          <w:tcPr>
            <w:tcW w:w="837" w:type="dxa"/>
            <w:noWrap/>
            <w:hideMark/>
          </w:tcPr>
          <w:p w14:paraId="575A12A9"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358ABC1B"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37</w:t>
            </w:r>
          </w:p>
        </w:tc>
        <w:tc>
          <w:tcPr>
            <w:tcW w:w="1577" w:type="dxa"/>
            <w:hideMark/>
          </w:tcPr>
          <w:p w14:paraId="265F2210"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1-5 (37.7m±?)</w:t>
            </w:r>
          </w:p>
        </w:tc>
        <w:tc>
          <w:tcPr>
            <w:tcW w:w="1794" w:type="dxa"/>
            <w:hideMark/>
          </w:tcPr>
          <w:p w14:paraId="2AAA99E1"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Compare the SM findings to the presence or absence of dental caries in order to test the practical tongue blade approach in a very young paediatric </w:t>
            </w:r>
            <w:r w:rsidRPr="00333A96">
              <w:rPr>
                <w:rFonts w:ascii="Times New Roman" w:eastAsia="Times New Roman" w:hAnsi="Times New Roman" w:cs="Times New Roman"/>
                <w:sz w:val="18"/>
                <w:szCs w:val="18"/>
                <w:lang w:val="en-GB" w:eastAsia="nl-NL"/>
              </w:rPr>
              <w:lastRenderedPageBreak/>
              <w:t>population with only primary teeth</w:t>
            </w:r>
          </w:p>
        </w:tc>
        <w:tc>
          <w:tcPr>
            <w:tcW w:w="1365" w:type="dxa"/>
            <w:hideMark/>
          </w:tcPr>
          <w:p w14:paraId="6DDE0CF3"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lastRenderedPageBreak/>
              <w:t>Absorption</w:t>
            </w:r>
          </w:p>
        </w:tc>
        <w:tc>
          <w:tcPr>
            <w:tcW w:w="1179" w:type="dxa"/>
            <w:hideMark/>
          </w:tcPr>
          <w:p w14:paraId="7AA3B9AA"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Wooden spatula</w:t>
            </w:r>
          </w:p>
        </w:tc>
        <w:tc>
          <w:tcPr>
            <w:tcW w:w="1178" w:type="dxa"/>
            <w:hideMark/>
          </w:tcPr>
          <w:p w14:paraId="7616A478"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US </w:t>
            </w:r>
          </w:p>
        </w:tc>
        <w:tc>
          <w:tcPr>
            <w:tcW w:w="1648" w:type="dxa"/>
            <w:gridSpan w:val="2"/>
            <w:hideMark/>
          </w:tcPr>
          <w:p w14:paraId="5DB07738" w14:textId="502187B3" w:rsidR="00D05AB4" w:rsidRPr="00333A96" w:rsidRDefault="00D82031"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2874" w:type="dxa"/>
            <w:hideMark/>
          </w:tcPr>
          <w:p w14:paraId="55DA8146"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High significant correlations between the frequency of dental caries and the number of SM colonies.</w:t>
            </w:r>
          </w:p>
        </w:tc>
      </w:tr>
      <w:tr w:rsidR="00D05AB4" w:rsidRPr="00CC2F10" w14:paraId="6B602E67" w14:textId="77777777" w:rsidTr="00CC2F10">
        <w:trPr>
          <w:cnfStyle w:val="000000100000" w:firstRow="0" w:lastRow="0" w:firstColumn="0" w:lastColumn="0" w:oddVBand="0" w:evenVBand="0" w:oddHBand="1" w:evenHBand="0" w:firstRowFirstColumn="0" w:firstRowLastColumn="0" w:lastRowFirstColumn="0" w:lastRowLastColumn="0"/>
          <w:trHeight w:val="1560"/>
        </w:trPr>
        <w:tc>
          <w:tcPr>
            <w:cnfStyle w:val="001000000000" w:firstRow="0" w:lastRow="0" w:firstColumn="1" w:lastColumn="0" w:oddVBand="0" w:evenVBand="0" w:oddHBand="0" w:evenHBand="0" w:firstRowFirstColumn="0" w:firstRowLastColumn="0" w:lastRowFirstColumn="0" w:lastRowLastColumn="0"/>
            <w:tcW w:w="1560" w:type="dxa"/>
            <w:noWrap/>
            <w:hideMark/>
          </w:tcPr>
          <w:p w14:paraId="649B11F7"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Weissenbach et al. 1995</w:t>
            </w:r>
          </w:p>
        </w:tc>
        <w:tc>
          <w:tcPr>
            <w:tcW w:w="1413" w:type="dxa"/>
            <w:noWrap/>
            <w:hideMark/>
          </w:tcPr>
          <w:p w14:paraId="2C0D276B"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France</w:t>
            </w:r>
          </w:p>
        </w:tc>
        <w:tc>
          <w:tcPr>
            <w:tcW w:w="837" w:type="dxa"/>
            <w:noWrap/>
            <w:hideMark/>
          </w:tcPr>
          <w:p w14:paraId="0FAE02EC"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21B2E36A"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112</w:t>
            </w:r>
          </w:p>
        </w:tc>
        <w:tc>
          <w:tcPr>
            <w:tcW w:w="1577" w:type="dxa"/>
            <w:hideMark/>
          </w:tcPr>
          <w:p w14:paraId="66CB1E84"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12-14 (12.6±0.83) </w:t>
            </w:r>
          </w:p>
        </w:tc>
        <w:tc>
          <w:tcPr>
            <w:tcW w:w="1794" w:type="dxa"/>
            <w:hideMark/>
          </w:tcPr>
          <w:p w14:paraId="195E92F6"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Evaluate the associations between oral health indicators and sociodemographic factors in adolescents</w:t>
            </w:r>
          </w:p>
        </w:tc>
        <w:tc>
          <w:tcPr>
            <w:tcW w:w="1365" w:type="dxa"/>
            <w:hideMark/>
          </w:tcPr>
          <w:p w14:paraId="5C389526"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Absorption</w:t>
            </w:r>
          </w:p>
        </w:tc>
        <w:tc>
          <w:tcPr>
            <w:tcW w:w="1179" w:type="dxa"/>
            <w:hideMark/>
          </w:tcPr>
          <w:p w14:paraId="01BEABF9"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Wooden spatula</w:t>
            </w:r>
          </w:p>
        </w:tc>
        <w:tc>
          <w:tcPr>
            <w:tcW w:w="1178" w:type="dxa"/>
            <w:hideMark/>
          </w:tcPr>
          <w:p w14:paraId="0AD828C8"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SS</w:t>
            </w:r>
          </w:p>
        </w:tc>
        <w:tc>
          <w:tcPr>
            <w:tcW w:w="1648" w:type="dxa"/>
            <w:gridSpan w:val="2"/>
            <w:hideMark/>
          </w:tcPr>
          <w:p w14:paraId="21A1326A"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90min fasting before sampling</w:t>
            </w:r>
          </w:p>
        </w:tc>
        <w:tc>
          <w:tcPr>
            <w:tcW w:w="2874" w:type="dxa"/>
            <w:hideMark/>
          </w:tcPr>
          <w:p w14:paraId="4017C7FE"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Compared to the socio-occupational group of parents, school grades had a stronger correlation with dental caries indices. Higher GI, DMFS, DMFT, and caries severity were associated with lower school grades.</w:t>
            </w:r>
            <w:r w:rsidRPr="00333A96">
              <w:rPr>
                <w:rFonts w:ascii="Times New Roman" w:eastAsia="Times New Roman" w:hAnsi="Times New Roman" w:cs="Times New Roman"/>
                <w:sz w:val="18"/>
                <w:szCs w:val="18"/>
                <w:lang w:val="en-GB" w:eastAsia="nl-NL"/>
              </w:rPr>
              <w:br/>
              <w:t>2) Significant correlations existed between SM, plaque, brushing, age, and sugary drinks consumed during meals and several oral health indices.</w:t>
            </w:r>
          </w:p>
        </w:tc>
      </w:tr>
      <w:tr w:rsidR="00BB05A0" w:rsidRPr="00CC2F10" w14:paraId="5466561A" w14:textId="77777777" w:rsidTr="00CC2F10">
        <w:trPr>
          <w:trHeight w:val="1872"/>
        </w:trPr>
        <w:tc>
          <w:tcPr>
            <w:cnfStyle w:val="001000000000" w:firstRow="0" w:lastRow="0" w:firstColumn="1" w:lastColumn="0" w:oddVBand="0" w:evenVBand="0" w:oddHBand="0" w:evenHBand="0" w:firstRowFirstColumn="0" w:firstRowLastColumn="0" w:lastRowFirstColumn="0" w:lastRowLastColumn="0"/>
            <w:tcW w:w="1560" w:type="dxa"/>
            <w:noWrap/>
            <w:hideMark/>
          </w:tcPr>
          <w:p w14:paraId="63E126BE"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Werch et al. 1987</w:t>
            </w:r>
          </w:p>
        </w:tc>
        <w:tc>
          <w:tcPr>
            <w:tcW w:w="1413" w:type="dxa"/>
            <w:noWrap/>
            <w:hideMark/>
          </w:tcPr>
          <w:p w14:paraId="4F9834A5"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United States</w:t>
            </w:r>
          </w:p>
        </w:tc>
        <w:tc>
          <w:tcPr>
            <w:tcW w:w="837" w:type="dxa"/>
            <w:noWrap/>
            <w:hideMark/>
          </w:tcPr>
          <w:p w14:paraId="1D286DD1"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3309B688"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191</w:t>
            </w:r>
          </w:p>
        </w:tc>
        <w:tc>
          <w:tcPr>
            <w:tcW w:w="1577" w:type="dxa"/>
            <w:hideMark/>
          </w:tcPr>
          <w:p w14:paraId="16AC3D73"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10-16 (11.74±1.72)</w:t>
            </w:r>
          </w:p>
        </w:tc>
        <w:tc>
          <w:tcPr>
            <w:tcW w:w="1794" w:type="dxa"/>
            <w:hideMark/>
          </w:tcPr>
          <w:p w14:paraId="68BE2789"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Investigate how the bogus pipeline affects adolescents' self-reports of experimentation, frequency, intentions, beliefs, and attitudes about using alcohol, cigarettes, and other drugs</w:t>
            </w:r>
          </w:p>
        </w:tc>
        <w:tc>
          <w:tcPr>
            <w:tcW w:w="1365" w:type="dxa"/>
            <w:hideMark/>
          </w:tcPr>
          <w:p w14:paraId="61FFACE7"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Absorption</w:t>
            </w:r>
          </w:p>
        </w:tc>
        <w:tc>
          <w:tcPr>
            <w:tcW w:w="1179" w:type="dxa"/>
            <w:hideMark/>
          </w:tcPr>
          <w:p w14:paraId="2898F69B"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Cotton rolls</w:t>
            </w:r>
          </w:p>
        </w:tc>
        <w:tc>
          <w:tcPr>
            <w:tcW w:w="1178" w:type="dxa"/>
            <w:hideMark/>
          </w:tcPr>
          <w:p w14:paraId="0F39663D"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US </w:t>
            </w:r>
          </w:p>
        </w:tc>
        <w:tc>
          <w:tcPr>
            <w:tcW w:w="1648" w:type="dxa"/>
            <w:gridSpan w:val="2"/>
            <w:hideMark/>
          </w:tcPr>
          <w:p w14:paraId="2813E20B" w14:textId="40D29198" w:rsidR="00D05AB4" w:rsidRPr="00333A96" w:rsidRDefault="00D82031"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2874" w:type="dxa"/>
            <w:hideMark/>
          </w:tcPr>
          <w:p w14:paraId="1DD37619"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No significant differences across conditions in terms of a subject's experimentation with additional substances, drug use frequency, drug use intentions, or beliefs and attitudes towards drug use.</w:t>
            </w:r>
            <w:r w:rsidRPr="00333A96">
              <w:rPr>
                <w:rFonts w:ascii="Times New Roman" w:eastAsia="Times New Roman" w:hAnsi="Times New Roman" w:cs="Times New Roman"/>
                <w:sz w:val="18"/>
                <w:szCs w:val="18"/>
                <w:lang w:val="en-GB" w:eastAsia="nl-NL"/>
              </w:rPr>
              <w:br/>
              <w:t>2) Compared to the questionnaire-only condition, a somewhat smaller percentage of individuals in the bogus-pipeline groups said they had ever tried alcohol.</w:t>
            </w:r>
          </w:p>
        </w:tc>
      </w:tr>
      <w:tr w:rsidR="00D05AB4" w:rsidRPr="00CC2F10" w14:paraId="56D02A02" w14:textId="77777777" w:rsidTr="00CC2F10">
        <w:trPr>
          <w:cnfStyle w:val="000000100000" w:firstRow="0" w:lastRow="0" w:firstColumn="0" w:lastColumn="0" w:oddVBand="0" w:evenVBand="0" w:oddHBand="1" w:evenHBand="0" w:firstRowFirstColumn="0" w:firstRowLastColumn="0" w:lastRowFirstColumn="0" w:lastRowLastColumn="0"/>
          <w:trHeight w:val="2184"/>
        </w:trPr>
        <w:tc>
          <w:tcPr>
            <w:cnfStyle w:val="001000000000" w:firstRow="0" w:lastRow="0" w:firstColumn="1" w:lastColumn="0" w:oddVBand="0" w:evenVBand="0" w:oddHBand="0" w:evenHBand="0" w:firstRowFirstColumn="0" w:firstRowLastColumn="0" w:lastRowFirstColumn="0" w:lastRowLastColumn="0"/>
            <w:tcW w:w="1560" w:type="dxa"/>
            <w:noWrap/>
            <w:hideMark/>
          </w:tcPr>
          <w:p w14:paraId="7502060C"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Westwell-Roper et al. 2022</w:t>
            </w:r>
          </w:p>
        </w:tc>
        <w:tc>
          <w:tcPr>
            <w:tcW w:w="1413" w:type="dxa"/>
            <w:noWrap/>
            <w:hideMark/>
          </w:tcPr>
          <w:p w14:paraId="69AEFC0F"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Canada</w:t>
            </w:r>
          </w:p>
        </w:tc>
        <w:tc>
          <w:tcPr>
            <w:tcW w:w="837" w:type="dxa"/>
            <w:noWrap/>
            <w:hideMark/>
          </w:tcPr>
          <w:p w14:paraId="7908B578"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5E26BD9E"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87</w:t>
            </w:r>
          </w:p>
        </w:tc>
        <w:tc>
          <w:tcPr>
            <w:tcW w:w="1577" w:type="dxa"/>
            <w:hideMark/>
          </w:tcPr>
          <w:p w14:paraId="0F454E83"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7-18 (16.2±1.1)</w:t>
            </w:r>
          </w:p>
        </w:tc>
        <w:tc>
          <w:tcPr>
            <w:tcW w:w="1794" w:type="dxa"/>
            <w:hideMark/>
          </w:tcPr>
          <w:p w14:paraId="70E1B195" w14:textId="727497D8"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Assess the levels of inflammatory mediators and salivary </w:t>
            </w:r>
            <w:r w:rsidR="0074566B" w:rsidRPr="00333A96">
              <w:rPr>
                <w:rFonts w:ascii="Times New Roman" w:eastAsia="Times New Roman" w:hAnsi="Times New Roman" w:cs="Times New Roman"/>
                <w:sz w:val="18"/>
                <w:szCs w:val="18"/>
                <w:lang w:val="en-GB" w:eastAsia="nl-NL"/>
              </w:rPr>
              <w:t>defence</w:t>
            </w:r>
            <w:r w:rsidRPr="00333A96">
              <w:rPr>
                <w:rFonts w:ascii="Times New Roman" w:eastAsia="Times New Roman" w:hAnsi="Times New Roman" w:cs="Times New Roman"/>
                <w:sz w:val="18"/>
                <w:szCs w:val="18"/>
                <w:lang w:val="en-GB" w:eastAsia="nl-NL"/>
              </w:rPr>
              <w:t xml:space="preserve"> proteins in children with OCD and compare them with markers of oral health and OCD phenotype</w:t>
            </w:r>
          </w:p>
        </w:tc>
        <w:tc>
          <w:tcPr>
            <w:tcW w:w="1365" w:type="dxa"/>
            <w:hideMark/>
          </w:tcPr>
          <w:p w14:paraId="1D669199"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Drooling</w:t>
            </w:r>
          </w:p>
        </w:tc>
        <w:tc>
          <w:tcPr>
            <w:tcW w:w="1179" w:type="dxa"/>
            <w:hideMark/>
          </w:tcPr>
          <w:p w14:paraId="02EC66CA"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Saliva Collection Aid (SCA) Salimetrics</w:t>
            </w:r>
          </w:p>
        </w:tc>
        <w:tc>
          <w:tcPr>
            <w:tcW w:w="1178" w:type="dxa"/>
            <w:hideMark/>
          </w:tcPr>
          <w:p w14:paraId="422FFC72"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US </w:t>
            </w:r>
          </w:p>
        </w:tc>
        <w:tc>
          <w:tcPr>
            <w:tcW w:w="1648" w:type="dxa"/>
            <w:gridSpan w:val="2"/>
            <w:hideMark/>
          </w:tcPr>
          <w:p w14:paraId="45F46993"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Fasting the night prior sampling</w:t>
            </w:r>
          </w:p>
        </w:tc>
        <w:tc>
          <w:tcPr>
            <w:tcW w:w="2874" w:type="dxa"/>
            <w:hideMark/>
          </w:tcPr>
          <w:p w14:paraId="4C82F3CF"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Compared to healthy controls, saliva from those with OCD had considerably greater levels of pro-inflammatory cytokines, particularly IL-6. Increased levels of IL-6, IL-1, and TNF- were also associated with the severity of OCD symptoms.</w:t>
            </w:r>
            <w:r w:rsidRPr="00333A96">
              <w:rPr>
                <w:rFonts w:ascii="Times New Roman" w:eastAsia="Times New Roman" w:hAnsi="Times New Roman" w:cs="Times New Roman"/>
                <w:sz w:val="18"/>
                <w:szCs w:val="18"/>
                <w:lang w:val="en-GB" w:eastAsia="nl-NL"/>
              </w:rPr>
              <w:br/>
              <w:t>2) CRP, -amylase, and lysozyme and other salivary analytes that did not reveal any significant variations between the OCD group and the control group.</w:t>
            </w:r>
          </w:p>
        </w:tc>
      </w:tr>
      <w:tr w:rsidR="00BB05A0" w:rsidRPr="00CC2F10" w14:paraId="460757C0" w14:textId="77777777" w:rsidTr="00CC2F10">
        <w:trPr>
          <w:trHeight w:val="1872"/>
        </w:trPr>
        <w:tc>
          <w:tcPr>
            <w:cnfStyle w:val="001000000000" w:firstRow="0" w:lastRow="0" w:firstColumn="1" w:lastColumn="0" w:oddVBand="0" w:evenVBand="0" w:oddHBand="0" w:evenHBand="0" w:firstRowFirstColumn="0" w:firstRowLastColumn="0" w:lastRowFirstColumn="0" w:lastRowLastColumn="0"/>
            <w:tcW w:w="1560" w:type="dxa"/>
            <w:noWrap/>
            <w:hideMark/>
          </w:tcPr>
          <w:p w14:paraId="0AE87874"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lastRenderedPageBreak/>
              <w:t>Whitford et al. 1999</w:t>
            </w:r>
          </w:p>
        </w:tc>
        <w:tc>
          <w:tcPr>
            <w:tcW w:w="1413" w:type="dxa"/>
            <w:noWrap/>
            <w:hideMark/>
          </w:tcPr>
          <w:p w14:paraId="1361B8EF"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United States</w:t>
            </w:r>
          </w:p>
        </w:tc>
        <w:tc>
          <w:tcPr>
            <w:tcW w:w="837" w:type="dxa"/>
            <w:noWrap/>
            <w:hideMark/>
          </w:tcPr>
          <w:p w14:paraId="2700648B"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551DF96B"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17</w:t>
            </w:r>
          </w:p>
        </w:tc>
        <w:tc>
          <w:tcPr>
            <w:tcW w:w="1577" w:type="dxa"/>
            <w:hideMark/>
          </w:tcPr>
          <w:p w14:paraId="79F65E4D"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5-10 (8.2±1.3)</w:t>
            </w:r>
          </w:p>
        </w:tc>
        <w:tc>
          <w:tcPr>
            <w:tcW w:w="1794" w:type="dxa"/>
            <w:hideMark/>
          </w:tcPr>
          <w:p w14:paraId="7B8CA768"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Investigate the relationship between the levels of fluoride in children's plasma, parotid ductal saliva, and whole saliva</w:t>
            </w:r>
          </w:p>
        </w:tc>
        <w:tc>
          <w:tcPr>
            <w:tcW w:w="1365" w:type="dxa"/>
            <w:hideMark/>
          </w:tcPr>
          <w:p w14:paraId="5DFF2F4D"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Spitting, drooling</w:t>
            </w:r>
          </w:p>
        </w:tc>
        <w:tc>
          <w:tcPr>
            <w:tcW w:w="1179" w:type="dxa"/>
            <w:hideMark/>
          </w:tcPr>
          <w:p w14:paraId="21C673D1"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Vials, Lashley cup</w:t>
            </w:r>
          </w:p>
        </w:tc>
        <w:tc>
          <w:tcPr>
            <w:tcW w:w="1178" w:type="dxa"/>
            <w:hideMark/>
          </w:tcPr>
          <w:p w14:paraId="5555E068"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SS, SPS</w:t>
            </w:r>
          </w:p>
        </w:tc>
        <w:tc>
          <w:tcPr>
            <w:tcW w:w="1648" w:type="dxa"/>
            <w:gridSpan w:val="2"/>
            <w:hideMark/>
          </w:tcPr>
          <w:p w14:paraId="5A8EDA8F"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2h fasting before sampling</w:t>
            </w:r>
            <w:r w:rsidRPr="00333A96">
              <w:rPr>
                <w:rFonts w:ascii="Times New Roman" w:eastAsia="Times New Roman" w:hAnsi="Times New Roman" w:cs="Times New Roman"/>
                <w:sz w:val="18"/>
                <w:szCs w:val="18"/>
                <w:lang w:val="en-GB" w:eastAsia="nl-NL"/>
              </w:rPr>
              <w:br/>
              <w:t>2) Spitting: SS, drooling: SPS</w:t>
            </w:r>
          </w:p>
        </w:tc>
        <w:tc>
          <w:tcPr>
            <w:tcW w:w="2874" w:type="dxa"/>
            <w:hideMark/>
          </w:tcPr>
          <w:p w14:paraId="3563858E"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1) The amount of fluoride in whole saliva was not significantly decreased by rinsing with deionized water. </w:t>
            </w:r>
            <w:r w:rsidRPr="00333A96">
              <w:rPr>
                <w:rFonts w:ascii="Times New Roman" w:eastAsia="Times New Roman" w:hAnsi="Times New Roman" w:cs="Times New Roman"/>
                <w:sz w:val="18"/>
                <w:szCs w:val="18"/>
                <w:lang w:val="en-GB" w:eastAsia="nl-NL"/>
              </w:rPr>
              <w:br/>
              <w:t>2) No significant connection between the levels of fluoride in plasma or parotid ductal saliva and whole saliva.</w:t>
            </w:r>
            <w:r w:rsidRPr="00333A96">
              <w:rPr>
                <w:rFonts w:ascii="Times New Roman" w:eastAsia="Times New Roman" w:hAnsi="Times New Roman" w:cs="Times New Roman"/>
                <w:sz w:val="18"/>
                <w:szCs w:val="18"/>
                <w:lang w:val="en-GB" w:eastAsia="nl-NL"/>
              </w:rPr>
              <w:br/>
              <w:t>3) A significant correlation between plasma and parotid salivary fluoride concentration.</w:t>
            </w:r>
          </w:p>
        </w:tc>
      </w:tr>
      <w:tr w:rsidR="00D05AB4" w:rsidRPr="00CC2F10" w14:paraId="49941612" w14:textId="77777777" w:rsidTr="00CC2F10">
        <w:trPr>
          <w:cnfStyle w:val="000000100000" w:firstRow="0" w:lastRow="0" w:firstColumn="0" w:lastColumn="0" w:oddVBand="0" w:evenVBand="0" w:oddHBand="1" w:evenHBand="0" w:firstRowFirstColumn="0" w:firstRowLastColumn="0" w:lastRowFirstColumn="0" w:lastRowLastColumn="0"/>
          <w:trHeight w:val="1872"/>
        </w:trPr>
        <w:tc>
          <w:tcPr>
            <w:cnfStyle w:val="001000000000" w:firstRow="0" w:lastRow="0" w:firstColumn="1" w:lastColumn="0" w:oddVBand="0" w:evenVBand="0" w:oddHBand="0" w:evenHBand="0" w:firstRowFirstColumn="0" w:firstRowLastColumn="0" w:lastRowFirstColumn="0" w:lastRowLastColumn="0"/>
            <w:tcW w:w="1560" w:type="dxa"/>
            <w:noWrap/>
            <w:hideMark/>
          </w:tcPr>
          <w:p w14:paraId="22BE3F50"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Williams et al. 2017</w:t>
            </w:r>
          </w:p>
        </w:tc>
        <w:tc>
          <w:tcPr>
            <w:tcW w:w="1413" w:type="dxa"/>
            <w:noWrap/>
            <w:hideMark/>
          </w:tcPr>
          <w:p w14:paraId="778F9C60"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United States</w:t>
            </w:r>
          </w:p>
        </w:tc>
        <w:tc>
          <w:tcPr>
            <w:tcW w:w="837" w:type="dxa"/>
            <w:noWrap/>
            <w:hideMark/>
          </w:tcPr>
          <w:p w14:paraId="5B6F178B"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4FE71553"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31</w:t>
            </w:r>
          </w:p>
        </w:tc>
        <w:tc>
          <w:tcPr>
            <w:tcW w:w="1577" w:type="dxa"/>
            <w:hideMark/>
          </w:tcPr>
          <w:p w14:paraId="6F29E538"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14-16 (14.5±0.67)</w:t>
            </w:r>
          </w:p>
        </w:tc>
        <w:tc>
          <w:tcPr>
            <w:tcW w:w="1794" w:type="dxa"/>
            <w:hideMark/>
          </w:tcPr>
          <w:p w14:paraId="354B8DE8"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Assess the viability of gathering biological samples, including a morning and an afternoon sample of salivary cortisol as well as computer-based survey data in order to explore the correlations between these variables in teenagers</w:t>
            </w:r>
          </w:p>
        </w:tc>
        <w:tc>
          <w:tcPr>
            <w:tcW w:w="1365" w:type="dxa"/>
            <w:hideMark/>
          </w:tcPr>
          <w:p w14:paraId="2E8FBACC"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Drooling</w:t>
            </w:r>
          </w:p>
        </w:tc>
        <w:tc>
          <w:tcPr>
            <w:tcW w:w="1179" w:type="dxa"/>
            <w:hideMark/>
          </w:tcPr>
          <w:p w14:paraId="5AFE02D1"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Tube </w:t>
            </w:r>
          </w:p>
        </w:tc>
        <w:tc>
          <w:tcPr>
            <w:tcW w:w="1178" w:type="dxa"/>
            <w:hideMark/>
          </w:tcPr>
          <w:p w14:paraId="5DBEFC8B"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US </w:t>
            </w:r>
          </w:p>
        </w:tc>
        <w:tc>
          <w:tcPr>
            <w:tcW w:w="1648" w:type="dxa"/>
            <w:gridSpan w:val="2"/>
            <w:hideMark/>
          </w:tcPr>
          <w:p w14:paraId="02EB3A90" w14:textId="0FAC697B" w:rsidR="00D05AB4" w:rsidRPr="00333A96" w:rsidRDefault="00D82031"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2874" w:type="dxa"/>
            <w:hideMark/>
          </w:tcPr>
          <w:p w14:paraId="15326687"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1) The most important factor in the variation of depressed symptoms was perceived stress. </w:t>
            </w:r>
            <w:r w:rsidRPr="00333A96">
              <w:rPr>
                <w:rFonts w:ascii="Times New Roman" w:eastAsia="Times New Roman" w:hAnsi="Times New Roman" w:cs="Times New Roman"/>
                <w:sz w:val="18"/>
                <w:szCs w:val="18"/>
                <w:lang w:val="en-GB" w:eastAsia="nl-NL"/>
              </w:rPr>
              <w:br/>
              <w:t>2) Female participants scored higher on depressed symptoms than men</w:t>
            </w:r>
            <w:r w:rsidRPr="00333A96">
              <w:rPr>
                <w:rFonts w:ascii="Times New Roman" w:eastAsia="Times New Roman" w:hAnsi="Times New Roman" w:cs="Times New Roman"/>
                <w:sz w:val="18"/>
                <w:szCs w:val="18"/>
                <w:lang w:val="en-GB" w:eastAsia="nl-NL"/>
              </w:rPr>
              <w:br/>
              <w:t>3) Bullying ratings were modest and did not significantly correspond with depressed symptoms, however individuals reported more relational/verbal bullying than physical, cultural, or cyberbullying.</w:t>
            </w:r>
          </w:p>
        </w:tc>
      </w:tr>
      <w:tr w:rsidR="00BB05A0" w:rsidRPr="00CC2F10" w14:paraId="40516F27" w14:textId="77777777" w:rsidTr="00CC2F10">
        <w:trPr>
          <w:trHeight w:val="1872"/>
        </w:trPr>
        <w:tc>
          <w:tcPr>
            <w:cnfStyle w:val="001000000000" w:firstRow="0" w:lastRow="0" w:firstColumn="1" w:lastColumn="0" w:oddVBand="0" w:evenVBand="0" w:oddHBand="0" w:evenHBand="0" w:firstRowFirstColumn="0" w:firstRowLastColumn="0" w:lastRowFirstColumn="0" w:lastRowLastColumn="0"/>
            <w:tcW w:w="1560" w:type="dxa"/>
            <w:noWrap/>
            <w:hideMark/>
          </w:tcPr>
          <w:p w14:paraId="511F96E4"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Wyllie et al. 2014</w:t>
            </w:r>
          </w:p>
        </w:tc>
        <w:tc>
          <w:tcPr>
            <w:tcW w:w="1413" w:type="dxa"/>
            <w:noWrap/>
            <w:hideMark/>
          </w:tcPr>
          <w:p w14:paraId="43EC8750"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The Netherlands</w:t>
            </w:r>
          </w:p>
        </w:tc>
        <w:tc>
          <w:tcPr>
            <w:tcW w:w="837" w:type="dxa"/>
            <w:noWrap/>
            <w:hideMark/>
          </w:tcPr>
          <w:p w14:paraId="640FE3C6"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50A2095B"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50</w:t>
            </w:r>
          </w:p>
        </w:tc>
        <w:tc>
          <w:tcPr>
            <w:tcW w:w="1577" w:type="dxa"/>
            <w:hideMark/>
          </w:tcPr>
          <w:p w14:paraId="734DCD82"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5-10 (?)</w:t>
            </w:r>
          </w:p>
        </w:tc>
        <w:tc>
          <w:tcPr>
            <w:tcW w:w="1794" w:type="dxa"/>
            <w:hideMark/>
          </w:tcPr>
          <w:p w14:paraId="0AD1F22F"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Assess the sensitivity of saliva sampling in comparison to the nasopharyngeal sampling and to investigate the detection of S. pneumoniae carriage in saliva from children using conventional and molecular approaches</w:t>
            </w:r>
          </w:p>
        </w:tc>
        <w:tc>
          <w:tcPr>
            <w:tcW w:w="1365" w:type="dxa"/>
            <w:hideMark/>
          </w:tcPr>
          <w:p w14:paraId="3344B597"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Spitting</w:t>
            </w:r>
          </w:p>
        </w:tc>
        <w:tc>
          <w:tcPr>
            <w:tcW w:w="1179" w:type="dxa"/>
            <w:hideMark/>
          </w:tcPr>
          <w:p w14:paraId="6DF72464"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Tube </w:t>
            </w:r>
          </w:p>
        </w:tc>
        <w:tc>
          <w:tcPr>
            <w:tcW w:w="1178" w:type="dxa"/>
            <w:hideMark/>
          </w:tcPr>
          <w:p w14:paraId="3D3BF58F"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US </w:t>
            </w:r>
          </w:p>
        </w:tc>
        <w:tc>
          <w:tcPr>
            <w:tcW w:w="1648" w:type="dxa"/>
            <w:gridSpan w:val="2"/>
            <w:hideMark/>
          </w:tcPr>
          <w:p w14:paraId="404831B6" w14:textId="56AC050D" w:rsidR="00D05AB4" w:rsidRPr="00333A96" w:rsidRDefault="00D82031"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2874" w:type="dxa"/>
            <w:hideMark/>
          </w:tcPr>
          <w:p w14:paraId="2CA7E6E3"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1) The detection of S. pneumoniae carriage by saliva collection was extremely accurate. </w:t>
            </w:r>
            <w:r w:rsidRPr="00333A96">
              <w:rPr>
                <w:rFonts w:ascii="Times New Roman" w:eastAsia="Times New Roman" w:hAnsi="Times New Roman" w:cs="Times New Roman"/>
                <w:sz w:val="18"/>
                <w:szCs w:val="18"/>
                <w:lang w:val="en-GB" w:eastAsia="nl-NL"/>
              </w:rPr>
              <w:br/>
              <w:t>2) Numerous serotypes in circulation, high rates of pneumococcal carriage, and co-carrying of different pneumococcal strains all point to the ubiquitous prevalence of S. pneumoniae in saliva.</w:t>
            </w:r>
          </w:p>
        </w:tc>
      </w:tr>
      <w:tr w:rsidR="00D05AB4" w:rsidRPr="00CC2F10" w14:paraId="2F3B5CA9" w14:textId="77777777" w:rsidTr="00CC2F10">
        <w:trPr>
          <w:cnfStyle w:val="000000100000" w:firstRow="0" w:lastRow="0" w:firstColumn="0" w:lastColumn="0" w:oddVBand="0" w:evenVBand="0" w:oddHBand="1" w:evenHBand="0" w:firstRowFirstColumn="0" w:firstRowLastColumn="0" w:lastRowFirstColumn="0" w:lastRowLastColumn="0"/>
          <w:trHeight w:val="1248"/>
        </w:trPr>
        <w:tc>
          <w:tcPr>
            <w:cnfStyle w:val="001000000000" w:firstRow="0" w:lastRow="0" w:firstColumn="1" w:lastColumn="0" w:oddVBand="0" w:evenVBand="0" w:oddHBand="0" w:evenHBand="0" w:firstRowFirstColumn="0" w:firstRowLastColumn="0" w:lastRowFirstColumn="0" w:lastRowLastColumn="0"/>
            <w:tcW w:w="1560" w:type="dxa"/>
            <w:noWrap/>
            <w:hideMark/>
          </w:tcPr>
          <w:p w14:paraId="0F21F919"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Xu et al. 2018</w:t>
            </w:r>
          </w:p>
        </w:tc>
        <w:tc>
          <w:tcPr>
            <w:tcW w:w="1413" w:type="dxa"/>
            <w:noWrap/>
            <w:hideMark/>
          </w:tcPr>
          <w:p w14:paraId="255DE3F7"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China</w:t>
            </w:r>
          </w:p>
        </w:tc>
        <w:tc>
          <w:tcPr>
            <w:tcW w:w="837" w:type="dxa"/>
            <w:noWrap/>
            <w:hideMark/>
          </w:tcPr>
          <w:p w14:paraId="1DFF30D5"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62011466"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40</w:t>
            </w:r>
          </w:p>
        </w:tc>
        <w:tc>
          <w:tcPr>
            <w:tcW w:w="1577" w:type="dxa"/>
            <w:hideMark/>
          </w:tcPr>
          <w:p w14:paraId="5E786FA9"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6-8 (?)</w:t>
            </w:r>
          </w:p>
        </w:tc>
        <w:tc>
          <w:tcPr>
            <w:tcW w:w="1794" w:type="dxa"/>
            <w:hideMark/>
          </w:tcPr>
          <w:p w14:paraId="4D6081BB"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Evaluate the oral bacterial profiles of infants with mixed dentition, with or without caries in their first molars, in order </w:t>
            </w:r>
            <w:r w:rsidRPr="00333A96">
              <w:rPr>
                <w:rFonts w:ascii="Times New Roman" w:eastAsia="Times New Roman" w:hAnsi="Times New Roman" w:cs="Times New Roman"/>
                <w:sz w:val="18"/>
                <w:szCs w:val="18"/>
                <w:lang w:val="en-GB" w:eastAsia="nl-NL"/>
              </w:rPr>
              <w:lastRenderedPageBreak/>
              <w:t>to give evidence for the causes of caries</w:t>
            </w:r>
          </w:p>
        </w:tc>
        <w:tc>
          <w:tcPr>
            <w:tcW w:w="1365" w:type="dxa"/>
            <w:hideMark/>
          </w:tcPr>
          <w:p w14:paraId="0A5DCCE3"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lastRenderedPageBreak/>
              <w:t>Spitting</w:t>
            </w:r>
          </w:p>
        </w:tc>
        <w:tc>
          <w:tcPr>
            <w:tcW w:w="1179" w:type="dxa"/>
            <w:hideMark/>
          </w:tcPr>
          <w:p w14:paraId="4B89CDCC"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Tube </w:t>
            </w:r>
          </w:p>
        </w:tc>
        <w:tc>
          <w:tcPr>
            <w:tcW w:w="1178" w:type="dxa"/>
            <w:hideMark/>
          </w:tcPr>
          <w:p w14:paraId="00A8E0D5"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US </w:t>
            </w:r>
          </w:p>
        </w:tc>
        <w:tc>
          <w:tcPr>
            <w:tcW w:w="1648" w:type="dxa"/>
            <w:gridSpan w:val="2"/>
            <w:hideMark/>
          </w:tcPr>
          <w:p w14:paraId="69C5F70F" w14:textId="2C9560F5" w:rsidR="00D05AB4" w:rsidRPr="00333A96" w:rsidRDefault="00D82031"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2874" w:type="dxa"/>
            <w:hideMark/>
          </w:tcPr>
          <w:p w14:paraId="6AA3F6AE"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Different dominating bacteria were related to the presence of cavities; the caries group had more </w:t>
            </w:r>
            <w:r w:rsidRPr="0074566B">
              <w:rPr>
                <w:rFonts w:ascii="Times New Roman" w:eastAsia="Times New Roman" w:hAnsi="Times New Roman" w:cs="Times New Roman"/>
                <w:i/>
                <w:iCs/>
                <w:sz w:val="18"/>
                <w:szCs w:val="18"/>
                <w:lang w:val="en-GB" w:eastAsia="nl-NL"/>
              </w:rPr>
              <w:t>Actinomycetaceae</w:t>
            </w:r>
            <w:r w:rsidRPr="00333A96">
              <w:rPr>
                <w:rFonts w:ascii="Times New Roman" w:eastAsia="Times New Roman" w:hAnsi="Times New Roman" w:cs="Times New Roman"/>
                <w:sz w:val="18"/>
                <w:szCs w:val="18"/>
                <w:lang w:val="en-GB" w:eastAsia="nl-NL"/>
              </w:rPr>
              <w:t xml:space="preserve"> and </w:t>
            </w:r>
            <w:r w:rsidRPr="0074566B">
              <w:rPr>
                <w:rFonts w:ascii="Times New Roman" w:eastAsia="Times New Roman" w:hAnsi="Times New Roman" w:cs="Times New Roman"/>
                <w:i/>
                <w:iCs/>
                <w:sz w:val="18"/>
                <w:szCs w:val="18"/>
                <w:lang w:val="en-GB" w:eastAsia="nl-NL"/>
              </w:rPr>
              <w:t>Streptobacillus</w:t>
            </w:r>
            <w:r w:rsidRPr="00333A96">
              <w:rPr>
                <w:rFonts w:ascii="Times New Roman" w:eastAsia="Times New Roman" w:hAnsi="Times New Roman" w:cs="Times New Roman"/>
                <w:sz w:val="18"/>
                <w:szCs w:val="18"/>
                <w:lang w:val="en-GB" w:eastAsia="nl-NL"/>
              </w:rPr>
              <w:t xml:space="preserve">, whereas the caries-free group had more </w:t>
            </w:r>
            <w:r w:rsidRPr="0074566B">
              <w:rPr>
                <w:rFonts w:ascii="Times New Roman" w:eastAsia="Times New Roman" w:hAnsi="Times New Roman" w:cs="Times New Roman"/>
                <w:i/>
                <w:iCs/>
                <w:sz w:val="18"/>
                <w:szCs w:val="18"/>
                <w:lang w:val="en-GB" w:eastAsia="nl-NL"/>
              </w:rPr>
              <w:t xml:space="preserve">Gammaproteobacteria, </w:t>
            </w:r>
            <w:r w:rsidRPr="0074566B">
              <w:rPr>
                <w:rFonts w:ascii="Times New Roman" w:eastAsia="Times New Roman" w:hAnsi="Times New Roman" w:cs="Times New Roman"/>
                <w:i/>
                <w:iCs/>
                <w:sz w:val="18"/>
                <w:szCs w:val="18"/>
                <w:lang w:val="en-GB" w:eastAsia="nl-NL"/>
              </w:rPr>
              <w:lastRenderedPageBreak/>
              <w:t>Pasteurellaceae, Aggregatibacter,</w:t>
            </w:r>
            <w:r w:rsidRPr="00333A96">
              <w:rPr>
                <w:rFonts w:ascii="Times New Roman" w:eastAsia="Times New Roman" w:hAnsi="Times New Roman" w:cs="Times New Roman"/>
                <w:sz w:val="18"/>
                <w:szCs w:val="18"/>
                <w:lang w:val="en-GB" w:eastAsia="nl-NL"/>
              </w:rPr>
              <w:t xml:space="preserve"> and </w:t>
            </w:r>
            <w:r w:rsidRPr="0074566B">
              <w:rPr>
                <w:rFonts w:ascii="Times New Roman" w:eastAsia="Times New Roman" w:hAnsi="Times New Roman" w:cs="Times New Roman"/>
                <w:i/>
                <w:iCs/>
                <w:sz w:val="18"/>
                <w:szCs w:val="18"/>
                <w:lang w:val="en-GB" w:eastAsia="nl-NL"/>
              </w:rPr>
              <w:t>Chloroflexi.</w:t>
            </w:r>
            <w:r w:rsidRPr="00333A96">
              <w:rPr>
                <w:rFonts w:ascii="Times New Roman" w:eastAsia="Times New Roman" w:hAnsi="Times New Roman" w:cs="Times New Roman"/>
                <w:sz w:val="18"/>
                <w:szCs w:val="18"/>
                <w:lang w:val="en-GB" w:eastAsia="nl-NL"/>
              </w:rPr>
              <w:t xml:space="preserve"> </w:t>
            </w:r>
          </w:p>
        </w:tc>
      </w:tr>
      <w:tr w:rsidR="00BB05A0" w:rsidRPr="00CC2F10" w14:paraId="69FB695C" w14:textId="77777777" w:rsidTr="00CC2F10">
        <w:trPr>
          <w:trHeight w:val="2184"/>
        </w:trPr>
        <w:tc>
          <w:tcPr>
            <w:cnfStyle w:val="001000000000" w:firstRow="0" w:lastRow="0" w:firstColumn="1" w:lastColumn="0" w:oddVBand="0" w:evenVBand="0" w:oddHBand="0" w:evenHBand="0" w:firstRowFirstColumn="0" w:firstRowLastColumn="0" w:lastRowFirstColumn="0" w:lastRowLastColumn="0"/>
            <w:tcW w:w="1560" w:type="dxa"/>
            <w:noWrap/>
            <w:hideMark/>
          </w:tcPr>
          <w:p w14:paraId="135E8502"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lastRenderedPageBreak/>
              <w:t>Xu et al. 2022</w:t>
            </w:r>
          </w:p>
        </w:tc>
        <w:tc>
          <w:tcPr>
            <w:tcW w:w="1413" w:type="dxa"/>
            <w:noWrap/>
            <w:hideMark/>
          </w:tcPr>
          <w:p w14:paraId="2C214763"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China</w:t>
            </w:r>
          </w:p>
        </w:tc>
        <w:tc>
          <w:tcPr>
            <w:tcW w:w="837" w:type="dxa"/>
            <w:noWrap/>
            <w:hideMark/>
          </w:tcPr>
          <w:p w14:paraId="13BC7A82"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40B48306"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21</w:t>
            </w:r>
          </w:p>
        </w:tc>
        <w:tc>
          <w:tcPr>
            <w:tcW w:w="1577" w:type="dxa"/>
            <w:hideMark/>
          </w:tcPr>
          <w:p w14:paraId="6813670D"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0-3 (?)</w:t>
            </w:r>
          </w:p>
        </w:tc>
        <w:tc>
          <w:tcPr>
            <w:tcW w:w="1794" w:type="dxa"/>
            <w:hideMark/>
          </w:tcPr>
          <w:p w14:paraId="4B6550D0"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Examine the evolution of the microbiota in both saliva and supragingival plaque as primary teeth gradually erupted in caries-free infants and toddlers</w:t>
            </w:r>
          </w:p>
        </w:tc>
        <w:tc>
          <w:tcPr>
            <w:tcW w:w="1365" w:type="dxa"/>
            <w:hideMark/>
          </w:tcPr>
          <w:p w14:paraId="08DA1568"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Absorption</w:t>
            </w:r>
          </w:p>
        </w:tc>
        <w:tc>
          <w:tcPr>
            <w:tcW w:w="1179" w:type="dxa"/>
            <w:hideMark/>
          </w:tcPr>
          <w:p w14:paraId="3173E217"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Cotton rolls</w:t>
            </w:r>
          </w:p>
        </w:tc>
        <w:tc>
          <w:tcPr>
            <w:tcW w:w="1178" w:type="dxa"/>
            <w:hideMark/>
          </w:tcPr>
          <w:p w14:paraId="45B565BF"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US </w:t>
            </w:r>
          </w:p>
        </w:tc>
        <w:tc>
          <w:tcPr>
            <w:tcW w:w="1648" w:type="dxa"/>
            <w:gridSpan w:val="2"/>
            <w:hideMark/>
          </w:tcPr>
          <w:p w14:paraId="5B0D1E9C"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2h fasting before sampling</w:t>
            </w:r>
          </w:p>
        </w:tc>
        <w:tc>
          <w:tcPr>
            <w:tcW w:w="2874" w:type="dxa"/>
            <w:hideMark/>
          </w:tcPr>
          <w:p w14:paraId="215C38CA"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During the eruption of primary teeth, the saliva microbiota demonstrated more complexity and significant diversity than the plaque bacteria.</w:t>
            </w:r>
            <w:r w:rsidRPr="00333A96">
              <w:rPr>
                <w:rFonts w:ascii="Times New Roman" w:eastAsia="Times New Roman" w:hAnsi="Times New Roman" w:cs="Times New Roman"/>
                <w:sz w:val="18"/>
                <w:szCs w:val="18"/>
                <w:lang w:val="en-GB" w:eastAsia="nl-NL"/>
              </w:rPr>
              <w:br/>
              <w:t>2) Until the completion of the primary dentition, over 70% of the newly colonized bacterial species in plaque survived.</w:t>
            </w:r>
            <w:r w:rsidRPr="00333A96">
              <w:rPr>
                <w:rFonts w:ascii="Times New Roman" w:eastAsia="Times New Roman" w:hAnsi="Times New Roman" w:cs="Times New Roman"/>
                <w:sz w:val="18"/>
                <w:szCs w:val="18"/>
                <w:lang w:val="en-GB" w:eastAsia="nl-NL"/>
              </w:rPr>
              <w:br/>
              <w:t>3) In the early phases of saliva and plaque microbiota, transient bacteria from the environment and other body locations were more common.</w:t>
            </w:r>
          </w:p>
        </w:tc>
      </w:tr>
      <w:tr w:rsidR="00D05AB4" w:rsidRPr="00CC2F10" w14:paraId="11F2C1F6" w14:textId="77777777" w:rsidTr="00CC2F10">
        <w:trPr>
          <w:cnfStyle w:val="000000100000" w:firstRow="0" w:lastRow="0" w:firstColumn="0" w:lastColumn="0" w:oddVBand="0" w:evenVBand="0" w:oddHBand="1" w:evenHBand="0" w:firstRowFirstColumn="0" w:firstRowLastColumn="0" w:lastRowFirstColumn="0" w:lastRowLastColumn="0"/>
          <w:trHeight w:val="1248"/>
        </w:trPr>
        <w:tc>
          <w:tcPr>
            <w:cnfStyle w:val="001000000000" w:firstRow="0" w:lastRow="0" w:firstColumn="1" w:lastColumn="0" w:oddVBand="0" w:evenVBand="0" w:oddHBand="0" w:evenHBand="0" w:firstRowFirstColumn="0" w:firstRowLastColumn="0" w:lastRowFirstColumn="0" w:lastRowLastColumn="0"/>
            <w:tcW w:w="1560" w:type="dxa"/>
            <w:noWrap/>
            <w:hideMark/>
          </w:tcPr>
          <w:p w14:paraId="6D05CF4D"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Yang et al. 2021</w:t>
            </w:r>
          </w:p>
        </w:tc>
        <w:tc>
          <w:tcPr>
            <w:tcW w:w="1413" w:type="dxa"/>
            <w:noWrap/>
            <w:hideMark/>
          </w:tcPr>
          <w:p w14:paraId="12EEB7DC"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China</w:t>
            </w:r>
          </w:p>
        </w:tc>
        <w:tc>
          <w:tcPr>
            <w:tcW w:w="837" w:type="dxa"/>
            <w:noWrap/>
            <w:hideMark/>
          </w:tcPr>
          <w:p w14:paraId="6B102233"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64FCEFF8"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30</w:t>
            </w:r>
          </w:p>
        </w:tc>
        <w:tc>
          <w:tcPr>
            <w:tcW w:w="1577" w:type="dxa"/>
            <w:hideMark/>
          </w:tcPr>
          <w:p w14:paraId="568ED73B"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7-9 (?)</w:t>
            </w:r>
          </w:p>
        </w:tc>
        <w:tc>
          <w:tcPr>
            <w:tcW w:w="1794" w:type="dxa"/>
            <w:hideMark/>
          </w:tcPr>
          <w:p w14:paraId="40E3DFFB"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Compare the oral microbiota of healthy FPMs in children with various caries statuses with that from children with and without caries in a similar microhabitat using PacBio sequencing</w:t>
            </w:r>
          </w:p>
        </w:tc>
        <w:tc>
          <w:tcPr>
            <w:tcW w:w="1365" w:type="dxa"/>
            <w:hideMark/>
          </w:tcPr>
          <w:p w14:paraId="01146918"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Suction</w:t>
            </w:r>
          </w:p>
        </w:tc>
        <w:tc>
          <w:tcPr>
            <w:tcW w:w="1179" w:type="dxa"/>
            <w:hideMark/>
          </w:tcPr>
          <w:p w14:paraId="07106715"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Pipette </w:t>
            </w:r>
          </w:p>
        </w:tc>
        <w:tc>
          <w:tcPr>
            <w:tcW w:w="1178" w:type="dxa"/>
            <w:hideMark/>
          </w:tcPr>
          <w:p w14:paraId="1B4F4E4C"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US </w:t>
            </w:r>
          </w:p>
        </w:tc>
        <w:tc>
          <w:tcPr>
            <w:tcW w:w="1648" w:type="dxa"/>
            <w:gridSpan w:val="2"/>
            <w:hideMark/>
          </w:tcPr>
          <w:p w14:paraId="4C7B8B65"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Fasting the night prior sampling</w:t>
            </w:r>
          </w:p>
        </w:tc>
        <w:tc>
          <w:tcPr>
            <w:tcW w:w="2874" w:type="dxa"/>
            <w:hideMark/>
          </w:tcPr>
          <w:p w14:paraId="3A9F725A"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The saliva samples' microbial alpha diversity was significantly lower than that of the supragingival plaque. That suggest that supragingival plaque is more suited than saliva for researching the carious microbiota.</w:t>
            </w:r>
          </w:p>
        </w:tc>
      </w:tr>
      <w:tr w:rsidR="00BB05A0" w:rsidRPr="00CC2F10" w14:paraId="3D0B7384" w14:textId="77777777" w:rsidTr="00CC2F10">
        <w:trPr>
          <w:trHeight w:val="2184"/>
        </w:trPr>
        <w:tc>
          <w:tcPr>
            <w:cnfStyle w:val="001000000000" w:firstRow="0" w:lastRow="0" w:firstColumn="1" w:lastColumn="0" w:oddVBand="0" w:evenVBand="0" w:oddHBand="0" w:evenHBand="0" w:firstRowFirstColumn="0" w:firstRowLastColumn="0" w:lastRowFirstColumn="0" w:lastRowLastColumn="0"/>
            <w:tcW w:w="1560" w:type="dxa"/>
            <w:noWrap/>
            <w:hideMark/>
          </w:tcPr>
          <w:p w14:paraId="2907B6FC"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Yao et al. 2021</w:t>
            </w:r>
          </w:p>
        </w:tc>
        <w:tc>
          <w:tcPr>
            <w:tcW w:w="1413" w:type="dxa"/>
            <w:noWrap/>
            <w:hideMark/>
          </w:tcPr>
          <w:p w14:paraId="2803B95D"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China</w:t>
            </w:r>
          </w:p>
        </w:tc>
        <w:tc>
          <w:tcPr>
            <w:tcW w:w="837" w:type="dxa"/>
            <w:noWrap/>
            <w:hideMark/>
          </w:tcPr>
          <w:p w14:paraId="31EAFA21"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1E8A998F"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269</w:t>
            </w:r>
          </w:p>
        </w:tc>
        <w:tc>
          <w:tcPr>
            <w:tcW w:w="1577" w:type="dxa"/>
            <w:hideMark/>
          </w:tcPr>
          <w:p w14:paraId="4631C70F"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2-10 (?)</w:t>
            </w:r>
          </w:p>
        </w:tc>
        <w:tc>
          <w:tcPr>
            <w:tcW w:w="1794" w:type="dxa"/>
            <w:hideMark/>
          </w:tcPr>
          <w:p w14:paraId="7EAE688E"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Measure the amounts of saliva nitrite in children with ASD and contrast them with children who are typically developing</w:t>
            </w:r>
          </w:p>
        </w:tc>
        <w:tc>
          <w:tcPr>
            <w:tcW w:w="1365" w:type="dxa"/>
            <w:hideMark/>
          </w:tcPr>
          <w:p w14:paraId="03EE1530"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Drooling, spitting, absorption</w:t>
            </w:r>
          </w:p>
        </w:tc>
        <w:tc>
          <w:tcPr>
            <w:tcW w:w="1179" w:type="dxa"/>
            <w:hideMark/>
          </w:tcPr>
          <w:p w14:paraId="5FAF80D1"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Tube, Swab</w:t>
            </w:r>
          </w:p>
        </w:tc>
        <w:tc>
          <w:tcPr>
            <w:tcW w:w="1178" w:type="dxa"/>
            <w:hideMark/>
          </w:tcPr>
          <w:p w14:paraId="6AEDBC79"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US </w:t>
            </w:r>
          </w:p>
        </w:tc>
        <w:tc>
          <w:tcPr>
            <w:tcW w:w="1648" w:type="dxa"/>
            <w:gridSpan w:val="2"/>
            <w:hideMark/>
          </w:tcPr>
          <w:p w14:paraId="3D645309"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Fasting the night prior sampling</w:t>
            </w:r>
          </w:p>
        </w:tc>
        <w:tc>
          <w:tcPr>
            <w:tcW w:w="2874" w:type="dxa"/>
            <w:hideMark/>
          </w:tcPr>
          <w:p w14:paraId="4CD25B75"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Saliva nitrite levels in the ASD group were significantly higher than those in the ND group.</w:t>
            </w:r>
            <w:r w:rsidRPr="00333A96">
              <w:rPr>
                <w:rFonts w:ascii="Times New Roman" w:eastAsia="Times New Roman" w:hAnsi="Times New Roman" w:cs="Times New Roman"/>
                <w:sz w:val="18"/>
                <w:szCs w:val="18"/>
                <w:lang w:val="en-GB" w:eastAsia="nl-NL"/>
              </w:rPr>
              <w:br/>
              <w:t xml:space="preserve">2) Children with ASD showed a positive association between saliva nitrite and serum nitrate, but the ND group did not. When compared to boys in the ND group, autistic boys had higher levels of NO. </w:t>
            </w:r>
            <w:r w:rsidRPr="00333A96">
              <w:rPr>
                <w:rFonts w:ascii="Times New Roman" w:eastAsia="Times New Roman" w:hAnsi="Times New Roman" w:cs="Times New Roman"/>
                <w:sz w:val="18"/>
                <w:szCs w:val="18"/>
                <w:lang w:val="en-GB" w:eastAsia="nl-NL"/>
              </w:rPr>
              <w:br/>
              <w:t>3) There was no relationship between the severity of ASD symptoms and saliva or serum NO levels.</w:t>
            </w:r>
          </w:p>
        </w:tc>
      </w:tr>
      <w:tr w:rsidR="00D05AB4" w:rsidRPr="00CC2F10" w14:paraId="2D61BD53" w14:textId="77777777" w:rsidTr="00CC2F10">
        <w:trPr>
          <w:cnfStyle w:val="000000100000" w:firstRow="0" w:lastRow="0" w:firstColumn="0" w:lastColumn="0" w:oddVBand="0" w:evenVBand="0" w:oddHBand="1" w:evenHBand="0" w:firstRowFirstColumn="0" w:firstRowLastColumn="0" w:lastRowFirstColumn="0" w:lastRowLastColumn="0"/>
          <w:trHeight w:val="2184"/>
        </w:trPr>
        <w:tc>
          <w:tcPr>
            <w:cnfStyle w:val="001000000000" w:firstRow="0" w:lastRow="0" w:firstColumn="1" w:lastColumn="0" w:oddVBand="0" w:evenVBand="0" w:oddHBand="0" w:evenHBand="0" w:firstRowFirstColumn="0" w:firstRowLastColumn="0" w:lastRowFirstColumn="0" w:lastRowLastColumn="0"/>
            <w:tcW w:w="1560" w:type="dxa"/>
            <w:noWrap/>
            <w:hideMark/>
          </w:tcPr>
          <w:p w14:paraId="7B5B6AE3"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lastRenderedPageBreak/>
              <w:t>Yilmaz et al. 2022</w:t>
            </w:r>
          </w:p>
        </w:tc>
        <w:tc>
          <w:tcPr>
            <w:tcW w:w="1413" w:type="dxa"/>
            <w:noWrap/>
            <w:hideMark/>
          </w:tcPr>
          <w:p w14:paraId="7D2081CB"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Turkey</w:t>
            </w:r>
          </w:p>
        </w:tc>
        <w:tc>
          <w:tcPr>
            <w:tcW w:w="837" w:type="dxa"/>
            <w:noWrap/>
            <w:hideMark/>
          </w:tcPr>
          <w:p w14:paraId="63204859"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RCT</w:t>
            </w:r>
          </w:p>
        </w:tc>
        <w:tc>
          <w:tcPr>
            <w:tcW w:w="878" w:type="dxa"/>
            <w:noWrap/>
            <w:hideMark/>
          </w:tcPr>
          <w:p w14:paraId="6884650E"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26</w:t>
            </w:r>
          </w:p>
        </w:tc>
        <w:tc>
          <w:tcPr>
            <w:tcW w:w="1577" w:type="dxa"/>
            <w:hideMark/>
          </w:tcPr>
          <w:p w14:paraId="3A25CB6A"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(4.77±0.54)</w:t>
            </w:r>
          </w:p>
        </w:tc>
        <w:tc>
          <w:tcPr>
            <w:tcW w:w="1794" w:type="dxa"/>
            <w:hideMark/>
          </w:tcPr>
          <w:p w14:paraId="56F9689D"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Evaluate the impact of a unique mineral-containing toothpaste on children with WSLs in contrast to a fluoride toothpaste</w:t>
            </w:r>
          </w:p>
        </w:tc>
        <w:tc>
          <w:tcPr>
            <w:tcW w:w="1365" w:type="dxa"/>
            <w:hideMark/>
          </w:tcPr>
          <w:p w14:paraId="392F3756"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Spitting</w:t>
            </w:r>
          </w:p>
        </w:tc>
        <w:tc>
          <w:tcPr>
            <w:tcW w:w="1179" w:type="dxa"/>
            <w:hideMark/>
          </w:tcPr>
          <w:p w14:paraId="636AB216"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Cup</w:t>
            </w:r>
          </w:p>
        </w:tc>
        <w:tc>
          <w:tcPr>
            <w:tcW w:w="1178" w:type="dxa"/>
            <w:hideMark/>
          </w:tcPr>
          <w:p w14:paraId="0F3ED9A6"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SS</w:t>
            </w:r>
          </w:p>
        </w:tc>
        <w:tc>
          <w:tcPr>
            <w:tcW w:w="1648" w:type="dxa"/>
            <w:gridSpan w:val="2"/>
            <w:hideMark/>
          </w:tcPr>
          <w:p w14:paraId="79307F1B" w14:textId="6624D3F9"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sidR="00D82031">
              <w:rPr>
                <w:rFonts w:ascii="Times New Roman" w:eastAsia="Times New Roman" w:hAnsi="Times New Roman" w:cs="Times New Roman"/>
                <w:sz w:val="18"/>
                <w:szCs w:val="18"/>
                <w:lang w:val="en-GB" w:eastAsia="nl-NL"/>
              </w:rPr>
              <w:t>/A</w:t>
            </w:r>
          </w:p>
        </w:tc>
        <w:tc>
          <w:tcPr>
            <w:tcW w:w="2874" w:type="dxa"/>
            <w:hideMark/>
          </w:tcPr>
          <w:p w14:paraId="54892BCA"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The LF ratings for both groups decreased, demonstrating improvement in the white spot lesions.</w:t>
            </w:r>
            <w:r w:rsidRPr="00333A96">
              <w:rPr>
                <w:rFonts w:ascii="Times New Roman" w:eastAsia="Times New Roman" w:hAnsi="Times New Roman" w:cs="Times New Roman"/>
                <w:sz w:val="18"/>
                <w:szCs w:val="18"/>
                <w:lang w:val="en-GB" w:eastAsia="nl-NL"/>
              </w:rPr>
              <w:br/>
              <w:t>2) No significant difference between the two toothpastes in terms of their capacity to remineralize.</w:t>
            </w:r>
            <w:r w:rsidRPr="00333A96">
              <w:rPr>
                <w:rFonts w:ascii="Times New Roman" w:eastAsia="Times New Roman" w:hAnsi="Times New Roman" w:cs="Times New Roman"/>
                <w:sz w:val="18"/>
                <w:szCs w:val="18"/>
                <w:lang w:val="en-GB" w:eastAsia="nl-NL"/>
              </w:rPr>
              <w:br/>
              <w:t>3) Both groups had an increase in salivary buffering capacity and hydrogen potential, but not significant.</w:t>
            </w:r>
          </w:p>
        </w:tc>
      </w:tr>
      <w:tr w:rsidR="00BB05A0" w:rsidRPr="00CC2F10" w14:paraId="751B528A" w14:textId="77777777" w:rsidTr="00CC2F10">
        <w:trPr>
          <w:trHeight w:val="1560"/>
        </w:trPr>
        <w:tc>
          <w:tcPr>
            <w:cnfStyle w:val="001000000000" w:firstRow="0" w:lastRow="0" w:firstColumn="1" w:lastColumn="0" w:oddVBand="0" w:evenVBand="0" w:oddHBand="0" w:evenHBand="0" w:firstRowFirstColumn="0" w:firstRowLastColumn="0" w:lastRowFirstColumn="0" w:lastRowLastColumn="0"/>
            <w:tcW w:w="1560" w:type="dxa"/>
            <w:noWrap/>
            <w:hideMark/>
          </w:tcPr>
          <w:p w14:paraId="19A8E3EF"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Yilmaz et al. 2022</w:t>
            </w:r>
          </w:p>
        </w:tc>
        <w:tc>
          <w:tcPr>
            <w:tcW w:w="1413" w:type="dxa"/>
            <w:noWrap/>
            <w:hideMark/>
          </w:tcPr>
          <w:p w14:paraId="7F3D05F0"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Turkey</w:t>
            </w:r>
          </w:p>
        </w:tc>
        <w:tc>
          <w:tcPr>
            <w:tcW w:w="837" w:type="dxa"/>
            <w:noWrap/>
            <w:hideMark/>
          </w:tcPr>
          <w:p w14:paraId="6319B847"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6CBF71CD"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66</w:t>
            </w:r>
          </w:p>
        </w:tc>
        <w:tc>
          <w:tcPr>
            <w:tcW w:w="1577" w:type="dxa"/>
            <w:hideMark/>
          </w:tcPr>
          <w:p w14:paraId="077DC8E7"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(10.53±2.69)</w:t>
            </w:r>
          </w:p>
        </w:tc>
        <w:tc>
          <w:tcPr>
            <w:tcW w:w="1794" w:type="dxa"/>
            <w:hideMark/>
          </w:tcPr>
          <w:p w14:paraId="7F90EA1B"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Examine the relationship between periodontal and T1DM status and salivary hBD-2 and hBD-3 concentrations in young people</w:t>
            </w:r>
          </w:p>
        </w:tc>
        <w:tc>
          <w:tcPr>
            <w:tcW w:w="1365" w:type="dxa"/>
            <w:hideMark/>
          </w:tcPr>
          <w:p w14:paraId="757203BE"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Spitting</w:t>
            </w:r>
          </w:p>
        </w:tc>
        <w:tc>
          <w:tcPr>
            <w:tcW w:w="1179" w:type="dxa"/>
            <w:hideMark/>
          </w:tcPr>
          <w:p w14:paraId="32068CA1"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Eppendorf Tube</w:t>
            </w:r>
          </w:p>
        </w:tc>
        <w:tc>
          <w:tcPr>
            <w:tcW w:w="1178" w:type="dxa"/>
            <w:hideMark/>
          </w:tcPr>
          <w:p w14:paraId="404DD906"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US </w:t>
            </w:r>
          </w:p>
        </w:tc>
        <w:tc>
          <w:tcPr>
            <w:tcW w:w="1648" w:type="dxa"/>
            <w:gridSpan w:val="2"/>
            <w:hideMark/>
          </w:tcPr>
          <w:p w14:paraId="058BA189"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1h fasting before sampling </w:t>
            </w:r>
          </w:p>
        </w:tc>
        <w:tc>
          <w:tcPr>
            <w:tcW w:w="2874" w:type="dxa"/>
            <w:hideMark/>
          </w:tcPr>
          <w:p w14:paraId="58C0BCE4"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Regardless of gingival inflammatory condition, salivary hBD-3 concentrations were observed to be significantly lower in T1DM patients compared to systemically healthy people; So lower salivary hBD-3 concentrations may be a factor in diabetic children's greater susceptibility to periodontal disorders.</w:t>
            </w:r>
          </w:p>
        </w:tc>
      </w:tr>
      <w:tr w:rsidR="00D05AB4" w:rsidRPr="00CC2F10" w14:paraId="089B4DA6" w14:textId="77777777" w:rsidTr="00CC2F10">
        <w:trPr>
          <w:cnfStyle w:val="000000100000" w:firstRow="0" w:lastRow="0" w:firstColumn="0" w:lastColumn="0" w:oddVBand="0" w:evenVBand="0" w:oddHBand="1" w:evenHBand="0" w:firstRowFirstColumn="0" w:firstRowLastColumn="0" w:lastRowFirstColumn="0" w:lastRowLastColumn="0"/>
          <w:trHeight w:val="936"/>
        </w:trPr>
        <w:tc>
          <w:tcPr>
            <w:cnfStyle w:val="001000000000" w:firstRow="0" w:lastRow="0" w:firstColumn="1" w:lastColumn="0" w:oddVBand="0" w:evenVBand="0" w:oddHBand="0" w:evenHBand="0" w:firstRowFirstColumn="0" w:firstRowLastColumn="0" w:lastRowFirstColumn="0" w:lastRowLastColumn="0"/>
            <w:tcW w:w="1560" w:type="dxa"/>
            <w:noWrap/>
            <w:hideMark/>
          </w:tcPr>
          <w:p w14:paraId="343A5E90"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Young et al. 2006</w:t>
            </w:r>
          </w:p>
        </w:tc>
        <w:tc>
          <w:tcPr>
            <w:tcW w:w="1413" w:type="dxa"/>
            <w:noWrap/>
            <w:hideMark/>
          </w:tcPr>
          <w:p w14:paraId="3E4A797A"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United States</w:t>
            </w:r>
          </w:p>
        </w:tc>
        <w:tc>
          <w:tcPr>
            <w:tcW w:w="837" w:type="dxa"/>
            <w:noWrap/>
            <w:hideMark/>
          </w:tcPr>
          <w:p w14:paraId="4A231BE1"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3FF1696B"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58</w:t>
            </w:r>
          </w:p>
        </w:tc>
        <w:tc>
          <w:tcPr>
            <w:tcW w:w="1577" w:type="dxa"/>
            <w:hideMark/>
          </w:tcPr>
          <w:p w14:paraId="2B66102E"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(10±2.6)</w:t>
            </w:r>
          </w:p>
        </w:tc>
        <w:tc>
          <w:tcPr>
            <w:tcW w:w="1794" w:type="dxa"/>
            <w:hideMark/>
          </w:tcPr>
          <w:p w14:paraId="0587742E"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Investigate if parental or maternal depression may have an impact on children</w:t>
            </w:r>
          </w:p>
        </w:tc>
        <w:tc>
          <w:tcPr>
            <w:tcW w:w="1365" w:type="dxa"/>
            <w:hideMark/>
          </w:tcPr>
          <w:p w14:paraId="3880B66B"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Absorption</w:t>
            </w:r>
          </w:p>
        </w:tc>
        <w:tc>
          <w:tcPr>
            <w:tcW w:w="1179" w:type="dxa"/>
            <w:hideMark/>
          </w:tcPr>
          <w:p w14:paraId="3CE2F911"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Salivette</w:t>
            </w:r>
          </w:p>
        </w:tc>
        <w:tc>
          <w:tcPr>
            <w:tcW w:w="1178" w:type="dxa"/>
            <w:hideMark/>
          </w:tcPr>
          <w:p w14:paraId="6A79E4FA"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US </w:t>
            </w:r>
          </w:p>
        </w:tc>
        <w:tc>
          <w:tcPr>
            <w:tcW w:w="1648" w:type="dxa"/>
            <w:gridSpan w:val="2"/>
            <w:hideMark/>
          </w:tcPr>
          <w:p w14:paraId="615248EC" w14:textId="0EB24326"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sidR="00D82031">
              <w:rPr>
                <w:rFonts w:ascii="Times New Roman" w:eastAsia="Times New Roman" w:hAnsi="Times New Roman" w:cs="Times New Roman"/>
                <w:sz w:val="18"/>
                <w:szCs w:val="18"/>
                <w:lang w:val="en-GB" w:eastAsia="nl-NL"/>
              </w:rPr>
              <w:t>/A</w:t>
            </w:r>
          </w:p>
        </w:tc>
        <w:tc>
          <w:tcPr>
            <w:tcW w:w="2874" w:type="dxa"/>
            <w:hideMark/>
          </w:tcPr>
          <w:p w14:paraId="2CC47A79"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Compared to control children, children with MDD parents had greater basal cortisol levels and higher cortisol levels following dexamethasone injection.</w:t>
            </w:r>
          </w:p>
        </w:tc>
      </w:tr>
      <w:tr w:rsidR="00BB05A0" w:rsidRPr="00CC2F10" w14:paraId="67B21D0D" w14:textId="77777777" w:rsidTr="00CC2F10">
        <w:trPr>
          <w:trHeight w:val="1248"/>
        </w:trPr>
        <w:tc>
          <w:tcPr>
            <w:cnfStyle w:val="001000000000" w:firstRow="0" w:lastRow="0" w:firstColumn="1" w:lastColumn="0" w:oddVBand="0" w:evenVBand="0" w:oddHBand="0" w:evenHBand="0" w:firstRowFirstColumn="0" w:firstRowLastColumn="0" w:lastRowFirstColumn="0" w:lastRowLastColumn="0"/>
            <w:tcW w:w="1560" w:type="dxa"/>
            <w:noWrap/>
            <w:hideMark/>
          </w:tcPr>
          <w:p w14:paraId="48FE9D0A"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Yucel et al. 2020</w:t>
            </w:r>
          </w:p>
        </w:tc>
        <w:tc>
          <w:tcPr>
            <w:tcW w:w="1413" w:type="dxa"/>
            <w:noWrap/>
            <w:hideMark/>
          </w:tcPr>
          <w:p w14:paraId="6ADB6A43"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Turkey</w:t>
            </w:r>
          </w:p>
        </w:tc>
        <w:tc>
          <w:tcPr>
            <w:tcW w:w="837" w:type="dxa"/>
            <w:noWrap/>
            <w:hideMark/>
          </w:tcPr>
          <w:p w14:paraId="7E88802D"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55AA37A8"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20</w:t>
            </w:r>
          </w:p>
        </w:tc>
        <w:tc>
          <w:tcPr>
            <w:tcW w:w="1577" w:type="dxa"/>
            <w:hideMark/>
          </w:tcPr>
          <w:p w14:paraId="7E2604DD"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3-12 (7.10±3.16)</w:t>
            </w:r>
          </w:p>
        </w:tc>
        <w:tc>
          <w:tcPr>
            <w:tcW w:w="1794" w:type="dxa"/>
            <w:hideMark/>
          </w:tcPr>
          <w:p w14:paraId="13959483"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Determine if salivary TREM-1, PGYLRP1, and calprotectin are associated with CF, or whether they rather represent or reflect concurrent gingival inflammation</w:t>
            </w:r>
          </w:p>
        </w:tc>
        <w:tc>
          <w:tcPr>
            <w:tcW w:w="1365" w:type="dxa"/>
            <w:hideMark/>
          </w:tcPr>
          <w:p w14:paraId="6C6F33BD"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Spitting</w:t>
            </w:r>
          </w:p>
        </w:tc>
        <w:tc>
          <w:tcPr>
            <w:tcW w:w="1179" w:type="dxa"/>
            <w:hideMark/>
          </w:tcPr>
          <w:p w14:paraId="0120C4D0"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Tube</w:t>
            </w:r>
          </w:p>
        </w:tc>
        <w:tc>
          <w:tcPr>
            <w:tcW w:w="1178" w:type="dxa"/>
            <w:hideMark/>
          </w:tcPr>
          <w:p w14:paraId="612B0972"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US </w:t>
            </w:r>
          </w:p>
        </w:tc>
        <w:tc>
          <w:tcPr>
            <w:tcW w:w="1648" w:type="dxa"/>
            <w:gridSpan w:val="2"/>
            <w:hideMark/>
          </w:tcPr>
          <w:p w14:paraId="4B1648DC"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Fasting the night prior sampling</w:t>
            </w:r>
          </w:p>
        </w:tc>
        <w:tc>
          <w:tcPr>
            <w:tcW w:w="2874" w:type="dxa"/>
            <w:hideMark/>
          </w:tcPr>
          <w:p w14:paraId="30F5FB30"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Children with CF had salivary calprotectin levels that were related with systemic inflammatory indicators, and ROC analysis suggested that it might be useful as a CF diagnostic tool.</w:t>
            </w:r>
          </w:p>
        </w:tc>
      </w:tr>
      <w:tr w:rsidR="00D05AB4" w:rsidRPr="00CC2F10" w14:paraId="4051ED52" w14:textId="77777777" w:rsidTr="00CC2F10">
        <w:trPr>
          <w:cnfStyle w:val="000000100000" w:firstRow="0" w:lastRow="0" w:firstColumn="0" w:lastColumn="0" w:oddVBand="0" w:evenVBand="0" w:oddHBand="1" w:evenHBand="0" w:firstRowFirstColumn="0" w:firstRowLastColumn="0" w:lastRowFirstColumn="0" w:lastRowLastColumn="0"/>
          <w:trHeight w:val="1248"/>
        </w:trPr>
        <w:tc>
          <w:tcPr>
            <w:cnfStyle w:val="001000000000" w:firstRow="0" w:lastRow="0" w:firstColumn="1" w:lastColumn="0" w:oddVBand="0" w:evenVBand="0" w:oddHBand="0" w:evenHBand="0" w:firstRowFirstColumn="0" w:firstRowLastColumn="0" w:lastRowFirstColumn="0" w:lastRowLastColumn="0"/>
            <w:tcW w:w="1560" w:type="dxa"/>
            <w:noWrap/>
            <w:hideMark/>
          </w:tcPr>
          <w:p w14:paraId="371179E7"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Zeiders et al. 2020</w:t>
            </w:r>
          </w:p>
        </w:tc>
        <w:tc>
          <w:tcPr>
            <w:tcW w:w="1413" w:type="dxa"/>
            <w:noWrap/>
            <w:hideMark/>
          </w:tcPr>
          <w:p w14:paraId="347E6843"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United States</w:t>
            </w:r>
          </w:p>
        </w:tc>
        <w:tc>
          <w:tcPr>
            <w:tcW w:w="837" w:type="dxa"/>
            <w:noWrap/>
            <w:hideMark/>
          </w:tcPr>
          <w:p w14:paraId="7072A7E8"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79A059C0"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42</w:t>
            </w:r>
          </w:p>
        </w:tc>
        <w:tc>
          <w:tcPr>
            <w:tcW w:w="1577" w:type="dxa"/>
            <w:hideMark/>
          </w:tcPr>
          <w:p w14:paraId="17A01F4D"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10-14 (12.5±0.88)</w:t>
            </w:r>
          </w:p>
        </w:tc>
        <w:tc>
          <w:tcPr>
            <w:tcW w:w="1794" w:type="dxa"/>
            <w:hideMark/>
          </w:tcPr>
          <w:p w14:paraId="74DD8CE2"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Examine changes in teenagers' physiological and psychological functioning throughout election week</w:t>
            </w:r>
          </w:p>
        </w:tc>
        <w:tc>
          <w:tcPr>
            <w:tcW w:w="1365" w:type="dxa"/>
            <w:hideMark/>
          </w:tcPr>
          <w:p w14:paraId="7272B7FA"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Drooling</w:t>
            </w:r>
          </w:p>
        </w:tc>
        <w:tc>
          <w:tcPr>
            <w:tcW w:w="1179" w:type="dxa"/>
            <w:hideMark/>
          </w:tcPr>
          <w:p w14:paraId="3608F805"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Straw and tube</w:t>
            </w:r>
          </w:p>
        </w:tc>
        <w:tc>
          <w:tcPr>
            <w:tcW w:w="1178" w:type="dxa"/>
            <w:hideMark/>
          </w:tcPr>
          <w:p w14:paraId="111F9795"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648" w:type="dxa"/>
            <w:gridSpan w:val="2"/>
            <w:hideMark/>
          </w:tcPr>
          <w:p w14:paraId="0406F8B6"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30 min fasting before sampling</w:t>
            </w:r>
          </w:p>
        </w:tc>
        <w:tc>
          <w:tcPr>
            <w:tcW w:w="2874" w:type="dxa"/>
            <w:hideMark/>
          </w:tcPr>
          <w:p w14:paraId="1A801FD5"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During election week, changes in stress hormone levels were noted, including higher evening cortisol levels and flatter diurnal cortisol slopes. Positive affect, negative affect, or morning cortisol levels did not vary significantly. </w:t>
            </w:r>
          </w:p>
        </w:tc>
      </w:tr>
      <w:tr w:rsidR="00BB05A0" w:rsidRPr="00CC2F10" w14:paraId="60176FCF" w14:textId="77777777" w:rsidTr="00CC2F10">
        <w:trPr>
          <w:trHeight w:val="1248"/>
        </w:trPr>
        <w:tc>
          <w:tcPr>
            <w:cnfStyle w:val="001000000000" w:firstRow="0" w:lastRow="0" w:firstColumn="1" w:lastColumn="0" w:oddVBand="0" w:evenVBand="0" w:oddHBand="0" w:evenHBand="0" w:firstRowFirstColumn="0" w:firstRowLastColumn="0" w:lastRowFirstColumn="0" w:lastRowLastColumn="0"/>
            <w:tcW w:w="1560" w:type="dxa"/>
            <w:noWrap/>
            <w:hideMark/>
          </w:tcPr>
          <w:p w14:paraId="220A2C72"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lastRenderedPageBreak/>
              <w:t>Zen et al. 2020</w:t>
            </w:r>
          </w:p>
        </w:tc>
        <w:tc>
          <w:tcPr>
            <w:tcW w:w="1413" w:type="dxa"/>
            <w:noWrap/>
            <w:hideMark/>
          </w:tcPr>
          <w:p w14:paraId="7B57DA17"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Brazil</w:t>
            </w:r>
          </w:p>
        </w:tc>
        <w:tc>
          <w:tcPr>
            <w:tcW w:w="837" w:type="dxa"/>
            <w:noWrap/>
            <w:hideMark/>
          </w:tcPr>
          <w:p w14:paraId="7456ABE6"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3C0D8706"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12</w:t>
            </w:r>
          </w:p>
        </w:tc>
        <w:tc>
          <w:tcPr>
            <w:tcW w:w="1577" w:type="dxa"/>
            <w:hideMark/>
          </w:tcPr>
          <w:p w14:paraId="6E01BD61"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5-10(?)</w:t>
            </w:r>
          </w:p>
        </w:tc>
        <w:tc>
          <w:tcPr>
            <w:tcW w:w="1794" w:type="dxa"/>
            <w:hideMark/>
          </w:tcPr>
          <w:p w14:paraId="53CB2806"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Determine if engaging in recreational activities with a young child before receiving dental care affects their cortisol and anxiety levels</w:t>
            </w:r>
          </w:p>
        </w:tc>
        <w:tc>
          <w:tcPr>
            <w:tcW w:w="1365" w:type="dxa"/>
            <w:hideMark/>
          </w:tcPr>
          <w:p w14:paraId="33CB5CB3"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Absorption</w:t>
            </w:r>
          </w:p>
        </w:tc>
        <w:tc>
          <w:tcPr>
            <w:tcW w:w="1179" w:type="dxa"/>
            <w:hideMark/>
          </w:tcPr>
          <w:p w14:paraId="1BB015CC" w14:textId="30669AC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Cotton rol</w:t>
            </w:r>
            <w:r w:rsidR="00D82031">
              <w:rPr>
                <w:rFonts w:ascii="Times New Roman" w:eastAsia="Times New Roman" w:hAnsi="Times New Roman" w:cs="Times New Roman"/>
                <w:sz w:val="18"/>
                <w:szCs w:val="18"/>
                <w:lang w:val="en-GB" w:eastAsia="nl-NL"/>
              </w:rPr>
              <w:t>l</w:t>
            </w:r>
          </w:p>
        </w:tc>
        <w:tc>
          <w:tcPr>
            <w:tcW w:w="1178" w:type="dxa"/>
            <w:hideMark/>
          </w:tcPr>
          <w:p w14:paraId="4D40F39F"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648" w:type="dxa"/>
            <w:gridSpan w:val="2"/>
            <w:hideMark/>
          </w:tcPr>
          <w:p w14:paraId="4FCF03A9" w14:textId="6721A553"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sidR="00D82031">
              <w:rPr>
                <w:rFonts w:ascii="Times New Roman" w:eastAsia="Times New Roman" w:hAnsi="Times New Roman" w:cs="Times New Roman"/>
                <w:sz w:val="18"/>
                <w:szCs w:val="18"/>
                <w:lang w:val="en-GB" w:eastAsia="nl-NL"/>
              </w:rPr>
              <w:t>/A</w:t>
            </w:r>
            <w:r w:rsidRPr="00333A96">
              <w:rPr>
                <w:rFonts w:ascii="Times New Roman" w:eastAsia="Times New Roman" w:hAnsi="Times New Roman" w:cs="Times New Roman"/>
                <w:sz w:val="18"/>
                <w:szCs w:val="18"/>
                <w:lang w:val="en-GB" w:eastAsia="nl-NL"/>
              </w:rPr>
              <w:t xml:space="preserve"> </w:t>
            </w:r>
          </w:p>
        </w:tc>
        <w:tc>
          <w:tcPr>
            <w:tcW w:w="2874" w:type="dxa"/>
            <w:hideMark/>
          </w:tcPr>
          <w:p w14:paraId="53CC4F9F"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No significant difference in cortisol levels between before and after dental treatment for children who engaged in recreational activities, suggesting reduced anxiety levels compared to control group. The average salivary cortisol levels in this group were similarly lower.</w:t>
            </w:r>
          </w:p>
        </w:tc>
      </w:tr>
      <w:tr w:rsidR="00D05AB4" w:rsidRPr="00CC2F10" w14:paraId="30A263E1" w14:textId="77777777" w:rsidTr="00CC2F10">
        <w:trPr>
          <w:cnfStyle w:val="000000100000" w:firstRow="0" w:lastRow="0" w:firstColumn="0" w:lastColumn="0" w:oddVBand="0" w:evenVBand="0" w:oddHBand="1" w:evenHBand="0" w:firstRowFirstColumn="0" w:firstRowLastColumn="0" w:lastRowFirstColumn="0" w:lastRowLastColumn="0"/>
          <w:trHeight w:val="565"/>
        </w:trPr>
        <w:tc>
          <w:tcPr>
            <w:cnfStyle w:val="001000000000" w:firstRow="0" w:lastRow="0" w:firstColumn="1" w:lastColumn="0" w:oddVBand="0" w:evenVBand="0" w:oddHBand="0" w:evenHBand="0" w:firstRowFirstColumn="0" w:firstRowLastColumn="0" w:lastRowFirstColumn="0" w:lastRowLastColumn="0"/>
            <w:tcW w:w="1560" w:type="dxa"/>
            <w:noWrap/>
            <w:hideMark/>
          </w:tcPr>
          <w:p w14:paraId="7E294B5C"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Zhang et al. 2022</w:t>
            </w:r>
          </w:p>
        </w:tc>
        <w:tc>
          <w:tcPr>
            <w:tcW w:w="1413" w:type="dxa"/>
            <w:noWrap/>
            <w:hideMark/>
          </w:tcPr>
          <w:p w14:paraId="113D0F98"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China</w:t>
            </w:r>
          </w:p>
        </w:tc>
        <w:tc>
          <w:tcPr>
            <w:tcW w:w="837" w:type="dxa"/>
            <w:noWrap/>
            <w:hideMark/>
          </w:tcPr>
          <w:p w14:paraId="6E8C07C4"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0D12EA55"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31</w:t>
            </w:r>
          </w:p>
        </w:tc>
        <w:tc>
          <w:tcPr>
            <w:tcW w:w="1577" w:type="dxa"/>
            <w:hideMark/>
          </w:tcPr>
          <w:p w14:paraId="29B489BC"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3-4(?)</w:t>
            </w:r>
          </w:p>
        </w:tc>
        <w:tc>
          <w:tcPr>
            <w:tcW w:w="1794" w:type="dxa"/>
            <w:hideMark/>
          </w:tcPr>
          <w:p w14:paraId="0E14B662"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Evaluate the epidemiological characteristics and microbiological differences related to childhood extrinsic BTS</w:t>
            </w:r>
          </w:p>
        </w:tc>
        <w:tc>
          <w:tcPr>
            <w:tcW w:w="1365" w:type="dxa"/>
            <w:hideMark/>
          </w:tcPr>
          <w:p w14:paraId="4BA59336"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Drooling</w:t>
            </w:r>
          </w:p>
        </w:tc>
        <w:tc>
          <w:tcPr>
            <w:tcW w:w="1179" w:type="dxa"/>
            <w:hideMark/>
          </w:tcPr>
          <w:p w14:paraId="2A0D4EA4"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Funnel</w:t>
            </w:r>
          </w:p>
        </w:tc>
        <w:tc>
          <w:tcPr>
            <w:tcW w:w="1178" w:type="dxa"/>
            <w:hideMark/>
          </w:tcPr>
          <w:p w14:paraId="5B8EC31E"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648" w:type="dxa"/>
            <w:gridSpan w:val="2"/>
            <w:hideMark/>
          </w:tcPr>
          <w:p w14:paraId="0EE03210"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2h fasting before sampling</w:t>
            </w:r>
          </w:p>
        </w:tc>
        <w:tc>
          <w:tcPr>
            <w:tcW w:w="2874" w:type="dxa"/>
            <w:hideMark/>
          </w:tcPr>
          <w:p w14:paraId="49ED5353"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1) A significant better dental hygiene and decreased prevalence of caries were seen in children with BTS. Less frequent use of marmalade, honey and regular fluoridation were significantly related with a decreased risk of BTS.</w:t>
            </w:r>
            <w:r w:rsidRPr="00333A96">
              <w:rPr>
                <w:rFonts w:ascii="Times New Roman" w:eastAsia="Times New Roman" w:hAnsi="Times New Roman" w:cs="Times New Roman"/>
                <w:sz w:val="18"/>
                <w:szCs w:val="18"/>
                <w:lang w:val="en-GB" w:eastAsia="nl-NL"/>
              </w:rPr>
              <w:br/>
              <w:t>2) Specific microbial indicators were found in the BTS group plaques, and functional analyses revealed that the BTS plaques may have an elevated metabolic state.</w:t>
            </w:r>
          </w:p>
        </w:tc>
      </w:tr>
      <w:tr w:rsidR="00BB05A0" w:rsidRPr="00CC2F10" w14:paraId="09393C73" w14:textId="77777777" w:rsidTr="00CC2F10">
        <w:trPr>
          <w:trHeight w:val="1248"/>
        </w:trPr>
        <w:tc>
          <w:tcPr>
            <w:cnfStyle w:val="001000000000" w:firstRow="0" w:lastRow="0" w:firstColumn="1" w:lastColumn="0" w:oddVBand="0" w:evenVBand="0" w:oddHBand="0" w:evenHBand="0" w:firstRowFirstColumn="0" w:firstRowLastColumn="0" w:lastRowFirstColumn="0" w:lastRowLastColumn="0"/>
            <w:tcW w:w="1560" w:type="dxa"/>
            <w:noWrap/>
            <w:hideMark/>
          </w:tcPr>
          <w:p w14:paraId="60DE8893"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Zhao et al. 2014</w:t>
            </w:r>
          </w:p>
        </w:tc>
        <w:tc>
          <w:tcPr>
            <w:tcW w:w="1413" w:type="dxa"/>
            <w:noWrap/>
            <w:hideMark/>
          </w:tcPr>
          <w:p w14:paraId="542A6770"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United States</w:t>
            </w:r>
          </w:p>
        </w:tc>
        <w:tc>
          <w:tcPr>
            <w:tcW w:w="837" w:type="dxa"/>
            <w:noWrap/>
            <w:hideMark/>
          </w:tcPr>
          <w:p w14:paraId="79CF0D13"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RCT</w:t>
            </w:r>
          </w:p>
        </w:tc>
        <w:tc>
          <w:tcPr>
            <w:tcW w:w="878" w:type="dxa"/>
            <w:noWrap/>
            <w:hideMark/>
          </w:tcPr>
          <w:p w14:paraId="1735867E"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40</w:t>
            </w:r>
          </w:p>
        </w:tc>
        <w:tc>
          <w:tcPr>
            <w:tcW w:w="1577" w:type="dxa"/>
            <w:hideMark/>
          </w:tcPr>
          <w:p w14:paraId="7B755B86"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6-12(?)</w:t>
            </w:r>
          </w:p>
        </w:tc>
        <w:tc>
          <w:tcPr>
            <w:tcW w:w="1794" w:type="dxa"/>
            <w:hideMark/>
          </w:tcPr>
          <w:p w14:paraId="60451605"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Examine whether salivary sTLR-2 and sCD14 have any promise as biomarkers of caries activity and proximate indicators of the presence of cariogenic bacteria</w:t>
            </w:r>
          </w:p>
        </w:tc>
        <w:tc>
          <w:tcPr>
            <w:tcW w:w="1365" w:type="dxa"/>
            <w:hideMark/>
          </w:tcPr>
          <w:p w14:paraId="556A9ED9"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Drooling</w:t>
            </w:r>
          </w:p>
        </w:tc>
        <w:tc>
          <w:tcPr>
            <w:tcW w:w="1179" w:type="dxa"/>
            <w:hideMark/>
          </w:tcPr>
          <w:p w14:paraId="765CCD49" w14:textId="537B940A" w:rsidR="00D05AB4" w:rsidRPr="00333A96" w:rsidRDefault="001E3817"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w:t>
            </w:r>
            <w:r>
              <w:rPr>
                <w:rFonts w:ascii="Times New Roman" w:eastAsia="Times New Roman" w:hAnsi="Times New Roman" w:cs="Times New Roman"/>
                <w:sz w:val="18"/>
                <w:szCs w:val="18"/>
                <w:lang w:val="en-GB" w:eastAsia="nl-NL"/>
              </w:rPr>
              <w:t>/A</w:t>
            </w:r>
          </w:p>
        </w:tc>
        <w:tc>
          <w:tcPr>
            <w:tcW w:w="1178" w:type="dxa"/>
            <w:hideMark/>
          </w:tcPr>
          <w:p w14:paraId="613C5D48"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648" w:type="dxa"/>
            <w:gridSpan w:val="2"/>
            <w:hideMark/>
          </w:tcPr>
          <w:p w14:paraId="63D3856C"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2h fasting before sampling</w:t>
            </w:r>
          </w:p>
        </w:tc>
        <w:tc>
          <w:tcPr>
            <w:tcW w:w="2874" w:type="dxa"/>
            <w:hideMark/>
          </w:tcPr>
          <w:p w14:paraId="44B25A26" w14:textId="77777777" w:rsidR="00D05AB4" w:rsidRPr="00333A96" w:rsidRDefault="00D05AB4" w:rsidP="00C057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No difference in the levels of sCD14 and IL-8 between the two groups, but there was a substantial difference in the concentration of sTLR-2 between caries-active and caries-free saliva.</w:t>
            </w:r>
          </w:p>
        </w:tc>
      </w:tr>
      <w:tr w:rsidR="00D05AB4" w:rsidRPr="00CC2F10" w14:paraId="4B19D2DE" w14:textId="77777777" w:rsidTr="00CC2F10">
        <w:trPr>
          <w:cnfStyle w:val="000000100000" w:firstRow="0" w:lastRow="0" w:firstColumn="0" w:lastColumn="0" w:oddVBand="0" w:evenVBand="0" w:oddHBand="1" w:evenHBand="0" w:firstRowFirstColumn="0" w:firstRowLastColumn="0" w:lastRowFirstColumn="0" w:lastRowLastColumn="0"/>
          <w:trHeight w:val="2184"/>
        </w:trPr>
        <w:tc>
          <w:tcPr>
            <w:cnfStyle w:val="001000000000" w:firstRow="0" w:lastRow="0" w:firstColumn="1" w:lastColumn="0" w:oddVBand="0" w:evenVBand="0" w:oddHBand="0" w:evenHBand="0" w:firstRowFirstColumn="0" w:firstRowLastColumn="0" w:lastRowFirstColumn="0" w:lastRowLastColumn="0"/>
            <w:tcW w:w="1560" w:type="dxa"/>
            <w:noWrap/>
            <w:hideMark/>
          </w:tcPr>
          <w:p w14:paraId="73D0B6AE" w14:textId="77777777" w:rsidR="00D05AB4" w:rsidRPr="00333A96" w:rsidRDefault="00D05AB4" w:rsidP="00C05749">
            <w:pPr>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Zorlu et al. 2017</w:t>
            </w:r>
          </w:p>
        </w:tc>
        <w:tc>
          <w:tcPr>
            <w:tcW w:w="1413" w:type="dxa"/>
            <w:noWrap/>
            <w:hideMark/>
          </w:tcPr>
          <w:p w14:paraId="28FD262D"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Turkey</w:t>
            </w:r>
          </w:p>
        </w:tc>
        <w:tc>
          <w:tcPr>
            <w:tcW w:w="837" w:type="dxa"/>
            <w:noWrap/>
            <w:hideMark/>
          </w:tcPr>
          <w:p w14:paraId="12AE54A8"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CS</w:t>
            </w:r>
          </w:p>
        </w:tc>
        <w:tc>
          <w:tcPr>
            <w:tcW w:w="878" w:type="dxa"/>
            <w:noWrap/>
            <w:hideMark/>
          </w:tcPr>
          <w:p w14:paraId="44F26F5F"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39</w:t>
            </w:r>
          </w:p>
        </w:tc>
        <w:tc>
          <w:tcPr>
            <w:tcW w:w="1577" w:type="dxa"/>
            <w:hideMark/>
          </w:tcPr>
          <w:p w14:paraId="23A76E26"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7-16 (9.78±2.86)</w:t>
            </w:r>
          </w:p>
        </w:tc>
        <w:tc>
          <w:tcPr>
            <w:tcW w:w="1794" w:type="dxa"/>
            <w:hideMark/>
          </w:tcPr>
          <w:p w14:paraId="69396B17" w14:textId="6B4CA40D"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Examine the levels of salivary lysozyme and the impact of valproic acid therapy on the dental and periodontal in epileptic patients</w:t>
            </w:r>
          </w:p>
        </w:tc>
        <w:tc>
          <w:tcPr>
            <w:tcW w:w="1365" w:type="dxa"/>
            <w:hideMark/>
          </w:tcPr>
          <w:p w14:paraId="5ACE2F8A"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Spitting</w:t>
            </w:r>
          </w:p>
        </w:tc>
        <w:tc>
          <w:tcPr>
            <w:tcW w:w="1179" w:type="dxa"/>
            <w:hideMark/>
          </w:tcPr>
          <w:p w14:paraId="3302A756"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Tube </w:t>
            </w:r>
          </w:p>
        </w:tc>
        <w:tc>
          <w:tcPr>
            <w:tcW w:w="1178" w:type="dxa"/>
            <w:hideMark/>
          </w:tcPr>
          <w:p w14:paraId="07DA5ECB"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US</w:t>
            </w:r>
          </w:p>
        </w:tc>
        <w:tc>
          <w:tcPr>
            <w:tcW w:w="1648" w:type="dxa"/>
            <w:gridSpan w:val="2"/>
            <w:hideMark/>
          </w:tcPr>
          <w:p w14:paraId="5F734F56"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1h fasting before sampling </w:t>
            </w:r>
          </w:p>
        </w:tc>
        <w:tc>
          <w:tcPr>
            <w:tcW w:w="2874" w:type="dxa"/>
            <w:hideMark/>
          </w:tcPr>
          <w:p w14:paraId="65B77BEB" w14:textId="77777777" w:rsidR="00D05AB4" w:rsidRPr="00333A96" w:rsidRDefault="00D05AB4" w:rsidP="00C057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l-NL"/>
              </w:rPr>
            </w:pPr>
            <w:r w:rsidRPr="00333A96">
              <w:rPr>
                <w:rFonts w:ascii="Times New Roman" w:eastAsia="Times New Roman" w:hAnsi="Times New Roman" w:cs="Times New Roman"/>
                <w:sz w:val="18"/>
                <w:szCs w:val="18"/>
                <w:lang w:val="en-GB" w:eastAsia="nl-NL"/>
              </w:rPr>
              <w:t xml:space="preserve">1) Patients with epilepsy had significantly higher plaque and gingival indices and salivary lysozyme levels. </w:t>
            </w:r>
            <w:r w:rsidRPr="00333A96">
              <w:rPr>
                <w:rFonts w:ascii="Times New Roman" w:eastAsia="Times New Roman" w:hAnsi="Times New Roman" w:cs="Times New Roman"/>
                <w:sz w:val="18"/>
                <w:szCs w:val="18"/>
                <w:lang w:val="en-GB" w:eastAsia="nl-NL"/>
              </w:rPr>
              <w:br/>
              <w:t xml:space="preserve">2) Regarding salivary flow rates, salivary buffering capacity, and dental experience assessments, there was no statistically significant difference between the groups. </w:t>
            </w:r>
            <w:r w:rsidRPr="00333A96">
              <w:rPr>
                <w:rFonts w:ascii="Times New Roman" w:eastAsia="Times New Roman" w:hAnsi="Times New Roman" w:cs="Times New Roman"/>
                <w:sz w:val="18"/>
                <w:szCs w:val="18"/>
                <w:lang w:val="en-GB" w:eastAsia="nl-NL"/>
              </w:rPr>
              <w:br/>
              <w:t>3) Clinical periodontal health and salivary lysozyme concentrations in epileptic patients were found to be positively correlated.</w:t>
            </w:r>
          </w:p>
        </w:tc>
      </w:tr>
    </w:tbl>
    <w:p w14:paraId="38BB6916" w14:textId="2D41FDDC" w:rsidR="00D05AB4" w:rsidRPr="00DA740C" w:rsidRDefault="00D05AB4" w:rsidP="00D05AB4">
      <w:pPr>
        <w:pBdr>
          <w:bottom w:val="single" w:sz="4" w:space="1" w:color="auto"/>
        </w:pBdr>
        <w:rPr>
          <w:i/>
          <w:iCs/>
          <w:lang w:val="en-US"/>
        </w:rPr>
      </w:pPr>
      <w:r w:rsidRPr="00DA740C">
        <w:rPr>
          <w:i/>
          <w:iCs/>
          <w:lang w:val="en-US"/>
        </w:rPr>
        <w:lastRenderedPageBreak/>
        <w:t>? = unknown, CC= Case-control, Cohort= Cohort study,</w:t>
      </w:r>
      <w:r w:rsidR="00C060BF" w:rsidRPr="00C060BF">
        <w:rPr>
          <w:i/>
          <w:iCs/>
          <w:lang w:val="en-US"/>
        </w:rPr>
        <w:t xml:space="preserve"> </w:t>
      </w:r>
      <w:r w:rsidR="00C060BF" w:rsidRPr="00DA740C">
        <w:rPr>
          <w:i/>
          <w:iCs/>
          <w:lang w:val="en-US"/>
        </w:rPr>
        <w:t xml:space="preserve">CS= Cross-sectional, </w:t>
      </w:r>
      <w:r w:rsidR="00D82031" w:rsidRPr="00DA740C">
        <w:rPr>
          <w:i/>
          <w:iCs/>
          <w:lang w:val="en-US"/>
        </w:rPr>
        <w:t xml:space="preserve"> h= hour</w:t>
      </w:r>
      <w:r w:rsidR="00D82031">
        <w:rPr>
          <w:i/>
          <w:iCs/>
          <w:lang w:val="en-US"/>
        </w:rPr>
        <w:t>,</w:t>
      </w:r>
      <w:r w:rsidRPr="00DA740C">
        <w:rPr>
          <w:i/>
          <w:iCs/>
          <w:lang w:val="en-US"/>
        </w:rPr>
        <w:t xml:space="preserve"> N= Number, </w:t>
      </w:r>
      <w:r w:rsidR="00D82031">
        <w:rPr>
          <w:i/>
          <w:iCs/>
          <w:lang w:val="en-US"/>
        </w:rPr>
        <w:t xml:space="preserve">N/A= Not available, </w:t>
      </w:r>
      <w:r w:rsidRPr="00DA740C">
        <w:rPr>
          <w:i/>
          <w:iCs/>
          <w:lang w:val="en-US"/>
        </w:rPr>
        <w:t>M= Mean,</w:t>
      </w:r>
      <w:r w:rsidR="00D82031" w:rsidRPr="00DA740C">
        <w:rPr>
          <w:i/>
          <w:iCs/>
          <w:lang w:val="en-US"/>
        </w:rPr>
        <w:t xml:space="preserve"> PS= Parotid saliva</w:t>
      </w:r>
      <w:r w:rsidRPr="00DA740C">
        <w:rPr>
          <w:i/>
          <w:iCs/>
          <w:lang w:val="en-US"/>
        </w:rPr>
        <w:t>,</w:t>
      </w:r>
      <w:r w:rsidR="00D82031">
        <w:rPr>
          <w:i/>
          <w:iCs/>
          <w:lang w:val="en-US"/>
        </w:rPr>
        <w:t xml:space="preserve"> </w:t>
      </w:r>
      <w:r w:rsidR="00D82031" w:rsidRPr="00DA740C">
        <w:rPr>
          <w:i/>
          <w:iCs/>
          <w:lang w:val="en-US"/>
        </w:rPr>
        <w:t>SD= Standard deviation</w:t>
      </w:r>
      <w:r w:rsidR="00D82031">
        <w:rPr>
          <w:i/>
          <w:iCs/>
          <w:lang w:val="en-US"/>
        </w:rPr>
        <w:t xml:space="preserve">, </w:t>
      </w:r>
      <w:r w:rsidRPr="00DA740C">
        <w:rPr>
          <w:i/>
          <w:iCs/>
          <w:lang w:val="en-US"/>
        </w:rPr>
        <w:t>SS= Stimulated saliva, UPS= Unstimulated parotid saliva, SPS= Stimulated parotid saliva</w:t>
      </w:r>
      <w:r w:rsidR="00D82031">
        <w:rPr>
          <w:i/>
          <w:iCs/>
          <w:lang w:val="en-US"/>
        </w:rPr>
        <w:t xml:space="preserve">, </w:t>
      </w:r>
      <w:r w:rsidR="00D82031" w:rsidRPr="00DA740C">
        <w:rPr>
          <w:i/>
          <w:iCs/>
          <w:lang w:val="en-US"/>
        </w:rPr>
        <w:t>RCT= Randomized controlled trial, US = Unstimulated saliva</w:t>
      </w:r>
    </w:p>
    <w:p w14:paraId="08BB540D" w14:textId="77777777" w:rsidR="00511D43" w:rsidRPr="00D05AB4" w:rsidRDefault="00511D43">
      <w:pPr>
        <w:rPr>
          <w:lang w:val="en-US"/>
        </w:rPr>
      </w:pPr>
    </w:p>
    <w:sectPr w:rsidR="00511D43" w:rsidRPr="00D05AB4" w:rsidSect="00DA740C">
      <w:pgSz w:w="16838" w:h="11906" w:orient="landscape"/>
      <w:pgMar w:top="720" w:right="340" w:bottom="720" w:left="3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Hoofdtekst)">
    <w:altName w:val="Calibri"/>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9239B0"/>
    <w:multiLevelType w:val="hybridMultilevel"/>
    <w:tmpl w:val="2674914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059784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AB4"/>
    <w:rsid w:val="000002FA"/>
    <w:rsid w:val="000252C3"/>
    <w:rsid w:val="001E3817"/>
    <w:rsid w:val="00280916"/>
    <w:rsid w:val="0034675C"/>
    <w:rsid w:val="00511D43"/>
    <w:rsid w:val="005A5074"/>
    <w:rsid w:val="0074566B"/>
    <w:rsid w:val="009A479E"/>
    <w:rsid w:val="00A03883"/>
    <w:rsid w:val="00A501FD"/>
    <w:rsid w:val="00BB05A0"/>
    <w:rsid w:val="00C060BF"/>
    <w:rsid w:val="00CC2F10"/>
    <w:rsid w:val="00D05AB4"/>
    <w:rsid w:val="00D82031"/>
    <w:rsid w:val="00E55398"/>
    <w:rsid w:val="00EA0845"/>
    <w:rsid w:val="00F80EC4"/>
    <w:rsid w:val="00FB437A"/>
    <w:rsid w:val="00FF3B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42594"/>
  <w15:chartTrackingRefBased/>
  <w15:docId w15:val="{3968F9A6-18EE-8542-93E5-93DB4D787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5AB4"/>
    <w:pPr>
      <w:spacing w:after="160" w:line="259" w:lineRule="auto"/>
    </w:pPr>
    <w:rPr>
      <w:kern w:val="0"/>
      <w:sz w:val="22"/>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05AB4"/>
    <w:rPr>
      <w:color w:val="0563C1"/>
      <w:u w:val="single"/>
    </w:rPr>
  </w:style>
  <w:style w:type="character" w:styleId="FollowedHyperlink">
    <w:name w:val="FollowedHyperlink"/>
    <w:basedOn w:val="DefaultParagraphFont"/>
    <w:uiPriority w:val="99"/>
    <w:semiHidden/>
    <w:unhideWhenUsed/>
    <w:rsid w:val="00D05AB4"/>
    <w:rPr>
      <w:color w:val="954F72"/>
      <w:u w:val="single"/>
    </w:rPr>
  </w:style>
  <w:style w:type="paragraph" w:customStyle="1" w:styleId="msonormal0">
    <w:name w:val="msonormal"/>
    <w:basedOn w:val="Normal"/>
    <w:rsid w:val="00D05AB4"/>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l65">
    <w:name w:val="xl65"/>
    <w:basedOn w:val="Normal"/>
    <w:rsid w:val="00D05AB4"/>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l66">
    <w:name w:val="xl66"/>
    <w:basedOn w:val="Normal"/>
    <w:rsid w:val="00D05AB4"/>
    <w:pPr>
      <w:spacing w:before="100" w:beforeAutospacing="1" w:after="100" w:afterAutospacing="1" w:line="240" w:lineRule="auto"/>
    </w:pPr>
    <w:rPr>
      <w:rFonts w:ascii="Times New Roman" w:eastAsia="Times New Roman" w:hAnsi="Times New Roman" w:cs="Times New Roman"/>
      <w:color w:val="000000"/>
      <w:sz w:val="24"/>
      <w:szCs w:val="24"/>
      <w:lang w:eastAsia="nl-NL"/>
    </w:rPr>
  </w:style>
  <w:style w:type="paragraph" w:customStyle="1" w:styleId="xl67">
    <w:name w:val="xl67"/>
    <w:basedOn w:val="Normal"/>
    <w:rsid w:val="00D05AB4"/>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l68">
    <w:name w:val="xl68"/>
    <w:basedOn w:val="Normal"/>
    <w:rsid w:val="00D05AB4"/>
    <w:pPr>
      <w:spacing w:before="100" w:beforeAutospacing="1" w:after="100" w:afterAutospacing="1" w:line="240" w:lineRule="auto"/>
    </w:pPr>
    <w:rPr>
      <w:rFonts w:ascii="Calibri (Hoofdtekst)" w:eastAsia="Times New Roman" w:hAnsi="Calibri (Hoofdtekst)" w:cs="Times New Roman"/>
      <w:sz w:val="24"/>
      <w:szCs w:val="24"/>
      <w:lang w:eastAsia="nl-NL"/>
    </w:rPr>
  </w:style>
  <w:style w:type="paragraph" w:customStyle="1" w:styleId="xl69">
    <w:name w:val="xl69"/>
    <w:basedOn w:val="Normal"/>
    <w:rsid w:val="00D05AB4"/>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l70">
    <w:name w:val="xl70"/>
    <w:basedOn w:val="Normal"/>
    <w:rsid w:val="00D05AB4"/>
    <w:pPr>
      <w:shd w:val="clear" w:color="000000" w:fill="D9E1F2"/>
      <w:spacing w:before="100" w:beforeAutospacing="1" w:after="100" w:afterAutospacing="1" w:line="240" w:lineRule="auto"/>
    </w:pPr>
    <w:rPr>
      <w:rFonts w:ascii="Calibri" w:eastAsia="Times New Roman" w:hAnsi="Calibri" w:cs="Calibri"/>
      <w:color w:val="000000"/>
      <w:sz w:val="24"/>
      <w:szCs w:val="24"/>
      <w:lang w:eastAsia="nl-NL"/>
    </w:rPr>
  </w:style>
  <w:style w:type="paragraph" w:customStyle="1" w:styleId="xl71">
    <w:name w:val="xl71"/>
    <w:basedOn w:val="Normal"/>
    <w:rsid w:val="00D05AB4"/>
    <w:pPr>
      <w:spacing w:before="100" w:beforeAutospacing="1" w:after="100" w:afterAutospacing="1" w:line="240" w:lineRule="auto"/>
    </w:pPr>
    <w:rPr>
      <w:rFonts w:ascii="Calibri" w:eastAsia="Times New Roman" w:hAnsi="Calibri" w:cs="Calibri"/>
      <w:color w:val="000000"/>
      <w:sz w:val="24"/>
      <w:szCs w:val="24"/>
      <w:lang w:eastAsia="nl-NL"/>
    </w:rPr>
  </w:style>
  <w:style w:type="paragraph" w:customStyle="1" w:styleId="xl72">
    <w:name w:val="xl72"/>
    <w:basedOn w:val="Normal"/>
    <w:rsid w:val="00D05AB4"/>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l73">
    <w:name w:val="xl73"/>
    <w:basedOn w:val="Normal"/>
    <w:rsid w:val="00D05AB4"/>
    <w:pPr>
      <w:spacing w:before="100" w:beforeAutospacing="1" w:after="100" w:afterAutospacing="1" w:line="240" w:lineRule="auto"/>
    </w:pPr>
    <w:rPr>
      <w:rFonts w:ascii="Times New Roman" w:eastAsia="Times New Roman" w:hAnsi="Times New Roman" w:cs="Times New Roman"/>
      <w:color w:val="000000"/>
      <w:sz w:val="24"/>
      <w:szCs w:val="24"/>
      <w:lang w:eastAsia="nl-NL"/>
    </w:rPr>
  </w:style>
  <w:style w:type="paragraph" w:customStyle="1" w:styleId="xl74">
    <w:name w:val="xl74"/>
    <w:basedOn w:val="Normal"/>
    <w:rsid w:val="00D05AB4"/>
    <w:pPr>
      <w:spacing w:before="100" w:beforeAutospacing="1" w:after="100" w:afterAutospacing="1" w:line="240" w:lineRule="auto"/>
    </w:pPr>
    <w:rPr>
      <w:rFonts w:ascii="Times New Roman" w:eastAsia="Times New Roman" w:hAnsi="Times New Roman" w:cs="Times New Roman"/>
      <w:color w:val="FFFFFF"/>
      <w:sz w:val="24"/>
      <w:szCs w:val="24"/>
      <w:lang w:eastAsia="nl-NL"/>
    </w:rPr>
  </w:style>
  <w:style w:type="paragraph" w:customStyle="1" w:styleId="xl75">
    <w:name w:val="xl75"/>
    <w:basedOn w:val="Normal"/>
    <w:rsid w:val="00D05AB4"/>
    <w:pPr>
      <w:spacing w:before="100" w:beforeAutospacing="1" w:after="100" w:afterAutospacing="1" w:line="240" w:lineRule="auto"/>
    </w:pPr>
    <w:rPr>
      <w:rFonts w:ascii="Times New Roman" w:eastAsia="Times New Roman" w:hAnsi="Times New Roman" w:cs="Times New Roman"/>
      <w:i/>
      <w:iCs/>
      <w:sz w:val="24"/>
      <w:szCs w:val="24"/>
      <w:lang w:eastAsia="nl-NL"/>
    </w:rPr>
  </w:style>
  <w:style w:type="table" w:styleId="PlainTable4">
    <w:name w:val="Plain Table 4"/>
    <w:basedOn w:val="TableNormal"/>
    <w:uiPriority w:val="44"/>
    <w:rsid w:val="00D05AB4"/>
    <w:rPr>
      <w:kern w:val="0"/>
      <w:sz w:val="22"/>
      <w:szCs w:val="22"/>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D05AB4"/>
    <w:pPr>
      <w:ind w:left="720"/>
      <w:contextualSpacing/>
    </w:pPr>
  </w:style>
  <w:style w:type="table" w:styleId="TableGrid">
    <w:name w:val="Table Grid"/>
    <w:basedOn w:val="TableNormal"/>
    <w:uiPriority w:val="39"/>
    <w:rsid w:val="00D05AB4"/>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58</Pages>
  <Words>18639</Words>
  <Characters>102517</Characters>
  <Application>Microsoft Office Word</Application>
  <DocSecurity>0</DocSecurity>
  <Lines>854</Lines>
  <Paragraphs>241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120915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juliette fey</dc:creator>
  <cp:keywords/>
  <dc:description/>
  <cp:lastModifiedBy>Hesse, D. (Daniela)</cp:lastModifiedBy>
  <cp:revision>3</cp:revision>
  <dcterms:created xsi:type="dcterms:W3CDTF">2023-10-30T14:54:00Z</dcterms:created>
  <dcterms:modified xsi:type="dcterms:W3CDTF">2023-10-30T15:13:00Z</dcterms:modified>
</cp:coreProperties>
</file>