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48448" w14:textId="316FA135" w:rsidR="003F2864" w:rsidRPr="00E34B81" w:rsidRDefault="00E34B81" w:rsidP="00E34B81">
      <w:pPr>
        <w:ind w:left="-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75037" wp14:editId="773FB52E">
                <wp:simplePos x="0" y="0"/>
                <wp:positionH relativeFrom="column">
                  <wp:posOffset>-273274</wp:posOffset>
                </wp:positionH>
                <wp:positionV relativeFrom="paragraph">
                  <wp:posOffset>-509270</wp:posOffset>
                </wp:positionV>
                <wp:extent cx="1814286" cy="304800"/>
                <wp:effectExtent l="0" t="0" r="1905" b="0"/>
                <wp:wrapNone/>
                <wp:docPr id="8540382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286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50C0B8" w14:textId="350A6961" w:rsidR="006214C8" w:rsidRPr="006214C8" w:rsidRDefault="006214C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214C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Appendix 1</w:t>
                            </w:r>
                            <w:r w:rsidR="001A2DC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77503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1.5pt;margin-top:-40.1pt;width:142.8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" fillcolor="white [3201]" stroked="f" strokeweight=".5pt">
                <v:textbox>
                  <w:txbxContent>
                    <w:p w14:paraId="6250C0B8" w14:textId="350A6961" w:rsidR="006214C8" w:rsidRPr="006214C8" w:rsidRDefault="006214C8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214C8">
                        <w:rPr>
                          <w:rFonts w:ascii="Times New Roman" w:hAnsi="Times New Roman" w:cs="Times New Roman"/>
                          <w:b/>
                          <w:bCs/>
                        </w:rPr>
                        <w:t>Appendix 1</w:t>
                      </w:r>
                      <w:r w:rsidR="001A2DC4">
                        <w:rPr>
                          <w:rFonts w:ascii="Times New Roman" w:hAnsi="Times New Roman" w:cs="Times New Roman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06906" w:rsidRPr="00E06906">
        <w:drawing>
          <wp:inline distT="0" distB="0" distL="0" distR="0" wp14:anchorId="22884672" wp14:editId="22FED171">
            <wp:extent cx="6355715" cy="4347147"/>
            <wp:effectExtent l="0" t="0" r="0" b="0"/>
            <wp:docPr id="1030761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76159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7230" cy="4355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B89C2" w14:textId="1599E1CA" w:rsidR="002923C5" w:rsidRDefault="003F2864" w:rsidP="00E34B8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</w:p>
    <w:p w14:paraId="6EA0C4BF" w14:textId="77777777" w:rsidR="00463D6C" w:rsidRDefault="00463D6C" w:rsidP="00463D6C">
      <w:p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>References</w:t>
      </w:r>
    </w:p>
    <w:p w14:paraId="28A8CE59" w14:textId="77777777" w:rsidR="00463D6C" w:rsidRPr="00CF4D82" w:rsidRDefault="00463D6C" w:rsidP="00463D6C">
      <w:pPr>
        <w:rPr>
          <w:rFonts w:ascii="Times New Roman" w:hAnsi="Times New Roman" w:cs="Times New Roman"/>
          <w:sz w:val="16"/>
          <w:szCs w:val="16"/>
        </w:rPr>
      </w:pPr>
    </w:p>
    <w:p w14:paraId="6F00E2A7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>Hayden D. Differential diagnosis of motor speech dysfunction in children. Clinics in communication disorders. 1994;4(2):119-41.</w:t>
      </w:r>
    </w:p>
    <w:p w14:paraId="100414F6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>Caruso AJ, Strand EA. Clinical management of motor speech disorders in children: George Thieme Verlag; 1999.</w:t>
      </w:r>
    </w:p>
    <w:p w14:paraId="07A4D140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>ASHA ASLHA. Childhood apraxia of speech [Technical report]. Rockville, MD; 2007.</w:t>
      </w:r>
    </w:p>
    <w:p w14:paraId="58FC3A59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 xml:space="preserve">Thoonen G, Maassen B, Wit J, </w:t>
      </w:r>
      <w:proofErr w:type="spellStart"/>
      <w:r w:rsidRPr="00CF4D82">
        <w:rPr>
          <w:rFonts w:ascii="Times New Roman" w:hAnsi="Times New Roman" w:cs="Times New Roman"/>
          <w:sz w:val="16"/>
          <w:szCs w:val="16"/>
        </w:rPr>
        <w:t>Gabreels</w:t>
      </w:r>
      <w:proofErr w:type="spellEnd"/>
      <w:r w:rsidRPr="00CF4D82">
        <w:rPr>
          <w:rFonts w:ascii="Times New Roman" w:hAnsi="Times New Roman" w:cs="Times New Roman"/>
          <w:sz w:val="16"/>
          <w:szCs w:val="16"/>
        </w:rPr>
        <w:t xml:space="preserve"> F, Schreuder R. The integrated use of maximum performance tasks in differential diagnostic evaluations among children with motor speech disorders. Clinical linguistics &amp; phonetics. 1996;10(4):311-36.</w:t>
      </w:r>
    </w:p>
    <w:p w14:paraId="5F5747B7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>Iuzzini-Seigel J, Allison KM, Stoeckel R. A tool for differential diagnosis of childhood apraxia of speech and dysarthria in children: A tutorial. Language, Speech, and Hearing Services in Schools. 2022;53(4):926-46.</w:t>
      </w:r>
    </w:p>
    <w:p w14:paraId="32671A16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463D6C">
        <w:rPr>
          <w:rFonts w:ascii="Times New Roman" w:hAnsi="Times New Roman" w:cs="Times New Roman"/>
          <w:sz w:val="16"/>
          <w:szCs w:val="16"/>
          <w:lang w:val="sv-SE"/>
        </w:rPr>
        <w:t xml:space="preserve">Murray E, </w:t>
      </w:r>
      <w:proofErr w:type="spellStart"/>
      <w:r w:rsidRPr="00463D6C">
        <w:rPr>
          <w:rFonts w:ascii="Times New Roman" w:hAnsi="Times New Roman" w:cs="Times New Roman"/>
          <w:sz w:val="16"/>
          <w:szCs w:val="16"/>
          <w:lang w:val="sv-SE"/>
        </w:rPr>
        <w:t>Iuzzini-Seigel</w:t>
      </w:r>
      <w:proofErr w:type="spellEnd"/>
      <w:r w:rsidRPr="00463D6C">
        <w:rPr>
          <w:rFonts w:ascii="Times New Roman" w:hAnsi="Times New Roman" w:cs="Times New Roman"/>
          <w:sz w:val="16"/>
          <w:szCs w:val="16"/>
          <w:lang w:val="sv-SE"/>
        </w:rPr>
        <w:t xml:space="preserve"> J, Maas E, </w:t>
      </w:r>
      <w:proofErr w:type="spellStart"/>
      <w:r w:rsidRPr="00463D6C">
        <w:rPr>
          <w:rFonts w:ascii="Times New Roman" w:hAnsi="Times New Roman" w:cs="Times New Roman"/>
          <w:sz w:val="16"/>
          <w:szCs w:val="16"/>
          <w:lang w:val="sv-SE"/>
        </w:rPr>
        <w:t>Terband</w:t>
      </w:r>
      <w:proofErr w:type="spellEnd"/>
      <w:r w:rsidRPr="00463D6C">
        <w:rPr>
          <w:rFonts w:ascii="Times New Roman" w:hAnsi="Times New Roman" w:cs="Times New Roman"/>
          <w:sz w:val="16"/>
          <w:szCs w:val="16"/>
          <w:lang w:val="sv-SE"/>
        </w:rPr>
        <w:t xml:space="preserve"> H, Ballard KJ. </w:t>
      </w:r>
      <w:r w:rsidRPr="00CF4D82">
        <w:rPr>
          <w:rFonts w:ascii="Times New Roman" w:hAnsi="Times New Roman" w:cs="Times New Roman"/>
          <w:sz w:val="16"/>
          <w:szCs w:val="16"/>
        </w:rPr>
        <w:t>Differential Diagnosis of Childhood Apraxia of Speech Compared to Other Speech Sound Disorders: A Systematic Review. American Journal of Speech-Language Pathology. 2021;30(1):279-300.</w:t>
      </w:r>
    </w:p>
    <w:p w14:paraId="38609955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proofErr w:type="spellStart"/>
      <w:r w:rsidRPr="00CF4D82">
        <w:rPr>
          <w:rFonts w:ascii="Times New Roman" w:hAnsi="Times New Roman" w:cs="Times New Roman"/>
          <w:sz w:val="16"/>
          <w:szCs w:val="16"/>
        </w:rPr>
        <w:t>Namasivayam</w:t>
      </w:r>
      <w:proofErr w:type="spellEnd"/>
      <w:r w:rsidRPr="00CF4D82">
        <w:rPr>
          <w:rFonts w:ascii="Times New Roman" w:hAnsi="Times New Roman" w:cs="Times New Roman"/>
          <w:sz w:val="16"/>
          <w:szCs w:val="16"/>
        </w:rPr>
        <w:t xml:space="preserve"> AK, Shin H, Nisenbaum R, </w:t>
      </w:r>
      <w:proofErr w:type="spellStart"/>
      <w:r w:rsidRPr="00CF4D82">
        <w:rPr>
          <w:rFonts w:ascii="Times New Roman" w:hAnsi="Times New Roman" w:cs="Times New Roman"/>
          <w:sz w:val="16"/>
          <w:szCs w:val="16"/>
        </w:rPr>
        <w:t>Pukonen</w:t>
      </w:r>
      <w:proofErr w:type="spellEnd"/>
      <w:r w:rsidRPr="00CF4D82">
        <w:rPr>
          <w:rFonts w:ascii="Times New Roman" w:hAnsi="Times New Roman" w:cs="Times New Roman"/>
          <w:sz w:val="16"/>
          <w:szCs w:val="16"/>
        </w:rPr>
        <w:t xml:space="preserve"> M, van Lieshout P. Predictors of Functional Communication Outcomes in Children </w:t>
      </w:r>
      <w:proofErr w:type="gramStart"/>
      <w:r w:rsidRPr="00CF4D82">
        <w:rPr>
          <w:rFonts w:ascii="Times New Roman" w:hAnsi="Times New Roman" w:cs="Times New Roman"/>
          <w:sz w:val="16"/>
          <w:szCs w:val="16"/>
        </w:rPr>
        <w:t>With</w:t>
      </w:r>
      <w:proofErr w:type="gramEnd"/>
      <w:r w:rsidRPr="00CF4D82">
        <w:rPr>
          <w:rFonts w:ascii="Times New Roman" w:hAnsi="Times New Roman" w:cs="Times New Roman"/>
          <w:sz w:val="16"/>
          <w:szCs w:val="16"/>
        </w:rPr>
        <w:t xml:space="preserve"> Idiopathic Motor Speech Disorders. Journal of Speech, Language, and Hearing Research. 2023:1-16.</w:t>
      </w:r>
    </w:p>
    <w:p w14:paraId="6CE71576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>Kent RD. Nonspeech Oral Movements and Oral Motor Disorders: A Narrative Review. American Journal of Speech-Language Pathology. 2015;24(4):763-89.</w:t>
      </w:r>
    </w:p>
    <w:p w14:paraId="782F49EC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>Kent RD. Handbook on Children's Speech: Development, Disorders, and Variations: Plural Publishing; 2023.</w:t>
      </w:r>
    </w:p>
    <w:p w14:paraId="4933DEE4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F4D82">
        <w:rPr>
          <w:rFonts w:ascii="Times New Roman" w:hAnsi="Times New Roman" w:cs="Times New Roman"/>
          <w:sz w:val="16"/>
          <w:szCs w:val="16"/>
        </w:rPr>
        <w:t xml:space="preserve">McAllister A, Lundeborg I. Oral sensorimotor functions in typically developing children 3 to 8 years old; assessed by the Nordic orofacial test, NOT-S. J Med Speech Lang </w:t>
      </w:r>
      <w:proofErr w:type="spellStart"/>
      <w:r w:rsidRPr="00CF4D82">
        <w:rPr>
          <w:rFonts w:ascii="Times New Roman" w:hAnsi="Times New Roman" w:cs="Times New Roman"/>
          <w:sz w:val="16"/>
          <w:szCs w:val="16"/>
        </w:rPr>
        <w:t>Pathol</w:t>
      </w:r>
      <w:proofErr w:type="spellEnd"/>
      <w:r w:rsidRPr="00CF4D82">
        <w:rPr>
          <w:rFonts w:ascii="Times New Roman" w:hAnsi="Times New Roman" w:cs="Times New Roman"/>
          <w:sz w:val="16"/>
          <w:szCs w:val="16"/>
        </w:rPr>
        <w:t xml:space="preserve">. </w:t>
      </w:r>
      <w:proofErr w:type="gramStart"/>
      <w:r w:rsidRPr="00CF4D82">
        <w:rPr>
          <w:rFonts w:ascii="Times New Roman" w:hAnsi="Times New Roman" w:cs="Times New Roman"/>
          <w:sz w:val="16"/>
          <w:szCs w:val="16"/>
        </w:rPr>
        <w:t>2013;21:51</w:t>
      </w:r>
      <w:proofErr w:type="gramEnd"/>
      <w:r w:rsidRPr="00CF4D82">
        <w:rPr>
          <w:rFonts w:ascii="Times New Roman" w:hAnsi="Times New Roman" w:cs="Times New Roman"/>
          <w:sz w:val="16"/>
          <w:szCs w:val="16"/>
        </w:rPr>
        <w:t>-9.</w:t>
      </w:r>
    </w:p>
    <w:p w14:paraId="65FAA9EA" w14:textId="77777777" w:rsidR="00463D6C" w:rsidRPr="00CF4D82" w:rsidRDefault="00463D6C" w:rsidP="00463D6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proofErr w:type="spellStart"/>
      <w:r w:rsidRPr="00CF4D82">
        <w:rPr>
          <w:rFonts w:ascii="Times New Roman" w:hAnsi="Times New Roman" w:cs="Times New Roman"/>
          <w:sz w:val="16"/>
          <w:szCs w:val="16"/>
        </w:rPr>
        <w:t>Terband</w:t>
      </w:r>
      <w:proofErr w:type="spellEnd"/>
      <w:r w:rsidRPr="00CF4D82">
        <w:rPr>
          <w:rFonts w:ascii="Times New Roman" w:hAnsi="Times New Roman" w:cs="Times New Roman"/>
          <w:sz w:val="16"/>
          <w:szCs w:val="16"/>
        </w:rPr>
        <w:t xml:space="preserve"> H, Maassen B, Guenther F, Brumberg J. Auditory–motor interactions in pediatric motor speech disorders: neurocomputational modeling of disordered development. Journal of communication disorders. </w:t>
      </w:r>
      <w:proofErr w:type="gramStart"/>
      <w:r w:rsidRPr="00CF4D82">
        <w:rPr>
          <w:rFonts w:ascii="Times New Roman" w:hAnsi="Times New Roman" w:cs="Times New Roman"/>
          <w:sz w:val="16"/>
          <w:szCs w:val="16"/>
        </w:rPr>
        <w:t>2014;47:17</w:t>
      </w:r>
      <w:proofErr w:type="gramEnd"/>
      <w:r w:rsidRPr="00CF4D82">
        <w:rPr>
          <w:rFonts w:ascii="Times New Roman" w:hAnsi="Times New Roman" w:cs="Times New Roman"/>
          <w:sz w:val="16"/>
          <w:szCs w:val="16"/>
        </w:rPr>
        <w:t>-33.</w:t>
      </w:r>
    </w:p>
    <w:p w14:paraId="5C557516" w14:textId="77777777" w:rsidR="00463D6C" w:rsidRPr="00CF4D82" w:rsidRDefault="00463D6C" w:rsidP="00463D6C">
      <w:pPr>
        <w:rPr>
          <w:rFonts w:ascii="Times New Roman" w:hAnsi="Times New Roman" w:cs="Times New Roman"/>
          <w:sz w:val="16"/>
          <w:szCs w:val="16"/>
        </w:rPr>
      </w:pPr>
    </w:p>
    <w:p w14:paraId="7D9CC22D" w14:textId="77777777" w:rsidR="002923C5" w:rsidRDefault="002923C5" w:rsidP="00E34B81">
      <w:pPr>
        <w:rPr>
          <w:rFonts w:ascii="Times New Roman" w:hAnsi="Times New Roman" w:cs="Times New Roman"/>
          <w:b/>
          <w:bCs/>
        </w:rPr>
      </w:pPr>
    </w:p>
    <w:p w14:paraId="75F90B9C" w14:textId="77777777" w:rsidR="002923C5" w:rsidRDefault="002923C5" w:rsidP="00E34B81">
      <w:pPr>
        <w:rPr>
          <w:rFonts w:ascii="Times New Roman" w:hAnsi="Times New Roman" w:cs="Times New Roman"/>
          <w:b/>
          <w:bCs/>
        </w:rPr>
      </w:pPr>
    </w:p>
    <w:p w14:paraId="114251FC" w14:textId="77777777" w:rsidR="002923C5" w:rsidRDefault="002923C5" w:rsidP="00E34B81">
      <w:pPr>
        <w:rPr>
          <w:rFonts w:ascii="Times New Roman" w:hAnsi="Times New Roman" w:cs="Times New Roman"/>
          <w:b/>
          <w:bCs/>
        </w:rPr>
      </w:pPr>
    </w:p>
    <w:p w14:paraId="6E752E9F" w14:textId="77777777" w:rsidR="002923C5" w:rsidRDefault="002923C5" w:rsidP="00E34B81">
      <w:pPr>
        <w:rPr>
          <w:rFonts w:ascii="Times New Roman" w:hAnsi="Times New Roman" w:cs="Times New Roman"/>
          <w:b/>
          <w:bCs/>
        </w:rPr>
      </w:pPr>
    </w:p>
    <w:p w14:paraId="4BFCD94D" w14:textId="77777777" w:rsidR="00E34B81" w:rsidRDefault="00E34B81" w:rsidP="00E34B81">
      <w:pPr>
        <w:rPr>
          <w:rFonts w:ascii="Times New Roman" w:hAnsi="Times New Roman" w:cs="Times New Roman"/>
          <w:b/>
          <w:bCs/>
        </w:rPr>
      </w:pPr>
    </w:p>
    <w:p w14:paraId="620C19B7" w14:textId="77777777" w:rsidR="00463D6C" w:rsidRDefault="00463D6C" w:rsidP="00E34B81">
      <w:pPr>
        <w:rPr>
          <w:rFonts w:ascii="Times New Roman" w:hAnsi="Times New Roman" w:cs="Times New Roman"/>
          <w:b/>
          <w:bCs/>
        </w:rPr>
      </w:pPr>
    </w:p>
    <w:p w14:paraId="0B348098" w14:textId="77777777" w:rsidR="000A5EE6" w:rsidRDefault="000A5EE6" w:rsidP="000A5EE6">
      <w:pPr>
        <w:rPr>
          <w:rFonts w:ascii="Times New Roman" w:hAnsi="Times New Roman" w:cs="Times New Roman"/>
          <w:b/>
          <w:bCs/>
        </w:rPr>
      </w:pPr>
    </w:p>
    <w:p w14:paraId="5F562280" w14:textId="2A22917F" w:rsidR="00E34B81" w:rsidRDefault="00E34B81" w:rsidP="000A5EE6">
      <w:pPr>
        <w:rPr>
          <w:rFonts w:ascii="Times New Roman" w:hAnsi="Times New Roman" w:cs="Times New Roman"/>
          <w:b/>
          <w:bCs/>
        </w:rPr>
      </w:pPr>
      <w:r w:rsidRPr="00AE3690">
        <w:rPr>
          <w:rFonts w:ascii="Times New Roman" w:hAnsi="Times New Roman" w:cs="Times New Roman"/>
          <w:b/>
          <w:bCs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</w:rPr>
        <w:t>1b</w:t>
      </w:r>
    </w:p>
    <w:p w14:paraId="24D082F4" w14:textId="06766830" w:rsidR="003F2864" w:rsidRDefault="003F2864" w:rsidP="0071167C">
      <w:pPr>
        <w:rPr>
          <w:rFonts w:ascii="Times New Roman" w:hAnsi="Times New Roman" w:cs="Times New Roman"/>
          <w:b/>
          <w:bCs/>
        </w:rPr>
      </w:pPr>
    </w:p>
    <w:p w14:paraId="023A7B07" w14:textId="68CEDECA" w:rsidR="00835525" w:rsidRDefault="000666B6" w:rsidP="00E34B81">
      <w:pPr>
        <w:ind w:left="-284"/>
      </w:pPr>
      <w:r w:rsidRPr="00F426E0">
        <w:rPr>
          <w:noProof/>
        </w:rPr>
        <w:drawing>
          <wp:inline distT="0" distB="0" distL="0" distR="0" wp14:anchorId="49F73315" wp14:editId="10E189ED">
            <wp:extent cx="5731510" cy="3179060"/>
            <wp:effectExtent l="0" t="0" r="0" b="0"/>
            <wp:docPr id="11736990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6990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5525" w:rsidSect="00713C19">
      <w:pgSz w:w="11906" w:h="16838"/>
      <w:pgMar w:top="197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A185C"/>
    <w:multiLevelType w:val="hybridMultilevel"/>
    <w:tmpl w:val="7A326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89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CB"/>
    <w:rsid w:val="00007190"/>
    <w:rsid w:val="000504CE"/>
    <w:rsid w:val="00053F1B"/>
    <w:rsid w:val="000666B6"/>
    <w:rsid w:val="00081EE1"/>
    <w:rsid w:val="00097B16"/>
    <w:rsid w:val="000A5EE6"/>
    <w:rsid w:val="00117079"/>
    <w:rsid w:val="001260CB"/>
    <w:rsid w:val="001A2DC4"/>
    <w:rsid w:val="002274B7"/>
    <w:rsid w:val="002557E5"/>
    <w:rsid w:val="00280F3D"/>
    <w:rsid w:val="002923C5"/>
    <w:rsid w:val="002A0DC5"/>
    <w:rsid w:val="002A12A1"/>
    <w:rsid w:val="00317544"/>
    <w:rsid w:val="003C2073"/>
    <w:rsid w:val="003E6CFD"/>
    <w:rsid w:val="003F2864"/>
    <w:rsid w:val="00446A05"/>
    <w:rsid w:val="00463D6C"/>
    <w:rsid w:val="00494BE3"/>
    <w:rsid w:val="004C7034"/>
    <w:rsid w:val="00510D67"/>
    <w:rsid w:val="005231CB"/>
    <w:rsid w:val="00563C7A"/>
    <w:rsid w:val="00567469"/>
    <w:rsid w:val="005740C3"/>
    <w:rsid w:val="0060060C"/>
    <w:rsid w:val="006077BC"/>
    <w:rsid w:val="006214C8"/>
    <w:rsid w:val="00644DE2"/>
    <w:rsid w:val="00661A9C"/>
    <w:rsid w:val="006E112C"/>
    <w:rsid w:val="0071167C"/>
    <w:rsid w:val="00713C19"/>
    <w:rsid w:val="00734576"/>
    <w:rsid w:val="00755D67"/>
    <w:rsid w:val="007F7867"/>
    <w:rsid w:val="00830CDF"/>
    <w:rsid w:val="00835525"/>
    <w:rsid w:val="00883B01"/>
    <w:rsid w:val="0093076A"/>
    <w:rsid w:val="009614E3"/>
    <w:rsid w:val="009C2C22"/>
    <w:rsid w:val="009E14D2"/>
    <w:rsid w:val="009F22D2"/>
    <w:rsid w:val="00A327AF"/>
    <w:rsid w:val="00A94F53"/>
    <w:rsid w:val="00A95AE7"/>
    <w:rsid w:val="00AB4EC2"/>
    <w:rsid w:val="00B316E3"/>
    <w:rsid w:val="00B31801"/>
    <w:rsid w:val="00B31987"/>
    <w:rsid w:val="00BA5556"/>
    <w:rsid w:val="00BB78EC"/>
    <w:rsid w:val="00C13ECF"/>
    <w:rsid w:val="00C1551B"/>
    <w:rsid w:val="00C4501B"/>
    <w:rsid w:val="00CA146E"/>
    <w:rsid w:val="00CE16DF"/>
    <w:rsid w:val="00D101D8"/>
    <w:rsid w:val="00D32E85"/>
    <w:rsid w:val="00D3763A"/>
    <w:rsid w:val="00D763AD"/>
    <w:rsid w:val="00D95FB3"/>
    <w:rsid w:val="00DA5D6F"/>
    <w:rsid w:val="00E06906"/>
    <w:rsid w:val="00E2092D"/>
    <w:rsid w:val="00E22B47"/>
    <w:rsid w:val="00E276B8"/>
    <w:rsid w:val="00E34B81"/>
    <w:rsid w:val="00E9757C"/>
    <w:rsid w:val="00F4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3660AF"/>
  <w15:chartTrackingRefBased/>
  <w15:docId w15:val="{32F122C7-C296-104D-B0DD-D27350C7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0C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C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C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C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CB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C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CB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C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CB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1260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0C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C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260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0CB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1260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0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CB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1260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Björelius</dc:creator>
  <cp:keywords/>
  <dc:description/>
  <cp:lastModifiedBy>Helena Björelius</cp:lastModifiedBy>
  <cp:revision>7</cp:revision>
  <cp:lastPrinted>2025-06-21T12:01:00Z</cp:lastPrinted>
  <dcterms:created xsi:type="dcterms:W3CDTF">2025-06-23T16:59:00Z</dcterms:created>
  <dcterms:modified xsi:type="dcterms:W3CDTF">2025-06-23T17:13:00Z</dcterms:modified>
</cp:coreProperties>
</file>