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FE9EA" w14:textId="77777777" w:rsidR="00693AC0" w:rsidRPr="00083E19" w:rsidRDefault="00693AC0" w:rsidP="00693AC0">
      <w:pPr>
        <w:pStyle w:val="Heading1"/>
        <w:jc w:val="center"/>
        <w:rPr>
          <w:rFonts w:asciiTheme="majorBidi" w:hAnsiTheme="majorBidi" w:cstheme="majorBidi"/>
          <w:sz w:val="20"/>
          <w:szCs w:val="20"/>
        </w:rPr>
      </w:pPr>
      <w:r>
        <w:rPr>
          <w:rFonts w:asciiTheme="majorBidi" w:hAnsiTheme="majorBidi" w:cstheme="majorBidi"/>
          <w:sz w:val="20"/>
          <w:szCs w:val="20"/>
        </w:rPr>
        <w:t>Supplementary Material</w:t>
      </w:r>
    </w:p>
    <w:p w14:paraId="56AD72CB" w14:textId="06FFA552" w:rsidR="009D7994" w:rsidRPr="00083E19" w:rsidRDefault="00030CB5" w:rsidP="00332116">
      <w:pPr>
        <w:rPr>
          <w:rFonts w:asciiTheme="majorBidi" w:hAnsiTheme="majorBidi" w:cstheme="majorBidi"/>
          <w:b/>
          <w:bCs/>
          <w:sz w:val="20"/>
          <w:szCs w:val="20"/>
        </w:rPr>
      </w:pPr>
      <w:r>
        <w:rPr>
          <w:rFonts w:asciiTheme="majorBidi" w:hAnsiTheme="majorBidi" w:cstheme="majorBidi"/>
          <w:b/>
          <w:bCs/>
          <w:sz w:val="20"/>
          <w:szCs w:val="20"/>
        </w:rPr>
        <w:t xml:space="preserve">Supplementary </w:t>
      </w:r>
      <w:r w:rsidR="00D2723A" w:rsidRPr="00083E19">
        <w:rPr>
          <w:rFonts w:asciiTheme="majorBidi" w:hAnsiTheme="majorBidi" w:cstheme="majorBidi"/>
          <w:b/>
          <w:bCs/>
          <w:sz w:val="20"/>
          <w:szCs w:val="20"/>
        </w:rPr>
        <w:t>Table 1</w:t>
      </w:r>
    </w:p>
    <w:p w14:paraId="63C42CA5" w14:textId="77777777" w:rsidR="00713F04" w:rsidRPr="00083E19" w:rsidRDefault="00713F04" w:rsidP="00713F04">
      <w:pPr>
        <w:rPr>
          <w:rFonts w:asciiTheme="majorBidi" w:hAnsiTheme="majorBidi" w:cstheme="majorBidi"/>
          <w:i/>
          <w:iCs/>
          <w:sz w:val="20"/>
          <w:szCs w:val="20"/>
        </w:rPr>
      </w:pPr>
      <w:r w:rsidRPr="00083E19">
        <w:rPr>
          <w:rFonts w:asciiTheme="majorBidi" w:hAnsiTheme="majorBidi" w:cstheme="majorBidi"/>
          <w:i/>
          <w:iCs/>
          <w:sz w:val="20"/>
          <w:szCs w:val="20"/>
        </w:rPr>
        <w:t>Calculating Overall Ratings of Component Ratings</w:t>
      </w:r>
    </w:p>
    <w:tbl>
      <w:tblPr>
        <w:tblStyle w:val="TableGrid"/>
        <w:tblW w:w="1488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328"/>
        <w:gridCol w:w="4342"/>
        <w:gridCol w:w="5103"/>
        <w:gridCol w:w="4111"/>
      </w:tblGrid>
      <w:tr w:rsidR="00713F04" w:rsidRPr="00083E19" w14:paraId="198E7658" w14:textId="77777777" w:rsidTr="00917233">
        <w:trPr>
          <w:trHeight w:val="369"/>
          <w:jc w:val="center"/>
        </w:trPr>
        <w:tc>
          <w:tcPr>
            <w:tcW w:w="1328" w:type="dxa"/>
            <w:vMerge w:val="restart"/>
            <w:vAlign w:val="center"/>
          </w:tcPr>
          <w:p w14:paraId="0D58CCF7" w14:textId="77777777" w:rsidR="00713F04" w:rsidRPr="00083E19" w:rsidRDefault="00713F04" w:rsidP="00506716">
            <w:pPr>
              <w:jc w:val="center"/>
              <w:rPr>
                <w:rFonts w:asciiTheme="majorBidi" w:hAnsiTheme="majorBidi" w:cstheme="majorBidi"/>
                <w:sz w:val="20"/>
                <w:szCs w:val="20"/>
              </w:rPr>
            </w:pPr>
            <w:r w:rsidRPr="00083E19">
              <w:rPr>
                <w:rFonts w:asciiTheme="majorBidi" w:hAnsiTheme="majorBidi" w:cstheme="majorBidi"/>
                <w:sz w:val="20"/>
                <w:szCs w:val="20"/>
              </w:rPr>
              <w:t>Component</w:t>
            </w:r>
          </w:p>
        </w:tc>
        <w:tc>
          <w:tcPr>
            <w:tcW w:w="13556" w:type="dxa"/>
            <w:gridSpan w:val="3"/>
          </w:tcPr>
          <w:p w14:paraId="22BBCC04" w14:textId="77777777" w:rsidR="00713F04" w:rsidRPr="00083E19" w:rsidRDefault="00713F04" w:rsidP="00506716">
            <w:pPr>
              <w:jc w:val="center"/>
              <w:rPr>
                <w:rFonts w:asciiTheme="majorBidi" w:hAnsiTheme="majorBidi" w:cstheme="majorBidi"/>
                <w:sz w:val="20"/>
                <w:szCs w:val="20"/>
              </w:rPr>
            </w:pPr>
            <w:r w:rsidRPr="00083E19">
              <w:rPr>
                <w:rFonts w:asciiTheme="majorBidi" w:hAnsiTheme="majorBidi" w:cstheme="majorBidi"/>
                <w:sz w:val="20"/>
                <w:szCs w:val="20"/>
              </w:rPr>
              <w:t>Rating</w:t>
            </w:r>
          </w:p>
        </w:tc>
      </w:tr>
      <w:tr w:rsidR="00713F04" w:rsidRPr="00083E19" w14:paraId="7A86A997" w14:textId="77777777" w:rsidTr="00917233">
        <w:trPr>
          <w:trHeight w:val="305"/>
          <w:jc w:val="center"/>
        </w:trPr>
        <w:tc>
          <w:tcPr>
            <w:tcW w:w="1328" w:type="dxa"/>
            <w:vMerge/>
          </w:tcPr>
          <w:p w14:paraId="095ECCFD" w14:textId="77777777" w:rsidR="00713F04" w:rsidRPr="00083E19" w:rsidRDefault="00713F04" w:rsidP="00506716">
            <w:pPr>
              <w:rPr>
                <w:rFonts w:asciiTheme="majorBidi" w:hAnsiTheme="majorBidi" w:cstheme="majorBidi"/>
                <w:sz w:val="20"/>
                <w:szCs w:val="20"/>
                <w:u w:val="single"/>
              </w:rPr>
            </w:pPr>
          </w:p>
        </w:tc>
        <w:tc>
          <w:tcPr>
            <w:tcW w:w="4342" w:type="dxa"/>
            <w:shd w:val="clear" w:color="auto" w:fill="F4B083" w:themeFill="accent2" w:themeFillTint="99"/>
          </w:tcPr>
          <w:p w14:paraId="14EAB02C" w14:textId="77777777" w:rsidR="00713F04" w:rsidRPr="00083E19" w:rsidRDefault="00713F04" w:rsidP="00506716">
            <w:pPr>
              <w:jc w:val="center"/>
              <w:rPr>
                <w:rFonts w:asciiTheme="majorBidi" w:hAnsiTheme="majorBidi" w:cstheme="majorBidi"/>
                <w:sz w:val="20"/>
                <w:szCs w:val="20"/>
              </w:rPr>
            </w:pPr>
            <w:r w:rsidRPr="00083E19">
              <w:rPr>
                <w:rFonts w:asciiTheme="majorBidi" w:hAnsiTheme="majorBidi" w:cstheme="majorBidi"/>
                <w:sz w:val="20"/>
                <w:szCs w:val="20"/>
              </w:rPr>
              <w:t>Weak</w:t>
            </w:r>
          </w:p>
        </w:tc>
        <w:tc>
          <w:tcPr>
            <w:tcW w:w="5103" w:type="dxa"/>
            <w:shd w:val="clear" w:color="auto" w:fill="FFD966" w:themeFill="accent4" w:themeFillTint="99"/>
          </w:tcPr>
          <w:p w14:paraId="0A754C8C" w14:textId="77777777" w:rsidR="00713F04" w:rsidRPr="00083E19" w:rsidRDefault="00713F04" w:rsidP="00506716">
            <w:pPr>
              <w:jc w:val="center"/>
              <w:rPr>
                <w:rFonts w:asciiTheme="majorBidi" w:hAnsiTheme="majorBidi" w:cstheme="majorBidi"/>
                <w:sz w:val="20"/>
                <w:szCs w:val="20"/>
              </w:rPr>
            </w:pPr>
            <w:r w:rsidRPr="00083E19">
              <w:rPr>
                <w:rFonts w:asciiTheme="majorBidi" w:hAnsiTheme="majorBidi" w:cstheme="majorBidi"/>
                <w:sz w:val="20"/>
                <w:szCs w:val="20"/>
              </w:rPr>
              <w:t>Moderate</w:t>
            </w:r>
          </w:p>
        </w:tc>
        <w:tc>
          <w:tcPr>
            <w:tcW w:w="4111" w:type="dxa"/>
            <w:shd w:val="clear" w:color="auto" w:fill="70AD47" w:themeFill="accent6"/>
          </w:tcPr>
          <w:p w14:paraId="5106520D" w14:textId="77777777" w:rsidR="00713F04" w:rsidRPr="00083E19" w:rsidRDefault="00713F04" w:rsidP="00506716">
            <w:pPr>
              <w:jc w:val="center"/>
              <w:rPr>
                <w:rFonts w:asciiTheme="majorBidi" w:hAnsiTheme="majorBidi" w:cstheme="majorBidi"/>
                <w:sz w:val="20"/>
                <w:szCs w:val="20"/>
              </w:rPr>
            </w:pPr>
            <w:r w:rsidRPr="00083E19">
              <w:rPr>
                <w:rFonts w:asciiTheme="majorBidi" w:hAnsiTheme="majorBidi" w:cstheme="majorBidi"/>
                <w:sz w:val="20"/>
                <w:szCs w:val="20"/>
              </w:rPr>
              <w:t>Strong</w:t>
            </w:r>
          </w:p>
        </w:tc>
      </w:tr>
      <w:tr w:rsidR="00713F04" w:rsidRPr="00083E19" w14:paraId="71431744" w14:textId="77777777" w:rsidTr="00917233">
        <w:trPr>
          <w:jc w:val="center"/>
        </w:trPr>
        <w:tc>
          <w:tcPr>
            <w:tcW w:w="1328" w:type="dxa"/>
            <w:vAlign w:val="center"/>
          </w:tcPr>
          <w:p w14:paraId="1B250323" w14:textId="77777777" w:rsidR="00713F04" w:rsidRPr="00083E19" w:rsidRDefault="00713F04" w:rsidP="00506716">
            <w:pPr>
              <w:rPr>
                <w:rFonts w:asciiTheme="majorBidi" w:hAnsiTheme="majorBidi" w:cstheme="majorBidi"/>
                <w:b/>
                <w:bCs/>
                <w:sz w:val="20"/>
                <w:szCs w:val="20"/>
              </w:rPr>
            </w:pPr>
            <w:r w:rsidRPr="00083E19">
              <w:rPr>
                <w:rFonts w:asciiTheme="majorBidi" w:hAnsiTheme="majorBidi" w:cstheme="majorBidi"/>
                <w:b/>
                <w:bCs/>
                <w:sz w:val="20"/>
                <w:szCs w:val="20"/>
              </w:rPr>
              <w:t>A) Selection Bias</w:t>
            </w:r>
          </w:p>
        </w:tc>
        <w:tc>
          <w:tcPr>
            <w:tcW w:w="4342" w:type="dxa"/>
          </w:tcPr>
          <w:p w14:paraId="75F62429" w14:textId="77777777" w:rsidR="00713F04" w:rsidRPr="00083E19" w:rsidRDefault="00713F04" w:rsidP="00506716">
            <w:pPr>
              <w:rPr>
                <w:rFonts w:asciiTheme="majorBidi" w:hAnsiTheme="majorBidi" w:cstheme="majorBidi"/>
                <w:sz w:val="20"/>
                <w:szCs w:val="20"/>
                <w:u w:val="single"/>
              </w:rPr>
            </w:pPr>
            <w:r w:rsidRPr="00083E19">
              <w:rPr>
                <w:rFonts w:asciiTheme="majorBidi" w:hAnsiTheme="majorBidi" w:cstheme="majorBidi"/>
                <w:sz w:val="20"/>
                <w:szCs w:val="20"/>
              </w:rPr>
              <w:t xml:space="preserve">The selected individuals are not likely to be representative of the target population (Q1 is 3); </w:t>
            </w:r>
            <w:r w:rsidRPr="00083E19">
              <w:rPr>
                <w:rFonts w:asciiTheme="majorBidi" w:eastAsia="Calibri" w:hAnsiTheme="majorBidi" w:cstheme="majorBidi"/>
                <w:b/>
                <w:sz w:val="20"/>
                <w:szCs w:val="20"/>
              </w:rPr>
              <w:t xml:space="preserve">or </w:t>
            </w:r>
            <w:r w:rsidRPr="00083E19">
              <w:rPr>
                <w:rFonts w:asciiTheme="majorBidi" w:hAnsiTheme="majorBidi" w:cstheme="majorBidi"/>
                <w:sz w:val="20"/>
                <w:szCs w:val="20"/>
              </w:rPr>
              <w:t xml:space="preserve">there is less than 60% participation (Q2 is 3) </w:t>
            </w:r>
            <w:r w:rsidRPr="00083E19">
              <w:rPr>
                <w:rFonts w:asciiTheme="majorBidi" w:eastAsia="Calibri" w:hAnsiTheme="majorBidi" w:cstheme="majorBidi"/>
                <w:b/>
                <w:sz w:val="20"/>
                <w:szCs w:val="20"/>
              </w:rPr>
              <w:t xml:space="preserve">or </w:t>
            </w:r>
            <w:r w:rsidRPr="00083E19">
              <w:rPr>
                <w:rFonts w:asciiTheme="majorBidi" w:hAnsiTheme="majorBidi" w:cstheme="majorBidi"/>
                <w:sz w:val="20"/>
                <w:szCs w:val="20"/>
              </w:rPr>
              <w:t>selection is not described (Q1 is 4); and the level of participation is not described (Q2 is 5).</w:t>
            </w:r>
          </w:p>
        </w:tc>
        <w:tc>
          <w:tcPr>
            <w:tcW w:w="5103" w:type="dxa"/>
          </w:tcPr>
          <w:p w14:paraId="7ED63FE9" w14:textId="77777777" w:rsidR="00713F04" w:rsidRPr="00083E19" w:rsidRDefault="00713F04" w:rsidP="00506716">
            <w:pPr>
              <w:rPr>
                <w:rFonts w:asciiTheme="majorBidi" w:hAnsiTheme="majorBidi" w:cstheme="majorBidi"/>
                <w:sz w:val="20"/>
                <w:szCs w:val="20"/>
                <w:u w:val="single"/>
              </w:rPr>
            </w:pPr>
            <w:r w:rsidRPr="00083E19">
              <w:rPr>
                <w:rFonts w:asciiTheme="majorBidi" w:hAnsiTheme="majorBidi" w:cstheme="majorBidi"/>
                <w:sz w:val="20"/>
                <w:szCs w:val="20"/>
              </w:rPr>
              <w:t xml:space="preserve">The selected individuals are at least somewhat likely to be representative of the target population (Q1 is 1 or 2); </w:t>
            </w:r>
            <w:r w:rsidRPr="00083E19">
              <w:rPr>
                <w:rFonts w:asciiTheme="majorBidi" w:eastAsia="Calibri" w:hAnsiTheme="majorBidi" w:cstheme="majorBidi"/>
                <w:b/>
                <w:sz w:val="20"/>
                <w:szCs w:val="20"/>
              </w:rPr>
              <w:t xml:space="preserve">and </w:t>
            </w:r>
            <w:r w:rsidRPr="00083E19">
              <w:rPr>
                <w:rFonts w:asciiTheme="majorBidi" w:hAnsiTheme="majorBidi" w:cstheme="majorBidi"/>
                <w:sz w:val="20"/>
                <w:szCs w:val="20"/>
              </w:rPr>
              <w:t>there is 60 - 79% participation (Q2 is 2).  ‘Moderate’ may also be assigned if Q1 is 1 or 2 and Q2 is 5 (can’t tell).</w:t>
            </w:r>
          </w:p>
        </w:tc>
        <w:tc>
          <w:tcPr>
            <w:tcW w:w="4111" w:type="dxa"/>
          </w:tcPr>
          <w:p w14:paraId="7C5EDA22" w14:textId="77777777" w:rsidR="00713F04" w:rsidRPr="00083E19" w:rsidRDefault="00713F04" w:rsidP="00506716">
            <w:pPr>
              <w:rPr>
                <w:rFonts w:asciiTheme="majorBidi" w:hAnsiTheme="majorBidi" w:cstheme="majorBidi"/>
                <w:sz w:val="20"/>
                <w:szCs w:val="20"/>
              </w:rPr>
            </w:pPr>
            <w:r w:rsidRPr="00083E19">
              <w:rPr>
                <w:rFonts w:asciiTheme="majorBidi" w:hAnsiTheme="majorBidi" w:cstheme="majorBidi"/>
                <w:sz w:val="20"/>
                <w:szCs w:val="20"/>
              </w:rPr>
              <w:t xml:space="preserve">The selected individuals are very likely to be representative of the target population (Q1 is 1) </w:t>
            </w:r>
            <w:r w:rsidRPr="00083E19">
              <w:rPr>
                <w:rFonts w:asciiTheme="majorBidi" w:eastAsia="Calibri" w:hAnsiTheme="majorBidi" w:cstheme="majorBidi"/>
                <w:b/>
                <w:sz w:val="20"/>
                <w:szCs w:val="20"/>
              </w:rPr>
              <w:t xml:space="preserve">and </w:t>
            </w:r>
            <w:r w:rsidRPr="00083E19">
              <w:rPr>
                <w:rFonts w:asciiTheme="majorBidi" w:hAnsiTheme="majorBidi" w:cstheme="majorBidi"/>
                <w:sz w:val="20"/>
                <w:szCs w:val="20"/>
              </w:rPr>
              <w:t xml:space="preserve">there is greater than 80% participation (Q2 is 1). </w:t>
            </w:r>
          </w:p>
          <w:p w14:paraId="5DE33A5E" w14:textId="77777777" w:rsidR="00713F04" w:rsidRPr="00083E19" w:rsidRDefault="00713F04" w:rsidP="00506716">
            <w:pPr>
              <w:rPr>
                <w:rFonts w:asciiTheme="majorBidi" w:hAnsiTheme="majorBidi" w:cstheme="majorBidi"/>
                <w:sz w:val="20"/>
                <w:szCs w:val="20"/>
                <w:u w:val="single"/>
              </w:rPr>
            </w:pPr>
          </w:p>
        </w:tc>
      </w:tr>
      <w:tr w:rsidR="00713F04" w:rsidRPr="00083E19" w14:paraId="5CE131CD" w14:textId="77777777" w:rsidTr="00917233">
        <w:trPr>
          <w:jc w:val="center"/>
        </w:trPr>
        <w:tc>
          <w:tcPr>
            <w:tcW w:w="1328" w:type="dxa"/>
            <w:vAlign w:val="center"/>
          </w:tcPr>
          <w:p w14:paraId="35E073DB" w14:textId="77777777" w:rsidR="00713F04" w:rsidRPr="00083E19" w:rsidRDefault="00713F04" w:rsidP="00506716">
            <w:pPr>
              <w:rPr>
                <w:rFonts w:asciiTheme="majorBidi" w:hAnsiTheme="majorBidi" w:cstheme="majorBidi"/>
                <w:b/>
                <w:bCs/>
                <w:sz w:val="20"/>
                <w:szCs w:val="20"/>
              </w:rPr>
            </w:pPr>
            <w:r w:rsidRPr="00083E19">
              <w:rPr>
                <w:rFonts w:asciiTheme="majorBidi" w:hAnsiTheme="majorBidi" w:cstheme="majorBidi"/>
                <w:b/>
                <w:bCs/>
                <w:sz w:val="20"/>
                <w:szCs w:val="20"/>
              </w:rPr>
              <w:t>B) Study Design</w:t>
            </w:r>
          </w:p>
        </w:tc>
        <w:tc>
          <w:tcPr>
            <w:tcW w:w="4342" w:type="dxa"/>
          </w:tcPr>
          <w:p w14:paraId="7EC95E9D" w14:textId="77777777" w:rsidR="00713F04" w:rsidRPr="00083E19" w:rsidRDefault="00713F04" w:rsidP="00506716">
            <w:pPr>
              <w:rPr>
                <w:rFonts w:asciiTheme="majorBidi" w:hAnsiTheme="majorBidi" w:cstheme="majorBidi"/>
                <w:sz w:val="20"/>
                <w:szCs w:val="20"/>
                <w:u w:val="single"/>
              </w:rPr>
            </w:pPr>
            <w:r w:rsidRPr="00083E19">
              <w:rPr>
                <w:rFonts w:asciiTheme="majorBidi" w:hAnsiTheme="majorBidi" w:cstheme="majorBidi"/>
                <w:sz w:val="20"/>
                <w:szCs w:val="20"/>
              </w:rPr>
              <w:t>Will be assigned to those that used any other method or did not state the method used.</w:t>
            </w:r>
          </w:p>
        </w:tc>
        <w:tc>
          <w:tcPr>
            <w:tcW w:w="5103" w:type="dxa"/>
          </w:tcPr>
          <w:p w14:paraId="0E3FA6DF" w14:textId="77777777" w:rsidR="00713F04" w:rsidRPr="00083E19" w:rsidRDefault="00713F04" w:rsidP="00506716">
            <w:pPr>
              <w:rPr>
                <w:rFonts w:asciiTheme="majorBidi" w:hAnsiTheme="majorBidi" w:cstheme="majorBidi"/>
                <w:sz w:val="20"/>
                <w:szCs w:val="20"/>
                <w:u w:val="single"/>
              </w:rPr>
            </w:pPr>
            <w:r w:rsidRPr="00083E19">
              <w:rPr>
                <w:rFonts w:asciiTheme="majorBidi" w:hAnsiTheme="majorBidi" w:cstheme="majorBidi"/>
                <w:sz w:val="20"/>
                <w:szCs w:val="20"/>
              </w:rPr>
              <w:t>Will be assigned to those that described a cohort analytic study, a case control study, a cohort design, or an interrupted time series.</w:t>
            </w:r>
          </w:p>
        </w:tc>
        <w:tc>
          <w:tcPr>
            <w:tcW w:w="4111" w:type="dxa"/>
          </w:tcPr>
          <w:p w14:paraId="3AF179FA" w14:textId="77777777" w:rsidR="00713F04" w:rsidRPr="00083E19" w:rsidRDefault="00713F04" w:rsidP="00506716">
            <w:pPr>
              <w:rPr>
                <w:rFonts w:asciiTheme="majorBidi" w:hAnsiTheme="majorBidi" w:cstheme="majorBidi"/>
                <w:b/>
                <w:bCs/>
                <w:sz w:val="20"/>
                <w:szCs w:val="20"/>
              </w:rPr>
            </w:pPr>
            <w:r w:rsidRPr="00083E19">
              <w:rPr>
                <w:rFonts w:asciiTheme="majorBidi" w:hAnsiTheme="majorBidi" w:cstheme="majorBidi"/>
                <w:sz w:val="20"/>
                <w:szCs w:val="20"/>
              </w:rPr>
              <w:t>Will be assigned to those articles that described RCTs and CCTs.</w:t>
            </w:r>
          </w:p>
        </w:tc>
      </w:tr>
      <w:tr w:rsidR="00713F04" w:rsidRPr="00083E19" w14:paraId="19144C42" w14:textId="77777777" w:rsidTr="00917233">
        <w:trPr>
          <w:jc w:val="center"/>
        </w:trPr>
        <w:tc>
          <w:tcPr>
            <w:tcW w:w="1328" w:type="dxa"/>
            <w:vAlign w:val="center"/>
          </w:tcPr>
          <w:p w14:paraId="46407856" w14:textId="77777777" w:rsidR="00713F04" w:rsidRPr="00083E19" w:rsidRDefault="00713F04" w:rsidP="00506716">
            <w:pPr>
              <w:rPr>
                <w:rFonts w:asciiTheme="majorBidi" w:hAnsiTheme="majorBidi" w:cstheme="majorBidi"/>
                <w:b/>
                <w:bCs/>
                <w:sz w:val="20"/>
                <w:szCs w:val="20"/>
              </w:rPr>
            </w:pPr>
            <w:r w:rsidRPr="00083E19">
              <w:rPr>
                <w:rFonts w:asciiTheme="majorBidi" w:hAnsiTheme="majorBidi" w:cstheme="majorBidi"/>
                <w:b/>
                <w:bCs/>
                <w:sz w:val="20"/>
                <w:szCs w:val="20"/>
              </w:rPr>
              <w:t>C) Confounders</w:t>
            </w:r>
          </w:p>
        </w:tc>
        <w:tc>
          <w:tcPr>
            <w:tcW w:w="4342" w:type="dxa"/>
          </w:tcPr>
          <w:p w14:paraId="3255668A" w14:textId="77777777" w:rsidR="00713F04" w:rsidRPr="00083E19" w:rsidRDefault="00713F04" w:rsidP="00506716">
            <w:pPr>
              <w:rPr>
                <w:rFonts w:asciiTheme="majorBidi" w:hAnsiTheme="majorBidi" w:cstheme="majorBidi"/>
                <w:sz w:val="20"/>
                <w:szCs w:val="20"/>
                <w:u w:val="single"/>
              </w:rPr>
            </w:pPr>
            <w:r w:rsidRPr="00083E19">
              <w:rPr>
                <w:rFonts w:asciiTheme="majorBidi" w:hAnsiTheme="majorBidi" w:cstheme="majorBidi"/>
                <w:sz w:val="20"/>
                <w:szCs w:val="20"/>
              </w:rPr>
              <w:t xml:space="preserve">Will be assigned when less than 60% of relevant confounders were controlled (Q1 is 1) </w:t>
            </w:r>
            <w:r w:rsidRPr="00083E19">
              <w:rPr>
                <w:rFonts w:asciiTheme="majorBidi" w:eastAsia="Calibri" w:hAnsiTheme="majorBidi" w:cstheme="majorBidi"/>
                <w:b/>
                <w:sz w:val="20"/>
                <w:szCs w:val="20"/>
              </w:rPr>
              <w:t>and</w:t>
            </w:r>
            <w:r w:rsidRPr="00083E19">
              <w:rPr>
                <w:rFonts w:asciiTheme="majorBidi" w:hAnsiTheme="majorBidi" w:cstheme="majorBidi"/>
                <w:sz w:val="20"/>
                <w:szCs w:val="20"/>
              </w:rPr>
              <w:t xml:space="preserve"> (Q2 is 3) </w:t>
            </w:r>
            <w:r w:rsidRPr="00083E19">
              <w:rPr>
                <w:rFonts w:asciiTheme="majorBidi" w:eastAsia="Calibri" w:hAnsiTheme="majorBidi" w:cstheme="majorBidi"/>
                <w:b/>
                <w:sz w:val="20"/>
                <w:szCs w:val="20"/>
              </w:rPr>
              <w:t xml:space="preserve">or </w:t>
            </w:r>
            <w:r w:rsidRPr="00083E19">
              <w:rPr>
                <w:rFonts w:asciiTheme="majorBidi" w:hAnsiTheme="majorBidi" w:cstheme="majorBidi"/>
                <w:sz w:val="20"/>
                <w:szCs w:val="20"/>
              </w:rPr>
              <w:t xml:space="preserve">control of confounders was not described (Q1 is 3) </w:t>
            </w:r>
            <w:r w:rsidRPr="00083E19">
              <w:rPr>
                <w:rFonts w:asciiTheme="majorBidi" w:eastAsia="Calibri" w:hAnsiTheme="majorBidi" w:cstheme="majorBidi"/>
                <w:b/>
                <w:sz w:val="20"/>
                <w:szCs w:val="20"/>
              </w:rPr>
              <w:t xml:space="preserve">and </w:t>
            </w:r>
            <w:r w:rsidRPr="00083E19">
              <w:rPr>
                <w:rFonts w:asciiTheme="majorBidi" w:hAnsiTheme="majorBidi" w:cstheme="majorBidi"/>
                <w:sz w:val="20"/>
                <w:szCs w:val="20"/>
              </w:rPr>
              <w:t xml:space="preserve">(Q2 is 4).  </w:t>
            </w:r>
          </w:p>
        </w:tc>
        <w:tc>
          <w:tcPr>
            <w:tcW w:w="5103" w:type="dxa"/>
          </w:tcPr>
          <w:p w14:paraId="114B9A2C" w14:textId="77777777" w:rsidR="00713F04" w:rsidRPr="00083E19" w:rsidRDefault="00713F04" w:rsidP="00506716">
            <w:pPr>
              <w:rPr>
                <w:rFonts w:asciiTheme="majorBidi" w:hAnsiTheme="majorBidi" w:cstheme="majorBidi"/>
                <w:sz w:val="20"/>
                <w:szCs w:val="20"/>
                <w:u w:val="single"/>
              </w:rPr>
            </w:pPr>
            <w:r w:rsidRPr="00083E19">
              <w:rPr>
                <w:rFonts w:asciiTheme="majorBidi" w:hAnsiTheme="majorBidi" w:cstheme="majorBidi"/>
                <w:sz w:val="20"/>
                <w:szCs w:val="20"/>
              </w:rPr>
              <w:t xml:space="preserve">Will be given to those studies that controlled for 60 – 79% of relevant confounders (Q1 is 1) </w:t>
            </w:r>
            <w:r w:rsidRPr="00083E19">
              <w:rPr>
                <w:rFonts w:asciiTheme="majorBidi" w:eastAsia="Calibri" w:hAnsiTheme="majorBidi" w:cstheme="majorBidi"/>
                <w:b/>
                <w:sz w:val="20"/>
                <w:szCs w:val="20"/>
              </w:rPr>
              <w:t xml:space="preserve">and </w:t>
            </w:r>
            <w:r w:rsidRPr="00083E19">
              <w:rPr>
                <w:rFonts w:asciiTheme="majorBidi" w:hAnsiTheme="majorBidi" w:cstheme="majorBidi"/>
                <w:sz w:val="20"/>
                <w:szCs w:val="20"/>
              </w:rPr>
              <w:t>(Q2 is 2).</w:t>
            </w:r>
          </w:p>
        </w:tc>
        <w:tc>
          <w:tcPr>
            <w:tcW w:w="4111" w:type="dxa"/>
          </w:tcPr>
          <w:p w14:paraId="1C663BE4" w14:textId="77777777" w:rsidR="00713F04" w:rsidRPr="00083E19" w:rsidRDefault="00713F04" w:rsidP="00506716">
            <w:pPr>
              <w:rPr>
                <w:rFonts w:asciiTheme="majorBidi" w:hAnsiTheme="majorBidi" w:cstheme="majorBidi"/>
                <w:sz w:val="20"/>
                <w:szCs w:val="20"/>
                <w:u w:val="single"/>
              </w:rPr>
            </w:pPr>
            <w:r w:rsidRPr="00083E19">
              <w:rPr>
                <w:rFonts w:asciiTheme="majorBidi" w:hAnsiTheme="majorBidi" w:cstheme="majorBidi"/>
                <w:sz w:val="20"/>
                <w:szCs w:val="20"/>
              </w:rPr>
              <w:t xml:space="preserve">Will be assigned to those articles that controlled for at least 80% of relevant confounders (Q1 is 2); </w:t>
            </w:r>
            <w:r w:rsidRPr="00083E19">
              <w:rPr>
                <w:rFonts w:asciiTheme="majorBidi" w:eastAsia="Calibri" w:hAnsiTheme="majorBidi" w:cstheme="majorBidi"/>
                <w:b/>
                <w:sz w:val="20"/>
                <w:szCs w:val="20"/>
              </w:rPr>
              <w:t>or</w:t>
            </w:r>
            <w:r w:rsidRPr="00083E19">
              <w:rPr>
                <w:rFonts w:asciiTheme="majorBidi" w:hAnsiTheme="majorBidi" w:cstheme="majorBidi"/>
                <w:sz w:val="20"/>
                <w:szCs w:val="20"/>
              </w:rPr>
              <w:t xml:space="preserve"> (Q2 is 1).</w:t>
            </w:r>
          </w:p>
        </w:tc>
      </w:tr>
      <w:tr w:rsidR="00713F04" w:rsidRPr="00083E19" w14:paraId="61592586" w14:textId="77777777" w:rsidTr="00917233">
        <w:trPr>
          <w:jc w:val="center"/>
        </w:trPr>
        <w:tc>
          <w:tcPr>
            <w:tcW w:w="1328" w:type="dxa"/>
            <w:vAlign w:val="center"/>
          </w:tcPr>
          <w:p w14:paraId="3ABE3CD2" w14:textId="77777777" w:rsidR="00713F04" w:rsidRPr="00083E19" w:rsidRDefault="00713F04" w:rsidP="00506716">
            <w:pPr>
              <w:rPr>
                <w:rFonts w:asciiTheme="majorBidi" w:hAnsiTheme="majorBidi" w:cstheme="majorBidi"/>
                <w:b/>
                <w:bCs/>
                <w:sz w:val="20"/>
                <w:szCs w:val="20"/>
              </w:rPr>
            </w:pPr>
            <w:r w:rsidRPr="00083E19">
              <w:rPr>
                <w:rFonts w:asciiTheme="majorBidi" w:hAnsiTheme="majorBidi" w:cstheme="majorBidi"/>
                <w:b/>
                <w:bCs/>
                <w:sz w:val="20"/>
                <w:szCs w:val="20"/>
              </w:rPr>
              <w:t>D)Data Collection</w:t>
            </w:r>
          </w:p>
        </w:tc>
        <w:tc>
          <w:tcPr>
            <w:tcW w:w="4342" w:type="dxa"/>
          </w:tcPr>
          <w:p w14:paraId="2F300AA6" w14:textId="77777777" w:rsidR="00713F04" w:rsidRPr="00083E19" w:rsidRDefault="00713F04" w:rsidP="00506716">
            <w:pPr>
              <w:rPr>
                <w:rFonts w:asciiTheme="majorBidi" w:hAnsiTheme="majorBidi" w:cstheme="majorBidi"/>
                <w:sz w:val="20"/>
                <w:szCs w:val="20"/>
                <w:u w:val="single"/>
              </w:rPr>
            </w:pPr>
            <w:r w:rsidRPr="00083E19">
              <w:rPr>
                <w:rFonts w:asciiTheme="majorBidi" w:hAnsiTheme="majorBidi" w:cstheme="majorBidi"/>
                <w:sz w:val="20"/>
                <w:szCs w:val="20"/>
              </w:rPr>
              <w:t xml:space="preserve">The data collection tools have not been shown to be valid (Q1 is 3) </w:t>
            </w:r>
            <w:r w:rsidRPr="00083E19">
              <w:rPr>
                <w:rFonts w:asciiTheme="majorBidi" w:eastAsia="Calibri" w:hAnsiTheme="majorBidi" w:cstheme="majorBidi"/>
                <w:b/>
                <w:sz w:val="20"/>
                <w:szCs w:val="20"/>
              </w:rPr>
              <w:t>or</w:t>
            </w:r>
            <w:r w:rsidRPr="00083E19">
              <w:rPr>
                <w:rFonts w:asciiTheme="majorBidi" w:hAnsiTheme="majorBidi" w:cstheme="majorBidi"/>
                <w:sz w:val="20"/>
                <w:szCs w:val="20"/>
              </w:rPr>
              <w:t xml:space="preserve"> both reliability and validity are not described (Q1 is 4 and Q2 is 3).</w:t>
            </w:r>
          </w:p>
        </w:tc>
        <w:tc>
          <w:tcPr>
            <w:tcW w:w="5103" w:type="dxa"/>
          </w:tcPr>
          <w:p w14:paraId="61154B48" w14:textId="77777777" w:rsidR="00713F04" w:rsidRPr="00083E19" w:rsidRDefault="00713F04" w:rsidP="00506716">
            <w:pPr>
              <w:rPr>
                <w:rFonts w:asciiTheme="majorBidi" w:hAnsiTheme="majorBidi" w:cstheme="majorBidi"/>
                <w:sz w:val="20"/>
                <w:szCs w:val="20"/>
                <w:u w:val="single"/>
              </w:rPr>
            </w:pPr>
            <w:r w:rsidRPr="00083E19">
              <w:rPr>
                <w:rFonts w:asciiTheme="majorBidi" w:hAnsiTheme="majorBidi" w:cstheme="majorBidi"/>
                <w:sz w:val="20"/>
                <w:szCs w:val="20"/>
              </w:rPr>
              <w:t xml:space="preserve">The data collection tools have been shown to be valid in NT sample (Q1 is 1 or 2); </w:t>
            </w:r>
            <w:r w:rsidRPr="00083E19">
              <w:rPr>
                <w:rFonts w:asciiTheme="majorBidi" w:eastAsia="Calibri" w:hAnsiTheme="majorBidi" w:cstheme="majorBidi"/>
                <w:b/>
                <w:sz w:val="20"/>
                <w:szCs w:val="20"/>
              </w:rPr>
              <w:t xml:space="preserve">and </w:t>
            </w:r>
            <w:r w:rsidRPr="00083E19">
              <w:rPr>
                <w:rFonts w:asciiTheme="majorBidi" w:hAnsiTheme="majorBidi" w:cstheme="majorBidi"/>
                <w:sz w:val="20"/>
                <w:szCs w:val="20"/>
              </w:rPr>
              <w:t xml:space="preserve">the data collection tools have not been shown to be reliable (Q2 is 2) </w:t>
            </w:r>
            <w:r w:rsidRPr="00083E19">
              <w:rPr>
                <w:rFonts w:asciiTheme="majorBidi" w:eastAsia="Calibri" w:hAnsiTheme="majorBidi" w:cstheme="majorBidi"/>
                <w:b/>
                <w:sz w:val="20"/>
                <w:szCs w:val="20"/>
              </w:rPr>
              <w:t>or</w:t>
            </w:r>
            <w:r w:rsidRPr="00083E19">
              <w:rPr>
                <w:rFonts w:asciiTheme="majorBidi" w:hAnsiTheme="majorBidi" w:cstheme="majorBidi"/>
                <w:sz w:val="20"/>
                <w:szCs w:val="20"/>
              </w:rPr>
              <w:t xml:space="preserve"> reliability is not described (Q2 is 3).</w:t>
            </w:r>
          </w:p>
        </w:tc>
        <w:tc>
          <w:tcPr>
            <w:tcW w:w="4111" w:type="dxa"/>
          </w:tcPr>
          <w:p w14:paraId="08F60637" w14:textId="77777777" w:rsidR="00713F04" w:rsidRPr="00083E19" w:rsidRDefault="00713F04" w:rsidP="00506716">
            <w:pPr>
              <w:rPr>
                <w:rFonts w:asciiTheme="majorBidi" w:hAnsiTheme="majorBidi" w:cstheme="majorBidi"/>
                <w:sz w:val="20"/>
                <w:szCs w:val="20"/>
                <w:u w:val="single"/>
              </w:rPr>
            </w:pPr>
            <w:r w:rsidRPr="00083E19">
              <w:rPr>
                <w:rFonts w:asciiTheme="majorBidi" w:hAnsiTheme="majorBidi" w:cstheme="majorBidi"/>
                <w:sz w:val="20"/>
                <w:szCs w:val="20"/>
              </w:rPr>
              <w:t xml:space="preserve">The data collection tools have been shown to be valid in ASD sample and NT sample (Q1 is 1); </w:t>
            </w:r>
            <w:r w:rsidRPr="00083E19">
              <w:rPr>
                <w:rFonts w:asciiTheme="majorBidi" w:eastAsia="Calibri" w:hAnsiTheme="majorBidi" w:cstheme="majorBidi"/>
                <w:b/>
                <w:sz w:val="20"/>
                <w:szCs w:val="20"/>
              </w:rPr>
              <w:t xml:space="preserve">and </w:t>
            </w:r>
            <w:r w:rsidRPr="00083E19">
              <w:rPr>
                <w:rFonts w:asciiTheme="majorBidi" w:hAnsiTheme="majorBidi" w:cstheme="majorBidi"/>
                <w:sz w:val="20"/>
                <w:szCs w:val="20"/>
              </w:rPr>
              <w:t>the data collection tools have been shown to be reliable (Q2 is 1).</w:t>
            </w:r>
          </w:p>
        </w:tc>
      </w:tr>
      <w:tr w:rsidR="00713F04" w:rsidRPr="00083E19" w14:paraId="1C6FF72F" w14:textId="77777777" w:rsidTr="00917233">
        <w:trPr>
          <w:jc w:val="center"/>
        </w:trPr>
        <w:tc>
          <w:tcPr>
            <w:tcW w:w="1328" w:type="dxa"/>
            <w:vAlign w:val="center"/>
          </w:tcPr>
          <w:p w14:paraId="340172B4" w14:textId="77777777" w:rsidR="00713F04" w:rsidRPr="00083E19" w:rsidRDefault="00713F04" w:rsidP="00506716">
            <w:pPr>
              <w:tabs>
                <w:tab w:val="center" w:pos="1165"/>
                <w:tab w:val="left" w:pos="1590"/>
              </w:tabs>
              <w:rPr>
                <w:rFonts w:asciiTheme="majorBidi" w:hAnsiTheme="majorBidi" w:cstheme="majorBidi"/>
                <w:b/>
                <w:bCs/>
                <w:sz w:val="20"/>
                <w:szCs w:val="20"/>
              </w:rPr>
            </w:pPr>
            <w:r w:rsidRPr="00083E19">
              <w:rPr>
                <w:rFonts w:asciiTheme="majorBidi" w:hAnsiTheme="majorBidi" w:cstheme="majorBidi"/>
                <w:b/>
                <w:bCs/>
                <w:sz w:val="20"/>
                <w:szCs w:val="20"/>
              </w:rPr>
              <w:t>E) Attrition</w:t>
            </w:r>
          </w:p>
        </w:tc>
        <w:tc>
          <w:tcPr>
            <w:tcW w:w="4342" w:type="dxa"/>
          </w:tcPr>
          <w:p w14:paraId="369A21E2" w14:textId="77777777" w:rsidR="00713F04" w:rsidRPr="00083E19" w:rsidRDefault="00713F04" w:rsidP="00506716">
            <w:pPr>
              <w:rPr>
                <w:rFonts w:asciiTheme="majorBidi" w:hAnsiTheme="majorBidi" w:cstheme="majorBidi"/>
                <w:sz w:val="20"/>
                <w:szCs w:val="20"/>
                <w:u w:val="single"/>
              </w:rPr>
            </w:pPr>
            <w:r w:rsidRPr="00083E19">
              <w:rPr>
                <w:rFonts w:asciiTheme="majorBidi" w:hAnsiTheme="majorBidi" w:cstheme="majorBidi"/>
                <w:sz w:val="20"/>
                <w:szCs w:val="20"/>
              </w:rPr>
              <w:t>Will be assigned when a completion rate is less than 60% (Q2 is 3) or if the withdrawals and drop-outs were not described (Q2 is 4).</w:t>
            </w:r>
          </w:p>
        </w:tc>
        <w:tc>
          <w:tcPr>
            <w:tcW w:w="5103" w:type="dxa"/>
          </w:tcPr>
          <w:p w14:paraId="5212A14F" w14:textId="77777777" w:rsidR="00713F04" w:rsidRPr="00083E19" w:rsidRDefault="00713F04" w:rsidP="00506716">
            <w:pPr>
              <w:rPr>
                <w:rFonts w:asciiTheme="majorBidi" w:hAnsiTheme="majorBidi" w:cstheme="majorBidi"/>
                <w:sz w:val="20"/>
                <w:szCs w:val="20"/>
              </w:rPr>
            </w:pPr>
            <w:r w:rsidRPr="00083E19">
              <w:rPr>
                <w:rFonts w:asciiTheme="majorBidi" w:hAnsiTheme="majorBidi" w:cstheme="majorBidi"/>
                <w:sz w:val="20"/>
                <w:szCs w:val="20"/>
              </w:rPr>
              <w:t xml:space="preserve">Will be assigned when the completion rate is 60 – 79% (Q2 is 2) </w:t>
            </w:r>
            <w:r w:rsidRPr="00083E19">
              <w:rPr>
                <w:rFonts w:asciiTheme="majorBidi" w:eastAsia="Calibri" w:hAnsiTheme="majorBidi" w:cstheme="majorBidi"/>
                <w:b/>
                <w:sz w:val="20"/>
                <w:szCs w:val="20"/>
              </w:rPr>
              <w:t xml:space="preserve">OR </w:t>
            </w:r>
            <w:r w:rsidRPr="00083E19">
              <w:rPr>
                <w:rFonts w:asciiTheme="majorBidi" w:hAnsiTheme="majorBidi" w:cstheme="majorBidi"/>
                <w:sz w:val="20"/>
                <w:szCs w:val="20"/>
              </w:rPr>
              <w:t xml:space="preserve">Q2 is 5 (N/A). </w:t>
            </w:r>
          </w:p>
          <w:p w14:paraId="2FC3351B" w14:textId="77777777" w:rsidR="00713F04" w:rsidRPr="00083E19" w:rsidRDefault="00713F04" w:rsidP="00506716">
            <w:pPr>
              <w:rPr>
                <w:rFonts w:asciiTheme="majorBidi" w:hAnsiTheme="majorBidi" w:cstheme="majorBidi"/>
                <w:sz w:val="20"/>
                <w:szCs w:val="20"/>
                <w:u w:val="single"/>
              </w:rPr>
            </w:pPr>
          </w:p>
        </w:tc>
        <w:tc>
          <w:tcPr>
            <w:tcW w:w="4111" w:type="dxa"/>
          </w:tcPr>
          <w:p w14:paraId="6ED92BBD" w14:textId="77777777" w:rsidR="00713F04" w:rsidRPr="00083E19" w:rsidRDefault="00713F04" w:rsidP="00506716">
            <w:pPr>
              <w:rPr>
                <w:rFonts w:asciiTheme="majorBidi" w:hAnsiTheme="majorBidi" w:cstheme="majorBidi"/>
                <w:sz w:val="20"/>
                <w:szCs w:val="20"/>
                <w:u w:val="single"/>
              </w:rPr>
            </w:pPr>
            <w:r w:rsidRPr="00083E19">
              <w:rPr>
                <w:rFonts w:asciiTheme="majorBidi" w:hAnsiTheme="majorBidi" w:cstheme="majorBidi"/>
                <w:sz w:val="20"/>
                <w:szCs w:val="20"/>
              </w:rPr>
              <w:t>will be assigned when the completion rate is 80% or greater (Q2 is 1).</w:t>
            </w:r>
          </w:p>
        </w:tc>
      </w:tr>
      <w:tr w:rsidR="00713F04" w:rsidRPr="00083E19" w14:paraId="097167B4" w14:textId="77777777" w:rsidTr="00917233">
        <w:trPr>
          <w:jc w:val="center"/>
        </w:trPr>
        <w:tc>
          <w:tcPr>
            <w:tcW w:w="1328" w:type="dxa"/>
            <w:vAlign w:val="center"/>
          </w:tcPr>
          <w:p w14:paraId="0E6A93EE" w14:textId="77777777" w:rsidR="00713F04" w:rsidRPr="00083E19" w:rsidRDefault="00713F04" w:rsidP="00506716">
            <w:pPr>
              <w:rPr>
                <w:rFonts w:asciiTheme="majorBidi" w:hAnsiTheme="majorBidi" w:cstheme="majorBidi"/>
                <w:b/>
                <w:bCs/>
                <w:sz w:val="20"/>
                <w:szCs w:val="20"/>
              </w:rPr>
            </w:pPr>
            <w:r w:rsidRPr="00083E19">
              <w:rPr>
                <w:rFonts w:asciiTheme="majorBidi" w:hAnsiTheme="majorBidi" w:cstheme="majorBidi"/>
                <w:b/>
                <w:bCs/>
                <w:sz w:val="20"/>
                <w:szCs w:val="20"/>
              </w:rPr>
              <w:t xml:space="preserve">F) ASD Diagnosis </w:t>
            </w:r>
          </w:p>
        </w:tc>
        <w:tc>
          <w:tcPr>
            <w:tcW w:w="4342" w:type="dxa"/>
          </w:tcPr>
          <w:p w14:paraId="29B9BA60" w14:textId="77777777" w:rsidR="00713F04" w:rsidRPr="00083E19" w:rsidRDefault="00713F04" w:rsidP="00506716">
            <w:pPr>
              <w:rPr>
                <w:rFonts w:asciiTheme="majorBidi" w:hAnsiTheme="majorBidi" w:cstheme="majorBidi"/>
                <w:sz w:val="20"/>
                <w:szCs w:val="20"/>
              </w:rPr>
            </w:pPr>
            <w:r w:rsidRPr="00083E19">
              <w:rPr>
                <w:rFonts w:asciiTheme="majorBidi" w:hAnsiTheme="majorBidi" w:cstheme="majorBidi"/>
                <w:sz w:val="20"/>
                <w:szCs w:val="20"/>
              </w:rPr>
              <w:t xml:space="preserve">Will be assigned if ASD diagnoses have not been confirmed for this study or diagnoses were self-reported only or confirmed for the </w:t>
            </w:r>
            <w:proofErr w:type="gramStart"/>
            <w:r w:rsidRPr="00083E19">
              <w:rPr>
                <w:rFonts w:asciiTheme="majorBidi" w:hAnsiTheme="majorBidi" w:cstheme="majorBidi"/>
                <w:sz w:val="20"/>
                <w:szCs w:val="20"/>
              </w:rPr>
              <w:t>study</w:t>
            </w:r>
            <w:proofErr w:type="gramEnd"/>
            <w:r w:rsidRPr="00083E19">
              <w:rPr>
                <w:rFonts w:asciiTheme="majorBidi" w:hAnsiTheme="majorBidi" w:cstheme="majorBidi"/>
                <w:sz w:val="20"/>
                <w:szCs w:val="20"/>
              </w:rPr>
              <w:t xml:space="preserve"> but article does not provide detail on how.</w:t>
            </w:r>
          </w:p>
        </w:tc>
        <w:tc>
          <w:tcPr>
            <w:tcW w:w="5103" w:type="dxa"/>
          </w:tcPr>
          <w:p w14:paraId="552FAF18" w14:textId="77777777" w:rsidR="00713F04" w:rsidRPr="00083E19" w:rsidRDefault="00713F04" w:rsidP="00506716">
            <w:pPr>
              <w:rPr>
                <w:rFonts w:asciiTheme="majorBidi" w:hAnsiTheme="majorBidi" w:cstheme="majorBidi"/>
                <w:sz w:val="20"/>
                <w:szCs w:val="20"/>
                <w:u w:val="single"/>
              </w:rPr>
            </w:pPr>
            <w:r w:rsidRPr="00083E19">
              <w:rPr>
                <w:rFonts w:asciiTheme="majorBidi" w:hAnsiTheme="majorBidi" w:cstheme="majorBidi"/>
                <w:sz w:val="20"/>
                <w:szCs w:val="20"/>
              </w:rPr>
              <w:t>Will be assigned when diagnoses have been confirmed for this study via self-report or other report and a screening tool has been used (e.g., AQ, SRS), but diagnosis not been confirmed by use of a gold-standard tool.</w:t>
            </w:r>
          </w:p>
        </w:tc>
        <w:tc>
          <w:tcPr>
            <w:tcW w:w="4111" w:type="dxa"/>
          </w:tcPr>
          <w:p w14:paraId="215D0ABB" w14:textId="77777777" w:rsidR="00713F04" w:rsidRPr="00083E19" w:rsidRDefault="00713F04" w:rsidP="00506716">
            <w:pPr>
              <w:rPr>
                <w:rFonts w:asciiTheme="majorBidi" w:hAnsiTheme="majorBidi" w:cstheme="majorBidi"/>
                <w:sz w:val="20"/>
                <w:szCs w:val="20"/>
              </w:rPr>
            </w:pPr>
            <w:r w:rsidRPr="00083E19">
              <w:rPr>
                <w:rFonts w:asciiTheme="majorBidi" w:hAnsiTheme="majorBidi" w:cstheme="majorBidi"/>
                <w:sz w:val="20"/>
                <w:szCs w:val="20"/>
              </w:rPr>
              <w:t>Will be assigned when diagnoses have been confirmed for this study by use of a ‘gold-standard’ diagnostic tool (</w:t>
            </w:r>
            <w:proofErr w:type="gramStart"/>
            <w:r w:rsidRPr="00083E19">
              <w:rPr>
                <w:rFonts w:asciiTheme="majorBidi" w:hAnsiTheme="majorBidi" w:cstheme="majorBidi"/>
                <w:sz w:val="20"/>
                <w:szCs w:val="20"/>
              </w:rPr>
              <w:t>i.e.</w:t>
            </w:r>
            <w:proofErr w:type="gramEnd"/>
            <w:r w:rsidRPr="00083E19">
              <w:rPr>
                <w:rFonts w:asciiTheme="majorBidi" w:hAnsiTheme="majorBidi" w:cstheme="majorBidi"/>
                <w:sz w:val="20"/>
                <w:szCs w:val="20"/>
              </w:rPr>
              <w:t xml:space="preserve"> ADOS or ADI-R).</w:t>
            </w:r>
          </w:p>
        </w:tc>
      </w:tr>
      <w:tr w:rsidR="00713F04" w:rsidRPr="00083E19" w14:paraId="064F8DF2" w14:textId="77777777" w:rsidTr="00917233">
        <w:trPr>
          <w:jc w:val="center"/>
        </w:trPr>
        <w:tc>
          <w:tcPr>
            <w:tcW w:w="1328" w:type="dxa"/>
            <w:vAlign w:val="center"/>
          </w:tcPr>
          <w:p w14:paraId="5EA4079B" w14:textId="77777777" w:rsidR="00713F04" w:rsidRPr="00083E19" w:rsidRDefault="00713F04" w:rsidP="00506716">
            <w:pPr>
              <w:rPr>
                <w:rFonts w:asciiTheme="majorBidi" w:hAnsiTheme="majorBidi" w:cstheme="majorBidi"/>
                <w:b/>
                <w:bCs/>
                <w:sz w:val="20"/>
                <w:szCs w:val="20"/>
              </w:rPr>
            </w:pPr>
            <w:r w:rsidRPr="00083E19">
              <w:rPr>
                <w:rFonts w:asciiTheme="majorBidi" w:hAnsiTheme="majorBidi" w:cstheme="majorBidi"/>
                <w:b/>
                <w:bCs/>
                <w:sz w:val="20"/>
                <w:szCs w:val="20"/>
              </w:rPr>
              <w:t>G) Cognitive Functioning</w:t>
            </w:r>
          </w:p>
        </w:tc>
        <w:tc>
          <w:tcPr>
            <w:tcW w:w="4342" w:type="dxa"/>
          </w:tcPr>
          <w:p w14:paraId="71C596AC" w14:textId="77777777" w:rsidR="0051441D" w:rsidRDefault="0051441D" w:rsidP="00506716">
            <w:pPr>
              <w:rPr>
                <w:rFonts w:asciiTheme="majorBidi" w:hAnsiTheme="majorBidi" w:cstheme="majorBidi"/>
                <w:sz w:val="20"/>
                <w:szCs w:val="20"/>
              </w:rPr>
            </w:pPr>
          </w:p>
          <w:p w14:paraId="55C4AD62" w14:textId="473FB312" w:rsidR="00713F04" w:rsidRPr="00083E19" w:rsidRDefault="00713F04" w:rsidP="00506716">
            <w:pPr>
              <w:rPr>
                <w:rFonts w:asciiTheme="majorBidi" w:hAnsiTheme="majorBidi" w:cstheme="majorBidi"/>
                <w:sz w:val="20"/>
                <w:szCs w:val="20"/>
              </w:rPr>
            </w:pPr>
            <w:r w:rsidRPr="00083E19">
              <w:rPr>
                <w:rFonts w:asciiTheme="majorBidi" w:hAnsiTheme="majorBidi" w:cstheme="majorBidi"/>
                <w:sz w:val="20"/>
                <w:szCs w:val="20"/>
              </w:rPr>
              <w:t>Will be assigned if level of cognitive functioning is not reported.</w:t>
            </w:r>
          </w:p>
        </w:tc>
        <w:tc>
          <w:tcPr>
            <w:tcW w:w="5103" w:type="dxa"/>
          </w:tcPr>
          <w:p w14:paraId="753C6DE7" w14:textId="77777777" w:rsidR="00713F04" w:rsidRPr="00083E19" w:rsidRDefault="00713F04" w:rsidP="00506716">
            <w:pPr>
              <w:rPr>
                <w:rFonts w:asciiTheme="majorBidi" w:hAnsiTheme="majorBidi" w:cstheme="majorBidi"/>
                <w:sz w:val="20"/>
                <w:szCs w:val="20"/>
                <w:u w:val="single"/>
              </w:rPr>
            </w:pPr>
            <w:r w:rsidRPr="00083E19">
              <w:rPr>
                <w:rFonts w:asciiTheme="majorBidi" w:hAnsiTheme="majorBidi" w:cstheme="majorBidi"/>
                <w:sz w:val="20"/>
                <w:szCs w:val="20"/>
              </w:rPr>
              <w:t>Level of cognitive functioning is reported but is based on previous (non-recent) assessment or on method other than standardised instrument (</w:t>
            </w:r>
            <w:proofErr w:type="gramStart"/>
            <w:r w:rsidRPr="00083E19">
              <w:rPr>
                <w:rFonts w:asciiTheme="majorBidi" w:hAnsiTheme="majorBidi" w:cstheme="majorBidi"/>
                <w:sz w:val="20"/>
                <w:szCs w:val="20"/>
              </w:rPr>
              <w:t>e.g.</w:t>
            </w:r>
            <w:proofErr w:type="gramEnd"/>
            <w:r w:rsidRPr="00083E19">
              <w:rPr>
                <w:rFonts w:asciiTheme="majorBidi" w:hAnsiTheme="majorBidi" w:cstheme="majorBidi"/>
                <w:sz w:val="20"/>
                <w:szCs w:val="20"/>
              </w:rPr>
              <w:t xml:space="preserve"> position in school system) or cognitive function was assessed but very broadly reported (e.g. ‘all participants had FSIQs over 75 as assessed by….’ or ‘MA less than 6 months’).</w:t>
            </w:r>
          </w:p>
        </w:tc>
        <w:tc>
          <w:tcPr>
            <w:tcW w:w="4111" w:type="dxa"/>
          </w:tcPr>
          <w:p w14:paraId="2A5126F0" w14:textId="77777777" w:rsidR="00713F04" w:rsidRPr="00083E19" w:rsidRDefault="00713F04" w:rsidP="00506716">
            <w:pPr>
              <w:rPr>
                <w:rFonts w:asciiTheme="majorBidi" w:hAnsiTheme="majorBidi" w:cstheme="majorBidi"/>
                <w:sz w:val="20"/>
                <w:szCs w:val="20"/>
                <w:u w:val="single"/>
              </w:rPr>
            </w:pPr>
            <w:r w:rsidRPr="00083E19">
              <w:rPr>
                <w:rFonts w:asciiTheme="majorBidi" w:hAnsiTheme="majorBidi" w:cstheme="majorBidi"/>
                <w:sz w:val="20"/>
                <w:szCs w:val="20"/>
              </w:rPr>
              <w:t>Level of cognitive functioning is reported and based on assessment using a standardised instrument and was assessed either for the study or within the preceding 3 months.</w:t>
            </w:r>
          </w:p>
        </w:tc>
      </w:tr>
    </w:tbl>
    <w:p w14:paraId="1290FB37" w14:textId="5F022540" w:rsidR="009D7994" w:rsidRPr="00083E19" w:rsidRDefault="009D7994">
      <w:pPr>
        <w:rPr>
          <w:rFonts w:asciiTheme="majorBidi" w:hAnsiTheme="majorBidi" w:cstheme="majorBidi"/>
          <w:b/>
          <w:bCs/>
          <w:sz w:val="20"/>
          <w:szCs w:val="20"/>
        </w:rPr>
      </w:pPr>
      <w:r w:rsidRPr="00083E19">
        <w:rPr>
          <w:rFonts w:asciiTheme="majorBidi" w:hAnsiTheme="majorBidi" w:cstheme="majorBidi"/>
          <w:b/>
          <w:bCs/>
          <w:sz w:val="20"/>
          <w:szCs w:val="20"/>
        </w:rPr>
        <w:br w:type="page"/>
      </w:r>
    </w:p>
    <w:p w14:paraId="2F9FCA3A" w14:textId="598B71C6" w:rsidR="00D51118" w:rsidRPr="00083E19" w:rsidRDefault="009D6C73" w:rsidP="00BF3F74">
      <w:pPr>
        <w:ind w:left="567" w:hanging="141"/>
        <w:rPr>
          <w:rFonts w:asciiTheme="majorBidi" w:hAnsiTheme="majorBidi" w:cstheme="majorBidi"/>
          <w:b/>
          <w:bCs/>
          <w:sz w:val="20"/>
          <w:szCs w:val="20"/>
        </w:rPr>
      </w:pPr>
      <w:r w:rsidRPr="00083E19">
        <w:rPr>
          <w:rFonts w:asciiTheme="majorBidi" w:hAnsiTheme="majorBidi" w:cstheme="majorBidi"/>
          <w:b/>
          <w:bCs/>
          <w:sz w:val="20"/>
          <w:szCs w:val="20"/>
        </w:rPr>
        <w:lastRenderedPageBreak/>
        <w:t>Supplementary Table 2</w:t>
      </w:r>
    </w:p>
    <w:p w14:paraId="459758DB" w14:textId="38D52135" w:rsidR="00B173D9" w:rsidRPr="00083E19" w:rsidRDefault="00B173D9" w:rsidP="00BF3F74">
      <w:pPr>
        <w:ind w:left="567" w:hanging="141"/>
        <w:rPr>
          <w:rFonts w:asciiTheme="majorBidi" w:hAnsiTheme="majorBidi" w:cstheme="majorBidi"/>
          <w:i/>
          <w:iCs/>
          <w:sz w:val="20"/>
          <w:szCs w:val="20"/>
        </w:rPr>
      </w:pPr>
      <w:r w:rsidRPr="00083E19">
        <w:rPr>
          <w:rFonts w:asciiTheme="majorBidi" w:hAnsiTheme="majorBidi" w:cstheme="majorBidi"/>
          <w:i/>
          <w:iCs/>
          <w:sz w:val="20"/>
          <w:szCs w:val="20"/>
        </w:rPr>
        <w:t>Agreement between Raters for the Quality Appraisal Domains</w:t>
      </w:r>
    </w:p>
    <w:tbl>
      <w:tblPr>
        <w:tblStyle w:val="TableGrid"/>
        <w:tblW w:w="1335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3341"/>
        <w:gridCol w:w="1794"/>
        <w:gridCol w:w="1966"/>
        <w:gridCol w:w="1757"/>
        <w:gridCol w:w="2504"/>
        <w:gridCol w:w="1988"/>
      </w:tblGrid>
      <w:tr w:rsidR="00B173D9" w:rsidRPr="00083E19" w14:paraId="64FD59C2" w14:textId="56E539B2" w:rsidTr="00E600D8">
        <w:trPr>
          <w:trHeight w:val="779"/>
          <w:jc w:val="center"/>
        </w:trPr>
        <w:tc>
          <w:tcPr>
            <w:tcW w:w="3341" w:type="dxa"/>
            <w:vAlign w:val="center"/>
          </w:tcPr>
          <w:p w14:paraId="35BE0ED5" w14:textId="514A67BB" w:rsidR="00D51118" w:rsidRPr="00083E19" w:rsidRDefault="00D51118" w:rsidP="00B173D9">
            <w:pPr>
              <w:jc w:val="center"/>
              <w:rPr>
                <w:rFonts w:asciiTheme="majorBidi" w:hAnsiTheme="majorBidi" w:cstheme="majorBidi"/>
                <w:sz w:val="20"/>
                <w:szCs w:val="20"/>
              </w:rPr>
            </w:pPr>
            <w:r w:rsidRPr="00083E19">
              <w:rPr>
                <w:rFonts w:asciiTheme="majorBidi" w:hAnsiTheme="majorBidi" w:cstheme="majorBidi"/>
                <w:sz w:val="20"/>
                <w:szCs w:val="20"/>
              </w:rPr>
              <w:t>Domain</w:t>
            </w:r>
          </w:p>
        </w:tc>
        <w:tc>
          <w:tcPr>
            <w:tcW w:w="1794" w:type="dxa"/>
            <w:vAlign w:val="center"/>
          </w:tcPr>
          <w:p w14:paraId="574BDEBD" w14:textId="194A64C1" w:rsidR="00D51118" w:rsidRPr="00083E19" w:rsidRDefault="00D51118" w:rsidP="00B173D9">
            <w:pPr>
              <w:jc w:val="center"/>
              <w:rPr>
                <w:rFonts w:asciiTheme="majorBidi" w:hAnsiTheme="majorBidi" w:cstheme="majorBidi"/>
                <w:sz w:val="20"/>
                <w:szCs w:val="20"/>
              </w:rPr>
            </w:pPr>
            <w:r w:rsidRPr="00083E19">
              <w:rPr>
                <w:rFonts w:asciiTheme="majorBidi" w:hAnsiTheme="majorBidi" w:cstheme="majorBidi"/>
                <w:sz w:val="20"/>
                <w:szCs w:val="20"/>
              </w:rPr>
              <w:t>% Agreement</w:t>
            </w:r>
          </w:p>
        </w:tc>
        <w:tc>
          <w:tcPr>
            <w:tcW w:w="1966" w:type="dxa"/>
            <w:vAlign w:val="center"/>
          </w:tcPr>
          <w:p w14:paraId="14ACDEF1" w14:textId="4E715F70" w:rsidR="00D51118" w:rsidRPr="00083E19" w:rsidRDefault="00D51118" w:rsidP="00B173D9">
            <w:pPr>
              <w:jc w:val="center"/>
              <w:rPr>
                <w:rFonts w:asciiTheme="majorBidi" w:hAnsiTheme="majorBidi" w:cstheme="majorBidi"/>
                <w:sz w:val="20"/>
                <w:szCs w:val="20"/>
              </w:rPr>
            </w:pPr>
            <w:r w:rsidRPr="00083E19">
              <w:rPr>
                <w:rFonts w:asciiTheme="majorBidi" w:hAnsiTheme="majorBidi" w:cstheme="majorBidi"/>
                <w:sz w:val="20"/>
                <w:szCs w:val="20"/>
              </w:rPr>
              <w:t>Weighted Kappa</w:t>
            </w:r>
          </w:p>
        </w:tc>
        <w:tc>
          <w:tcPr>
            <w:tcW w:w="1757" w:type="dxa"/>
            <w:vAlign w:val="center"/>
          </w:tcPr>
          <w:p w14:paraId="46F174B4" w14:textId="06CF7571" w:rsidR="00D51118" w:rsidRPr="00083E19" w:rsidRDefault="00D51118" w:rsidP="00B173D9">
            <w:pPr>
              <w:jc w:val="center"/>
              <w:rPr>
                <w:rFonts w:asciiTheme="majorBidi" w:hAnsiTheme="majorBidi" w:cstheme="majorBidi"/>
                <w:sz w:val="20"/>
                <w:szCs w:val="20"/>
              </w:rPr>
            </w:pPr>
            <w:r w:rsidRPr="00083E19">
              <w:rPr>
                <w:rFonts w:asciiTheme="majorBidi" w:hAnsiTheme="majorBidi" w:cstheme="majorBidi"/>
                <w:sz w:val="20"/>
                <w:szCs w:val="20"/>
              </w:rPr>
              <w:t>SE</w:t>
            </w:r>
          </w:p>
        </w:tc>
        <w:tc>
          <w:tcPr>
            <w:tcW w:w="2504" w:type="dxa"/>
            <w:vAlign w:val="center"/>
          </w:tcPr>
          <w:p w14:paraId="3816FD3A" w14:textId="28E13BF5" w:rsidR="00D51118" w:rsidRPr="00083E19" w:rsidRDefault="00D51118" w:rsidP="00B173D9">
            <w:pPr>
              <w:jc w:val="center"/>
              <w:rPr>
                <w:rFonts w:asciiTheme="majorBidi" w:hAnsiTheme="majorBidi" w:cstheme="majorBidi"/>
                <w:sz w:val="20"/>
                <w:szCs w:val="20"/>
              </w:rPr>
            </w:pPr>
            <w:r w:rsidRPr="00083E19">
              <w:rPr>
                <w:rFonts w:asciiTheme="majorBidi" w:hAnsiTheme="majorBidi" w:cstheme="majorBidi"/>
                <w:sz w:val="20"/>
                <w:szCs w:val="20"/>
              </w:rPr>
              <w:t>CI</w:t>
            </w:r>
          </w:p>
        </w:tc>
        <w:tc>
          <w:tcPr>
            <w:tcW w:w="1988" w:type="dxa"/>
            <w:vAlign w:val="center"/>
          </w:tcPr>
          <w:p w14:paraId="32E347F1" w14:textId="7A009292" w:rsidR="00D51118" w:rsidRPr="00083E19" w:rsidRDefault="00D51118" w:rsidP="00B173D9">
            <w:pPr>
              <w:jc w:val="center"/>
              <w:rPr>
                <w:rFonts w:asciiTheme="majorBidi" w:hAnsiTheme="majorBidi" w:cstheme="majorBidi"/>
                <w:sz w:val="20"/>
                <w:szCs w:val="20"/>
              </w:rPr>
            </w:pPr>
            <w:r w:rsidRPr="00083E19">
              <w:rPr>
                <w:rFonts w:asciiTheme="majorBidi" w:hAnsiTheme="majorBidi" w:cstheme="majorBidi"/>
                <w:sz w:val="20"/>
                <w:szCs w:val="20"/>
              </w:rPr>
              <w:t>Rating</w:t>
            </w:r>
          </w:p>
        </w:tc>
      </w:tr>
      <w:tr w:rsidR="00B173D9" w:rsidRPr="00083E19" w14:paraId="7DCA1DFB" w14:textId="544BC011" w:rsidTr="00E600D8">
        <w:trPr>
          <w:trHeight w:val="528"/>
          <w:jc w:val="center"/>
        </w:trPr>
        <w:tc>
          <w:tcPr>
            <w:tcW w:w="3341" w:type="dxa"/>
            <w:vAlign w:val="center"/>
          </w:tcPr>
          <w:p w14:paraId="66695073" w14:textId="032F3949" w:rsidR="00D51118" w:rsidRPr="00083E19" w:rsidRDefault="00D51118" w:rsidP="00B173D9">
            <w:pPr>
              <w:spacing w:line="360" w:lineRule="auto"/>
              <w:rPr>
                <w:rFonts w:asciiTheme="majorBidi" w:hAnsiTheme="majorBidi" w:cstheme="majorBidi"/>
                <w:sz w:val="20"/>
                <w:szCs w:val="20"/>
              </w:rPr>
            </w:pPr>
            <w:r w:rsidRPr="00083E19">
              <w:rPr>
                <w:rFonts w:asciiTheme="majorBidi" w:hAnsiTheme="majorBidi" w:cstheme="majorBidi"/>
                <w:sz w:val="20"/>
                <w:szCs w:val="20"/>
              </w:rPr>
              <w:t>Global</w:t>
            </w:r>
          </w:p>
        </w:tc>
        <w:tc>
          <w:tcPr>
            <w:tcW w:w="1794" w:type="dxa"/>
            <w:vAlign w:val="center"/>
          </w:tcPr>
          <w:p w14:paraId="714037F9" w14:textId="5B1DF7EC"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75</w:t>
            </w:r>
          </w:p>
        </w:tc>
        <w:tc>
          <w:tcPr>
            <w:tcW w:w="1966" w:type="dxa"/>
            <w:vAlign w:val="center"/>
          </w:tcPr>
          <w:p w14:paraId="47B03063" w14:textId="48473C37"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0.70</w:t>
            </w:r>
          </w:p>
        </w:tc>
        <w:tc>
          <w:tcPr>
            <w:tcW w:w="1757" w:type="dxa"/>
            <w:vAlign w:val="center"/>
          </w:tcPr>
          <w:p w14:paraId="4D3D1337" w14:textId="178520F4"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0.17</w:t>
            </w:r>
          </w:p>
        </w:tc>
        <w:tc>
          <w:tcPr>
            <w:tcW w:w="2504" w:type="dxa"/>
            <w:vAlign w:val="center"/>
          </w:tcPr>
          <w:p w14:paraId="3B17093C" w14:textId="61583AF7"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0.29-0.97</w:t>
            </w:r>
          </w:p>
        </w:tc>
        <w:tc>
          <w:tcPr>
            <w:tcW w:w="1988" w:type="dxa"/>
            <w:vAlign w:val="center"/>
          </w:tcPr>
          <w:p w14:paraId="79142C02" w14:textId="3B05B2E0"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Good</w:t>
            </w:r>
          </w:p>
        </w:tc>
      </w:tr>
      <w:tr w:rsidR="00B173D9" w:rsidRPr="00083E19" w14:paraId="17F8C6F2" w14:textId="15E92EC8" w:rsidTr="00E600D8">
        <w:trPr>
          <w:trHeight w:val="639"/>
          <w:jc w:val="center"/>
        </w:trPr>
        <w:tc>
          <w:tcPr>
            <w:tcW w:w="3341" w:type="dxa"/>
            <w:vAlign w:val="center"/>
          </w:tcPr>
          <w:p w14:paraId="4DED288F" w14:textId="00C68D39" w:rsidR="00D51118" w:rsidRPr="00083E19" w:rsidRDefault="00D51118" w:rsidP="00B173D9">
            <w:pPr>
              <w:spacing w:line="360" w:lineRule="auto"/>
              <w:rPr>
                <w:rFonts w:asciiTheme="majorBidi" w:hAnsiTheme="majorBidi" w:cstheme="majorBidi"/>
                <w:sz w:val="20"/>
                <w:szCs w:val="20"/>
              </w:rPr>
            </w:pPr>
            <w:r w:rsidRPr="00083E19">
              <w:rPr>
                <w:rFonts w:asciiTheme="majorBidi" w:hAnsiTheme="majorBidi" w:cstheme="majorBidi"/>
                <w:sz w:val="20"/>
                <w:szCs w:val="20"/>
              </w:rPr>
              <w:t>Selection Bias</w:t>
            </w:r>
          </w:p>
        </w:tc>
        <w:tc>
          <w:tcPr>
            <w:tcW w:w="1794" w:type="dxa"/>
            <w:vAlign w:val="center"/>
          </w:tcPr>
          <w:p w14:paraId="1E39D1E3" w14:textId="081A7E11"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83.3</w:t>
            </w:r>
          </w:p>
        </w:tc>
        <w:tc>
          <w:tcPr>
            <w:tcW w:w="1966" w:type="dxa"/>
            <w:vAlign w:val="center"/>
          </w:tcPr>
          <w:p w14:paraId="2B35C66F" w14:textId="5A27D3A8"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0.46</w:t>
            </w:r>
          </w:p>
        </w:tc>
        <w:tc>
          <w:tcPr>
            <w:tcW w:w="1757" w:type="dxa"/>
            <w:vAlign w:val="center"/>
          </w:tcPr>
          <w:p w14:paraId="490A696A" w14:textId="08543562"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0.32</w:t>
            </w:r>
          </w:p>
        </w:tc>
        <w:tc>
          <w:tcPr>
            <w:tcW w:w="2504" w:type="dxa"/>
            <w:vAlign w:val="center"/>
          </w:tcPr>
          <w:p w14:paraId="2F7AE039" w14:textId="332A9BBA"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w:t>
            </w:r>
            <w:r w:rsidR="00B173D9" w:rsidRPr="00083E19">
              <w:rPr>
                <w:rFonts w:asciiTheme="majorBidi" w:hAnsiTheme="majorBidi" w:cstheme="majorBidi"/>
                <w:sz w:val="20"/>
                <w:szCs w:val="20"/>
              </w:rPr>
              <w:t>0</w:t>
            </w:r>
            <w:r w:rsidRPr="00083E19">
              <w:rPr>
                <w:rFonts w:asciiTheme="majorBidi" w:hAnsiTheme="majorBidi" w:cstheme="majorBidi"/>
                <w:sz w:val="20"/>
                <w:szCs w:val="20"/>
              </w:rPr>
              <w:t>.20-1.00</w:t>
            </w:r>
          </w:p>
        </w:tc>
        <w:tc>
          <w:tcPr>
            <w:tcW w:w="1988" w:type="dxa"/>
            <w:vAlign w:val="center"/>
          </w:tcPr>
          <w:p w14:paraId="2DB4716B" w14:textId="3AC056C3"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Fair</w:t>
            </w:r>
          </w:p>
        </w:tc>
      </w:tr>
      <w:tr w:rsidR="00B173D9" w:rsidRPr="00083E19" w14:paraId="3223FEDC" w14:textId="7E6FE9A3" w:rsidTr="00E600D8">
        <w:trPr>
          <w:trHeight w:val="528"/>
          <w:jc w:val="center"/>
        </w:trPr>
        <w:tc>
          <w:tcPr>
            <w:tcW w:w="3341" w:type="dxa"/>
            <w:vAlign w:val="center"/>
          </w:tcPr>
          <w:p w14:paraId="3DF4FC65" w14:textId="530735F2" w:rsidR="00D51118" w:rsidRPr="00083E19" w:rsidRDefault="00D51118" w:rsidP="00B173D9">
            <w:pPr>
              <w:spacing w:line="360" w:lineRule="auto"/>
              <w:rPr>
                <w:rFonts w:asciiTheme="majorBidi" w:hAnsiTheme="majorBidi" w:cstheme="majorBidi"/>
                <w:sz w:val="20"/>
                <w:szCs w:val="20"/>
              </w:rPr>
            </w:pPr>
            <w:r w:rsidRPr="00083E19">
              <w:rPr>
                <w:rFonts w:asciiTheme="majorBidi" w:hAnsiTheme="majorBidi" w:cstheme="majorBidi"/>
                <w:sz w:val="20"/>
                <w:szCs w:val="20"/>
              </w:rPr>
              <w:t>Confounders</w:t>
            </w:r>
          </w:p>
        </w:tc>
        <w:tc>
          <w:tcPr>
            <w:tcW w:w="1794" w:type="dxa"/>
            <w:vAlign w:val="center"/>
          </w:tcPr>
          <w:p w14:paraId="7A83774B" w14:textId="5B6DD848"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87.5</w:t>
            </w:r>
          </w:p>
        </w:tc>
        <w:tc>
          <w:tcPr>
            <w:tcW w:w="1966" w:type="dxa"/>
            <w:vAlign w:val="center"/>
          </w:tcPr>
          <w:p w14:paraId="208478D3" w14:textId="2E2610D5"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0.67</w:t>
            </w:r>
          </w:p>
        </w:tc>
        <w:tc>
          <w:tcPr>
            <w:tcW w:w="1757" w:type="dxa"/>
            <w:vAlign w:val="center"/>
          </w:tcPr>
          <w:p w14:paraId="151C04CE" w14:textId="60DA0520"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0.24</w:t>
            </w:r>
          </w:p>
        </w:tc>
        <w:tc>
          <w:tcPr>
            <w:tcW w:w="2504" w:type="dxa"/>
            <w:vAlign w:val="center"/>
          </w:tcPr>
          <w:p w14:paraId="6EF1179E" w14:textId="55C08CB3"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0.28-1.00</w:t>
            </w:r>
          </w:p>
        </w:tc>
        <w:tc>
          <w:tcPr>
            <w:tcW w:w="1988" w:type="dxa"/>
            <w:vAlign w:val="center"/>
          </w:tcPr>
          <w:p w14:paraId="26631544" w14:textId="615325DA"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Good</w:t>
            </w:r>
          </w:p>
        </w:tc>
      </w:tr>
      <w:tr w:rsidR="00B173D9" w:rsidRPr="00083E19" w14:paraId="5033AE1C" w14:textId="42339FB4" w:rsidTr="00E600D8">
        <w:trPr>
          <w:trHeight w:val="498"/>
          <w:jc w:val="center"/>
        </w:trPr>
        <w:tc>
          <w:tcPr>
            <w:tcW w:w="3341" w:type="dxa"/>
            <w:vAlign w:val="center"/>
          </w:tcPr>
          <w:p w14:paraId="29F51E82" w14:textId="621AF0D1" w:rsidR="00D51118" w:rsidRPr="00083E19" w:rsidRDefault="00D51118" w:rsidP="00B173D9">
            <w:pPr>
              <w:spacing w:line="360" w:lineRule="auto"/>
              <w:rPr>
                <w:rFonts w:asciiTheme="majorBidi" w:hAnsiTheme="majorBidi" w:cstheme="majorBidi"/>
                <w:sz w:val="20"/>
                <w:szCs w:val="20"/>
              </w:rPr>
            </w:pPr>
            <w:r w:rsidRPr="00083E19">
              <w:rPr>
                <w:rFonts w:asciiTheme="majorBidi" w:hAnsiTheme="majorBidi" w:cstheme="majorBidi"/>
                <w:sz w:val="20"/>
                <w:szCs w:val="20"/>
              </w:rPr>
              <w:t>Data Collection</w:t>
            </w:r>
          </w:p>
        </w:tc>
        <w:tc>
          <w:tcPr>
            <w:tcW w:w="1794" w:type="dxa"/>
            <w:vAlign w:val="center"/>
          </w:tcPr>
          <w:p w14:paraId="3BA019DF" w14:textId="00EA3ABD"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83.3</w:t>
            </w:r>
          </w:p>
        </w:tc>
        <w:tc>
          <w:tcPr>
            <w:tcW w:w="1966" w:type="dxa"/>
            <w:vAlign w:val="center"/>
          </w:tcPr>
          <w:p w14:paraId="080D6625" w14:textId="0FFD2682"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0.60</w:t>
            </w:r>
          </w:p>
        </w:tc>
        <w:tc>
          <w:tcPr>
            <w:tcW w:w="1757" w:type="dxa"/>
            <w:vAlign w:val="center"/>
          </w:tcPr>
          <w:p w14:paraId="05143CA9" w14:textId="620E10F0"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0.24</w:t>
            </w:r>
          </w:p>
        </w:tc>
        <w:tc>
          <w:tcPr>
            <w:tcW w:w="2504" w:type="dxa"/>
            <w:vAlign w:val="center"/>
          </w:tcPr>
          <w:p w14:paraId="7467E11B" w14:textId="35BFAF9C"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0.12-1.00</w:t>
            </w:r>
          </w:p>
        </w:tc>
        <w:tc>
          <w:tcPr>
            <w:tcW w:w="1988" w:type="dxa"/>
            <w:vAlign w:val="center"/>
          </w:tcPr>
          <w:p w14:paraId="5182999A" w14:textId="763CEB25" w:rsidR="00D51118" w:rsidRPr="00083E19" w:rsidRDefault="00B173D9"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Fair</w:t>
            </w:r>
          </w:p>
        </w:tc>
      </w:tr>
      <w:tr w:rsidR="00B173D9" w:rsidRPr="00083E19" w14:paraId="3AF00BFB" w14:textId="1A4B814A" w:rsidTr="00E600D8">
        <w:trPr>
          <w:trHeight w:val="528"/>
          <w:jc w:val="center"/>
        </w:trPr>
        <w:tc>
          <w:tcPr>
            <w:tcW w:w="3341" w:type="dxa"/>
            <w:vAlign w:val="center"/>
          </w:tcPr>
          <w:p w14:paraId="69AB5830" w14:textId="18298A2F" w:rsidR="00D51118" w:rsidRPr="00083E19" w:rsidRDefault="00D51118" w:rsidP="00B173D9">
            <w:pPr>
              <w:spacing w:line="360" w:lineRule="auto"/>
              <w:rPr>
                <w:rFonts w:asciiTheme="majorBidi" w:hAnsiTheme="majorBidi" w:cstheme="majorBidi"/>
                <w:sz w:val="20"/>
                <w:szCs w:val="20"/>
              </w:rPr>
            </w:pPr>
            <w:r w:rsidRPr="00083E19">
              <w:rPr>
                <w:rFonts w:asciiTheme="majorBidi" w:hAnsiTheme="majorBidi" w:cstheme="majorBidi"/>
                <w:sz w:val="20"/>
                <w:szCs w:val="20"/>
              </w:rPr>
              <w:t>Attrition</w:t>
            </w:r>
          </w:p>
        </w:tc>
        <w:tc>
          <w:tcPr>
            <w:tcW w:w="1794" w:type="dxa"/>
            <w:vAlign w:val="center"/>
          </w:tcPr>
          <w:p w14:paraId="6D63187B" w14:textId="4F00D4D4"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91.67</w:t>
            </w:r>
          </w:p>
        </w:tc>
        <w:tc>
          <w:tcPr>
            <w:tcW w:w="1966" w:type="dxa"/>
            <w:vAlign w:val="center"/>
          </w:tcPr>
          <w:p w14:paraId="0DAF07DE" w14:textId="179B4300"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0.90</w:t>
            </w:r>
          </w:p>
        </w:tc>
        <w:tc>
          <w:tcPr>
            <w:tcW w:w="1757" w:type="dxa"/>
            <w:vAlign w:val="center"/>
          </w:tcPr>
          <w:p w14:paraId="0ECD99C1" w14:textId="00DF931A"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0.15</w:t>
            </w:r>
          </w:p>
        </w:tc>
        <w:tc>
          <w:tcPr>
            <w:tcW w:w="2504" w:type="dxa"/>
            <w:vAlign w:val="center"/>
          </w:tcPr>
          <w:p w14:paraId="00904D3F" w14:textId="79D1B76D"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0.56-1.00</w:t>
            </w:r>
          </w:p>
        </w:tc>
        <w:tc>
          <w:tcPr>
            <w:tcW w:w="1988" w:type="dxa"/>
            <w:vAlign w:val="center"/>
          </w:tcPr>
          <w:p w14:paraId="5DABAD47" w14:textId="6B3D4FE7" w:rsidR="00D51118" w:rsidRPr="00083E19" w:rsidRDefault="00B173D9"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Very Good</w:t>
            </w:r>
          </w:p>
        </w:tc>
      </w:tr>
      <w:tr w:rsidR="00B173D9" w:rsidRPr="00083E19" w14:paraId="4DC509F3" w14:textId="1E235BE1" w:rsidTr="00E600D8">
        <w:trPr>
          <w:trHeight w:val="498"/>
          <w:jc w:val="center"/>
        </w:trPr>
        <w:tc>
          <w:tcPr>
            <w:tcW w:w="3341" w:type="dxa"/>
            <w:vAlign w:val="center"/>
          </w:tcPr>
          <w:p w14:paraId="26086877" w14:textId="54286A1D" w:rsidR="00D51118" w:rsidRPr="00083E19" w:rsidRDefault="00D51118" w:rsidP="00B173D9">
            <w:pPr>
              <w:spacing w:line="360" w:lineRule="auto"/>
              <w:rPr>
                <w:rFonts w:asciiTheme="majorBidi" w:hAnsiTheme="majorBidi" w:cstheme="majorBidi"/>
                <w:sz w:val="20"/>
                <w:szCs w:val="20"/>
              </w:rPr>
            </w:pPr>
            <w:r w:rsidRPr="00083E19">
              <w:rPr>
                <w:rFonts w:asciiTheme="majorBidi" w:hAnsiTheme="majorBidi" w:cstheme="majorBidi"/>
                <w:sz w:val="20"/>
                <w:szCs w:val="20"/>
              </w:rPr>
              <w:t>ASD Diagnosis</w:t>
            </w:r>
          </w:p>
        </w:tc>
        <w:tc>
          <w:tcPr>
            <w:tcW w:w="1794" w:type="dxa"/>
            <w:vAlign w:val="center"/>
          </w:tcPr>
          <w:p w14:paraId="2B9C58BA" w14:textId="69F03E01"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75</w:t>
            </w:r>
          </w:p>
        </w:tc>
        <w:tc>
          <w:tcPr>
            <w:tcW w:w="1966" w:type="dxa"/>
            <w:vAlign w:val="center"/>
          </w:tcPr>
          <w:p w14:paraId="28049397" w14:textId="4EDF041D"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0.62</w:t>
            </w:r>
          </w:p>
        </w:tc>
        <w:tc>
          <w:tcPr>
            <w:tcW w:w="1757" w:type="dxa"/>
            <w:vAlign w:val="center"/>
          </w:tcPr>
          <w:p w14:paraId="529ECE4A" w14:textId="7FF9982A"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0.19</w:t>
            </w:r>
          </w:p>
        </w:tc>
        <w:tc>
          <w:tcPr>
            <w:tcW w:w="2504" w:type="dxa"/>
            <w:vAlign w:val="center"/>
          </w:tcPr>
          <w:p w14:paraId="315CBCD5" w14:textId="13BF7650"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0.19-</w:t>
            </w:r>
            <w:r w:rsidR="00B173D9" w:rsidRPr="00083E19">
              <w:rPr>
                <w:rFonts w:asciiTheme="majorBidi" w:hAnsiTheme="majorBidi" w:cstheme="majorBidi"/>
                <w:sz w:val="20"/>
                <w:szCs w:val="20"/>
              </w:rPr>
              <w:t>0</w:t>
            </w:r>
            <w:r w:rsidRPr="00083E19">
              <w:rPr>
                <w:rFonts w:asciiTheme="majorBidi" w:hAnsiTheme="majorBidi" w:cstheme="majorBidi"/>
                <w:sz w:val="20"/>
                <w:szCs w:val="20"/>
              </w:rPr>
              <w:t>.94</w:t>
            </w:r>
          </w:p>
        </w:tc>
        <w:tc>
          <w:tcPr>
            <w:tcW w:w="1988" w:type="dxa"/>
            <w:vAlign w:val="center"/>
          </w:tcPr>
          <w:p w14:paraId="4D888D78" w14:textId="7CB27E56" w:rsidR="00D51118" w:rsidRPr="00083E19" w:rsidRDefault="00B173D9"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Good</w:t>
            </w:r>
          </w:p>
        </w:tc>
      </w:tr>
      <w:tr w:rsidR="00D51118" w:rsidRPr="00083E19" w14:paraId="7B76BA46" w14:textId="77777777" w:rsidTr="00E600D8">
        <w:trPr>
          <w:trHeight w:val="498"/>
          <w:jc w:val="center"/>
        </w:trPr>
        <w:tc>
          <w:tcPr>
            <w:tcW w:w="3341" w:type="dxa"/>
            <w:vAlign w:val="center"/>
          </w:tcPr>
          <w:p w14:paraId="2C5A0D4C" w14:textId="4EA40894" w:rsidR="00D51118" w:rsidRPr="00083E19" w:rsidRDefault="00D51118" w:rsidP="00B173D9">
            <w:pPr>
              <w:spacing w:line="360" w:lineRule="auto"/>
              <w:rPr>
                <w:rFonts w:asciiTheme="majorBidi" w:hAnsiTheme="majorBidi" w:cstheme="majorBidi"/>
                <w:sz w:val="20"/>
                <w:szCs w:val="20"/>
              </w:rPr>
            </w:pPr>
            <w:r w:rsidRPr="00083E19">
              <w:rPr>
                <w:rFonts w:asciiTheme="majorBidi" w:hAnsiTheme="majorBidi" w:cstheme="majorBidi"/>
                <w:sz w:val="20"/>
                <w:szCs w:val="20"/>
              </w:rPr>
              <w:t>Cognitive Functioning</w:t>
            </w:r>
          </w:p>
        </w:tc>
        <w:tc>
          <w:tcPr>
            <w:tcW w:w="1794" w:type="dxa"/>
            <w:vAlign w:val="center"/>
          </w:tcPr>
          <w:p w14:paraId="15BCF434" w14:textId="2DD7A0AA"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75</w:t>
            </w:r>
          </w:p>
        </w:tc>
        <w:tc>
          <w:tcPr>
            <w:tcW w:w="1966" w:type="dxa"/>
            <w:vAlign w:val="center"/>
          </w:tcPr>
          <w:p w14:paraId="0CF12F55" w14:textId="4C65093F"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0.58</w:t>
            </w:r>
          </w:p>
        </w:tc>
        <w:tc>
          <w:tcPr>
            <w:tcW w:w="1757" w:type="dxa"/>
            <w:vAlign w:val="center"/>
          </w:tcPr>
          <w:p w14:paraId="1BB18B73" w14:textId="729AED51"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0.23</w:t>
            </w:r>
          </w:p>
        </w:tc>
        <w:tc>
          <w:tcPr>
            <w:tcW w:w="2504" w:type="dxa"/>
            <w:vAlign w:val="center"/>
          </w:tcPr>
          <w:p w14:paraId="053F7DC4" w14:textId="0F3983BB" w:rsidR="00D51118" w:rsidRPr="00083E19" w:rsidRDefault="00D51118"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0.08-0.99</w:t>
            </w:r>
          </w:p>
        </w:tc>
        <w:tc>
          <w:tcPr>
            <w:tcW w:w="1988" w:type="dxa"/>
            <w:vAlign w:val="center"/>
          </w:tcPr>
          <w:p w14:paraId="6FC88A83" w14:textId="4D69867D" w:rsidR="00D51118" w:rsidRPr="00083E19" w:rsidRDefault="00B173D9" w:rsidP="00B173D9">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Fair</w:t>
            </w:r>
          </w:p>
        </w:tc>
      </w:tr>
    </w:tbl>
    <w:p w14:paraId="0D4A7A2D" w14:textId="797551E0" w:rsidR="003B6D66" w:rsidRPr="00083E19" w:rsidRDefault="00B173D9" w:rsidP="00BF3F74">
      <w:pPr>
        <w:spacing w:before="120"/>
        <w:ind w:left="426"/>
        <w:jc w:val="both"/>
        <w:rPr>
          <w:rFonts w:asciiTheme="majorBidi" w:hAnsiTheme="majorBidi" w:cstheme="majorBidi"/>
          <w:sz w:val="20"/>
          <w:szCs w:val="20"/>
        </w:rPr>
      </w:pPr>
      <w:r w:rsidRPr="00083E19">
        <w:rPr>
          <w:rFonts w:asciiTheme="majorBidi" w:hAnsiTheme="majorBidi" w:cstheme="majorBidi"/>
          <w:sz w:val="20"/>
          <w:szCs w:val="20"/>
        </w:rPr>
        <w:t xml:space="preserve">Note. SE=Standard Error; CI=Confidence Interval. </w:t>
      </w:r>
      <w:r w:rsidR="00332116" w:rsidRPr="00083E19">
        <w:rPr>
          <w:rFonts w:asciiTheme="majorBidi" w:hAnsiTheme="majorBidi" w:cstheme="majorBidi"/>
          <w:sz w:val="20"/>
          <w:szCs w:val="20"/>
        </w:rPr>
        <w:t>Kappa values could not be calculated for study design, however there was high agreement between raters across studies (91.67%).</w:t>
      </w:r>
    </w:p>
    <w:p w14:paraId="450CED25" w14:textId="77777777" w:rsidR="003B6D66" w:rsidRPr="00083E19" w:rsidRDefault="003B6D66" w:rsidP="00332116">
      <w:pPr>
        <w:rPr>
          <w:rFonts w:asciiTheme="majorBidi" w:hAnsiTheme="majorBidi" w:cstheme="majorBidi"/>
          <w:sz w:val="20"/>
          <w:szCs w:val="20"/>
        </w:rPr>
      </w:pPr>
    </w:p>
    <w:p w14:paraId="3FE0AD78" w14:textId="77777777" w:rsidR="003B6D66" w:rsidRPr="00083E19" w:rsidRDefault="003B6D66" w:rsidP="00332116">
      <w:pPr>
        <w:rPr>
          <w:rFonts w:asciiTheme="majorBidi" w:hAnsiTheme="majorBidi" w:cstheme="majorBidi"/>
          <w:sz w:val="20"/>
          <w:szCs w:val="20"/>
        </w:rPr>
      </w:pPr>
    </w:p>
    <w:p w14:paraId="4C4C61A0" w14:textId="1BF2778A" w:rsidR="003B6D66" w:rsidRPr="00083E19" w:rsidRDefault="003B6D66" w:rsidP="00332116">
      <w:pPr>
        <w:rPr>
          <w:rFonts w:asciiTheme="majorBidi" w:hAnsiTheme="majorBidi" w:cstheme="majorBidi"/>
          <w:sz w:val="20"/>
          <w:szCs w:val="20"/>
        </w:rPr>
        <w:sectPr w:rsidR="003B6D66" w:rsidRPr="00083E19" w:rsidSect="00693AC0">
          <w:headerReference w:type="default" r:id="rId8"/>
          <w:footerReference w:type="default" r:id="rId9"/>
          <w:pgSz w:w="16838" w:h="11906" w:orient="landscape"/>
          <w:pgMar w:top="1440" w:right="1440" w:bottom="1440" w:left="1440" w:header="709" w:footer="709" w:gutter="0"/>
          <w:cols w:space="708"/>
          <w:docGrid w:linePitch="360"/>
        </w:sectPr>
      </w:pPr>
    </w:p>
    <w:p w14:paraId="7C55FC9F" w14:textId="254F8CA9" w:rsidR="00E600D8" w:rsidRPr="00083E19" w:rsidRDefault="00514BEE" w:rsidP="00E600D8">
      <w:pPr>
        <w:jc w:val="center"/>
        <w:rPr>
          <w:rFonts w:asciiTheme="majorBidi" w:hAnsiTheme="majorBidi" w:cstheme="majorBidi"/>
          <w:sz w:val="20"/>
          <w:szCs w:val="20"/>
        </w:rPr>
      </w:pPr>
      <w:r w:rsidRPr="00083E19">
        <w:rPr>
          <w:rFonts w:asciiTheme="majorBidi" w:hAnsiTheme="majorBidi" w:cstheme="majorBidi"/>
          <w:sz w:val="20"/>
          <w:szCs w:val="20"/>
        </w:rPr>
        <w:lastRenderedPageBreak/>
        <w:t xml:space="preserve">Supplementary </w:t>
      </w:r>
      <w:r w:rsidR="00030CB5">
        <w:rPr>
          <w:rFonts w:asciiTheme="majorBidi" w:hAnsiTheme="majorBidi" w:cstheme="majorBidi"/>
          <w:sz w:val="20"/>
          <w:szCs w:val="20"/>
        </w:rPr>
        <w:t>M</w:t>
      </w:r>
      <w:r w:rsidRPr="00083E19">
        <w:rPr>
          <w:rFonts w:asciiTheme="majorBidi" w:hAnsiTheme="majorBidi" w:cstheme="majorBidi"/>
          <w:sz w:val="20"/>
          <w:szCs w:val="20"/>
        </w:rPr>
        <w:t xml:space="preserve">aterial 3: </w:t>
      </w:r>
      <w:r w:rsidR="00E600D8" w:rsidRPr="00083E19">
        <w:rPr>
          <w:rFonts w:asciiTheme="majorBidi" w:hAnsiTheme="majorBidi" w:cstheme="majorBidi"/>
          <w:sz w:val="20"/>
          <w:szCs w:val="20"/>
        </w:rPr>
        <w:t>Quality Appraisal</w:t>
      </w:r>
    </w:p>
    <w:p w14:paraId="04168AB5" w14:textId="7952E0C8" w:rsidR="00514BEE" w:rsidRPr="00083E19" w:rsidRDefault="00514BEE" w:rsidP="00514BEE">
      <w:pPr>
        <w:spacing w:after="120" w:line="480" w:lineRule="auto"/>
        <w:ind w:left="-17"/>
        <w:jc w:val="both"/>
        <w:rPr>
          <w:rFonts w:asciiTheme="majorBidi" w:hAnsiTheme="majorBidi" w:cstheme="majorBidi"/>
          <w:b/>
          <w:bCs/>
          <w:sz w:val="20"/>
          <w:szCs w:val="20"/>
        </w:rPr>
      </w:pPr>
      <w:r w:rsidRPr="00083E19">
        <w:rPr>
          <w:rFonts w:asciiTheme="majorBidi" w:hAnsiTheme="majorBidi" w:cstheme="majorBidi"/>
          <w:b/>
          <w:bCs/>
          <w:i/>
          <w:iCs/>
          <w:sz w:val="20"/>
          <w:szCs w:val="20"/>
        </w:rPr>
        <w:t>Quality Assessment of Studies Measuring Loneliness Levels between ASD and NT Samples</w:t>
      </w:r>
      <w:r w:rsidRPr="00083E19">
        <w:rPr>
          <w:rFonts w:asciiTheme="majorBidi" w:hAnsiTheme="majorBidi" w:cstheme="majorBidi"/>
          <w:b/>
          <w:bCs/>
          <w:sz w:val="20"/>
          <w:szCs w:val="20"/>
        </w:rPr>
        <w:t xml:space="preserve"> </w:t>
      </w:r>
    </w:p>
    <w:p w14:paraId="1FE15738" w14:textId="1CD88247" w:rsidR="00514BEE" w:rsidRPr="00083E19" w:rsidRDefault="00514BEE" w:rsidP="00097B2F">
      <w:pPr>
        <w:spacing w:after="120" w:line="360" w:lineRule="auto"/>
        <w:ind w:left="-17" w:firstLine="722"/>
        <w:jc w:val="both"/>
        <w:rPr>
          <w:rFonts w:asciiTheme="majorBidi" w:hAnsiTheme="majorBidi" w:cstheme="majorBidi"/>
          <w:sz w:val="20"/>
          <w:szCs w:val="20"/>
        </w:rPr>
      </w:pPr>
      <w:r w:rsidRPr="00083E19">
        <w:rPr>
          <w:rFonts w:asciiTheme="majorBidi" w:hAnsiTheme="majorBidi" w:cstheme="majorBidi"/>
          <w:sz w:val="20"/>
          <w:szCs w:val="20"/>
        </w:rPr>
        <w:t xml:space="preserve">Eleven studies received an overall ‘moderate’ rating, 10 a ‘weak’ rating and two a ‘strong’ rating in methodological quality (see </w:t>
      </w:r>
      <w:r w:rsidR="0051441D">
        <w:rPr>
          <w:rFonts w:asciiTheme="majorBidi" w:hAnsiTheme="majorBidi" w:cstheme="majorBidi"/>
          <w:sz w:val="20"/>
          <w:szCs w:val="20"/>
        </w:rPr>
        <w:t xml:space="preserve">Supplementary </w:t>
      </w:r>
      <w:r w:rsidRPr="00083E19">
        <w:rPr>
          <w:rFonts w:asciiTheme="majorBidi" w:hAnsiTheme="majorBidi" w:cstheme="majorBidi"/>
          <w:sz w:val="20"/>
          <w:szCs w:val="20"/>
        </w:rPr>
        <w:t xml:space="preserve">Table </w:t>
      </w:r>
      <w:r w:rsidR="0051441D">
        <w:rPr>
          <w:rFonts w:asciiTheme="majorBidi" w:hAnsiTheme="majorBidi" w:cstheme="majorBidi"/>
          <w:sz w:val="20"/>
          <w:szCs w:val="20"/>
        </w:rPr>
        <w:t>3</w:t>
      </w:r>
      <w:r w:rsidRPr="00083E19">
        <w:rPr>
          <w:rFonts w:asciiTheme="majorBidi" w:hAnsiTheme="majorBidi" w:cstheme="majorBidi"/>
          <w:sz w:val="20"/>
          <w:szCs w:val="20"/>
        </w:rPr>
        <w:t>). All studies appeared to have clear aims and objectives and utilised an appropriate study design. Most studies were deemed somewhat likely to be representative of the studied population. Two studies achieved a ‘weak’ selection bias rating due to including clinical samples and not reporting selection processes (</w:t>
      </w:r>
      <w:r w:rsidRPr="00083E19">
        <w:rPr>
          <w:rFonts w:asciiTheme="majorBidi" w:hAnsiTheme="majorBidi" w:cstheme="majorBidi"/>
          <w:sz w:val="20"/>
          <w:szCs w:val="20"/>
        </w:rPr>
        <w:fldChar w:fldCharType="begin" w:fldLock="1"/>
      </w:r>
      <w:r w:rsidRPr="00083E19">
        <w:rPr>
          <w:rFonts w:asciiTheme="majorBidi" w:hAnsiTheme="majorBidi" w:cstheme="majorBidi"/>
          <w:sz w:val="20"/>
          <w:szCs w:val="20"/>
        </w:rPr>
        <w:instrText>ADDIN CSL_CITATION {"citationItems":[{"id":"ITEM-1","itemData":{"DOI":"10.1007/s10578-016-0707-7","abstract":"© 2017, The Author(s). A cross-sectional study was conducted to examine loneliness and its correlates in children (7 to 11 years) and adolescents (12 to 18 years) with autism spectrum disorders (ASD, n = 73) and control groups of clinically referred (ADHD, n = 76) and non-clinical (n = 106) youths. Youths completed questionnaires on loneliness and desire for social interaction, while parents and teachers filled out scales on other aspects of children’s social functioning. Results indicated that only at an adolescent age, the ASD group reported higher levels of loneliness than the control groups. Further, the ASD group generally expressed relatively low levels of desire for social interaction, although these youths displayed a similar increase in the wish to belong during adolescence as participants in the control groups. Finally, the ASD group exhibited lower levels of social competence and social skills and higher levels of social problems and social anxiety than the control groups, and in all groups these social variables correlated in a theoretically meaningful with loneliness.","author":[{"dropping-particle":"","family":"Deckers","given":"A.","non-dropping-particle":"","parse-names":false,"suffix":""},{"dropping-particle":"","family":"Muris","given":"P.","non-dropping-particle":"","parse-names":false,"suffix":""},{"dropping-particle":"","family":"Roelofs","given":"J.","non-dropping-particle":"","parse-names":false,"suffix":""}],"container-title":"Child Psychiatry and Human Development","id":"ITEM-1","issue":"5","issued":{"date-parts":[["2017"]]},"page":"828-839","title":"Being on your own or feeling lonely? Loneliness and other social variables in youths with autism spectrum disorders","type":"article-journal","volume":"48"},"uris":["http://www.mendeley.com/documents/?uuid=eea0848b-b01e-38eb-a35d-84c5d9abdcfe"]}],"mendeley":{"formattedCitation":"(A. Deckers et al., 2017)","manualFormatting":"Deckers et al., 2017; Lasgaard et al., 2010)","plainTextFormattedCitation":"(A. Deckers et al., 2017)","previouslyFormattedCitation":"(A. Deckers et al., 2017)"},"properties":{"noteIndex":0},"schema":"https://github.com/citation-style-language/schema/raw/master/csl-citation.json"}</w:instrText>
      </w:r>
      <w:r w:rsidRPr="00083E19">
        <w:rPr>
          <w:rFonts w:asciiTheme="majorBidi" w:hAnsiTheme="majorBidi" w:cstheme="majorBidi"/>
          <w:sz w:val="20"/>
          <w:szCs w:val="20"/>
        </w:rPr>
        <w:fldChar w:fldCharType="separate"/>
      </w:r>
      <w:r w:rsidRPr="00083E19">
        <w:rPr>
          <w:rFonts w:asciiTheme="majorBidi" w:hAnsiTheme="majorBidi" w:cstheme="majorBidi"/>
          <w:noProof/>
          <w:sz w:val="20"/>
          <w:szCs w:val="20"/>
        </w:rPr>
        <w:t xml:space="preserve">Deckers et al., 2017; </w:t>
      </w:r>
      <w:r w:rsidRPr="00083E19">
        <w:rPr>
          <w:rFonts w:asciiTheme="majorBidi" w:hAnsiTheme="majorBidi" w:cstheme="majorBidi"/>
          <w:noProof/>
          <w:sz w:val="20"/>
          <w:szCs w:val="20"/>
        </w:rPr>
        <w:fldChar w:fldCharType="begin" w:fldLock="1"/>
      </w:r>
      <w:r w:rsidRPr="00083E19">
        <w:rPr>
          <w:rFonts w:asciiTheme="majorBidi" w:hAnsiTheme="majorBidi" w:cstheme="majorBidi"/>
          <w:noProof/>
          <w:sz w:val="20"/>
          <w:szCs w:val="20"/>
        </w:rPr>
        <w:instrText>ADDIN CSL_CITATION {"citationItems":[{"id":"ITEM-1","itemData":{"DOI":"10.1007/s10803-009-0851-z","abstract":"Loneliness and perceived social support were examined in 39 adolescent boys with autism spectrum disorders (ASD) by means of a self-labeling loneliness measure, the UCLA Loneliness Scale (third version), and the Social Support Scale for Children. Twenty-one percent of the boys with ASD described themselves as often or always feeling lonely. Compared with 199 boys from regular schools in a national probability study, ASD was strongly associated with often or always feeling lonely (OR: 7.08, p &lt; .0005), as well as with a higher degree of loneliness (F(1,229) = 11.1, p &lt; .005). Perceived social support from classmates, parents, and a close friend correlated negatively with loneliness in ASD. The study, therefore, indicates a high occurrence of loneliness among adolescent boys with ASD and points at perceived social support as an important protective factor. © 2009 Springer Science+Business Media, LLC.","author":[{"dropping-particle":"","family":"Lasgaard","given":"M.","non-dropping-particle":"","parse-names":false,"suffix":""},{"dropping-particle":"","family":"Nielsen","given":"A.","non-dropping-particle":"","parse-names":false,"suffix":""},{"dropping-particle":"","family":"Eriksen","given":"M.E.","non-dropping-particle":"","parse-names":false,"suffix":""},{"dropping-particle":"","family":"Goossens","given":"L.","non-dropping-particle":"","parse-names":false,"suffix":""}],"container-title":"Journal of Autism and Developmental Disorders","id":"ITEM-1","issue":"2","issued":{"date-parts":[["2010"]]},"page":"218-226","title":"Loneliness and social support in adolescent boys with autism spectrum disorders","type":"article-journal","volume":"40"},"uris":["http://www.mendeley.com/documents/?uuid=217c147c-83fe-33b4-b2c7-1a6246901537"]}],"mendeley":{"formattedCitation":"(M. Lasgaard et al., 2010)","manualFormatting":"Lasgaard et al., 2010","plainTextFormattedCitation":"(M. Lasgaard et al., 2010)","previouslyFormattedCitation":"(M. Lasgaard et al., 2010)"},"properties":{"noteIndex":0},"schema":"https://github.com/citation-style-language/schema/raw/master/csl-citation.json"}</w:instrText>
      </w:r>
      <w:r w:rsidRPr="00083E19">
        <w:rPr>
          <w:rFonts w:asciiTheme="majorBidi" w:hAnsiTheme="majorBidi" w:cstheme="majorBidi"/>
          <w:noProof/>
          <w:sz w:val="20"/>
          <w:szCs w:val="20"/>
        </w:rPr>
        <w:fldChar w:fldCharType="separate"/>
      </w:r>
      <w:r w:rsidRPr="00083E19">
        <w:rPr>
          <w:rFonts w:asciiTheme="majorBidi" w:hAnsiTheme="majorBidi" w:cstheme="majorBidi"/>
          <w:noProof/>
          <w:sz w:val="20"/>
          <w:szCs w:val="20"/>
        </w:rPr>
        <w:t>Lasgaard et al., 2010</w:t>
      </w:r>
      <w:r w:rsidRPr="00083E19">
        <w:rPr>
          <w:rFonts w:asciiTheme="majorBidi" w:hAnsiTheme="majorBidi" w:cstheme="majorBidi"/>
          <w:noProof/>
          <w:sz w:val="20"/>
          <w:szCs w:val="20"/>
        </w:rPr>
        <w:fldChar w:fldCharType="end"/>
      </w:r>
      <w:r w:rsidRPr="00083E19">
        <w:rPr>
          <w:rFonts w:asciiTheme="majorBidi" w:hAnsiTheme="majorBidi" w:cstheme="majorBidi"/>
          <w:noProof/>
          <w:sz w:val="20"/>
          <w:szCs w:val="20"/>
        </w:rPr>
        <w:t>)</w:t>
      </w:r>
      <w:r w:rsidRPr="00083E19">
        <w:rPr>
          <w:rFonts w:asciiTheme="majorBidi" w:hAnsiTheme="majorBidi" w:cstheme="majorBidi"/>
          <w:sz w:val="20"/>
          <w:szCs w:val="20"/>
        </w:rPr>
        <w:fldChar w:fldCharType="end"/>
      </w:r>
      <w:r w:rsidRPr="00083E19">
        <w:rPr>
          <w:rFonts w:asciiTheme="majorBidi" w:hAnsiTheme="majorBidi" w:cstheme="majorBidi"/>
          <w:sz w:val="20"/>
          <w:szCs w:val="20"/>
        </w:rPr>
        <w:t>.  Studies were mainly scored down due to lack of reporting of the proportion of individuals taking part out of those selected. All studies attained ‘moderate’ ratings for study design due to being of cross-sectional nature. Most studies (N=19) were deemed to ‘moderately’ or ‘strongly’ control for confounders between ASD and NT groups, namely controlling for age and gender and to a lesser extent ethnicity and Intelligence Quotients (IQ). Those that received ‘weak’ ratings (N=5) were deemed to have controlled for less than 60% of confounders or did not clearly report how potential confounders were controlled for.</w:t>
      </w:r>
    </w:p>
    <w:p w14:paraId="22DBBFDC" w14:textId="77777777" w:rsidR="00514BEE" w:rsidRPr="00083E19" w:rsidRDefault="00514BEE" w:rsidP="004802F0">
      <w:pPr>
        <w:spacing w:after="1" w:line="360" w:lineRule="auto"/>
        <w:ind w:left="-15" w:firstLine="720"/>
        <w:jc w:val="both"/>
        <w:rPr>
          <w:rFonts w:asciiTheme="majorBidi" w:hAnsiTheme="majorBidi" w:cstheme="majorBidi"/>
          <w:sz w:val="20"/>
          <w:szCs w:val="20"/>
        </w:rPr>
      </w:pPr>
      <w:r w:rsidRPr="00083E19">
        <w:rPr>
          <w:rFonts w:asciiTheme="majorBidi" w:hAnsiTheme="majorBidi" w:cstheme="majorBidi"/>
          <w:sz w:val="20"/>
          <w:szCs w:val="20"/>
        </w:rPr>
        <w:t xml:space="preserve">Most studies were deemed moderate in their data collection methods due to reporting reliability of the loneliness measures used in their samples and using measures which had been validated in NT populations (but not ASD populations). Only one study used an adapted loneliness measure designed for use with an ASD sample to differentiate between social and emotional components of loneliness </w:t>
      </w:r>
      <w:r w:rsidRPr="00083E19">
        <w:rPr>
          <w:rFonts w:asciiTheme="majorBidi" w:hAnsiTheme="majorBidi" w:cstheme="majorBidi"/>
          <w:sz w:val="20"/>
          <w:szCs w:val="20"/>
        </w:rPr>
        <w:fldChar w:fldCharType="begin" w:fldLock="1"/>
      </w:r>
      <w:r w:rsidRPr="00083E19">
        <w:rPr>
          <w:rFonts w:asciiTheme="majorBidi" w:hAnsiTheme="majorBidi" w:cstheme="majorBidi"/>
          <w:sz w:val="20"/>
          <w:szCs w:val="20"/>
        </w:rPr>
        <w:instrText>ADDIN CSL_CITATION {"citationItems":[{"id":"ITEM-1","itemData":{"DOI":"10.1023/A:1025827427901","abstract":"Social interaction with peers and the understanding and feelings of loneliness were examined in 18 high-functioning children with autism and 17 typically developing children matched for IQ, chronological age, gender, and maternal education. Observations were conducted on children's spontaneous social initiations and responses to their peers in natural settings such as recess and snack time, and children reported on their understanding and feelings of loneliness and social interaction. Overall, children with autism revealed a good understanding of both social interaction and loneliness, and they demonstrated a high level of social initiation. However, they spent only half the time in social interactions with peers compared with their matched counterparts, and they interacted more often with a typically developing child than with another special education child. Despite the intergroup differences in frequency of interaction, a similar distribution of interactions emerged for both groups, who presented mostly positive social behaviors, fewer low-level behaviors, and very infrequent negative behaviors. Children with autism reported higher degrees of loneliness than their typical age-mates, as well as a lower association between social interaction and loneliness, suggesting their poorer understanding of the relations between loneliness and social interaction. Research and practice implications of these findings are discussed.","author":[{"dropping-particle":"","family":"Bauminger","given":"N.","non-dropping-particle":"","parse-names":false,"suffix":""},{"dropping-particle":"","family":"Shulman","given":"C.","non-dropping-particle":"","parse-names":false,"suffix":""},{"dropping-particle":"","family":"Agam","given":"G.","non-dropping-particle":"","parse-names":false,"suffix":""}],"container-title":"Journal of Autism and Developmental Disorders","id":"ITEM-1","issue":"5","issued":{"date-parts":[["2003"]]},"page":"489-507","title":"Peer Interaction and Loneliness in High-Functioning Children with Autism","type":"article-journal","volume":"33"},"uris":["http://www.mendeley.com/documents/?uuid=0852118d-39dc-3c90-9347-1f324a2bd813"]}],"mendeley":{"formattedCitation":"(Bauminger et al., 2003)","plainTextFormattedCitation":"(Bauminger et al., 2003)","previouslyFormattedCitation":"(Bauminger et al., 2003)"},"properties":{"noteIndex":0},"schema":"https://github.com/citation-style-language/schema/raw/master/csl-citation.json"}</w:instrText>
      </w:r>
      <w:r w:rsidRPr="00083E19">
        <w:rPr>
          <w:rFonts w:asciiTheme="majorBidi" w:hAnsiTheme="majorBidi" w:cstheme="majorBidi"/>
          <w:sz w:val="20"/>
          <w:szCs w:val="20"/>
        </w:rPr>
        <w:fldChar w:fldCharType="separate"/>
      </w:r>
      <w:r w:rsidRPr="00083E19">
        <w:rPr>
          <w:rFonts w:asciiTheme="majorBidi" w:hAnsiTheme="majorBidi" w:cstheme="majorBidi"/>
          <w:noProof/>
          <w:sz w:val="20"/>
          <w:szCs w:val="20"/>
        </w:rPr>
        <w:t>(Bauminger et al., 2003)</w:t>
      </w:r>
      <w:r w:rsidRPr="00083E19">
        <w:rPr>
          <w:rFonts w:asciiTheme="majorBidi" w:hAnsiTheme="majorBidi" w:cstheme="majorBidi"/>
          <w:sz w:val="20"/>
          <w:szCs w:val="20"/>
        </w:rPr>
        <w:fldChar w:fldCharType="end"/>
      </w:r>
      <w:r w:rsidRPr="00083E19">
        <w:rPr>
          <w:rFonts w:asciiTheme="majorBidi" w:hAnsiTheme="majorBidi" w:cstheme="majorBidi"/>
          <w:sz w:val="20"/>
          <w:szCs w:val="20"/>
        </w:rPr>
        <w:t xml:space="preserve">. One study attained a ‘weak’ rating due to not providing reliability or validity information on the loneliness measure used </w:t>
      </w:r>
      <w:r w:rsidRPr="00083E19">
        <w:rPr>
          <w:rFonts w:asciiTheme="majorBidi" w:hAnsiTheme="majorBidi" w:cstheme="majorBidi"/>
          <w:sz w:val="20"/>
          <w:szCs w:val="20"/>
        </w:rPr>
        <w:fldChar w:fldCharType="begin" w:fldLock="1"/>
      </w:r>
      <w:r w:rsidRPr="00083E19">
        <w:rPr>
          <w:rFonts w:asciiTheme="majorBidi" w:hAnsiTheme="majorBidi" w:cstheme="majorBidi"/>
          <w:sz w:val="20"/>
          <w:szCs w:val="20"/>
        </w:rPr>
        <w:instrText>ADDIN CSL_CITATION {"citationItems":[{"id":"ITEM-1","itemData":{"DOI":"http://dx.doi.org/10.6033/tokkyou.49.645","ISSN":"0387-3374","abstract":"Although children with high-functioning pervasive developmental disorders (HFPDD) may notice that they are different from other children, they may not sufficiently understand what is specifically different about them, which may increase their feeling of loneliness. The present article examined developmental and qualitative differences in feelings of loneliness of children with HFPDD and children who are typically developed by investigating the relationship between competence and loneliness. Children with HFPDD (n = 45) and children who are typically developed (n = 281) who were at various stages of development completed a loneliness and competence scale. The results suggested that after the higher grades of elementary school, the children with HFPDD were lonelier than the children who are typically developed. The loneliness and competence scores were independent of each other among the children with HFPDD, whereas those scores were significantly negatively correlated in the children who are typically developed. Loneliness in children with HFPDD may be unlike that experienced by children who are typically developed; their loneliness may not be related to psychological conditions, such as appreciating interactions with friends, but rather directly related to physical conditions, such as a lower number of acquaintances. Therefore, both subjective and objective aspects of loneliness must be considered. (PsycINFO Database Record (c) 2016 APA, all rights reserved)","author":[{"dropping-particle":"","family":"Nomura","given":"Kayo","non-dropping-particle":"","parse-names":false,"suffix":""},{"dropping-particle":"","family":"Beppu","given":"Satoshi","non-dropping-particle":"","parse-names":false,"suffix":""},{"dropping-particle":"","family":"Tsujii","given":"Masatsugu","non-dropping-particle":"","parse-names":false,"suffix":""}],"container-title":"Japanese Journal of Special Education","editor":[{"dropping-particle":"","family":"Asher Bauminger, Bauminger, Beppu, Happe, Harter, Koyasu, Maeda, Moriguchi, Ochiai, Sakurai","given":"Baron-Cohen","non-dropping-particle":"","parse-names":false,"suffix":""}],"id":"ITEM-1","issue":"6","issued":{"date-parts":[["2012"]]},"page":"645-656","publisher":"Japanese Assn of Special Education","publisher-place":"Japan","title":"Loneliness in children with high functioning pervasive developmental disorders","type":"article-journal","volume":"49"},"uris":["http://www.mendeley.com/documents/?uuid=e9c426d5-3589-4dba-957c-f9516c1bf293"]}],"mendeley":{"formattedCitation":"(Nomura et al., 2012)","plainTextFormattedCitation":"(Nomura et al., 2012)","previouslyFormattedCitation":"(Nomura et al., 2012)"},"properties":{"noteIndex":0},"schema":"https://github.com/citation-style-language/schema/raw/master/csl-citation.json"}</w:instrText>
      </w:r>
      <w:r w:rsidRPr="00083E19">
        <w:rPr>
          <w:rFonts w:asciiTheme="majorBidi" w:hAnsiTheme="majorBidi" w:cstheme="majorBidi"/>
          <w:sz w:val="20"/>
          <w:szCs w:val="20"/>
        </w:rPr>
        <w:fldChar w:fldCharType="separate"/>
      </w:r>
      <w:r w:rsidRPr="00083E19">
        <w:rPr>
          <w:rFonts w:asciiTheme="majorBidi" w:hAnsiTheme="majorBidi" w:cstheme="majorBidi"/>
          <w:noProof/>
          <w:sz w:val="20"/>
          <w:szCs w:val="20"/>
        </w:rPr>
        <w:t>(Nomura et al., 2012)</w:t>
      </w:r>
      <w:r w:rsidRPr="00083E19">
        <w:rPr>
          <w:rFonts w:asciiTheme="majorBidi" w:hAnsiTheme="majorBidi" w:cstheme="majorBidi"/>
          <w:sz w:val="20"/>
          <w:szCs w:val="20"/>
        </w:rPr>
        <w:fldChar w:fldCharType="end"/>
      </w:r>
      <w:r w:rsidRPr="00083E19">
        <w:rPr>
          <w:rFonts w:asciiTheme="majorBidi" w:hAnsiTheme="majorBidi" w:cstheme="majorBidi"/>
          <w:sz w:val="20"/>
          <w:szCs w:val="20"/>
        </w:rPr>
        <w:t>. Few studies provided information regarding the presence of- or reasons for- non-completion and/or missing data for participants who agreed to participate; therefore most (N=15) received a ‘weak’ rating in the attrition domain.</w:t>
      </w:r>
    </w:p>
    <w:p w14:paraId="04D2B639" w14:textId="77777777" w:rsidR="00B1058C" w:rsidRPr="00083E19" w:rsidRDefault="00514BEE" w:rsidP="004802F0">
      <w:pPr>
        <w:spacing w:after="1" w:line="360" w:lineRule="auto"/>
        <w:ind w:left="-15" w:firstLine="720"/>
        <w:jc w:val="both"/>
        <w:rPr>
          <w:rFonts w:asciiTheme="majorBidi" w:hAnsiTheme="majorBidi" w:cstheme="majorBidi"/>
          <w:sz w:val="20"/>
          <w:szCs w:val="20"/>
        </w:rPr>
      </w:pPr>
      <w:r w:rsidRPr="00083E19">
        <w:rPr>
          <w:rFonts w:asciiTheme="majorBidi" w:hAnsiTheme="majorBidi" w:cstheme="majorBidi"/>
          <w:sz w:val="20"/>
          <w:szCs w:val="20"/>
        </w:rPr>
        <w:t>Only six studies used a gold-standard assessment of ASD, attaining ‘strong’ ratings for this domain.  Twelve studies used self-report or other-informant screening questionnaires in the absence of gold-standard procedures or obtained medical documentation to confirm diagnosis</w:t>
      </w:r>
      <w:r w:rsidR="00B1058C" w:rsidRPr="00083E19">
        <w:rPr>
          <w:rFonts w:asciiTheme="majorBidi" w:hAnsiTheme="majorBidi" w:cstheme="majorBidi"/>
          <w:sz w:val="20"/>
          <w:szCs w:val="20"/>
        </w:rPr>
        <w:t xml:space="preserve">  the most common (N=6) screening questionnaire was the AQ (</w:t>
      </w:r>
      <w:r w:rsidR="00B1058C" w:rsidRPr="00083E19">
        <w:rPr>
          <w:rFonts w:asciiTheme="majorBidi" w:hAnsiTheme="majorBidi" w:cstheme="majorBidi"/>
          <w:sz w:val="20"/>
          <w:szCs w:val="20"/>
        </w:rPr>
        <w:fldChar w:fldCharType="begin" w:fldLock="1"/>
      </w:r>
      <w:r w:rsidR="00B1058C" w:rsidRPr="00083E19">
        <w:rPr>
          <w:rFonts w:asciiTheme="majorBidi" w:hAnsiTheme="majorBidi" w:cstheme="majorBidi"/>
          <w:sz w:val="20"/>
          <w:szCs w:val="20"/>
        </w:rPr>
        <w:instrText>ADDIN CSL_CITATION {"citationItems":[{"id":"ITEM-1","itemData":{"DOI":"10.1023/A:1005653411471","ISSN":"01623257","PMID":"11439754","abstract":"Currently there are no brief, self-administered instruments for measuring the degree to which an adult with normal intelligence has the traits associated with the autistic spectrum. In this paper, we report on a new instrument to assess this: the Autism-Spectrum Quotient (AQ). Individuals score in the range 0-50. Four groups of subjects were assessed: Group 1: 58 adults with Asperger syndrome (AS) or high-functioning autism (HFA); Group 2: 174 randomly selected controls. Group 3: 840 students in Cambridge University; and Group 4: 16 winners of the UK Mathematics Olympiad. The adults with AS/HFA had a mean AQ score of 35.8 (SD = 6.5), significantly higher than Group 2 controls (M = 16.4, SD = 6.3). 80% of the adults with AS/HFA scored 32+, versus 2% of controls. Among the controls, men scored slightly but significantly higher than women. No women scored extremely highly (AQ score 34+) whereas 4% of men did so. Twice as many men (40%) as women (21%) scored at intermediate levels (AQ score 20+). Among the AS/HFA group, male and female scores did not differ significantly. The students in Cambridge University did not differ from the randomly selected control group, but scientists (including mathematicians) scored significantly higher than both humanities and social sciences students, confirming an earlier study that autistic conditions are associated with scientific skills. Within the sciences, mathematicians scored highest. This was replicated in Group 4, the Mathematics Olympiad winners scoring significantly higher than the male Cambridge humanities students. 6% of the student sample scored 32+ on the AQ. On interview, 11 out of 11 of these met three or more DSM-IV criteria for AS/HFA, and all were studying sciences/mathematics, and 7 of the 11 met threshold on these criteria. Test-retest and interrater reliability of the AQ was good. The AQ is thus a valuable instrument for rapidly quantifying where any given individual is situated on the continuum from autism to normality. Its potential for screening for autism spectrum conditions in adults of normal intelligence remains to be fully explored.","author":[{"dropping-particle":"","family":"Baron-Cohen","given":"Simon","non-dropping-particle":"","parse-names":false,"suffix":""},{"dropping-particle":"","family":"Wheelwright","given":"Sally","non-dropping-particle":"","parse-names":false,"suffix":""},{"dropping-particle":"","family":"Skinner","given":"Richard","non-dropping-particle":"","parse-names":false,"suffix":""},{"dropping-particle":"","family":"Martin","given":"Joanne","non-dropping-particle":"","parse-names":false,"suffix":""},{"dropping-particle":"","family":"Clubley","given":"Emma","non-dropping-particle":"","parse-names":false,"suffix":""}],"container-title":"Journal of Autism and Developmental Disorders","id":"ITEM-1","issue":"1","issued":{"date-parts":[["2001"]]},"page":"5-17","publisher":"Springer","title":"The autism-spectrum quotient (AQ): Evidence from asperger syndrome/high-functioning autism, males and females, scientists and mathematicians","type":"article-journal","volume":"31"},"uris":["http://www.mendeley.com/documents/?uuid=71438033-3102-364d-98dd-3540733060fe"]}],"mendeley":{"formattedCitation":"(Baron-Cohen et al., 2001)","manualFormatting":"Baron-Cohen et al., 2001)","plainTextFormattedCitation":"(Baron-Cohen et al., 2001)","previouslyFormattedCitation":"(Baron-Cohen et al., 2001)"},"properties":{"noteIndex":0},"schema":"https://github.com/citation-style-language/schema/raw/master/csl-citation.json"}</w:instrText>
      </w:r>
      <w:r w:rsidR="00B1058C" w:rsidRPr="00083E19">
        <w:rPr>
          <w:rFonts w:asciiTheme="majorBidi" w:hAnsiTheme="majorBidi" w:cstheme="majorBidi"/>
          <w:sz w:val="20"/>
          <w:szCs w:val="20"/>
        </w:rPr>
        <w:fldChar w:fldCharType="separate"/>
      </w:r>
      <w:r w:rsidR="00B1058C" w:rsidRPr="00083E19">
        <w:rPr>
          <w:rFonts w:asciiTheme="majorBidi" w:hAnsiTheme="majorBidi" w:cstheme="majorBidi"/>
          <w:noProof/>
          <w:sz w:val="20"/>
          <w:szCs w:val="20"/>
        </w:rPr>
        <w:t>Baron-Cohen et al., 2001)</w:t>
      </w:r>
      <w:r w:rsidR="00B1058C" w:rsidRPr="00083E19">
        <w:rPr>
          <w:rFonts w:asciiTheme="majorBidi" w:hAnsiTheme="majorBidi" w:cstheme="majorBidi"/>
          <w:sz w:val="20"/>
          <w:szCs w:val="20"/>
        </w:rPr>
        <w:fldChar w:fldCharType="end"/>
      </w:r>
      <w:r w:rsidR="00B1058C" w:rsidRPr="00083E19">
        <w:rPr>
          <w:rFonts w:asciiTheme="majorBidi" w:hAnsiTheme="majorBidi" w:cstheme="majorBidi"/>
          <w:sz w:val="20"/>
          <w:szCs w:val="20"/>
        </w:rPr>
        <w:t xml:space="preserve">. The remaining studies (N=6) did not report diagnostic procedures sufficiently to characterise participants as having an ASD diagnosis. Full-scale IQs were reported for both samples in four studies and in the ASD sample only in one study; a further three studies reported verbal IQ scores or mental-age equivalents for both samples. Only studies which measured IQ as part of study procedures or within the preceding 3 months (N=6) attained a strong rating for this domain. The remaining studies did not report any information on IQ or stated participants were intellectually average or had an IQ&gt;70. One study </w:t>
      </w:r>
      <w:r w:rsidR="00B1058C" w:rsidRPr="00083E19">
        <w:rPr>
          <w:rFonts w:asciiTheme="majorBidi" w:hAnsiTheme="majorBidi" w:cstheme="majorBidi"/>
          <w:sz w:val="20"/>
          <w:szCs w:val="20"/>
        </w:rPr>
        <w:fldChar w:fldCharType="begin" w:fldLock="1"/>
      </w:r>
      <w:r w:rsidR="00B1058C" w:rsidRPr="00083E19">
        <w:rPr>
          <w:rFonts w:asciiTheme="majorBidi" w:hAnsiTheme="majorBidi" w:cstheme="majorBidi"/>
          <w:sz w:val="20"/>
          <w:szCs w:val="20"/>
        </w:rPr>
        <w:instrText>ADDIN CSL_CITATION {"citationItems":[{"id":"ITEM-1","itemData":{"DOI":"10.1089/AUT.2018.0038","ISSN":"2573-9581","abstract":"Abstract Background: Loneliness is associated with adverse psychological and physical outcomes. However, little is known about the factors contributing to loneliness in autistic adults. This study ...","author":[{"dropping-particle":"","family":"Ee","given":"Dawn","non-dropping-particle":"","parse-names":false,"suffix":""},{"dropping-particle":"","family":"Hwang","given":"Ye In (Jane)","non-dropping-particle":"","parse-names":false,"suffix":""},{"dropping-particle":"","family":"Reppermund","given":"Simone","non-dropping-particle":"","parse-names":false,"suffix":""},{"dropping-particle":"","family":"Srasuebkul","given":"Preeyaporn","non-dropping-particle":"","parse-names":false,"suffix":""},{"dropping-particle":"","family":"Trollor","given":"Julian N.","non-dropping-particle":"","parse-names":false,"suffix":""},{"dropping-particle":"","family":"Foley","given":"Kitty-Rose","non-dropping-particle":"","parse-names":false,"suffix":""},{"dropping-particle":"","family":"Arnold","given":"Samuel R.C.","non-dropping-particle":"","parse-names":false,"suffix":""}],"container-title":"https://home.liebertpub.com/aut","id":"ITEM-1","issued":{"date-parts":[["2019","9","11"]]},"publisher":" Mary Ann Liebert, Inc., publishers  140 Huguenot Street, 3rd Floor New Rochelle, NY 10801 USA  ","title":"Loneliness in Adults on the Autism Spectrum","type":"article-journal"},"uris":["http://www.mendeley.com/documents/?uuid=2a40f6c8-e8c0-3ed0-9157-0d38730a44af"]}],"mendeley":{"formattedCitation":"(Ee et al., 2019)","plainTextFormattedCitation":"(Ee et al., 2019)","previouslyFormattedCitation":"(Ee et al., 2019)"},"properties":{"noteIndex":0},"schema":"https://github.com/citation-style-language/schema/raw/master/csl-citation.json"}</w:instrText>
      </w:r>
      <w:r w:rsidR="00B1058C" w:rsidRPr="00083E19">
        <w:rPr>
          <w:rFonts w:asciiTheme="majorBidi" w:hAnsiTheme="majorBidi" w:cstheme="majorBidi"/>
          <w:sz w:val="20"/>
          <w:szCs w:val="20"/>
        </w:rPr>
        <w:fldChar w:fldCharType="separate"/>
      </w:r>
      <w:r w:rsidR="00B1058C" w:rsidRPr="00083E19">
        <w:rPr>
          <w:rFonts w:asciiTheme="majorBidi" w:hAnsiTheme="majorBidi" w:cstheme="majorBidi"/>
          <w:noProof/>
          <w:sz w:val="20"/>
          <w:szCs w:val="20"/>
        </w:rPr>
        <w:t>(Ee et al., 2019)</w:t>
      </w:r>
      <w:r w:rsidR="00B1058C" w:rsidRPr="00083E19">
        <w:rPr>
          <w:rFonts w:asciiTheme="majorBidi" w:hAnsiTheme="majorBidi" w:cstheme="majorBidi"/>
          <w:sz w:val="20"/>
          <w:szCs w:val="20"/>
        </w:rPr>
        <w:fldChar w:fldCharType="end"/>
      </w:r>
      <w:r w:rsidR="00B1058C" w:rsidRPr="00083E19">
        <w:rPr>
          <w:rFonts w:asciiTheme="majorBidi" w:hAnsiTheme="majorBidi" w:cstheme="majorBidi"/>
          <w:sz w:val="20"/>
          <w:szCs w:val="20"/>
        </w:rPr>
        <w:t xml:space="preserve">  mentioned including participants with a diagnosed intellectual disability. </w:t>
      </w:r>
    </w:p>
    <w:p w14:paraId="3020BC0A" w14:textId="5054C557" w:rsidR="00B1058C" w:rsidRPr="00083E19" w:rsidRDefault="00B1058C" w:rsidP="00514BEE">
      <w:pPr>
        <w:spacing w:after="1" w:line="480" w:lineRule="auto"/>
        <w:ind w:left="-15" w:firstLine="720"/>
        <w:jc w:val="both"/>
        <w:rPr>
          <w:rFonts w:asciiTheme="majorBidi" w:hAnsiTheme="majorBidi" w:cstheme="majorBidi"/>
          <w:sz w:val="20"/>
          <w:szCs w:val="20"/>
        </w:rPr>
        <w:sectPr w:rsidR="00B1058C" w:rsidRPr="00083E19" w:rsidSect="00693AC0">
          <w:pgSz w:w="11906" w:h="16838"/>
          <w:pgMar w:top="1440" w:right="1440" w:bottom="1440" w:left="1440" w:header="709" w:footer="709" w:gutter="0"/>
          <w:cols w:space="708"/>
          <w:docGrid w:linePitch="360"/>
        </w:sectPr>
      </w:pPr>
    </w:p>
    <w:p w14:paraId="2EA518DB" w14:textId="12ED6A23" w:rsidR="00030CB5" w:rsidRDefault="009D6C73" w:rsidP="00097B2F">
      <w:pPr>
        <w:spacing w:after="0" w:line="480" w:lineRule="auto"/>
        <w:ind w:left="-17"/>
        <w:jc w:val="both"/>
        <w:rPr>
          <w:rFonts w:asciiTheme="majorBidi" w:hAnsiTheme="majorBidi" w:cstheme="majorBidi"/>
          <w:b/>
          <w:bCs/>
          <w:i/>
          <w:iCs/>
          <w:sz w:val="20"/>
          <w:szCs w:val="20"/>
        </w:rPr>
      </w:pPr>
      <w:r w:rsidRPr="00083E19">
        <w:rPr>
          <w:rFonts w:asciiTheme="majorBidi" w:hAnsiTheme="majorBidi" w:cstheme="majorBidi"/>
          <w:b/>
          <w:bCs/>
          <w:i/>
          <w:iCs/>
          <w:sz w:val="20"/>
          <w:szCs w:val="20"/>
        </w:rPr>
        <w:lastRenderedPageBreak/>
        <w:t xml:space="preserve">Supplementary </w:t>
      </w:r>
      <w:r w:rsidR="00030CB5">
        <w:rPr>
          <w:rFonts w:asciiTheme="majorBidi" w:hAnsiTheme="majorBidi" w:cstheme="majorBidi"/>
          <w:b/>
          <w:bCs/>
          <w:i/>
          <w:iCs/>
          <w:sz w:val="20"/>
          <w:szCs w:val="20"/>
        </w:rPr>
        <w:t>T</w:t>
      </w:r>
      <w:r w:rsidRPr="00083E19">
        <w:rPr>
          <w:rFonts w:asciiTheme="majorBidi" w:hAnsiTheme="majorBidi" w:cstheme="majorBidi"/>
          <w:b/>
          <w:bCs/>
          <w:i/>
          <w:iCs/>
          <w:sz w:val="20"/>
          <w:szCs w:val="20"/>
        </w:rPr>
        <w:t>able 3</w:t>
      </w:r>
    </w:p>
    <w:p w14:paraId="5180177A" w14:textId="22AF0024" w:rsidR="00514BEE" w:rsidRPr="00030CB5" w:rsidRDefault="00514BEE" w:rsidP="00097B2F">
      <w:pPr>
        <w:spacing w:after="0" w:line="480" w:lineRule="auto"/>
        <w:ind w:left="-17"/>
        <w:jc w:val="both"/>
        <w:rPr>
          <w:rFonts w:asciiTheme="majorBidi" w:hAnsiTheme="majorBidi" w:cstheme="majorBidi"/>
          <w:sz w:val="20"/>
          <w:szCs w:val="20"/>
        </w:rPr>
      </w:pPr>
      <w:r w:rsidRPr="00030CB5">
        <w:rPr>
          <w:rFonts w:asciiTheme="majorBidi" w:hAnsiTheme="majorBidi" w:cstheme="majorBidi"/>
          <w:i/>
          <w:iCs/>
          <w:sz w:val="20"/>
          <w:szCs w:val="20"/>
        </w:rPr>
        <w:t>Quality Appraisal Ratings across Studies Measuring Loneliness Levels between ASD and NT Samples</w:t>
      </w:r>
      <w:r w:rsidRPr="00030CB5">
        <w:rPr>
          <w:rFonts w:asciiTheme="majorBidi" w:hAnsiTheme="majorBidi" w:cstheme="majorBidi"/>
          <w:sz w:val="20"/>
          <w:szCs w:val="20"/>
        </w:rPr>
        <w:t xml:space="preserve"> </w:t>
      </w:r>
    </w:p>
    <w:tbl>
      <w:tblPr>
        <w:tblStyle w:val="TableGrid3"/>
        <w:tblW w:w="13604" w:type="dxa"/>
        <w:jc w:val="center"/>
        <w:tblLayout w:type="fixed"/>
        <w:tblLook w:val="04A0" w:firstRow="1" w:lastRow="0" w:firstColumn="1" w:lastColumn="0" w:noHBand="0" w:noVBand="1"/>
      </w:tblPr>
      <w:tblGrid>
        <w:gridCol w:w="2142"/>
        <w:gridCol w:w="775"/>
        <w:gridCol w:w="685"/>
        <w:gridCol w:w="1460"/>
        <w:gridCol w:w="1461"/>
        <w:gridCol w:w="1460"/>
        <w:gridCol w:w="1461"/>
        <w:gridCol w:w="1460"/>
        <w:gridCol w:w="1467"/>
        <w:gridCol w:w="1233"/>
      </w:tblGrid>
      <w:tr w:rsidR="007F7363" w:rsidRPr="00083E19" w14:paraId="54074B72" w14:textId="77777777" w:rsidTr="00506716">
        <w:trPr>
          <w:trHeight w:val="379"/>
          <w:jc w:val="center"/>
        </w:trPr>
        <w:tc>
          <w:tcPr>
            <w:tcW w:w="2142" w:type="dxa"/>
            <w:vMerge w:val="restart"/>
            <w:tcBorders>
              <w:top w:val="single" w:sz="4" w:space="0" w:color="auto"/>
              <w:left w:val="nil"/>
              <w:right w:val="nil"/>
            </w:tcBorders>
            <w:vAlign w:val="center"/>
          </w:tcPr>
          <w:p w14:paraId="10B9CACC" w14:textId="77777777" w:rsidR="007F7363" w:rsidRPr="00083E19" w:rsidRDefault="007F7363" w:rsidP="00506716">
            <w:pPr>
              <w:spacing w:line="276" w:lineRule="auto"/>
              <w:jc w:val="center"/>
              <w:rPr>
                <w:rFonts w:asciiTheme="majorBidi" w:hAnsiTheme="majorBidi" w:cstheme="majorBidi"/>
                <w:b/>
                <w:sz w:val="20"/>
                <w:szCs w:val="20"/>
              </w:rPr>
            </w:pPr>
            <w:r w:rsidRPr="00083E19">
              <w:rPr>
                <w:rFonts w:asciiTheme="majorBidi" w:hAnsiTheme="majorBidi" w:cstheme="majorBidi"/>
                <w:b/>
                <w:sz w:val="20"/>
                <w:szCs w:val="20"/>
              </w:rPr>
              <w:t>Study</w:t>
            </w:r>
          </w:p>
        </w:tc>
        <w:tc>
          <w:tcPr>
            <w:tcW w:w="775" w:type="dxa"/>
            <w:tcBorders>
              <w:top w:val="single" w:sz="4" w:space="0" w:color="auto"/>
              <w:left w:val="nil"/>
              <w:right w:val="nil"/>
            </w:tcBorders>
          </w:tcPr>
          <w:p w14:paraId="42A5A556" w14:textId="77777777" w:rsidR="007F7363" w:rsidRPr="00083E19" w:rsidRDefault="007F7363" w:rsidP="00506716">
            <w:pPr>
              <w:spacing w:before="120" w:line="276" w:lineRule="auto"/>
              <w:ind w:right="595"/>
              <w:jc w:val="center"/>
              <w:rPr>
                <w:rFonts w:asciiTheme="majorBidi" w:hAnsiTheme="majorBidi" w:cstheme="majorBidi"/>
                <w:b/>
                <w:sz w:val="20"/>
                <w:szCs w:val="20"/>
              </w:rPr>
            </w:pPr>
          </w:p>
        </w:tc>
        <w:tc>
          <w:tcPr>
            <w:tcW w:w="9454" w:type="dxa"/>
            <w:gridSpan w:val="7"/>
            <w:tcBorders>
              <w:top w:val="single" w:sz="4" w:space="0" w:color="auto"/>
              <w:left w:val="nil"/>
              <w:right w:val="nil"/>
            </w:tcBorders>
            <w:vAlign w:val="center"/>
          </w:tcPr>
          <w:p w14:paraId="67C4BB0B" w14:textId="77777777" w:rsidR="007F7363" w:rsidRPr="00083E19" w:rsidRDefault="007F7363" w:rsidP="00506716">
            <w:pPr>
              <w:spacing w:before="120" w:line="276" w:lineRule="auto"/>
              <w:ind w:right="595"/>
              <w:jc w:val="center"/>
              <w:rPr>
                <w:rFonts w:asciiTheme="majorBidi" w:hAnsiTheme="majorBidi" w:cstheme="majorBidi"/>
                <w:b/>
                <w:sz w:val="20"/>
                <w:szCs w:val="20"/>
              </w:rPr>
            </w:pPr>
            <w:r w:rsidRPr="00083E19">
              <w:rPr>
                <w:rFonts w:asciiTheme="majorBidi" w:hAnsiTheme="majorBidi" w:cstheme="majorBidi"/>
                <w:b/>
                <w:sz w:val="20"/>
                <w:szCs w:val="20"/>
              </w:rPr>
              <w:t>Component Rating Quality</w:t>
            </w:r>
          </w:p>
        </w:tc>
        <w:tc>
          <w:tcPr>
            <w:tcW w:w="1233" w:type="dxa"/>
            <w:vMerge w:val="restart"/>
            <w:tcBorders>
              <w:top w:val="single" w:sz="4" w:space="0" w:color="auto"/>
              <w:left w:val="nil"/>
              <w:bottom w:val="single" w:sz="4" w:space="0" w:color="auto"/>
              <w:right w:val="nil"/>
            </w:tcBorders>
            <w:vAlign w:val="center"/>
          </w:tcPr>
          <w:p w14:paraId="014876EE" w14:textId="77777777" w:rsidR="007F7363" w:rsidRPr="00083E19" w:rsidRDefault="007F7363" w:rsidP="00506716">
            <w:pPr>
              <w:spacing w:line="276" w:lineRule="auto"/>
              <w:jc w:val="center"/>
              <w:rPr>
                <w:rFonts w:asciiTheme="majorBidi" w:hAnsiTheme="majorBidi" w:cstheme="majorBidi"/>
                <w:b/>
                <w:sz w:val="20"/>
                <w:szCs w:val="20"/>
              </w:rPr>
            </w:pPr>
            <w:r w:rsidRPr="00083E19">
              <w:rPr>
                <w:rFonts w:asciiTheme="majorBidi" w:hAnsiTheme="majorBidi" w:cstheme="majorBidi"/>
                <w:b/>
                <w:sz w:val="20"/>
                <w:szCs w:val="20"/>
              </w:rPr>
              <w:t>Global Quality Rating</w:t>
            </w:r>
          </w:p>
        </w:tc>
      </w:tr>
      <w:tr w:rsidR="007F7363" w:rsidRPr="00083E19" w14:paraId="62704285" w14:textId="77777777" w:rsidTr="007F7363">
        <w:trPr>
          <w:trHeight w:val="565"/>
          <w:jc w:val="center"/>
        </w:trPr>
        <w:tc>
          <w:tcPr>
            <w:tcW w:w="2142" w:type="dxa"/>
            <w:vMerge/>
            <w:tcBorders>
              <w:left w:val="nil"/>
              <w:bottom w:val="single" w:sz="4" w:space="0" w:color="auto"/>
              <w:right w:val="nil"/>
            </w:tcBorders>
            <w:vAlign w:val="center"/>
          </w:tcPr>
          <w:p w14:paraId="36E63D17" w14:textId="77777777" w:rsidR="007F7363" w:rsidRPr="00083E19" w:rsidRDefault="007F7363" w:rsidP="00506716">
            <w:pPr>
              <w:spacing w:line="360" w:lineRule="auto"/>
              <w:jc w:val="center"/>
              <w:rPr>
                <w:rFonts w:asciiTheme="majorBidi" w:hAnsiTheme="majorBidi" w:cstheme="majorBidi"/>
                <w:sz w:val="20"/>
                <w:szCs w:val="20"/>
              </w:rPr>
            </w:pPr>
          </w:p>
        </w:tc>
        <w:tc>
          <w:tcPr>
            <w:tcW w:w="1460" w:type="dxa"/>
            <w:gridSpan w:val="2"/>
            <w:tcBorders>
              <w:left w:val="nil"/>
              <w:bottom w:val="single" w:sz="4" w:space="0" w:color="auto"/>
              <w:right w:val="nil"/>
            </w:tcBorders>
            <w:vAlign w:val="center"/>
          </w:tcPr>
          <w:p w14:paraId="39C27725" w14:textId="77777777" w:rsidR="007F7363" w:rsidRPr="00083E19" w:rsidRDefault="007F7363" w:rsidP="00506716">
            <w:pPr>
              <w:spacing w:before="80" w:line="276" w:lineRule="auto"/>
              <w:jc w:val="center"/>
              <w:rPr>
                <w:rFonts w:asciiTheme="majorBidi" w:hAnsiTheme="majorBidi" w:cstheme="majorBidi"/>
                <w:b/>
                <w:sz w:val="20"/>
                <w:szCs w:val="20"/>
              </w:rPr>
            </w:pPr>
            <w:r w:rsidRPr="00083E19">
              <w:rPr>
                <w:rFonts w:asciiTheme="majorBidi" w:hAnsiTheme="majorBidi" w:cstheme="majorBidi"/>
                <w:b/>
                <w:sz w:val="20"/>
                <w:szCs w:val="20"/>
              </w:rPr>
              <w:t>Management of Selection Bias</w:t>
            </w:r>
          </w:p>
        </w:tc>
        <w:tc>
          <w:tcPr>
            <w:tcW w:w="1460" w:type="dxa"/>
            <w:tcBorders>
              <w:left w:val="nil"/>
              <w:bottom w:val="single" w:sz="4" w:space="0" w:color="auto"/>
              <w:right w:val="nil"/>
            </w:tcBorders>
            <w:vAlign w:val="center"/>
          </w:tcPr>
          <w:p w14:paraId="74618D78" w14:textId="77777777" w:rsidR="007F7363" w:rsidRPr="00083E19" w:rsidRDefault="007F7363" w:rsidP="00506716">
            <w:pPr>
              <w:spacing w:before="80" w:line="276" w:lineRule="auto"/>
              <w:ind w:left="21" w:right="78"/>
              <w:jc w:val="center"/>
              <w:rPr>
                <w:rFonts w:asciiTheme="majorBidi" w:hAnsiTheme="majorBidi" w:cstheme="majorBidi"/>
                <w:b/>
                <w:sz w:val="20"/>
                <w:szCs w:val="20"/>
              </w:rPr>
            </w:pPr>
            <w:r w:rsidRPr="00083E19">
              <w:rPr>
                <w:rFonts w:asciiTheme="majorBidi" w:hAnsiTheme="majorBidi" w:cstheme="majorBidi"/>
                <w:b/>
                <w:sz w:val="20"/>
                <w:szCs w:val="20"/>
              </w:rPr>
              <w:t>Study Design</w:t>
            </w:r>
          </w:p>
        </w:tc>
        <w:tc>
          <w:tcPr>
            <w:tcW w:w="1461" w:type="dxa"/>
            <w:tcBorders>
              <w:left w:val="nil"/>
              <w:bottom w:val="single" w:sz="4" w:space="0" w:color="auto"/>
              <w:right w:val="nil"/>
            </w:tcBorders>
            <w:vAlign w:val="center"/>
          </w:tcPr>
          <w:p w14:paraId="5D7D3C4A" w14:textId="77777777" w:rsidR="007F7363" w:rsidRPr="00083E19" w:rsidRDefault="007F7363" w:rsidP="00506716">
            <w:pPr>
              <w:spacing w:before="80" w:line="276" w:lineRule="auto"/>
              <w:ind w:left="-135" w:right="78"/>
              <w:jc w:val="center"/>
              <w:rPr>
                <w:rFonts w:asciiTheme="majorBidi" w:hAnsiTheme="majorBidi" w:cstheme="majorBidi"/>
                <w:b/>
                <w:sz w:val="20"/>
                <w:szCs w:val="20"/>
              </w:rPr>
            </w:pPr>
            <w:r w:rsidRPr="00083E19">
              <w:rPr>
                <w:rFonts w:asciiTheme="majorBidi" w:hAnsiTheme="majorBidi" w:cstheme="majorBidi"/>
                <w:b/>
                <w:sz w:val="20"/>
                <w:szCs w:val="20"/>
              </w:rPr>
              <w:t>Control of Confounders</w:t>
            </w:r>
          </w:p>
        </w:tc>
        <w:tc>
          <w:tcPr>
            <w:tcW w:w="1460" w:type="dxa"/>
            <w:tcBorders>
              <w:left w:val="nil"/>
              <w:bottom w:val="single" w:sz="4" w:space="0" w:color="auto"/>
              <w:right w:val="nil"/>
            </w:tcBorders>
            <w:vAlign w:val="center"/>
          </w:tcPr>
          <w:p w14:paraId="287EBAED" w14:textId="77777777" w:rsidR="007F7363" w:rsidRPr="00083E19" w:rsidRDefault="007F7363" w:rsidP="00506716">
            <w:pPr>
              <w:spacing w:before="80" w:line="276" w:lineRule="auto"/>
              <w:ind w:left="58"/>
              <w:jc w:val="center"/>
              <w:rPr>
                <w:rFonts w:asciiTheme="majorBidi" w:hAnsiTheme="majorBidi" w:cstheme="majorBidi"/>
                <w:b/>
                <w:sz w:val="20"/>
                <w:szCs w:val="20"/>
              </w:rPr>
            </w:pPr>
            <w:r w:rsidRPr="00083E19">
              <w:rPr>
                <w:rFonts w:asciiTheme="majorBidi" w:hAnsiTheme="majorBidi" w:cstheme="majorBidi"/>
                <w:b/>
                <w:sz w:val="20"/>
                <w:szCs w:val="20"/>
              </w:rPr>
              <w:t>Data Collection</w:t>
            </w:r>
          </w:p>
        </w:tc>
        <w:tc>
          <w:tcPr>
            <w:tcW w:w="1461" w:type="dxa"/>
            <w:tcBorders>
              <w:left w:val="nil"/>
              <w:bottom w:val="single" w:sz="4" w:space="0" w:color="auto"/>
              <w:right w:val="nil"/>
            </w:tcBorders>
            <w:vAlign w:val="center"/>
          </w:tcPr>
          <w:p w14:paraId="20D5D9FC" w14:textId="77777777" w:rsidR="007F7363" w:rsidRPr="00083E19" w:rsidRDefault="007F7363" w:rsidP="00506716">
            <w:pPr>
              <w:spacing w:before="80" w:line="276" w:lineRule="auto"/>
              <w:jc w:val="center"/>
              <w:rPr>
                <w:rFonts w:asciiTheme="majorBidi" w:hAnsiTheme="majorBidi" w:cstheme="majorBidi"/>
                <w:b/>
                <w:sz w:val="20"/>
                <w:szCs w:val="20"/>
              </w:rPr>
            </w:pPr>
            <w:r w:rsidRPr="00083E19">
              <w:rPr>
                <w:rFonts w:asciiTheme="majorBidi" w:hAnsiTheme="majorBidi" w:cstheme="majorBidi"/>
                <w:b/>
                <w:sz w:val="20"/>
                <w:szCs w:val="20"/>
              </w:rPr>
              <w:t>Management of Attrition</w:t>
            </w:r>
          </w:p>
        </w:tc>
        <w:tc>
          <w:tcPr>
            <w:tcW w:w="1460" w:type="dxa"/>
            <w:tcBorders>
              <w:left w:val="nil"/>
              <w:bottom w:val="single" w:sz="4" w:space="0" w:color="auto"/>
              <w:right w:val="nil"/>
            </w:tcBorders>
            <w:vAlign w:val="center"/>
          </w:tcPr>
          <w:p w14:paraId="471861C0" w14:textId="77777777" w:rsidR="007F7363" w:rsidRPr="00083E19" w:rsidRDefault="007F7363" w:rsidP="00506716">
            <w:pPr>
              <w:spacing w:before="80" w:line="276" w:lineRule="auto"/>
              <w:ind w:left="-58"/>
              <w:jc w:val="center"/>
              <w:rPr>
                <w:rFonts w:asciiTheme="majorBidi" w:hAnsiTheme="majorBidi" w:cstheme="majorBidi"/>
                <w:b/>
                <w:sz w:val="20"/>
                <w:szCs w:val="20"/>
              </w:rPr>
            </w:pPr>
            <w:r w:rsidRPr="00083E19">
              <w:rPr>
                <w:rFonts w:asciiTheme="majorBidi" w:hAnsiTheme="majorBidi" w:cstheme="majorBidi"/>
                <w:b/>
                <w:sz w:val="20"/>
                <w:szCs w:val="20"/>
              </w:rPr>
              <w:t>ASD Diagnosis Confirmation</w:t>
            </w:r>
          </w:p>
        </w:tc>
        <w:tc>
          <w:tcPr>
            <w:tcW w:w="1467" w:type="dxa"/>
            <w:tcBorders>
              <w:left w:val="nil"/>
              <w:bottom w:val="single" w:sz="4" w:space="0" w:color="auto"/>
              <w:right w:val="nil"/>
            </w:tcBorders>
            <w:vAlign w:val="center"/>
          </w:tcPr>
          <w:p w14:paraId="0D6AEE5A" w14:textId="77777777" w:rsidR="007F7363" w:rsidRPr="00083E19" w:rsidRDefault="007F7363" w:rsidP="00506716">
            <w:pPr>
              <w:spacing w:before="80" w:line="276" w:lineRule="auto"/>
              <w:jc w:val="center"/>
              <w:rPr>
                <w:rFonts w:asciiTheme="majorBidi" w:hAnsiTheme="majorBidi" w:cstheme="majorBidi"/>
                <w:b/>
                <w:sz w:val="20"/>
                <w:szCs w:val="20"/>
              </w:rPr>
            </w:pPr>
            <w:r w:rsidRPr="00083E19">
              <w:rPr>
                <w:rFonts w:asciiTheme="majorBidi" w:hAnsiTheme="majorBidi" w:cstheme="majorBidi"/>
                <w:b/>
                <w:sz w:val="20"/>
                <w:szCs w:val="20"/>
              </w:rPr>
              <w:t>Cognitive Functioning Assessment</w:t>
            </w:r>
          </w:p>
        </w:tc>
        <w:tc>
          <w:tcPr>
            <w:tcW w:w="1233" w:type="dxa"/>
            <w:vMerge/>
            <w:tcBorders>
              <w:top w:val="nil"/>
              <w:left w:val="nil"/>
              <w:bottom w:val="single" w:sz="4" w:space="0" w:color="auto"/>
              <w:right w:val="nil"/>
            </w:tcBorders>
            <w:vAlign w:val="center"/>
          </w:tcPr>
          <w:p w14:paraId="5A469FE0" w14:textId="77777777" w:rsidR="007F7363" w:rsidRPr="00083E19" w:rsidRDefault="007F7363" w:rsidP="00506716">
            <w:pPr>
              <w:spacing w:line="360" w:lineRule="auto"/>
              <w:jc w:val="center"/>
              <w:rPr>
                <w:rFonts w:asciiTheme="majorBidi" w:hAnsiTheme="majorBidi" w:cstheme="majorBidi"/>
                <w:sz w:val="20"/>
                <w:szCs w:val="20"/>
              </w:rPr>
            </w:pPr>
          </w:p>
        </w:tc>
      </w:tr>
      <w:tr w:rsidR="007F7363" w:rsidRPr="00083E19" w14:paraId="798D6CCD" w14:textId="77777777" w:rsidTr="007F7363">
        <w:trPr>
          <w:trHeight w:val="460"/>
          <w:jc w:val="center"/>
        </w:trPr>
        <w:tc>
          <w:tcPr>
            <w:tcW w:w="2142" w:type="dxa"/>
            <w:tcBorders>
              <w:top w:val="single" w:sz="4" w:space="0" w:color="auto"/>
              <w:left w:val="nil"/>
              <w:right w:val="nil"/>
            </w:tcBorders>
            <w:vAlign w:val="center"/>
          </w:tcPr>
          <w:p w14:paraId="07B4C29C" w14:textId="77777777" w:rsidR="007F7363" w:rsidRPr="00083E19" w:rsidRDefault="007F7363" w:rsidP="00506716">
            <w:pPr>
              <w:rPr>
                <w:rFonts w:asciiTheme="majorBidi" w:hAnsiTheme="majorBidi" w:cstheme="majorBidi"/>
                <w:sz w:val="20"/>
                <w:szCs w:val="20"/>
              </w:rPr>
            </w:pPr>
            <w:bookmarkStart w:id="1" w:name="_Hlk71910341"/>
            <w:proofErr w:type="spellStart"/>
            <w:r w:rsidRPr="00083E19">
              <w:rPr>
                <w:rFonts w:asciiTheme="majorBidi" w:hAnsiTheme="majorBidi" w:cstheme="majorBidi"/>
                <w:color w:val="000000"/>
                <w:sz w:val="20"/>
                <w:szCs w:val="20"/>
              </w:rPr>
              <w:t>Bauminger</w:t>
            </w:r>
            <w:proofErr w:type="spellEnd"/>
            <w:r w:rsidRPr="00083E19">
              <w:rPr>
                <w:rFonts w:asciiTheme="majorBidi" w:hAnsiTheme="majorBidi" w:cstheme="majorBidi"/>
                <w:color w:val="000000"/>
                <w:sz w:val="20"/>
                <w:szCs w:val="20"/>
              </w:rPr>
              <w:t xml:space="preserve"> and </w:t>
            </w:r>
            <w:proofErr w:type="spellStart"/>
            <w:r w:rsidRPr="00083E19">
              <w:rPr>
                <w:rFonts w:asciiTheme="majorBidi" w:hAnsiTheme="majorBidi" w:cstheme="majorBidi"/>
                <w:color w:val="000000"/>
                <w:sz w:val="20"/>
                <w:szCs w:val="20"/>
              </w:rPr>
              <w:t>Kasari</w:t>
            </w:r>
            <w:proofErr w:type="spellEnd"/>
            <w:r w:rsidRPr="00083E19">
              <w:rPr>
                <w:rFonts w:asciiTheme="majorBidi" w:hAnsiTheme="majorBidi" w:cstheme="majorBidi"/>
                <w:color w:val="000000"/>
                <w:sz w:val="20"/>
                <w:szCs w:val="20"/>
              </w:rPr>
              <w:t xml:space="preserve"> (2000)</w:t>
            </w:r>
          </w:p>
        </w:tc>
        <w:tc>
          <w:tcPr>
            <w:tcW w:w="1460" w:type="dxa"/>
            <w:gridSpan w:val="2"/>
            <w:tcBorders>
              <w:top w:val="single" w:sz="4" w:space="0" w:color="auto"/>
              <w:left w:val="nil"/>
              <w:right w:val="nil"/>
            </w:tcBorders>
            <w:vAlign w:val="center"/>
          </w:tcPr>
          <w:p w14:paraId="3C9A896D"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0" w:type="dxa"/>
            <w:tcBorders>
              <w:top w:val="single" w:sz="4" w:space="0" w:color="auto"/>
              <w:left w:val="nil"/>
              <w:right w:val="nil"/>
            </w:tcBorders>
            <w:vAlign w:val="center"/>
          </w:tcPr>
          <w:p w14:paraId="0F9701A1"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top w:val="single" w:sz="4" w:space="0" w:color="auto"/>
              <w:left w:val="nil"/>
              <w:right w:val="nil"/>
            </w:tcBorders>
            <w:vAlign w:val="center"/>
          </w:tcPr>
          <w:p w14:paraId="2F262799"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460" w:type="dxa"/>
            <w:tcBorders>
              <w:top w:val="single" w:sz="4" w:space="0" w:color="auto"/>
              <w:left w:val="nil"/>
              <w:right w:val="nil"/>
            </w:tcBorders>
            <w:vAlign w:val="center"/>
          </w:tcPr>
          <w:p w14:paraId="65C9F591"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top w:val="single" w:sz="4" w:space="0" w:color="auto"/>
              <w:left w:val="nil"/>
              <w:right w:val="nil"/>
            </w:tcBorders>
            <w:vAlign w:val="center"/>
          </w:tcPr>
          <w:p w14:paraId="0FDEA57A"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460" w:type="dxa"/>
            <w:tcBorders>
              <w:top w:val="single" w:sz="4" w:space="0" w:color="auto"/>
              <w:left w:val="nil"/>
              <w:right w:val="nil"/>
            </w:tcBorders>
            <w:vAlign w:val="center"/>
          </w:tcPr>
          <w:p w14:paraId="6B7EFF14"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467" w:type="dxa"/>
            <w:tcBorders>
              <w:top w:val="single" w:sz="4" w:space="0" w:color="auto"/>
              <w:left w:val="nil"/>
              <w:right w:val="nil"/>
            </w:tcBorders>
            <w:vAlign w:val="center"/>
          </w:tcPr>
          <w:p w14:paraId="020C803B"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233" w:type="dxa"/>
            <w:tcBorders>
              <w:top w:val="single" w:sz="4" w:space="0" w:color="auto"/>
              <w:left w:val="nil"/>
              <w:right w:val="nil"/>
            </w:tcBorders>
            <w:shd w:val="clear" w:color="auto" w:fill="FFD966" w:themeFill="accent4" w:themeFillTint="99"/>
            <w:vAlign w:val="center"/>
          </w:tcPr>
          <w:p w14:paraId="34A00285" w14:textId="77777777" w:rsidR="007F7363" w:rsidRPr="00083E19" w:rsidRDefault="007F7363" w:rsidP="00506716">
            <w:pPr>
              <w:jc w:val="center"/>
              <w:rPr>
                <w:rFonts w:asciiTheme="majorBidi" w:hAnsiTheme="majorBidi" w:cstheme="majorBidi"/>
                <w:b/>
                <w:sz w:val="20"/>
                <w:szCs w:val="20"/>
              </w:rPr>
            </w:pPr>
            <w:r w:rsidRPr="00083E19">
              <w:rPr>
                <w:rFonts w:asciiTheme="majorBidi" w:hAnsiTheme="majorBidi" w:cstheme="majorBidi"/>
                <w:color w:val="000000"/>
                <w:sz w:val="20"/>
                <w:szCs w:val="20"/>
              </w:rPr>
              <w:t>Moderate</w:t>
            </w:r>
          </w:p>
        </w:tc>
      </w:tr>
      <w:tr w:rsidR="007F7363" w:rsidRPr="00083E19" w14:paraId="156FBE98" w14:textId="77777777" w:rsidTr="007F7363">
        <w:trPr>
          <w:trHeight w:val="460"/>
          <w:jc w:val="center"/>
        </w:trPr>
        <w:tc>
          <w:tcPr>
            <w:tcW w:w="2142" w:type="dxa"/>
            <w:tcBorders>
              <w:left w:val="nil"/>
              <w:right w:val="nil"/>
            </w:tcBorders>
            <w:vAlign w:val="center"/>
          </w:tcPr>
          <w:p w14:paraId="4193E610" w14:textId="77777777" w:rsidR="007F7363" w:rsidRPr="00083E19" w:rsidRDefault="007F7363" w:rsidP="00506716">
            <w:pPr>
              <w:rPr>
                <w:rFonts w:asciiTheme="majorBidi" w:hAnsiTheme="majorBidi" w:cstheme="majorBidi"/>
                <w:sz w:val="20"/>
                <w:szCs w:val="20"/>
              </w:rPr>
            </w:pPr>
            <w:proofErr w:type="spellStart"/>
            <w:r w:rsidRPr="00083E19">
              <w:rPr>
                <w:rFonts w:asciiTheme="majorBidi" w:hAnsiTheme="majorBidi" w:cstheme="majorBidi"/>
                <w:color w:val="000000"/>
                <w:sz w:val="20"/>
                <w:szCs w:val="20"/>
              </w:rPr>
              <w:t>Bauminger</w:t>
            </w:r>
            <w:proofErr w:type="spellEnd"/>
            <w:r w:rsidRPr="00083E19">
              <w:rPr>
                <w:rFonts w:asciiTheme="majorBidi" w:hAnsiTheme="majorBidi" w:cstheme="majorBidi"/>
                <w:color w:val="000000"/>
                <w:sz w:val="20"/>
                <w:szCs w:val="20"/>
              </w:rPr>
              <w:t xml:space="preserve"> et al. (2003)</w:t>
            </w:r>
          </w:p>
        </w:tc>
        <w:tc>
          <w:tcPr>
            <w:tcW w:w="1460" w:type="dxa"/>
            <w:gridSpan w:val="2"/>
            <w:tcBorders>
              <w:left w:val="nil"/>
              <w:right w:val="nil"/>
            </w:tcBorders>
            <w:vAlign w:val="center"/>
          </w:tcPr>
          <w:p w14:paraId="61EDDBBC"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0" w:type="dxa"/>
            <w:tcBorders>
              <w:left w:val="nil"/>
              <w:right w:val="nil"/>
            </w:tcBorders>
            <w:vAlign w:val="center"/>
          </w:tcPr>
          <w:p w14:paraId="7D13B906"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78AE1370"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460" w:type="dxa"/>
            <w:tcBorders>
              <w:left w:val="nil"/>
              <w:right w:val="nil"/>
            </w:tcBorders>
            <w:vAlign w:val="center"/>
          </w:tcPr>
          <w:p w14:paraId="492C9E0F"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461" w:type="dxa"/>
            <w:tcBorders>
              <w:left w:val="nil"/>
              <w:right w:val="nil"/>
            </w:tcBorders>
            <w:vAlign w:val="center"/>
          </w:tcPr>
          <w:p w14:paraId="4FB86E5B"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460" w:type="dxa"/>
            <w:tcBorders>
              <w:left w:val="nil"/>
              <w:right w:val="nil"/>
            </w:tcBorders>
            <w:vAlign w:val="center"/>
          </w:tcPr>
          <w:p w14:paraId="716E68C8"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467" w:type="dxa"/>
            <w:tcBorders>
              <w:left w:val="nil"/>
              <w:right w:val="nil"/>
            </w:tcBorders>
            <w:vAlign w:val="center"/>
          </w:tcPr>
          <w:p w14:paraId="33B6A4B0"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sz w:val="20"/>
                <w:szCs w:val="20"/>
              </w:rPr>
              <w:t>Moderate</w:t>
            </w:r>
          </w:p>
        </w:tc>
        <w:tc>
          <w:tcPr>
            <w:tcW w:w="1233" w:type="dxa"/>
            <w:tcBorders>
              <w:left w:val="nil"/>
              <w:right w:val="nil"/>
            </w:tcBorders>
            <w:shd w:val="clear" w:color="auto" w:fill="FFD966" w:themeFill="accent4" w:themeFillTint="99"/>
            <w:vAlign w:val="center"/>
          </w:tcPr>
          <w:p w14:paraId="00D8BA4D" w14:textId="77777777" w:rsidR="007F7363" w:rsidRPr="00083E19" w:rsidRDefault="007F7363" w:rsidP="00506716">
            <w:pPr>
              <w:jc w:val="center"/>
              <w:rPr>
                <w:rFonts w:asciiTheme="majorBidi" w:hAnsiTheme="majorBidi" w:cstheme="majorBidi"/>
                <w:b/>
                <w:sz w:val="20"/>
                <w:szCs w:val="20"/>
              </w:rPr>
            </w:pPr>
            <w:r w:rsidRPr="00083E19">
              <w:rPr>
                <w:rFonts w:asciiTheme="majorBidi" w:hAnsiTheme="majorBidi" w:cstheme="majorBidi"/>
                <w:color w:val="000000"/>
                <w:sz w:val="20"/>
                <w:szCs w:val="20"/>
              </w:rPr>
              <w:t>Moderate</w:t>
            </w:r>
          </w:p>
        </w:tc>
      </w:tr>
      <w:tr w:rsidR="007F7363" w:rsidRPr="00083E19" w14:paraId="37CBF00D" w14:textId="77777777" w:rsidTr="007F7363">
        <w:trPr>
          <w:trHeight w:val="460"/>
          <w:jc w:val="center"/>
        </w:trPr>
        <w:tc>
          <w:tcPr>
            <w:tcW w:w="2142" w:type="dxa"/>
            <w:tcBorders>
              <w:left w:val="nil"/>
              <w:right w:val="nil"/>
            </w:tcBorders>
            <w:vAlign w:val="center"/>
          </w:tcPr>
          <w:p w14:paraId="7AEF7D8C" w14:textId="77777777" w:rsidR="007F7363" w:rsidRPr="00083E19" w:rsidRDefault="007F7363" w:rsidP="00506716">
            <w:pPr>
              <w:rPr>
                <w:rFonts w:asciiTheme="majorBidi" w:hAnsiTheme="majorBidi" w:cstheme="majorBidi"/>
                <w:sz w:val="20"/>
                <w:szCs w:val="20"/>
              </w:rPr>
            </w:pPr>
            <w:proofErr w:type="spellStart"/>
            <w:r w:rsidRPr="00083E19">
              <w:rPr>
                <w:rFonts w:asciiTheme="majorBidi" w:hAnsiTheme="majorBidi" w:cstheme="majorBidi"/>
                <w:color w:val="000000"/>
                <w:sz w:val="20"/>
                <w:szCs w:val="20"/>
              </w:rPr>
              <w:t>Bossaert</w:t>
            </w:r>
            <w:proofErr w:type="spellEnd"/>
            <w:r w:rsidRPr="00083E19">
              <w:rPr>
                <w:rFonts w:asciiTheme="majorBidi" w:hAnsiTheme="majorBidi" w:cstheme="majorBidi"/>
                <w:color w:val="000000"/>
                <w:sz w:val="20"/>
                <w:szCs w:val="20"/>
              </w:rPr>
              <w:t xml:space="preserve"> et al. (2012)</w:t>
            </w:r>
          </w:p>
        </w:tc>
        <w:tc>
          <w:tcPr>
            <w:tcW w:w="1460" w:type="dxa"/>
            <w:gridSpan w:val="2"/>
            <w:tcBorders>
              <w:left w:val="nil"/>
              <w:right w:val="nil"/>
            </w:tcBorders>
            <w:vAlign w:val="center"/>
          </w:tcPr>
          <w:p w14:paraId="50B04F45"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0" w:type="dxa"/>
            <w:tcBorders>
              <w:left w:val="nil"/>
              <w:right w:val="nil"/>
            </w:tcBorders>
            <w:vAlign w:val="center"/>
          </w:tcPr>
          <w:p w14:paraId="16DDDF6A"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58D094B6"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460" w:type="dxa"/>
            <w:tcBorders>
              <w:left w:val="nil"/>
              <w:right w:val="nil"/>
            </w:tcBorders>
            <w:vAlign w:val="center"/>
          </w:tcPr>
          <w:p w14:paraId="54E5F497"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14E522F8"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460" w:type="dxa"/>
            <w:tcBorders>
              <w:left w:val="nil"/>
              <w:right w:val="nil"/>
            </w:tcBorders>
            <w:vAlign w:val="center"/>
          </w:tcPr>
          <w:p w14:paraId="357B3CF7"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467" w:type="dxa"/>
            <w:tcBorders>
              <w:left w:val="nil"/>
              <w:right w:val="nil"/>
            </w:tcBorders>
            <w:vAlign w:val="center"/>
          </w:tcPr>
          <w:p w14:paraId="53DEA466"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233" w:type="dxa"/>
            <w:tcBorders>
              <w:left w:val="nil"/>
              <w:right w:val="nil"/>
            </w:tcBorders>
            <w:shd w:val="clear" w:color="auto" w:fill="F4B083" w:themeFill="accent2" w:themeFillTint="99"/>
            <w:vAlign w:val="center"/>
          </w:tcPr>
          <w:p w14:paraId="1F55C0A3" w14:textId="77777777" w:rsidR="007F7363" w:rsidRPr="00083E19" w:rsidRDefault="007F7363" w:rsidP="00506716">
            <w:pPr>
              <w:jc w:val="center"/>
              <w:rPr>
                <w:rFonts w:asciiTheme="majorBidi" w:hAnsiTheme="majorBidi" w:cstheme="majorBidi"/>
                <w:b/>
                <w:sz w:val="20"/>
                <w:szCs w:val="20"/>
              </w:rPr>
            </w:pPr>
            <w:r w:rsidRPr="00083E19">
              <w:rPr>
                <w:rFonts w:asciiTheme="majorBidi" w:hAnsiTheme="majorBidi" w:cstheme="majorBidi"/>
                <w:color w:val="000000"/>
                <w:sz w:val="20"/>
                <w:szCs w:val="20"/>
              </w:rPr>
              <w:t>Weak</w:t>
            </w:r>
          </w:p>
        </w:tc>
      </w:tr>
      <w:tr w:rsidR="007F7363" w:rsidRPr="00083E19" w14:paraId="19C0BCB2" w14:textId="77777777" w:rsidTr="007F7363">
        <w:trPr>
          <w:trHeight w:val="460"/>
          <w:jc w:val="center"/>
        </w:trPr>
        <w:tc>
          <w:tcPr>
            <w:tcW w:w="2142" w:type="dxa"/>
            <w:tcBorders>
              <w:left w:val="nil"/>
              <w:right w:val="nil"/>
            </w:tcBorders>
            <w:vAlign w:val="center"/>
          </w:tcPr>
          <w:p w14:paraId="25C4FD76" w14:textId="77777777" w:rsidR="007F7363" w:rsidRPr="00083E19" w:rsidRDefault="007F7363" w:rsidP="00506716">
            <w:pPr>
              <w:rPr>
                <w:rFonts w:asciiTheme="majorBidi" w:hAnsiTheme="majorBidi" w:cstheme="majorBidi"/>
                <w:sz w:val="20"/>
                <w:szCs w:val="20"/>
              </w:rPr>
            </w:pPr>
            <w:proofErr w:type="spellStart"/>
            <w:r w:rsidRPr="00083E19">
              <w:rPr>
                <w:rFonts w:asciiTheme="majorBidi" w:hAnsiTheme="majorBidi" w:cstheme="majorBidi"/>
                <w:color w:val="000000"/>
                <w:sz w:val="20"/>
                <w:szCs w:val="20"/>
              </w:rPr>
              <w:t>Bottema-Beutel</w:t>
            </w:r>
            <w:proofErr w:type="spellEnd"/>
            <w:r w:rsidRPr="00083E19">
              <w:rPr>
                <w:rFonts w:asciiTheme="majorBidi" w:hAnsiTheme="majorBidi" w:cstheme="majorBidi"/>
                <w:color w:val="000000"/>
                <w:sz w:val="20"/>
                <w:szCs w:val="20"/>
              </w:rPr>
              <w:t xml:space="preserve"> et al. (2019)</w:t>
            </w:r>
          </w:p>
        </w:tc>
        <w:tc>
          <w:tcPr>
            <w:tcW w:w="1460" w:type="dxa"/>
            <w:gridSpan w:val="2"/>
            <w:tcBorders>
              <w:left w:val="nil"/>
              <w:right w:val="nil"/>
            </w:tcBorders>
            <w:vAlign w:val="center"/>
          </w:tcPr>
          <w:p w14:paraId="113C7070"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0" w:type="dxa"/>
            <w:tcBorders>
              <w:left w:val="nil"/>
              <w:right w:val="nil"/>
            </w:tcBorders>
            <w:vAlign w:val="center"/>
          </w:tcPr>
          <w:p w14:paraId="56B220A0"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0A9A6CD9"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0" w:type="dxa"/>
            <w:tcBorders>
              <w:left w:val="nil"/>
              <w:right w:val="nil"/>
            </w:tcBorders>
            <w:vAlign w:val="center"/>
          </w:tcPr>
          <w:p w14:paraId="614E88B0"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1CDEA932"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460" w:type="dxa"/>
            <w:tcBorders>
              <w:left w:val="nil"/>
              <w:right w:val="nil"/>
            </w:tcBorders>
            <w:vAlign w:val="center"/>
          </w:tcPr>
          <w:p w14:paraId="250DB42A"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7" w:type="dxa"/>
            <w:tcBorders>
              <w:left w:val="nil"/>
              <w:right w:val="nil"/>
            </w:tcBorders>
            <w:vAlign w:val="center"/>
          </w:tcPr>
          <w:p w14:paraId="19C5704C"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233" w:type="dxa"/>
            <w:tcBorders>
              <w:left w:val="nil"/>
              <w:right w:val="nil"/>
            </w:tcBorders>
            <w:shd w:val="clear" w:color="auto" w:fill="92D050"/>
            <w:vAlign w:val="center"/>
          </w:tcPr>
          <w:p w14:paraId="4671E090" w14:textId="77777777" w:rsidR="007F7363" w:rsidRPr="00083E19" w:rsidRDefault="007F7363" w:rsidP="00506716">
            <w:pPr>
              <w:jc w:val="center"/>
              <w:rPr>
                <w:rFonts w:asciiTheme="majorBidi" w:hAnsiTheme="majorBidi" w:cstheme="majorBidi"/>
                <w:b/>
                <w:sz w:val="20"/>
                <w:szCs w:val="20"/>
              </w:rPr>
            </w:pPr>
            <w:r w:rsidRPr="00083E19">
              <w:rPr>
                <w:rFonts w:asciiTheme="majorBidi" w:hAnsiTheme="majorBidi" w:cstheme="majorBidi"/>
                <w:color w:val="000000"/>
                <w:sz w:val="20"/>
                <w:szCs w:val="20"/>
              </w:rPr>
              <w:t>Strong</w:t>
            </w:r>
          </w:p>
        </w:tc>
      </w:tr>
      <w:tr w:rsidR="007F7363" w:rsidRPr="00083E19" w14:paraId="791C2529" w14:textId="77777777" w:rsidTr="007F7363">
        <w:trPr>
          <w:trHeight w:val="460"/>
          <w:jc w:val="center"/>
        </w:trPr>
        <w:tc>
          <w:tcPr>
            <w:tcW w:w="2142" w:type="dxa"/>
            <w:tcBorders>
              <w:left w:val="nil"/>
              <w:right w:val="nil"/>
            </w:tcBorders>
            <w:vAlign w:val="center"/>
          </w:tcPr>
          <w:p w14:paraId="1213BDFA" w14:textId="6EE4B0F8" w:rsidR="007F7363" w:rsidRPr="00083E19" w:rsidRDefault="003C238A" w:rsidP="00506716">
            <w:pPr>
              <w:rPr>
                <w:rFonts w:asciiTheme="majorBidi" w:hAnsiTheme="majorBidi" w:cstheme="majorBidi"/>
                <w:sz w:val="20"/>
                <w:szCs w:val="20"/>
              </w:rPr>
            </w:pPr>
            <w:r w:rsidRPr="00083E19">
              <w:rPr>
                <w:rFonts w:asciiTheme="majorBidi" w:hAnsiTheme="majorBidi" w:cstheme="majorBidi"/>
                <w:color w:val="000000"/>
                <w:sz w:val="20"/>
                <w:szCs w:val="20"/>
              </w:rPr>
              <w:fldChar w:fldCharType="begin" w:fldLock="1"/>
            </w:r>
            <w:r w:rsidR="001D6CDA" w:rsidRPr="00083E19">
              <w:rPr>
                <w:rFonts w:asciiTheme="majorBidi" w:hAnsiTheme="majorBidi" w:cstheme="majorBidi"/>
                <w:color w:val="000000"/>
                <w:sz w:val="20"/>
                <w:szCs w:val="20"/>
              </w:rPr>
              <w:instrText>ADDIN CSL_CITATION {"citationItems":[{"id":"ITEM-1","itemData":{"ISBN":"978-1-321-85937-9","ISSN":"0419-4217","abstract":"Autism spectrum disorders (ASD) are more prevalent in males than in females, at an estimated rate of 5:1. Consequently, women and girls were neglected from much of the early ASD research. Recently, there has been an increased focus on how ASD affects females in symptom presentation and in social and emotional functioning. Some recent studies suggest that while females with high functioning autism spectrum disorders (HFASD) may present with better observable social skills than males with HFASD, they may experience more problems in developing appropriate peer relationships. Understanding gender differences in the typically developing (TD) population is an important aspect of understanding this relationship among individuals with HFASD. In general, females place more emphasis on emotional intimacy, while males place more emphasis on interest-based relationships, which could impact the ability of women with HFASD to maintain relationships with TD peers. The current study examined gender differences in ASD symptoms, social relationships, loneliness and emotions in 56 adults diagnosed with HFASD and 56 TD adults. Participants with HFASD included 28 women and 28 men with a previous diagnosis of an ASD, who did not differ on age, ethnicity, education level, or cognitive ability. The TD participants included 28 women and 28 men who did not differ from participants with HFASD on age, ethnicity, or education level. Individuals with HFASD participated in two researcher administered assessments, the Autism Diagnostic Observation Schedule (ADOS) and the Wechsler Abbreviated Scale of Intelligence – Second Edition (WASI-II). Both HFASD and TD participants completed the following self-report questionnaires: A Demographic Questionnaire, the Autism Spectrum Quotient, the Cambridge Friendship Questionnaire, the UCLA Loneliness Scale: Version 3, the Positive and Negative Affect Schedule), and a Friendship Activity Report, which was designed for the study to determine the nature of peer relationships. Results indicated that women with HFASD displayed significantly better communication and social skills than men with HFASD on the ADOS. However, women and men with HFASD did not exhibit differences in number of friendships, friendship quality, loneliness, positive emotions, or negative emotions. Participants with HFASD exhibited higher levels of loneliness and negative emotions, as well as fewer friendships and lower friendship quality than TD participants. Additionally, there …","author":[{"dropping-particle":"","family":"Brooks","given":"Whitney Taylor","non-dropping-particle":"","parse-names":false,"suffix":""}],"collection-title":"Dissertation Abstracts International","container-title":"ProQuest Dissertations and Theses","id":"ITEM-1","issued":{"date-parts":[["2014"]]},"language":"English","note":"From Duplicate 1 (Gender Differences in Social Skills, Peer Relationships, and Emotional Correlates in Adults with High Functioning Autism Spectrum Disorders - Brooks, Whitney Taylor)\n\nCopyright - Database copyright ProQuest LLC; ProQuest does not claim copyright in the individual underlying works.\n\nLast updated - 2020-12-14","number-of-pages":"157","publisher":"The Ohio State University","publisher-place":"Ann Arbor","title":"Gender differences in social skills, peer relationships, and emotional correlates in adults with high functioning autism spectrum disorders.","type":"thesis","volume":"76"},"uris":["http://www.mendeley.com/documents/?uuid=24345541-d867-41c8-b008-8258f36018ef"]}],"mendeley":{"formattedCitation":"(Brooks, 2014)","manualFormatting":"Brooks (2014)","plainTextFormattedCitation":"(Brooks, 2014)","previouslyFormattedCitation":"(Brooks, 2014)"},"properties":{"noteIndex":0},"schema":"https://github.com/citation-style-language/schema/raw/master/csl-citation.json"}</w:instrText>
            </w:r>
            <w:r w:rsidRPr="00083E19">
              <w:rPr>
                <w:rFonts w:asciiTheme="majorBidi" w:hAnsiTheme="majorBidi" w:cstheme="majorBidi"/>
                <w:color w:val="000000"/>
                <w:sz w:val="20"/>
                <w:szCs w:val="20"/>
              </w:rPr>
              <w:fldChar w:fldCharType="separate"/>
            </w:r>
            <w:r w:rsidRPr="00083E19">
              <w:rPr>
                <w:rFonts w:asciiTheme="majorBidi" w:hAnsiTheme="majorBidi" w:cstheme="majorBidi"/>
                <w:noProof/>
                <w:color w:val="000000"/>
                <w:sz w:val="20"/>
                <w:szCs w:val="20"/>
              </w:rPr>
              <w:t>Brooks (2014)</w:t>
            </w:r>
            <w:r w:rsidRPr="00083E19">
              <w:rPr>
                <w:rFonts w:asciiTheme="majorBidi" w:hAnsiTheme="majorBidi" w:cstheme="majorBidi"/>
                <w:color w:val="000000"/>
                <w:sz w:val="20"/>
                <w:szCs w:val="20"/>
              </w:rPr>
              <w:fldChar w:fldCharType="end"/>
            </w:r>
          </w:p>
        </w:tc>
        <w:tc>
          <w:tcPr>
            <w:tcW w:w="1460" w:type="dxa"/>
            <w:gridSpan w:val="2"/>
            <w:tcBorders>
              <w:left w:val="nil"/>
              <w:right w:val="nil"/>
            </w:tcBorders>
            <w:vAlign w:val="center"/>
          </w:tcPr>
          <w:p w14:paraId="1A6BD3F9"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0" w:type="dxa"/>
            <w:tcBorders>
              <w:left w:val="nil"/>
              <w:right w:val="nil"/>
            </w:tcBorders>
            <w:vAlign w:val="center"/>
          </w:tcPr>
          <w:p w14:paraId="35AFBB1E"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31AA4890"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460" w:type="dxa"/>
            <w:tcBorders>
              <w:left w:val="nil"/>
              <w:right w:val="nil"/>
            </w:tcBorders>
            <w:vAlign w:val="center"/>
          </w:tcPr>
          <w:p w14:paraId="6CAE8DE8"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7F86F610"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460" w:type="dxa"/>
            <w:tcBorders>
              <w:left w:val="nil"/>
              <w:right w:val="nil"/>
            </w:tcBorders>
            <w:vAlign w:val="center"/>
          </w:tcPr>
          <w:p w14:paraId="779ABC85"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467" w:type="dxa"/>
            <w:tcBorders>
              <w:left w:val="nil"/>
              <w:right w:val="nil"/>
            </w:tcBorders>
            <w:vAlign w:val="center"/>
          </w:tcPr>
          <w:p w14:paraId="063F2C23"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233" w:type="dxa"/>
            <w:tcBorders>
              <w:left w:val="nil"/>
              <w:right w:val="nil"/>
            </w:tcBorders>
            <w:shd w:val="clear" w:color="auto" w:fill="FFD966" w:themeFill="accent4" w:themeFillTint="99"/>
            <w:vAlign w:val="center"/>
          </w:tcPr>
          <w:p w14:paraId="408CEAE5" w14:textId="77777777" w:rsidR="007F7363" w:rsidRPr="00083E19" w:rsidRDefault="007F7363" w:rsidP="00506716">
            <w:pPr>
              <w:jc w:val="center"/>
              <w:rPr>
                <w:rFonts w:asciiTheme="majorBidi" w:hAnsiTheme="majorBidi" w:cstheme="majorBidi"/>
                <w:b/>
                <w:sz w:val="20"/>
                <w:szCs w:val="20"/>
              </w:rPr>
            </w:pPr>
            <w:r w:rsidRPr="00083E19">
              <w:rPr>
                <w:rFonts w:asciiTheme="majorBidi" w:hAnsiTheme="majorBidi" w:cstheme="majorBidi"/>
                <w:color w:val="000000"/>
                <w:sz w:val="20"/>
                <w:szCs w:val="20"/>
              </w:rPr>
              <w:t>Moderate</w:t>
            </w:r>
          </w:p>
        </w:tc>
      </w:tr>
      <w:tr w:rsidR="007F7363" w:rsidRPr="00083E19" w14:paraId="4E3F6E02" w14:textId="77777777" w:rsidTr="007F7363">
        <w:trPr>
          <w:trHeight w:val="460"/>
          <w:jc w:val="center"/>
        </w:trPr>
        <w:tc>
          <w:tcPr>
            <w:tcW w:w="2142" w:type="dxa"/>
            <w:tcBorders>
              <w:left w:val="nil"/>
              <w:right w:val="nil"/>
            </w:tcBorders>
            <w:vAlign w:val="center"/>
          </w:tcPr>
          <w:p w14:paraId="47CA8B28" w14:textId="77777777" w:rsidR="007F7363" w:rsidRPr="00083E19" w:rsidRDefault="007F7363" w:rsidP="00506716">
            <w:pPr>
              <w:rPr>
                <w:rFonts w:asciiTheme="majorBidi" w:hAnsiTheme="majorBidi" w:cstheme="majorBidi"/>
                <w:sz w:val="20"/>
                <w:szCs w:val="20"/>
              </w:rPr>
            </w:pPr>
            <w:r w:rsidRPr="00083E19">
              <w:rPr>
                <w:rFonts w:asciiTheme="majorBidi" w:hAnsiTheme="majorBidi" w:cstheme="majorBidi"/>
                <w:color w:val="000000"/>
                <w:sz w:val="20"/>
                <w:szCs w:val="20"/>
              </w:rPr>
              <w:t>Chamberlain et al. (2007)</w:t>
            </w:r>
          </w:p>
        </w:tc>
        <w:tc>
          <w:tcPr>
            <w:tcW w:w="1460" w:type="dxa"/>
            <w:gridSpan w:val="2"/>
            <w:tcBorders>
              <w:left w:val="nil"/>
              <w:right w:val="nil"/>
            </w:tcBorders>
            <w:vAlign w:val="center"/>
          </w:tcPr>
          <w:p w14:paraId="404961B6"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0" w:type="dxa"/>
            <w:tcBorders>
              <w:left w:val="nil"/>
              <w:right w:val="nil"/>
            </w:tcBorders>
            <w:vAlign w:val="center"/>
          </w:tcPr>
          <w:p w14:paraId="5A365756"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71C15E5F"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0" w:type="dxa"/>
            <w:tcBorders>
              <w:left w:val="nil"/>
              <w:right w:val="nil"/>
            </w:tcBorders>
            <w:vAlign w:val="center"/>
          </w:tcPr>
          <w:p w14:paraId="224E6471"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346FF554"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460" w:type="dxa"/>
            <w:tcBorders>
              <w:left w:val="nil"/>
              <w:right w:val="nil"/>
            </w:tcBorders>
            <w:vAlign w:val="center"/>
          </w:tcPr>
          <w:p w14:paraId="46236CC9"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7" w:type="dxa"/>
            <w:tcBorders>
              <w:left w:val="nil"/>
              <w:right w:val="nil"/>
            </w:tcBorders>
            <w:vAlign w:val="center"/>
          </w:tcPr>
          <w:p w14:paraId="5811299E"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233" w:type="dxa"/>
            <w:tcBorders>
              <w:left w:val="nil"/>
              <w:right w:val="nil"/>
            </w:tcBorders>
            <w:shd w:val="clear" w:color="auto" w:fill="FFD966" w:themeFill="accent4" w:themeFillTint="99"/>
            <w:vAlign w:val="center"/>
          </w:tcPr>
          <w:p w14:paraId="257680FF" w14:textId="77777777" w:rsidR="007F7363" w:rsidRPr="00083E19" w:rsidRDefault="007F7363" w:rsidP="00506716">
            <w:pPr>
              <w:jc w:val="center"/>
              <w:rPr>
                <w:rFonts w:asciiTheme="majorBidi" w:hAnsiTheme="majorBidi" w:cstheme="majorBidi"/>
                <w:b/>
                <w:sz w:val="20"/>
                <w:szCs w:val="20"/>
              </w:rPr>
            </w:pPr>
            <w:r w:rsidRPr="00083E19">
              <w:rPr>
                <w:rFonts w:asciiTheme="majorBidi" w:hAnsiTheme="majorBidi" w:cstheme="majorBidi"/>
                <w:color w:val="000000"/>
                <w:sz w:val="20"/>
                <w:szCs w:val="20"/>
              </w:rPr>
              <w:t>Moderate</w:t>
            </w:r>
          </w:p>
        </w:tc>
      </w:tr>
      <w:tr w:rsidR="007F7363" w:rsidRPr="00083E19" w14:paraId="2AADB961" w14:textId="77777777" w:rsidTr="007F7363">
        <w:trPr>
          <w:trHeight w:val="460"/>
          <w:jc w:val="center"/>
        </w:trPr>
        <w:tc>
          <w:tcPr>
            <w:tcW w:w="2142" w:type="dxa"/>
            <w:tcBorders>
              <w:left w:val="nil"/>
              <w:right w:val="nil"/>
            </w:tcBorders>
            <w:vAlign w:val="center"/>
          </w:tcPr>
          <w:p w14:paraId="726C257B" w14:textId="77777777" w:rsidR="007F7363" w:rsidRPr="00083E19" w:rsidRDefault="007F7363" w:rsidP="00506716">
            <w:pPr>
              <w:rPr>
                <w:rFonts w:asciiTheme="majorBidi" w:hAnsiTheme="majorBidi" w:cstheme="majorBidi"/>
                <w:sz w:val="20"/>
                <w:szCs w:val="20"/>
              </w:rPr>
            </w:pPr>
            <w:r w:rsidRPr="00083E19">
              <w:rPr>
                <w:rFonts w:asciiTheme="majorBidi" w:hAnsiTheme="majorBidi" w:cstheme="majorBidi"/>
                <w:color w:val="000000"/>
                <w:sz w:val="20"/>
                <w:szCs w:val="20"/>
              </w:rPr>
              <w:t>Chang et al. (2019)</w:t>
            </w:r>
          </w:p>
        </w:tc>
        <w:tc>
          <w:tcPr>
            <w:tcW w:w="1460" w:type="dxa"/>
            <w:gridSpan w:val="2"/>
            <w:tcBorders>
              <w:left w:val="nil"/>
              <w:right w:val="nil"/>
            </w:tcBorders>
            <w:vAlign w:val="center"/>
          </w:tcPr>
          <w:p w14:paraId="39E6C8F5"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0" w:type="dxa"/>
            <w:tcBorders>
              <w:left w:val="nil"/>
              <w:right w:val="nil"/>
            </w:tcBorders>
            <w:vAlign w:val="center"/>
          </w:tcPr>
          <w:p w14:paraId="65B840C9"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689A3A6E"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460" w:type="dxa"/>
            <w:tcBorders>
              <w:left w:val="nil"/>
              <w:right w:val="nil"/>
            </w:tcBorders>
            <w:vAlign w:val="center"/>
          </w:tcPr>
          <w:p w14:paraId="7FC07EE0"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16D04D51"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460" w:type="dxa"/>
            <w:tcBorders>
              <w:left w:val="nil"/>
              <w:right w:val="nil"/>
            </w:tcBorders>
            <w:vAlign w:val="center"/>
          </w:tcPr>
          <w:p w14:paraId="5032CC4E"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7" w:type="dxa"/>
            <w:tcBorders>
              <w:left w:val="nil"/>
              <w:right w:val="nil"/>
            </w:tcBorders>
            <w:vAlign w:val="center"/>
          </w:tcPr>
          <w:p w14:paraId="47D4A8CC"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233" w:type="dxa"/>
            <w:tcBorders>
              <w:left w:val="nil"/>
              <w:right w:val="nil"/>
            </w:tcBorders>
            <w:shd w:val="clear" w:color="auto" w:fill="FFD966" w:themeFill="accent4" w:themeFillTint="99"/>
            <w:vAlign w:val="center"/>
          </w:tcPr>
          <w:p w14:paraId="445C797E" w14:textId="77777777" w:rsidR="007F7363" w:rsidRPr="00083E19" w:rsidRDefault="007F7363" w:rsidP="00506716">
            <w:pPr>
              <w:jc w:val="center"/>
              <w:rPr>
                <w:rFonts w:asciiTheme="majorBidi" w:hAnsiTheme="majorBidi" w:cstheme="majorBidi"/>
                <w:b/>
                <w:sz w:val="20"/>
                <w:szCs w:val="20"/>
              </w:rPr>
            </w:pPr>
            <w:r w:rsidRPr="00083E19">
              <w:rPr>
                <w:rFonts w:asciiTheme="majorBidi" w:hAnsiTheme="majorBidi" w:cstheme="majorBidi"/>
                <w:color w:val="000000"/>
                <w:sz w:val="20"/>
                <w:szCs w:val="20"/>
              </w:rPr>
              <w:t>Moderate</w:t>
            </w:r>
          </w:p>
        </w:tc>
      </w:tr>
      <w:tr w:rsidR="007F7363" w:rsidRPr="00083E19" w14:paraId="49229785" w14:textId="77777777" w:rsidTr="007F7363">
        <w:trPr>
          <w:trHeight w:val="460"/>
          <w:jc w:val="center"/>
        </w:trPr>
        <w:tc>
          <w:tcPr>
            <w:tcW w:w="2142" w:type="dxa"/>
            <w:tcBorders>
              <w:left w:val="nil"/>
              <w:right w:val="nil"/>
            </w:tcBorders>
            <w:vAlign w:val="center"/>
          </w:tcPr>
          <w:p w14:paraId="65AD9993" w14:textId="77777777" w:rsidR="007F7363" w:rsidRPr="00083E19" w:rsidRDefault="007F7363" w:rsidP="00506716">
            <w:pPr>
              <w:rPr>
                <w:rFonts w:asciiTheme="majorBidi" w:hAnsiTheme="majorBidi" w:cstheme="majorBidi"/>
                <w:sz w:val="20"/>
                <w:szCs w:val="20"/>
              </w:rPr>
            </w:pPr>
            <w:r w:rsidRPr="00083E19">
              <w:rPr>
                <w:rFonts w:asciiTheme="majorBidi" w:hAnsiTheme="majorBidi" w:cstheme="majorBidi"/>
                <w:color w:val="000000"/>
                <w:sz w:val="20"/>
                <w:szCs w:val="20"/>
              </w:rPr>
              <w:t>Chiang (2003)</w:t>
            </w:r>
          </w:p>
        </w:tc>
        <w:tc>
          <w:tcPr>
            <w:tcW w:w="1460" w:type="dxa"/>
            <w:gridSpan w:val="2"/>
            <w:tcBorders>
              <w:left w:val="nil"/>
              <w:right w:val="nil"/>
            </w:tcBorders>
            <w:vAlign w:val="center"/>
          </w:tcPr>
          <w:p w14:paraId="4FE9865A"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 xml:space="preserve">Moderate </w:t>
            </w:r>
          </w:p>
        </w:tc>
        <w:tc>
          <w:tcPr>
            <w:tcW w:w="1460" w:type="dxa"/>
            <w:tcBorders>
              <w:left w:val="nil"/>
              <w:right w:val="nil"/>
            </w:tcBorders>
            <w:vAlign w:val="center"/>
          </w:tcPr>
          <w:p w14:paraId="4CD3FE64"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7BD3180B"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0" w:type="dxa"/>
            <w:tcBorders>
              <w:left w:val="nil"/>
              <w:right w:val="nil"/>
            </w:tcBorders>
            <w:vAlign w:val="center"/>
          </w:tcPr>
          <w:p w14:paraId="6C4E5667"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1455A9BA"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460" w:type="dxa"/>
            <w:tcBorders>
              <w:left w:val="nil"/>
              <w:right w:val="nil"/>
            </w:tcBorders>
            <w:vAlign w:val="center"/>
          </w:tcPr>
          <w:p w14:paraId="355D053C"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467" w:type="dxa"/>
            <w:tcBorders>
              <w:left w:val="nil"/>
              <w:right w:val="nil"/>
            </w:tcBorders>
            <w:vAlign w:val="center"/>
          </w:tcPr>
          <w:p w14:paraId="4C9E9F45"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233" w:type="dxa"/>
            <w:tcBorders>
              <w:left w:val="nil"/>
              <w:right w:val="nil"/>
            </w:tcBorders>
            <w:shd w:val="clear" w:color="auto" w:fill="F4B083" w:themeFill="accent2" w:themeFillTint="99"/>
            <w:vAlign w:val="center"/>
          </w:tcPr>
          <w:p w14:paraId="7C50F70D" w14:textId="77777777" w:rsidR="007F7363" w:rsidRPr="00083E19" w:rsidRDefault="007F7363" w:rsidP="00506716">
            <w:pPr>
              <w:jc w:val="center"/>
              <w:rPr>
                <w:rFonts w:asciiTheme="majorBidi" w:hAnsiTheme="majorBidi" w:cstheme="majorBidi"/>
                <w:b/>
                <w:sz w:val="20"/>
                <w:szCs w:val="20"/>
              </w:rPr>
            </w:pPr>
            <w:r w:rsidRPr="00083E19">
              <w:rPr>
                <w:rFonts w:asciiTheme="majorBidi" w:hAnsiTheme="majorBidi" w:cstheme="majorBidi"/>
                <w:color w:val="000000"/>
                <w:sz w:val="20"/>
                <w:szCs w:val="20"/>
              </w:rPr>
              <w:t>Weak</w:t>
            </w:r>
          </w:p>
        </w:tc>
      </w:tr>
      <w:tr w:rsidR="007F7363" w:rsidRPr="00083E19" w14:paraId="77CF7DA2" w14:textId="77777777" w:rsidTr="007F7363">
        <w:trPr>
          <w:trHeight w:val="460"/>
          <w:jc w:val="center"/>
        </w:trPr>
        <w:tc>
          <w:tcPr>
            <w:tcW w:w="2142" w:type="dxa"/>
            <w:tcBorders>
              <w:left w:val="nil"/>
              <w:right w:val="nil"/>
            </w:tcBorders>
            <w:vAlign w:val="center"/>
          </w:tcPr>
          <w:p w14:paraId="4F1BB570" w14:textId="29B0401B" w:rsidR="007F7363" w:rsidRPr="00083E19" w:rsidRDefault="001D6CDA" w:rsidP="00506716">
            <w:pPr>
              <w:rPr>
                <w:rFonts w:asciiTheme="majorBidi" w:hAnsiTheme="majorBidi" w:cstheme="majorBidi"/>
                <w:sz w:val="20"/>
                <w:szCs w:val="20"/>
              </w:rPr>
            </w:pPr>
            <w:r w:rsidRPr="00083E19">
              <w:rPr>
                <w:rFonts w:asciiTheme="majorBidi" w:hAnsiTheme="majorBidi" w:cstheme="majorBidi"/>
                <w:color w:val="000000"/>
                <w:sz w:val="20"/>
                <w:szCs w:val="20"/>
              </w:rPr>
              <w:fldChar w:fldCharType="begin" w:fldLock="1"/>
            </w:r>
            <w:r w:rsidR="00960673" w:rsidRPr="00083E19">
              <w:rPr>
                <w:rFonts w:asciiTheme="majorBidi" w:hAnsiTheme="majorBidi" w:cstheme="majorBidi"/>
                <w:color w:val="000000"/>
                <w:sz w:val="20"/>
                <w:szCs w:val="20"/>
              </w:rPr>
              <w:instrText>ADDIN CSL_CITATION {"citationItems":[{"id":"ITEM-1","itemData":{"ISBN":"978-1-339-11995-3","ISSN":"0419-4217","abstract":"Individuals with Autism Spectrum Disorder have difficulties with interpersonal relationships at all ages and functioning levels, including difficulties in effective communication, sharing enjoyment and interests with others, and emotional reciprocity (American Psychiatric Association, 2000). Many individuals with Autism Spectrum Disorder struggle with social connectedness. In typically developing individuals, a lack of social connectedness may yield a perception of loneliness. In the current study, the investigator sought to determine what features influence perceptions of loneliness in adolescents with and without High-Functioning ASD. The features investigated were social skill ability, self-esteem, anxiety and social involvement inside and outside of school. The purpose of this study was to identify if adolescents with High-Functioning Autism experience higher rates of loneliness than their typically developing peers, and if so, what most contributes to feelings of loneliness in this population. This study included adolescents between the ages of 13 and 17 who had been diagnosed with high functioning Autism Spectrum Disorder (HF-ASD) as well as a neurotypical group and the groups were grade matched. It was hypothesized that: 1) Adolescents with High-Functioning Autism would report higher rates of loneliness than their typically developing peers, 2) Adolescents with High-Functioning Autism will report lower rates of social skill ability and higher rates of problem behaviors than their typically developing peers, 3) Adolescents with high functioning autism would report higher rates of anxiety, and 4) Adolescents with high functioning autism would report lower rates of self-esteem than their typically developing peers. Additional analyses on gender were examined. Univariate ANOVAs were used to determine the differences between ratings from adolescents with High-Functioning Autism when compared to their typically developing peers. An ANOVA conducted on loneliness indicated no statistical difference between groups as identified by diagnosis F (1, 38) = 3.17, p = .083, or between groups as identified by gender F (1, 38) = 1.65, p = .213. An ANOVA conducted on social skills, indicated a significant difference between groups as identified by diagnosis, F (1, 38) = 11.65, p =.002 and as identified by gender, F (1, 38) = 5.55, p =.024. An ANOVA conducted on problem behaviors indicated no statistical difference between groups as identified by diagnosis F (1, 38…","author":[{"dropping-particle":"","family":"Gennaro","given":"Laura M","non-dropping-particle":"De","parse-names":false,"suffix":""}],"collection-title":"Dissertation Abstracts International","container-title":"Dissertation Abstracts International: Section B: The Sciences and Engineering","id":"ITEM-1","issued":{"date-parts":[["2016"]]},"language":"English","note":"From Duplicate 2 (Loneliness in Adolescents with High-Functioning Autism Spectrum Disorder - De Gennaro, Laura M)\n\nCopyright - Database copyright ProQuest LLC; ProQuest does not claim copyright in the individual underlying works.\n\nLast updated - 2020-12-14","number-of-pages":"100","publisher":"ProQuest Information &amp; Learning","publisher-place":"Ann Arbor","title":"Loneliness in adolescents with high-functioning Autism Spectrum Disorder.","type":"thesis","volume":"77"},"uris":["http://www.mendeley.com/documents/?uuid=e7b4f7b4-aa7a-4f4f-8b88-543df38c11ca"]}],"mendeley":{"formattedCitation":"(De Gennaro, 2016)","manualFormatting":"De Gennaro (2016)","plainTextFormattedCitation":"(De Gennaro, 2016)","previouslyFormattedCitation":"(De Gennaro, 2016)"},"properties":{"noteIndex":0},"schema":"https://github.com/citation-style-language/schema/raw/master/csl-citation.json"}</w:instrText>
            </w:r>
            <w:r w:rsidRPr="00083E19">
              <w:rPr>
                <w:rFonts w:asciiTheme="majorBidi" w:hAnsiTheme="majorBidi" w:cstheme="majorBidi"/>
                <w:color w:val="000000"/>
                <w:sz w:val="20"/>
                <w:szCs w:val="20"/>
              </w:rPr>
              <w:fldChar w:fldCharType="separate"/>
            </w:r>
            <w:r w:rsidRPr="00083E19">
              <w:rPr>
                <w:rFonts w:asciiTheme="majorBidi" w:hAnsiTheme="majorBidi" w:cstheme="majorBidi"/>
                <w:noProof/>
                <w:color w:val="000000"/>
                <w:sz w:val="20"/>
                <w:szCs w:val="20"/>
              </w:rPr>
              <w:t>De Gennaro (2016)</w:t>
            </w:r>
            <w:r w:rsidRPr="00083E19">
              <w:rPr>
                <w:rFonts w:asciiTheme="majorBidi" w:hAnsiTheme="majorBidi" w:cstheme="majorBidi"/>
                <w:color w:val="000000"/>
                <w:sz w:val="20"/>
                <w:szCs w:val="20"/>
              </w:rPr>
              <w:fldChar w:fldCharType="end"/>
            </w:r>
          </w:p>
        </w:tc>
        <w:tc>
          <w:tcPr>
            <w:tcW w:w="1460" w:type="dxa"/>
            <w:gridSpan w:val="2"/>
            <w:tcBorders>
              <w:left w:val="nil"/>
              <w:right w:val="nil"/>
            </w:tcBorders>
            <w:vAlign w:val="center"/>
          </w:tcPr>
          <w:p w14:paraId="750C67A5"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0" w:type="dxa"/>
            <w:tcBorders>
              <w:left w:val="nil"/>
              <w:right w:val="nil"/>
            </w:tcBorders>
            <w:vAlign w:val="center"/>
          </w:tcPr>
          <w:p w14:paraId="77F11C99"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77E31CEE"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0" w:type="dxa"/>
            <w:tcBorders>
              <w:left w:val="nil"/>
              <w:right w:val="nil"/>
            </w:tcBorders>
            <w:vAlign w:val="center"/>
          </w:tcPr>
          <w:p w14:paraId="5ED9C055"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62B4700B"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460" w:type="dxa"/>
            <w:tcBorders>
              <w:left w:val="nil"/>
              <w:right w:val="nil"/>
            </w:tcBorders>
            <w:vAlign w:val="center"/>
          </w:tcPr>
          <w:p w14:paraId="3F3B36CE"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7" w:type="dxa"/>
            <w:tcBorders>
              <w:left w:val="nil"/>
              <w:right w:val="nil"/>
            </w:tcBorders>
            <w:vAlign w:val="center"/>
          </w:tcPr>
          <w:p w14:paraId="5DB24A63"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233" w:type="dxa"/>
            <w:tcBorders>
              <w:left w:val="nil"/>
              <w:right w:val="nil"/>
            </w:tcBorders>
            <w:shd w:val="clear" w:color="auto" w:fill="FFD966" w:themeFill="accent4" w:themeFillTint="99"/>
            <w:vAlign w:val="center"/>
          </w:tcPr>
          <w:p w14:paraId="1BDC91BB" w14:textId="77777777" w:rsidR="007F7363" w:rsidRPr="00083E19" w:rsidRDefault="007F7363" w:rsidP="00506716">
            <w:pPr>
              <w:jc w:val="center"/>
              <w:rPr>
                <w:rFonts w:asciiTheme="majorBidi" w:hAnsiTheme="majorBidi" w:cstheme="majorBidi"/>
                <w:b/>
                <w:sz w:val="20"/>
                <w:szCs w:val="20"/>
              </w:rPr>
            </w:pPr>
            <w:r w:rsidRPr="00083E19">
              <w:rPr>
                <w:rFonts w:asciiTheme="majorBidi" w:hAnsiTheme="majorBidi" w:cstheme="majorBidi"/>
                <w:color w:val="000000"/>
                <w:sz w:val="20"/>
                <w:szCs w:val="20"/>
              </w:rPr>
              <w:t>Moderate</w:t>
            </w:r>
          </w:p>
        </w:tc>
      </w:tr>
      <w:tr w:rsidR="007F7363" w:rsidRPr="00083E19" w14:paraId="7F7F6BBA" w14:textId="77777777" w:rsidTr="007F7363">
        <w:trPr>
          <w:trHeight w:val="460"/>
          <w:jc w:val="center"/>
        </w:trPr>
        <w:tc>
          <w:tcPr>
            <w:tcW w:w="2142" w:type="dxa"/>
            <w:tcBorders>
              <w:left w:val="nil"/>
              <w:right w:val="nil"/>
            </w:tcBorders>
            <w:vAlign w:val="center"/>
          </w:tcPr>
          <w:p w14:paraId="6E13B3B9" w14:textId="77777777" w:rsidR="007F7363" w:rsidRPr="00083E19" w:rsidRDefault="007F7363" w:rsidP="00506716">
            <w:pPr>
              <w:rPr>
                <w:rFonts w:asciiTheme="majorBidi" w:hAnsiTheme="majorBidi" w:cstheme="majorBidi"/>
                <w:sz w:val="20"/>
                <w:szCs w:val="20"/>
              </w:rPr>
            </w:pPr>
            <w:proofErr w:type="spellStart"/>
            <w:r w:rsidRPr="00083E19">
              <w:rPr>
                <w:rFonts w:asciiTheme="majorBidi" w:hAnsiTheme="majorBidi" w:cstheme="majorBidi"/>
                <w:color w:val="000000"/>
                <w:sz w:val="20"/>
                <w:szCs w:val="20"/>
              </w:rPr>
              <w:t>Deckers</w:t>
            </w:r>
            <w:proofErr w:type="spellEnd"/>
            <w:r w:rsidRPr="00083E19">
              <w:rPr>
                <w:rFonts w:asciiTheme="majorBidi" w:hAnsiTheme="majorBidi" w:cstheme="majorBidi"/>
                <w:color w:val="000000"/>
                <w:sz w:val="20"/>
                <w:szCs w:val="20"/>
              </w:rPr>
              <w:t xml:space="preserve"> et al. (2017)</w:t>
            </w:r>
          </w:p>
        </w:tc>
        <w:tc>
          <w:tcPr>
            <w:tcW w:w="1460" w:type="dxa"/>
            <w:gridSpan w:val="2"/>
            <w:tcBorders>
              <w:left w:val="nil"/>
              <w:right w:val="nil"/>
            </w:tcBorders>
            <w:vAlign w:val="center"/>
          </w:tcPr>
          <w:p w14:paraId="04E2B46D"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460" w:type="dxa"/>
            <w:tcBorders>
              <w:left w:val="nil"/>
              <w:right w:val="nil"/>
            </w:tcBorders>
            <w:vAlign w:val="center"/>
          </w:tcPr>
          <w:p w14:paraId="08306296"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4342D5AE"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460" w:type="dxa"/>
            <w:tcBorders>
              <w:left w:val="nil"/>
              <w:right w:val="nil"/>
            </w:tcBorders>
            <w:vAlign w:val="center"/>
          </w:tcPr>
          <w:p w14:paraId="760C4F19"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51435895"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0" w:type="dxa"/>
            <w:tcBorders>
              <w:left w:val="nil"/>
              <w:right w:val="nil"/>
            </w:tcBorders>
            <w:vAlign w:val="center"/>
          </w:tcPr>
          <w:p w14:paraId="1FAA388D" w14:textId="0DB14C3E" w:rsidR="007F7363" w:rsidRPr="00083E19" w:rsidRDefault="00675A6E"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7" w:type="dxa"/>
            <w:tcBorders>
              <w:left w:val="nil"/>
              <w:right w:val="nil"/>
            </w:tcBorders>
            <w:vAlign w:val="center"/>
          </w:tcPr>
          <w:p w14:paraId="60484CB1"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233" w:type="dxa"/>
            <w:tcBorders>
              <w:left w:val="nil"/>
              <w:right w:val="nil"/>
            </w:tcBorders>
            <w:shd w:val="clear" w:color="auto" w:fill="F4B083" w:themeFill="accent2" w:themeFillTint="99"/>
            <w:vAlign w:val="center"/>
          </w:tcPr>
          <w:p w14:paraId="50B3097A" w14:textId="77777777" w:rsidR="007F7363" w:rsidRPr="00083E19" w:rsidRDefault="007F7363" w:rsidP="00506716">
            <w:pPr>
              <w:jc w:val="center"/>
              <w:rPr>
                <w:rFonts w:asciiTheme="majorBidi" w:hAnsiTheme="majorBidi" w:cstheme="majorBidi"/>
                <w:b/>
                <w:sz w:val="20"/>
                <w:szCs w:val="20"/>
              </w:rPr>
            </w:pPr>
            <w:r w:rsidRPr="00083E19">
              <w:rPr>
                <w:rFonts w:asciiTheme="majorBidi" w:hAnsiTheme="majorBidi" w:cstheme="majorBidi"/>
                <w:color w:val="000000"/>
                <w:sz w:val="20"/>
                <w:szCs w:val="20"/>
              </w:rPr>
              <w:t>Weak</w:t>
            </w:r>
          </w:p>
        </w:tc>
      </w:tr>
      <w:tr w:rsidR="00B069AA" w:rsidRPr="00083E19" w14:paraId="13CB4D31" w14:textId="77777777" w:rsidTr="00ED2065">
        <w:trPr>
          <w:trHeight w:val="460"/>
          <w:jc w:val="center"/>
        </w:trPr>
        <w:tc>
          <w:tcPr>
            <w:tcW w:w="2142" w:type="dxa"/>
            <w:tcBorders>
              <w:left w:val="nil"/>
              <w:right w:val="nil"/>
            </w:tcBorders>
            <w:vAlign w:val="center"/>
          </w:tcPr>
          <w:p w14:paraId="6DE74DE4" w14:textId="7224EEBC" w:rsidR="00B069AA" w:rsidRPr="00083E19" w:rsidRDefault="00B069AA" w:rsidP="00506716">
            <w:pPr>
              <w:rPr>
                <w:rFonts w:asciiTheme="majorBidi" w:hAnsiTheme="majorBidi" w:cstheme="majorBidi"/>
                <w:color w:val="000000"/>
                <w:sz w:val="20"/>
                <w:szCs w:val="20"/>
              </w:rPr>
            </w:pPr>
            <w:proofErr w:type="spellStart"/>
            <w:r w:rsidRPr="00083E19">
              <w:rPr>
                <w:rFonts w:asciiTheme="majorBidi" w:hAnsiTheme="majorBidi" w:cstheme="majorBidi"/>
                <w:color w:val="000000"/>
                <w:sz w:val="20"/>
                <w:szCs w:val="20"/>
              </w:rPr>
              <w:t>Ee</w:t>
            </w:r>
            <w:proofErr w:type="spellEnd"/>
            <w:r w:rsidRPr="00083E19">
              <w:rPr>
                <w:rFonts w:asciiTheme="majorBidi" w:hAnsiTheme="majorBidi" w:cstheme="majorBidi"/>
                <w:color w:val="000000"/>
                <w:sz w:val="20"/>
                <w:szCs w:val="20"/>
              </w:rPr>
              <w:t xml:space="preserve"> et al. (2019)</w:t>
            </w:r>
          </w:p>
        </w:tc>
        <w:tc>
          <w:tcPr>
            <w:tcW w:w="1460" w:type="dxa"/>
            <w:gridSpan w:val="2"/>
            <w:tcBorders>
              <w:left w:val="nil"/>
              <w:right w:val="nil"/>
            </w:tcBorders>
            <w:vAlign w:val="center"/>
          </w:tcPr>
          <w:p w14:paraId="5DA422D5" w14:textId="3D53310C" w:rsidR="00B069AA" w:rsidRPr="00083E19" w:rsidRDefault="00AF36BF" w:rsidP="00506716">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c>
          <w:tcPr>
            <w:tcW w:w="1460" w:type="dxa"/>
            <w:tcBorders>
              <w:left w:val="nil"/>
              <w:right w:val="nil"/>
            </w:tcBorders>
            <w:vAlign w:val="center"/>
          </w:tcPr>
          <w:p w14:paraId="7CD91AB8" w14:textId="4C142D95" w:rsidR="00B069AA" w:rsidRPr="00083E19" w:rsidRDefault="00AF36BF" w:rsidP="00506716">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2FE300C7" w14:textId="2E8502B3" w:rsidR="00B069AA" w:rsidRPr="00083E19" w:rsidRDefault="00ED2065" w:rsidP="00506716">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c>
          <w:tcPr>
            <w:tcW w:w="1460" w:type="dxa"/>
            <w:tcBorders>
              <w:left w:val="nil"/>
              <w:right w:val="nil"/>
            </w:tcBorders>
            <w:vAlign w:val="center"/>
          </w:tcPr>
          <w:p w14:paraId="32A1968E" w14:textId="5BDB24DA" w:rsidR="00B069AA" w:rsidRPr="00083E19" w:rsidRDefault="00AF36BF" w:rsidP="00506716">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7C198B44" w14:textId="2AAFD981" w:rsidR="00B069AA" w:rsidRPr="00083E19" w:rsidRDefault="00AF36BF" w:rsidP="00506716">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Strong</w:t>
            </w:r>
          </w:p>
        </w:tc>
        <w:tc>
          <w:tcPr>
            <w:tcW w:w="1460" w:type="dxa"/>
            <w:tcBorders>
              <w:left w:val="nil"/>
              <w:right w:val="nil"/>
            </w:tcBorders>
            <w:vAlign w:val="center"/>
          </w:tcPr>
          <w:p w14:paraId="7B00AD0E" w14:textId="3432F7D0" w:rsidR="00B069AA" w:rsidRPr="00083E19" w:rsidRDefault="00AF36BF" w:rsidP="00506716">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c>
          <w:tcPr>
            <w:tcW w:w="1467" w:type="dxa"/>
            <w:tcBorders>
              <w:left w:val="nil"/>
              <w:right w:val="nil"/>
            </w:tcBorders>
            <w:vAlign w:val="center"/>
          </w:tcPr>
          <w:p w14:paraId="63FBEDF1" w14:textId="29523105" w:rsidR="00B069AA" w:rsidRPr="00083E19" w:rsidRDefault="00AF36BF" w:rsidP="00506716">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 xml:space="preserve">Weak </w:t>
            </w:r>
          </w:p>
        </w:tc>
        <w:tc>
          <w:tcPr>
            <w:tcW w:w="1233" w:type="dxa"/>
            <w:tcBorders>
              <w:left w:val="nil"/>
              <w:right w:val="nil"/>
            </w:tcBorders>
            <w:shd w:val="clear" w:color="auto" w:fill="FFD966" w:themeFill="accent4" w:themeFillTint="99"/>
            <w:vAlign w:val="center"/>
          </w:tcPr>
          <w:p w14:paraId="52E41A21" w14:textId="05E66BE3" w:rsidR="00B069AA" w:rsidRPr="00083E19" w:rsidRDefault="00AF36BF" w:rsidP="00506716">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r>
      <w:tr w:rsidR="007F7363" w:rsidRPr="00083E19" w14:paraId="15C480B3" w14:textId="77777777" w:rsidTr="007F7363">
        <w:trPr>
          <w:trHeight w:val="460"/>
          <w:jc w:val="center"/>
        </w:trPr>
        <w:tc>
          <w:tcPr>
            <w:tcW w:w="2142" w:type="dxa"/>
            <w:tcBorders>
              <w:left w:val="nil"/>
              <w:bottom w:val="single" w:sz="4" w:space="0" w:color="auto"/>
              <w:right w:val="nil"/>
            </w:tcBorders>
            <w:vAlign w:val="center"/>
          </w:tcPr>
          <w:p w14:paraId="5654B9AD" w14:textId="77777777" w:rsidR="007F7363" w:rsidRPr="00083E19" w:rsidRDefault="007F7363" w:rsidP="00506716">
            <w:pPr>
              <w:rPr>
                <w:rFonts w:asciiTheme="majorBidi" w:hAnsiTheme="majorBidi" w:cstheme="majorBidi"/>
                <w:sz w:val="20"/>
                <w:szCs w:val="20"/>
              </w:rPr>
            </w:pPr>
            <w:r w:rsidRPr="00083E19">
              <w:rPr>
                <w:rFonts w:asciiTheme="majorBidi" w:hAnsiTheme="majorBidi" w:cstheme="majorBidi"/>
                <w:color w:val="000000"/>
                <w:sz w:val="20"/>
                <w:szCs w:val="20"/>
              </w:rPr>
              <w:t>Han et al. (2019)</w:t>
            </w:r>
          </w:p>
        </w:tc>
        <w:tc>
          <w:tcPr>
            <w:tcW w:w="1460" w:type="dxa"/>
            <w:gridSpan w:val="2"/>
            <w:tcBorders>
              <w:left w:val="nil"/>
              <w:bottom w:val="single" w:sz="4" w:space="0" w:color="auto"/>
              <w:right w:val="nil"/>
            </w:tcBorders>
            <w:vAlign w:val="center"/>
          </w:tcPr>
          <w:p w14:paraId="0B640C79"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0" w:type="dxa"/>
            <w:tcBorders>
              <w:left w:val="nil"/>
              <w:bottom w:val="single" w:sz="4" w:space="0" w:color="auto"/>
              <w:right w:val="nil"/>
            </w:tcBorders>
            <w:vAlign w:val="center"/>
          </w:tcPr>
          <w:p w14:paraId="183F43A5"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bottom w:val="single" w:sz="4" w:space="0" w:color="auto"/>
              <w:right w:val="nil"/>
            </w:tcBorders>
            <w:vAlign w:val="center"/>
          </w:tcPr>
          <w:p w14:paraId="4E12C192"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460" w:type="dxa"/>
            <w:tcBorders>
              <w:left w:val="nil"/>
              <w:bottom w:val="single" w:sz="4" w:space="0" w:color="auto"/>
              <w:right w:val="nil"/>
            </w:tcBorders>
            <w:vAlign w:val="center"/>
          </w:tcPr>
          <w:p w14:paraId="4098D375"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bottom w:val="single" w:sz="4" w:space="0" w:color="auto"/>
              <w:right w:val="nil"/>
            </w:tcBorders>
            <w:vAlign w:val="center"/>
          </w:tcPr>
          <w:p w14:paraId="41F50C0A"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460" w:type="dxa"/>
            <w:tcBorders>
              <w:left w:val="nil"/>
              <w:bottom w:val="single" w:sz="4" w:space="0" w:color="auto"/>
              <w:right w:val="nil"/>
            </w:tcBorders>
            <w:vAlign w:val="center"/>
          </w:tcPr>
          <w:p w14:paraId="70DBC1FB"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467" w:type="dxa"/>
            <w:tcBorders>
              <w:left w:val="nil"/>
              <w:bottom w:val="single" w:sz="4" w:space="0" w:color="auto"/>
              <w:right w:val="nil"/>
            </w:tcBorders>
            <w:vAlign w:val="center"/>
          </w:tcPr>
          <w:p w14:paraId="39ADBF08" w14:textId="557319C1" w:rsidR="007F7363" w:rsidRPr="00083E19" w:rsidRDefault="00D908B8"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233" w:type="dxa"/>
            <w:tcBorders>
              <w:left w:val="nil"/>
              <w:bottom w:val="single" w:sz="4" w:space="0" w:color="auto"/>
              <w:right w:val="nil"/>
            </w:tcBorders>
            <w:shd w:val="clear" w:color="auto" w:fill="FFD966" w:themeFill="accent4" w:themeFillTint="99"/>
            <w:vAlign w:val="center"/>
          </w:tcPr>
          <w:p w14:paraId="598671B1" w14:textId="77777777" w:rsidR="007F7363" w:rsidRPr="00083E19" w:rsidRDefault="007F7363" w:rsidP="00506716">
            <w:pPr>
              <w:jc w:val="center"/>
              <w:rPr>
                <w:rFonts w:asciiTheme="majorBidi" w:hAnsiTheme="majorBidi" w:cstheme="majorBidi"/>
                <w:b/>
                <w:sz w:val="20"/>
                <w:szCs w:val="20"/>
              </w:rPr>
            </w:pPr>
            <w:r w:rsidRPr="00083E19">
              <w:rPr>
                <w:rFonts w:asciiTheme="majorBidi" w:hAnsiTheme="majorBidi" w:cstheme="majorBidi"/>
                <w:color w:val="000000"/>
                <w:sz w:val="20"/>
                <w:szCs w:val="20"/>
              </w:rPr>
              <w:t>Moderate</w:t>
            </w:r>
          </w:p>
        </w:tc>
      </w:tr>
      <w:tr w:rsidR="00ED2065" w:rsidRPr="00083E19" w14:paraId="1EEA1B92" w14:textId="77777777" w:rsidTr="007F7363">
        <w:trPr>
          <w:trHeight w:val="460"/>
          <w:jc w:val="center"/>
        </w:trPr>
        <w:tc>
          <w:tcPr>
            <w:tcW w:w="2142" w:type="dxa"/>
            <w:tcBorders>
              <w:left w:val="nil"/>
              <w:bottom w:val="single" w:sz="4" w:space="0" w:color="auto"/>
              <w:right w:val="nil"/>
            </w:tcBorders>
            <w:vAlign w:val="center"/>
          </w:tcPr>
          <w:p w14:paraId="10106739" w14:textId="422CBC40" w:rsidR="00ED2065" w:rsidRPr="00083E19" w:rsidRDefault="00ED2065" w:rsidP="00ED2065">
            <w:pPr>
              <w:rPr>
                <w:rFonts w:asciiTheme="majorBidi" w:hAnsiTheme="majorBidi" w:cstheme="majorBidi"/>
                <w:color w:val="000000"/>
                <w:sz w:val="20"/>
                <w:szCs w:val="20"/>
              </w:rPr>
            </w:pPr>
            <w:r w:rsidRPr="00083E19">
              <w:rPr>
                <w:rFonts w:asciiTheme="majorBidi" w:hAnsiTheme="majorBidi" w:cstheme="majorBidi"/>
                <w:color w:val="000000"/>
                <w:sz w:val="20"/>
                <w:szCs w:val="20"/>
              </w:rPr>
              <w:t>Hymas (2021)</w:t>
            </w:r>
          </w:p>
        </w:tc>
        <w:tc>
          <w:tcPr>
            <w:tcW w:w="1460" w:type="dxa"/>
            <w:gridSpan w:val="2"/>
            <w:tcBorders>
              <w:left w:val="nil"/>
              <w:bottom w:val="single" w:sz="4" w:space="0" w:color="auto"/>
              <w:right w:val="nil"/>
            </w:tcBorders>
            <w:vAlign w:val="center"/>
          </w:tcPr>
          <w:p w14:paraId="6054A9B5" w14:textId="154284D6" w:rsidR="00ED2065" w:rsidRPr="00083E19" w:rsidRDefault="00ED2065" w:rsidP="00ED2065">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c>
          <w:tcPr>
            <w:tcW w:w="1460" w:type="dxa"/>
            <w:tcBorders>
              <w:left w:val="nil"/>
              <w:bottom w:val="single" w:sz="4" w:space="0" w:color="auto"/>
              <w:right w:val="nil"/>
            </w:tcBorders>
            <w:vAlign w:val="center"/>
          </w:tcPr>
          <w:p w14:paraId="2AFF60D8" w14:textId="33EEC9B4" w:rsidR="00ED2065" w:rsidRPr="00083E19" w:rsidRDefault="00ED2065" w:rsidP="00ED2065">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c>
          <w:tcPr>
            <w:tcW w:w="1461" w:type="dxa"/>
            <w:tcBorders>
              <w:left w:val="nil"/>
              <w:bottom w:val="single" w:sz="4" w:space="0" w:color="auto"/>
              <w:right w:val="nil"/>
            </w:tcBorders>
            <w:vAlign w:val="center"/>
          </w:tcPr>
          <w:p w14:paraId="2232FB03" w14:textId="6ABCCE90" w:rsidR="00ED2065" w:rsidRPr="00083E19" w:rsidRDefault="00ED2065" w:rsidP="00ED2065">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c>
          <w:tcPr>
            <w:tcW w:w="1460" w:type="dxa"/>
            <w:tcBorders>
              <w:left w:val="nil"/>
              <w:bottom w:val="single" w:sz="4" w:space="0" w:color="auto"/>
              <w:right w:val="nil"/>
            </w:tcBorders>
            <w:vAlign w:val="center"/>
          </w:tcPr>
          <w:p w14:paraId="18D472F1" w14:textId="684D51C9" w:rsidR="00ED2065" w:rsidRPr="00083E19" w:rsidRDefault="00ED2065" w:rsidP="00ED2065">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c>
          <w:tcPr>
            <w:tcW w:w="1461" w:type="dxa"/>
            <w:tcBorders>
              <w:left w:val="nil"/>
              <w:bottom w:val="single" w:sz="4" w:space="0" w:color="auto"/>
              <w:right w:val="nil"/>
            </w:tcBorders>
            <w:vAlign w:val="center"/>
          </w:tcPr>
          <w:p w14:paraId="294A3AA7" w14:textId="7947864D" w:rsidR="00ED2065" w:rsidRPr="00083E19" w:rsidRDefault="00ED2065" w:rsidP="00ED2065">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Strong</w:t>
            </w:r>
          </w:p>
        </w:tc>
        <w:tc>
          <w:tcPr>
            <w:tcW w:w="1460" w:type="dxa"/>
            <w:tcBorders>
              <w:left w:val="nil"/>
              <w:bottom w:val="single" w:sz="4" w:space="0" w:color="auto"/>
              <w:right w:val="nil"/>
            </w:tcBorders>
            <w:vAlign w:val="center"/>
          </w:tcPr>
          <w:p w14:paraId="1FB8EDDD" w14:textId="47F82298" w:rsidR="00ED2065" w:rsidRPr="00083E19" w:rsidRDefault="00ED2065" w:rsidP="00ED2065">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c>
          <w:tcPr>
            <w:tcW w:w="1467" w:type="dxa"/>
            <w:tcBorders>
              <w:left w:val="nil"/>
              <w:bottom w:val="single" w:sz="4" w:space="0" w:color="auto"/>
              <w:right w:val="nil"/>
            </w:tcBorders>
            <w:vAlign w:val="center"/>
          </w:tcPr>
          <w:p w14:paraId="1489FEEB" w14:textId="15540D58" w:rsidR="00ED2065" w:rsidRPr="00083E19" w:rsidRDefault="00ED2065" w:rsidP="00ED2065">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 xml:space="preserve">Weak </w:t>
            </w:r>
          </w:p>
        </w:tc>
        <w:tc>
          <w:tcPr>
            <w:tcW w:w="1233" w:type="dxa"/>
            <w:tcBorders>
              <w:left w:val="nil"/>
              <w:bottom w:val="single" w:sz="4" w:space="0" w:color="auto"/>
              <w:right w:val="nil"/>
            </w:tcBorders>
            <w:shd w:val="clear" w:color="auto" w:fill="FFD966" w:themeFill="accent4" w:themeFillTint="99"/>
            <w:vAlign w:val="center"/>
          </w:tcPr>
          <w:p w14:paraId="0D0549BA" w14:textId="5490A091" w:rsidR="00ED2065" w:rsidRPr="00083E19" w:rsidRDefault="00ED2065" w:rsidP="00ED2065">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r>
      <w:tr w:rsidR="007F7363" w:rsidRPr="00083E19" w14:paraId="03A4F5E5" w14:textId="77777777" w:rsidTr="007F7363">
        <w:trPr>
          <w:trHeight w:val="460"/>
          <w:jc w:val="center"/>
        </w:trPr>
        <w:tc>
          <w:tcPr>
            <w:tcW w:w="2142" w:type="dxa"/>
            <w:tcBorders>
              <w:left w:val="nil"/>
              <w:bottom w:val="single" w:sz="4" w:space="0" w:color="auto"/>
              <w:right w:val="nil"/>
            </w:tcBorders>
            <w:vAlign w:val="center"/>
          </w:tcPr>
          <w:p w14:paraId="2E8A0DFF" w14:textId="3EE1605E" w:rsidR="007F7363" w:rsidRPr="00083E19" w:rsidRDefault="00960673" w:rsidP="00506716">
            <w:pPr>
              <w:rPr>
                <w:rFonts w:asciiTheme="majorBidi" w:hAnsiTheme="majorBidi" w:cstheme="majorBidi"/>
                <w:sz w:val="20"/>
                <w:szCs w:val="20"/>
              </w:rPr>
            </w:pPr>
            <w:r w:rsidRPr="00083E19">
              <w:rPr>
                <w:rFonts w:asciiTheme="majorBidi" w:hAnsiTheme="majorBidi" w:cstheme="majorBidi"/>
                <w:color w:val="000000"/>
                <w:sz w:val="20"/>
                <w:szCs w:val="20"/>
              </w:rPr>
              <w:fldChar w:fldCharType="begin" w:fldLock="1"/>
            </w:r>
            <w:r w:rsidR="00CC6D23" w:rsidRPr="00083E19">
              <w:rPr>
                <w:rFonts w:asciiTheme="majorBidi" w:hAnsiTheme="majorBidi" w:cstheme="majorBidi"/>
                <w:color w:val="000000"/>
                <w:sz w:val="20"/>
                <w:szCs w:val="20"/>
              </w:rPr>
              <w:instrText>ADDIN CSL_CITATION {"citationItems":[{"id":"ITEM-1","itemData":{"DOI":"10.1007/s10803-010-0978-y","abstract":"Children with Asperger Syndrome (AS) who attend mainstream settings face social skills deficits that have not been adequately explored. This study aims to examine social skills through self-reports of children with AS (N = 21) and a matched group of typically developing peers, as well as reports from their mothers, fathers, and teachers. Results showed that children with AS had more social skills deficits according to all raters and that they reported more aggressiveness/antisocial behavior, more conceit/haughtiness, more loneliness/social anxiety, and less assertiveness than controls. The level of agreement between raters varied significantly, suggesting that social skills are best studied with multiple informants. © 2010 Springer Science+Business Media, LLC.","author":[{"dropping-particle":"","family":"Kalyva","given":"E.","non-dropping-particle":"","parse-names":false,"suffix":""}],"container-title":"Journal of Autism and Developmental Disorders","id":"ITEM-1","issue":"10","issued":{"date-parts":[["2010"]]},"page":"1202-1208","title":"Multirater congruence on the social skills assessment of children with asperger syndrome: Self, mother, father, and teacher ratings","type":"article-journal","volume":"40"},"uris":["http://www.mendeley.com/documents/?uuid=59287b95-f92e-34f1-8053-1e7fd3fe5786"]}],"mendeley":{"formattedCitation":"(Kalyva, 2010)","manualFormatting":"Kalyva (2010)","plainTextFormattedCitation":"(Kalyva, 2010)","previouslyFormattedCitation":"(Kalyva, 2010)"},"properties":{"noteIndex":0},"schema":"https://github.com/citation-style-language/schema/raw/master/csl-citation.json"}</w:instrText>
            </w:r>
            <w:r w:rsidRPr="00083E19">
              <w:rPr>
                <w:rFonts w:asciiTheme="majorBidi" w:hAnsiTheme="majorBidi" w:cstheme="majorBidi"/>
                <w:color w:val="000000"/>
                <w:sz w:val="20"/>
                <w:szCs w:val="20"/>
              </w:rPr>
              <w:fldChar w:fldCharType="separate"/>
            </w:r>
            <w:r w:rsidRPr="00083E19">
              <w:rPr>
                <w:rFonts w:asciiTheme="majorBidi" w:hAnsiTheme="majorBidi" w:cstheme="majorBidi"/>
                <w:noProof/>
                <w:color w:val="000000"/>
                <w:sz w:val="20"/>
                <w:szCs w:val="20"/>
              </w:rPr>
              <w:t>Kalyva (2010)</w:t>
            </w:r>
            <w:r w:rsidRPr="00083E19">
              <w:rPr>
                <w:rFonts w:asciiTheme="majorBidi" w:hAnsiTheme="majorBidi" w:cstheme="majorBidi"/>
                <w:color w:val="000000"/>
                <w:sz w:val="20"/>
                <w:szCs w:val="20"/>
              </w:rPr>
              <w:fldChar w:fldCharType="end"/>
            </w:r>
          </w:p>
        </w:tc>
        <w:tc>
          <w:tcPr>
            <w:tcW w:w="1460" w:type="dxa"/>
            <w:gridSpan w:val="2"/>
            <w:tcBorders>
              <w:left w:val="nil"/>
              <w:bottom w:val="single" w:sz="4" w:space="0" w:color="auto"/>
              <w:right w:val="nil"/>
            </w:tcBorders>
            <w:vAlign w:val="center"/>
          </w:tcPr>
          <w:p w14:paraId="0147C79B"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0" w:type="dxa"/>
            <w:tcBorders>
              <w:left w:val="nil"/>
              <w:bottom w:val="single" w:sz="4" w:space="0" w:color="auto"/>
              <w:right w:val="nil"/>
            </w:tcBorders>
            <w:vAlign w:val="center"/>
          </w:tcPr>
          <w:p w14:paraId="39C1423A"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bottom w:val="single" w:sz="4" w:space="0" w:color="auto"/>
              <w:right w:val="nil"/>
            </w:tcBorders>
            <w:vAlign w:val="center"/>
          </w:tcPr>
          <w:p w14:paraId="46167866"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460" w:type="dxa"/>
            <w:tcBorders>
              <w:left w:val="nil"/>
              <w:bottom w:val="single" w:sz="4" w:space="0" w:color="auto"/>
              <w:right w:val="nil"/>
            </w:tcBorders>
            <w:vAlign w:val="center"/>
          </w:tcPr>
          <w:p w14:paraId="6715B160"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bottom w:val="single" w:sz="4" w:space="0" w:color="auto"/>
              <w:right w:val="nil"/>
            </w:tcBorders>
            <w:vAlign w:val="center"/>
          </w:tcPr>
          <w:p w14:paraId="4642A54A"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460" w:type="dxa"/>
            <w:tcBorders>
              <w:left w:val="nil"/>
              <w:bottom w:val="single" w:sz="4" w:space="0" w:color="auto"/>
              <w:right w:val="nil"/>
            </w:tcBorders>
            <w:vAlign w:val="center"/>
          </w:tcPr>
          <w:p w14:paraId="05CBD390"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7" w:type="dxa"/>
            <w:tcBorders>
              <w:left w:val="nil"/>
              <w:bottom w:val="single" w:sz="4" w:space="0" w:color="auto"/>
              <w:right w:val="nil"/>
            </w:tcBorders>
            <w:vAlign w:val="center"/>
          </w:tcPr>
          <w:p w14:paraId="77800052"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233" w:type="dxa"/>
            <w:tcBorders>
              <w:left w:val="nil"/>
              <w:bottom w:val="single" w:sz="4" w:space="0" w:color="auto"/>
              <w:right w:val="nil"/>
            </w:tcBorders>
            <w:shd w:val="clear" w:color="auto" w:fill="92D050"/>
            <w:vAlign w:val="center"/>
          </w:tcPr>
          <w:p w14:paraId="04992ECC" w14:textId="77777777" w:rsidR="007F7363" w:rsidRPr="00083E19" w:rsidRDefault="007F7363" w:rsidP="00506716">
            <w:pPr>
              <w:jc w:val="center"/>
              <w:rPr>
                <w:rFonts w:asciiTheme="majorBidi" w:hAnsiTheme="majorBidi" w:cstheme="majorBidi"/>
                <w:b/>
                <w:sz w:val="20"/>
                <w:szCs w:val="20"/>
              </w:rPr>
            </w:pPr>
            <w:r w:rsidRPr="00083E19">
              <w:rPr>
                <w:rFonts w:asciiTheme="majorBidi" w:hAnsiTheme="majorBidi" w:cstheme="majorBidi"/>
                <w:color w:val="000000"/>
                <w:sz w:val="20"/>
                <w:szCs w:val="20"/>
              </w:rPr>
              <w:t>Strong</w:t>
            </w:r>
          </w:p>
        </w:tc>
      </w:tr>
      <w:tr w:rsidR="007F7363" w:rsidRPr="00083E19" w14:paraId="713BC118" w14:textId="77777777" w:rsidTr="007F7363">
        <w:trPr>
          <w:trHeight w:val="460"/>
          <w:jc w:val="center"/>
        </w:trPr>
        <w:tc>
          <w:tcPr>
            <w:tcW w:w="2142" w:type="dxa"/>
            <w:tcBorders>
              <w:left w:val="nil"/>
              <w:bottom w:val="single" w:sz="4" w:space="0" w:color="auto"/>
              <w:right w:val="nil"/>
            </w:tcBorders>
            <w:vAlign w:val="center"/>
          </w:tcPr>
          <w:p w14:paraId="6A7A04FE" w14:textId="77777777" w:rsidR="007F7363" w:rsidRPr="00083E19" w:rsidRDefault="007F7363" w:rsidP="00506716">
            <w:pPr>
              <w:rPr>
                <w:rFonts w:asciiTheme="majorBidi" w:hAnsiTheme="majorBidi" w:cstheme="majorBidi"/>
                <w:sz w:val="20"/>
                <w:szCs w:val="20"/>
              </w:rPr>
            </w:pPr>
            <w:r w:rsidRPr="00083E19">
              <w:rPr>
                <w:rFonts w:asciiTheme="majorBidi" w:hAnsiTheme="majorBidi" w:cstheme="majorBidi"/>
                <w:color w:val="000000"/>
                <w:sz w:val="20"/>
                <w:szCs w:val="20"/>
              </w:rPr>
              <w:lastRenderedPageBreak/>
              <w:t>Lasgaard et al. (2010)</w:t>
            </w:r>
          </w:p>
        </w:tc>
        <w:tc>
          <w:tcPr>
            <w:tcW w:w="1460" w:type="dxa"/>
            <w:gridSpan w:val="2"/>
            <w:tcBorders>
              <w:left w:val="nil"/>
              <w:bottom w:val="single" w:sz="4" w:space="0" w:color="auto"/>
              <w:right w:val="nil"/>
            </w:tcBorders>
            <w:vAlign w:val="center"/>
          </w:tcPr>
          <w:p w14:paraId="661E63F4"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460" w:type="dxa"/>
            <w:tcBorders>
              <w:left w:val="nil"/>
              <w:bottom w:val="single" w:sz="4" w:space="0" w:color="auto"/>
              <w:right w:val="nil"/>
            </w:tcBorders>
            <w:vAlign w:val="center"/>
          </w:tcPr>
          <w:p w14:paraId="36ED861F"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bottom w:val="single" w:sz="4" w:space="0" w:color="auto"/>
              <w:right w:val="nil"/>
            </w:tcBorders>
            <w:vAlign w:val="center"/>
          </w:tcPr>
          <w:p w14:paraId="513F1E1D"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0" w:type="dxa"/>
            <w:tcBorders>
              <w:left w:val="nil"/>
              <w:bottom w:val="single" w:sz="4" w:space="0" w:color="auto"/>
              <w:right w:val="nil"/>
            </w:tcBorders>
            <w:vAlign w:val="center"/>
          </w:tcPr>
          <w:p w14:paraId="7D7329FB"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bottom w:val="single" w:sz="4" w:space="0" w:color="auto"/>
              <w:right w:val="nil"/>
            </w:tcBorders>
            <w:vAlign w:val="center"/>
          </w:tcPr>
          <w:p w14:paraId="461E6E28"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0" w:type="dxa"/>
            <w:tcBorders>
              <w:left w:val="nil"/>
              <w:bottom w:val="single" w:sz="4" w:space="0" w:color="auto"/>
              <w:right w:val="nil"/>
            </w:tcBorders>
            <w:vAlign w:val="center"/>
          </w:tcPr>
          <w:p w14:paraId="1874C4A2"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7" w:type="dxa"/>
            <w:tcBorders>
              <w:left w:val="nil"/>
              <w:bottom w:val="single" w:sz="4" w:space="0" w:color="auto"/>
              <w:right w:val="nil"/>
            </w:tcBorders>
            <w:vAlign w:val="center"/>
          </w:tcPr>
          <w:p w14:paraId="52A834FF"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233" w:type="dxa"/>
            <w:tcBorders>
              <w:left w:val="nil"/>
              <w:bottom w:val="single" w:sz="4" w:space="0" w:color="auto"/>
              <w:right w:val="nil"/>
            </w:tcBorders>
            <w:shd w:val="clear" w:color="auto" w:fill="F4B083" w:themeFill="accent2" w:themeFillTint="99"/>
            <w:vAlign w:val="center"/>
          </w:tcPr>
          <w:p w14:paraId="1A05F2AE" w14:textId="77777777" w:rsidR="007F7363" w:rsidRPr="00083E19" w:rsidRDefault="007F7363" w:rsidP="00506716">
            <w:pPr>
              <w:jc w:val="center"/>
              <w:rPr>
                <w:rFonts w:asciiTheme="majorBidi" w:hAnsiTheme="majorBidi" w:cstheme="majorBidi"/>
                <w:b/>
                <w:sz w:val="20"/>
                <w:szCs w:val="20"/>
              </w:rPr>
            </w:pPr>
            <w:r w:rsidRPr="00083E19">
              <w:rPr>
                <w:rFonts w:asciiTheme="majorBidi" w:hAnsiTheme="majorBidi" w:cstheme="majorBidi"/>
                <w:color w:val="000000"/>
                <w:sz w:val="20"/>
                <w:szCs w:val="20"/>
              </w:rPr>
              <w:t>Weak</w:t>
            </w:r>
          </w:p>
        </w:tc>
      </w:tr>
      <w:tr w:rsidR="007F7363" w:rsidRPr="00083E19" w14:paraId="509FDD2B" w14:textId="77777777" w:rsidTr="007F7363">
        <w:trPr>
          <w:trHeight w:val="460"/>
          <w:jc w:val="center"/>
        </w:trPr>
        <w:tc>
          <w:tcPr>
            <w:tcW w:w="2142" w:type="dxa"/>
            <w:tcBorders>
              <w:left w:val="nil"/>
              <w:right w:val="nil"/>
            </w:tcBorders>
            <w:vAlign w:val="center"/>
          </w:tcPr>
          <w:p w14:paraId="1C6BA54A" w14:textId="77777777" w:rsidR="007F7363" w:rsidRPr="00083E19" w:rsidRDefault="007F7363" w:rsidP="00506716">
            <w:pPr>
              <w:rPr>
                <w:rFonts w:asciiTheme="majorBidi" w:hAnsiTheme="majorBidi" w:cstheme="majorBidi"/>
                <w:sz w:val="20"/>
                <w:szCs w:val="20"/>
              </w:rPr>
            </w:pPr>
            <w:r w:rsidRPr="00083E19">
              <w:rPr>
                <w:rFonts w:asciiTheme="majorBidi" w:hAnsiTheme="majorBidi" w:cstheme="majorBidi"/>
                <w:color w:val="000000"/>
                <w:sz w:val="20"/>
                <w:szCs w:val="20"/>
              </w:rPr>
              <w:t>Lin and Huang (2019)</w:t>
            </w:r>
          </w:p>
        </w:tc>
        <w:tc>
          <w:tcPr>
            <w:tcW w:w="1460" w:type="dxa"/>
            <w:gridSpan w:val="2"/>
            <w:tcBorders>
              <w:left w:val="nil"/>
              <w:right w:val="nil"/>
            </w:tcBorders>
            <w:vAlign w:val="center"/>
          </w:tcPr>
          <w:p w14:paraId="68B0CD30"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sz w:val="20"/>
                <w:szCs w:val="20"/>
              </w:rPr>
              <w:t>Moderate</w:t>
            </w:r>
          </w:p>
        </w:tc>
        <w:tc>
          <w:tcPr>
            <w:tcW w:w="1460" w:type="dxa"/>
            <w:tcBorders>
              <w:left w:val="nil"/>
              <w:right w:val="nil"/>
            </w:tcBorders>
            <w:vAlign w:val="center"/>
          </w:tcPr>
          <w:p w14:paraId="61BCAB50"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sz w:val="20"/>
                <w:szCs w:val="20"/>
              </w:rPr>
              <w:t>Moderate</w:t>
            </w:r>
          </w:p>
        </w:tc>
        <w:tc>
          <w:tcPr>
            <w:tcW w:w="1461" w:type="dxa"/>
            <w:tcBorders>
              <w:left w:val="nil"/>
              <w:right w:val="nil"/>
            </w:tcBorders>
            <w:vAlign w:val="center"/>
          </w:tcPr>
          <w:p w14:paraId="1E050617"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sz w:val="20"/>
                <w:szCs w:val="20"/>
              </w:rPr>
              <w:t>Moderate</w:t>
            </w:r>
          </w:p>
        </w:tc>
        <w:tc>
          <w:tcPr>
            <w:tcW w:w="1460" w:type="dxa"/>
            <w:tcBorders>
              <w:left w:val="nil"/>
              <w:right w:val="nil"/>
            </w:tcBorders>
            <w:vAlign w:val="center"/>
          </w:tcPr>
          <w:p w14:paraId="41C754A8"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sz w:val="20"/>
                <w:szCs w:val="20"/>
              </w:rPr>
              <w:t>Moderate</w:t>
            </w:r>
          </w:p>
        </w:tc>
        <w:tc>
          <w:tcPr>
            <w:tcW w:w="1461" w:type="dxa"/>
            <w:tcBorders>
              <w:left w:val="nil"/>
              <w:right w:val="nil"/>
            </w:tcBorders>
            <w:vAlign w:val="center"/>
          </w:tcPr>
          <w:p w14:paraId="170782A2"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sz w:val="20"/>
                <w:szCs w:val="20"/>
              </w:rPr>
              <w:t>Weak</w:t>
            </w:r>
          </w:p>
        </w:tc>
        <w:tc>
          <w:tcPr>
            <w:tcW w:w="1460" w:type="dxa"/>
            <w:tcBorders>
              <w:left w:val="nil"/>
              <w:right w:val="nil"/>
            </w:tcBorders>
            <w:vAlign w:val="center"/>
          </w:tcPr>
          <w:p w14:paraId="162B2CEA"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sz w:val="20"/>
                <w:szCs w:val="20"/>
              </w:rPr>
              <w:t>Moderate</w:t>
            </w:r>
          </w:p>
        </w:tc>
        <w:tc>
          <w:tcPr>
            <w:tcW w:w="1467" w:type="dxa"/>
            <w:tcBorders>
              <w:left w:val="nil"/>
              <w:right w:val="nil"/>
            </w:tcBorders>
            <w:vAlign w:val="center"/>
          </w:tcPr>
          <w:p w14:paraId="1166B8FE"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sz w:val="20"/>
                <w:szCs w:val="20"/>
              </w:rPr>
              <w:t>Moderate</w:t>
            </w:r>
          </w:p>
        </w:tc>
        <w:tc>
          <w:tcPr>
            <w:tcW w:w="1233" w:type="dxa"/>
            <w:tcBorders>
              <w:left w:val="nil"/>
              <w:right w:val="nil"/>
            </w:tcBorders>
            <w:shd w:val="clear" w:color="auto" w:fill="FFD966" w:themeFill="accent4" w:themeFillTint="99"/>
            <w:vAlign w:val="center"/>
          </w:tcPr>
          <w:p w14:paraId="2CD3B3A7" w14:textId="77777777" w:rsidR="007F7363" w:rsidRPr="00083E19" w:rsidRDefault="007F7363" w:rsidP="00506716">
            <w:pPr>
              <w:jc w:val="center"/>
              <w:rPr>
                <w:rFonts w:asciiTheme="majorBidi" w:hAnsiTheme="majorBidi" w:cstheme="majorBidi"/>
                <w:b/>
                <w:sz w:val="20"/>
                <w:szCs w:val="20"/>
              </w:rPr>
            </w:pPr>
            <w:r w:rsidRPr="00083E19">
              <w:rPr>
                <w:rFonts w:asciiTheme="majorBidi" w:hAnsiTheme="majorBidi" w:cstheme="majorBidi"/>
                <w:color w:val="000000"/>
                <w:sz w:val="20"/>
                <w:szCs w:val="20"/>
              </w:rPr>
              <w:t>Moderate</w:t>
            </w:r>
          </w:p>
        </w:tc>
      </w:tr>
      <w:tr w:rsidR="007F7363" w:rsidRPr="00083E19" w14:paraId="4D45CDC1" w14:textId="77777777" w:rsidTr="007F7363">
        <w:trPr>
          <w:trHeight w:val="460"/>
          <w:jc w:val="center"/>
        </w:trPr>
        <w:tc>
          <w:tcPr>
            <w:tcW w:w="2142" w:type="dxa"/>
            <w:tcBorders>
              <w:left w:val="nil"/>
              <w:right w:val="nil"/>
            </w:tcBorders>
            <w:vAlign w:val="center"/>
          </w:tcPr>
          <w:p w14:paraId="1FF489BF" w14:textId="12EAB94B" w:rsidR="007F7363" w:rsidRPr="00083E19" w:rsidRDefault="00CC6D23" w:rsidP="00506716">
            <w:pPr>
              <w:rPr>
                <w:rFonts w:asciiTheme="majorBidi" w:hAnsiTheme="majorBidi" w:cstheme="majorBidi"/>
                <w:sz w:val="20"/>
                <w:szCs w:val="20"/>
              </w:rPr>
            </w:pPr>
            <w:r w:rsidRPr="00083E19">
              <w:rPr>
                <w:rFonts w:asciiTheme="majorBidi" w:hAnsiTheme="majorBidi" w:cstheme="majorBidi"/>
                <w:color w:val="000000"/>
                <w:sz w:val="20"/>
                <w:szCs w:val="20"/>
              </w:rPr>
              <w:fldChar w:fldCharType="begin" w:fldLock="1"/>
            </w:r>
            <w:r w:rsidR="003170B3" w:rsidRPr="00083E19">
              <w:rPr>
                <w:rFonts w:asciiTheme="majorBidi" w:hAnsiTheme="majorBidi" w:cstheme="majorBidi"/>
                <w:color w:val="000000"/>
                <w:sz w:val="20"/>
                <w:szCs w:val="20"/>
              </w:rPr>
              <w:instrText>ADDIN CSL_CITATION {"citationItems":[{"id":"ITEM-1","itemData":{"DOI":"10.1111/j.1471-3802.2010.01148.x","abstract":"By definition, children with autism have poor peer relationships despite age and ability. When children enter adolescence, social problems typically worsen and feelings of loneliness and isolation may emerge. Thus, the overarching goal of the current study is to examine the social-emotional relationships of adolescents with autism and their typically developing (TD) classmates. Participants included 20 adolescents, 7 adolescents with autism and 13 TD classmates. All participants were enrolled in a drama class at a regular education high school in the Los Angeles area. Results indicate that adolescents with autism experienced significantly more loneliness than their TD classmates, had significantly poorer friendship quality in companionship and helpfulness, and had significantly lower social network status than their TD classmates. In addition, 92.4% of TD adolescents had secondary or nuclear social network centrality, which means that those adolescents were significantly connected and recognised in their classroom social structure although 71.4% of the adolescents with autism were either isolated or peripheral in their classroom. These findings imply that although inclusion in regular classrooms may allow adolescents with autism to be involved in the social structure of their classroom, they experienced more loneliness, poorer friendship quality and social network status as compared with their classmates. These results suggest that, perhaps, more intensive social skills' interventions that focus on friendship development are needed in adolescents with autism. © 2010 The Authors. Journal compilation © 2010 nasen.","author":[{"dropping-particle":"","family":"Locke","given":"J.","non-dropping-particle":"","parse-names":false,"suffix":""},{"dropping-particle":"","family":"Ishijima","given":"E.H.","non-dropping-particle":"","parse-names":false,"suffix":""},{"dropping-particle":"","family":"Kasari","given":"C.","non-dropping-particle":"","parse-names":false,"suffix":""},{"dropping-particle":"","family":"London","given":"N.","non-dropping-particle":"","parse-names":false,"suffix":""}],"container-title":"Journal of Research in Special Educational Needs","id":"ITEM-1","issue":"2","issued":{"date-parts":[["2010"]]},"page":"74-81","title":"Loneliness, friendship quality and the social networks of adolescents with high-functioning autism in an inclusive school setting","type":"article-journal","volume":"10"},"uris":["http://www.mendeley.com/documents/?uuid=32d8e86a-8b43-35cf-a8db-bd66edd6b964"]}],"mendeley":{"formattedCitation":"(Locke et al., 2010)","manualFormatting":"Locke et al. (2010)","plainTextFormattedCitation":"(Locke et al., 2010)","previouslyFormattedCitation":"(Locke et al., 2010)"},"properties":{"noteIndex":0},"schema":"https://github.com/citation-style-language/schema/raw/master/csl-citation.json"}</w:instrText>
            </w:r>
            <w:r w:rsidRPr="00083E19">
              <w:rPr>
                <w:rFonts w:asciiTheme="majorBidi" w:hAnsiTheme="majorBidi" w:cstheme="majorBidi"/>
                <w:color w:val="000000"/>
                <w:sz w:val="20"/>
                <w:szCs w:val="20"/>
              </w:rPr>
              <w:fldChar w:fldCharType="separate"/>
            </w:r>
            <w:r w:rsidRPr="00083E19">
              <w:rPr>
                <w:rFonts w:asciiTheme="majorBidi" w:hAnsiTheme="majorBidi" w:cstheme="majorBidi"/>
                <w:noProof/>
                <w:color w:val="000000"/>
                <w:sz w:val="20"/>
                <w:szCs w:val="20"/>
              </w:rPr>
              <w:t>Locke et al. (2010)</w:t>
            </w:r>
            <w:r w:rsidRPr="00083E19">
              <w:rPr>
                <w:rFonts w:asciiTheme="majorBidi" w:hAnsiTheme="majorBidi" w:cstheme="majorBidi"/>
                <w:color w:val="000000"/>
                <w:sz w:val="20"/>
                <w:szCs w:val="20"/>
              </w:rPr>
              <w:fldChar w:fldCharType="end"/>
            </w:r>
          </w:p>
        </w:tc>
        <w:tc>
          <w:tcPr>
            <w:tcW w:w="1460" w:type="dxa"/>
            <w:gridSpan w:val="2"/>
            <w:tcBorders>
              <w:left w:val="nil"/>
              <w:right w:val="nil"/>
            </w:tcBorders>
            <w:vAlign w:val="center"/>
          </w:tcPr>
          <w:p w14:paraId="03553709"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0" w:type="dxa"/>
            <w:tcBorders>
              <w:left w:val="nil"/>
              <w:right w:val="nil"/>
            </w:tcBorders>
            <w:vAlign w:val="center"/>
          </w:tcPr>
          <w:p w14:paraId="772D1528"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sz w:val="20"/>
                <w:szCs w:val="20"/>
              </w:rPr>
              <w:t>Moderate</w:t>
            </w:r>
          </w:p>
        </w:tc>
        <w:tc>
          <w:tcPr>
            <w:tcW w:w="1461" w:type="dxa"/>
            <w:tcBorders>
              <w:left w:val="nil"/>
              <w:right w:val="nil"/>
            </w:tcBorders>
            <w:vAlign w:val="center"/>
          </w:tcPr>
          <w:p w14:paraId="179184EA"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460" w:type="dxa"/>
            <w:tcBorders>
              <w:left w:val="nil"/>
              <w:right w:val="nil"/>
            </w:tcBorders>
            <w:vAlign w:val="center"/>
          </w:tcPr>
          <w:p w14:paraId="44A4C645"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005726ED"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460" w:type="dxa"/>
            <w:tcBorders>
              <w:left w:val="nil"/>
              <w:right w:val="nil"/>
            </w:tcBorders>
            <w:vAlign w:val="center"/>
          </w:tcPr>
          <w:p w14:paraId="2A7D0E1E"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7" w:type="dxa"/>
            <w:tcBorders>
              <w:left w:val="nil"/>
              <w:right w:val="nil"/>
            </w:tcBorders>
            <w:vAlign w:val="center"/>
          </w:tcPr>
          <w:p w14:paraId="1A935B56"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233" w:type="dxa"/>
            <w:tcBorders>
              <w:left w:val="nil"/>
              <w:right w:val="nil"/>
            </w:tcBorders>
            <w:shd w:val="clear" w:color="auto" w:fill="F4B083" w:themeFill="accent2" w:themeFillTint="99"/>
            <w:vAlign w:val="center"/>
          </w:tcPr>
          <w:p w14:paraId="2223AA37" w14:textId="77777777" w:rsidR="007F7363" w:rsidRPr="00083E19" w:rsidRDefault="007F7363" w:rsidP="00506716">
            <w:pPr>
              <w:jc w:val="center"/>
              <w:rPr>
                <w:rFonts w:asciiTheme="majorBidi" w:hAnsiTheme="majorBidi" w:cstheme="majorBidi"/>
                <w:b/>
                <w:sz w:val="20"/>
                <w:szCs w:val="20"/>
              </w:rPr>
            </w:pPr>
            <w:r w:rsidRPr="00083E19">
              <w:rPr>
                <w:rFonts w:asciiTheme="majorBidi" w:hAnsiTheme="majorBidi" w:cstheme="majorBidi"/>
                <w:color w:val="000000"/>
                <w:sz w:val="20"/>
                <w:szCs w:val="20"/>
              </w:rPr>
              <w:t>Weak</w:t>
            </w:r>
          </w:p>
        </w:tc>
      </w:tr>
      <w:tr w:rsidR="007F7363" w:rsidRPr="00083E19" w14:paraId="2E11D55A" w14:textId="77777777" w:rsidTr="007F7363">
        <w:trPr>
          <w:trHeight w:val="460"/>
          <w:jc w:val="center"/>
        </w:trPr>
        <w:tc>
          <w:tcPr>
            <w:tcW w:w="2142" w:type="dxa"/>
            <w:tcBorders>
              <w:left w:val="nil"/>
              <w:right w:val="nil"/>
            </w:tcBorders>
            <w:vAlign w:val="center"/>
          </w:tcPr>
          <w:p w14:paraId="09F353C9" w14:textId="34594E09" w:rsidR="007F7363" w:rsidRPr="00083E19" w:rsidRDefault="007F7363" w:rsidP="00506716">
            <w:pPr>
              <w:rPr>
                <w:rFonts w:asciiTheme="majorBidi" w:hAnsiTheme="majorBidi" w:cstheme="majorBidi"/>
                <w:color w:val="000000"/>
                <w:sz w:val="20"/>
                <w:szCs w:val="20"/>
              </w:rPr>
            </w:pPr>
            <w:proofErr w:type="spellStart"/>
            <w:r w:rsidRPr="00083E19">
              <w:rPr>
                <w:rFonts w:asciiTheme="majorBidi" w:hAnsiTheme="majorBidi" w:cstheme="majorBidi"/>
                <w:color w:val="000000"/>
                <w:sz w:val="20"/>
                <w:szCs w:val="20"/>
              </w:rPr>
              <w:t>Merkler</w:t>
            </w:r>
            <w:proofErr w:type="spellEnd"/>
            <w:r w:rsidRPr="00083E19">
              <w:rPr>
                <w:rFonts w:asciiTheme="majorBidi" w:hAnsiTheme="majorBidi" w:cstheme="majorBidi"/>
                <w:color w:val="000000"/>
                <w:sz w:val="20"/>
                <w:szCs w:val="20"/>
              </w:rPr>
              <w:t xml:space="preserve"> (2007)</w:t>
            </w:r>
          </w:p>
        </w:tc>
        <w:tc>
          <w:tcPr>
            <w:tcW w:w="1460" w:type="dxa"/>
            <w:gridSpan w:val="2"/>
            <w:tcBorders>
              <w:left w:val="nil"/>
              <w:right w:val="nil"/>
            </w:tcBorders>
            <w:vAlign w:val="center"/>
          </w:tcPr>
          <w:p w14:paraId="56E2045C"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0" w:type="dxa"/>
            <w:tcBorders>
              <w:left w:val="nil"/>
              <w:right w:val="nil"/>
            </w:tcBorders>
            <w:vAlign w:val="center"/>
          </w:tcPr>
          <w:p w14:paraId="37CE1C0F"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79172EBB"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0" w:type="dxa"/>
            <w:tcBorders>
              <w:left w:val="nil"/>
              <w:right w:val="nil"/>
            </w:tcBorders>
            <w:vAlign w:val="center"/>
          </w:tcPr>
          <w:p w14:paraId="0968C07C"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12AD14F7"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460" w:type="dxa"/>
            <w:tcBorders>
              <w:left w:val="nil"/>
              <w:right w:val="nil"/>
            </w:tcBorders>
            <w:vAlign w:val="center"/>
          </w:tcPr>
          <w:p w14:paraId="1509F8E3"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467" w:type="dxa"/>
            <w:tcBorders>
              <w:left w:val="nil"/>
              <w:right w:val="nil"/>
            </w:tcBorders>
            <w:vAlign w:val="center"/>
          </w:tcPr>
          <w:p w14:paraId="3A9DD5EF"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233" w:type="dxa"/>
            <w:tcBorders>
              <w:left w:val="nil"/>
              <w:right w:val="nil"/>
            </w:tcBorders>
            <w:shd w:val="clear" w:color="auto" w:fill="F4B083" w:themeFill="accent2" w:themeFillTint="99"/>
            <w:vAlign w:val="center"/>
          </w:tcPr>
          <w:p w14:paraId="542517E0" w14:textId="77777777" w:rsidR="007F7363" w:rsidRPr="00083E19" w:rsidRDefault="007F7363" w:rsidP="00506716">
            <w:pPr>
              <w:jc w:val="center"/>
              <w:rPr>
                <w:rFonts w:asciiTheme="majorBidi" w:hAnsiTheme="majorBidi" w:cstheme="majorBidi"/>
                <w:b/>
                <w:sz w:val="20"/>
                <w:szCs w:val="20"/>
              </w:rPr>
            </w:pPr>
            <w:r w:rsidRPr="00083E19">
              <w:rPr>
                <w:rFonts w:asciiTheme="majorBidi" w:hAnsiTheme="majorBidi" w:cstheme="majorBidi"/>
                <w:color w:val="000000"/>
                <w:sz w:val="20"/>
                <w:szCs w:val="20"/>
              </w:rPr>
              <w:t>Weak</w:t>
            </w:r>
          </w:p>
        </w:tc>
      </w:tr>
      <w:tr w:rsidR="007F7363" w:rsidRPr="00083E19" w14:paraId="5C4FB4A2" w14:textId="77777777" w:rsidTr="007F7363">
        <w:trPr>
          <w:trHeight w:val="460"/>
          <w:jc w:val="center"/>
        </w:trPr>
        <w:tc>
          <w:tcPr>
            <w:tcW w:w="2142" w:type="dxa"/>
            <w:tcBorders>
              <w:left w:val="nil"/>
              <w:right w:val="nil"/>
            </w:tcBorders>
            <w:vAlign w:val="center"/>
          </w:tcPr>
          <w:p w14:paraId="7D32A386" w14:textId="77777777" w:rsidR="007F7363" w:rsidRPr="00083E19" w:rsidRDefault="007F7363" w:rsidP="00506716">
            <w:pPr>
              <w:rPr>
                <w:rFonts w:asciiTheme="majorBidi" w:hAnsiTheme="majorBidi" w:cstheme="majorBidi"/>
                <w:sz w:val="20"/>
                <w:szCs w:val="20"/>
              </w:rPr>
            </w:pPr>
            <w:r w:rsidRPr="00083E19">
              <w:rPr>
                <w:rFonts w:asciiTheme="majorBidi" w:hAnsiTheme="majorBidi" w:cstheme="majorBidi"/>
                <w:color w:val="000000"/>
                <w:sz w:val="20"/>
                <w:szCs w:val="20"/>
              </w:rPr>
              <w:t>Nomura et al., (2012)</w:t>
            </w:r>
          </w:p>
        </w:tc>
        <w:tc>
          <w:tcPr>
            <w:tcW w:w="1460" w:type="dxa"/>
            <w:gridSpan w:val="2"/>
            <w:tcBorders>
              <w:left w:val="nil"/>
              <w:right w:val="nil"/>
            </w:tcBorders>
            <w:vAlign w:val="center"/>
          </w:tcPr>
          <w:p w14:paraId="1AB856F9"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0" w:type="dxa"/>
            <w:tcBorders>
              <w:left w:val="nil"/>
              <w:right w:val="nil"/>
            </w:tcBorders>
            <w:vAlign w:val="center"/>
          </w:tcPr>
          <w:p w14:paraId="2CED5BB6"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28E41302"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460" w:type="dxa"/>
            <w:tcBorders>
              <w:left w:val="nil"/>
              <w:right w:val="nil"/>
            </w:tcBorders>
            <w:vAlign w:val="center"/>
          </w:tcPr>
          <w:p w14:paraId="50BA0EEA"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461" w:type="dxa"/>
            <w:tcBorders>
              <w:left w:val="nil"/>
              <w:right w:val="nil"/>
            </w:tcBorders>
            <w:vAlign w:val="center"/>
          </w:tcPr>
          <w:p w14:paraId="0CDB0306"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460" w:type="dxa"/>
            <w:tcBorders>
              <w:left w:val="nil"/>
              <w:right w:val="nil"/>
            </w:tcBorders>
            <w:vAlign w:val="center"/>
          </w:tcPr>
          <w:p w14:paraId="490FB2C1"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467" w:type="dxa"/>
            <w:tcBorders>
              <w:left w:val="nil"/>
              <w:right w:val="nil"/>
            </w:tcBorders>
            <w:vAlign w:val="center"/>
          </w:tcPr>
          <w:p w14:paraId="7A496B14"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233" w:type="dxa"/>
            <w:tcBorders>
              <w:left w:val="nil"/>
              <w:right w:val="nil"/>
            </w:tcBorders>
            <w:shd w:val="clear" w:color="auto" w:fill="F4B083" w:themeFill="accent2" w:themeFillTint="99"/>
            <w:vAlign w:val="center"/>
          </w:tcPr>
          <w:p w14:paraId="6D9DDDB7" w14:textId="77777777" w:rsidR="007F7363" w:rsidRPr="00083E19" w:rsidRDefault="007F7363" w:rsidP="00506716">
            <w:pPr>
              <w:jc w:val="center"/>
              <w:rPr>
                <w:rFonts w:asciiTheme="majorBidi" w:hAnsiTheme="majorBidi" w:cstheme="majorBidi"/>
                <w:b/>
                <w:sz w:val="20"/>
                <w:szCs w:val="20"/>
              </w:rPr>
            </w:pPr>
            <w:r w:rsidRPr="00083E19">
              <w:rPr>
                <w:rFonts w:asciiTheme="majorBidi" w:hAnsiTheme="majorBidi" w:cstheme="majorBidi"/>
                <w:color w:val="000000"/>
                <w:sz w:val="20"/>
                <w:szCs w:val="20"/>
              </w:rPr>
              <w:t>Weak</w:t>
            </w:r>
          </w:p>
        </w:tc>
      </w:tr>
      <w:tr w:rsidR="00AF36BF" w:rsidRPr="00083E19" w14:paraId="3E01B770" w14:textId="77777777" w:rsidTr="007F7363">
        <w:trPr>
          <w:trHeight w:val="460"/>
          <w:jc w:val="center"/>
        </w:trPr>
        <w:tc>
          <w:tcPr>
            <w:tcW w:w="2142" w:type="dxa"/>
            <w:tcBorders>
              <w:left w:val="nil"/>
              <w:right w:val="nil"/>
            </w:tcBorders>
            <w:vAlign w:val="center"/>
          </w:tcPr>
          <w:p w14:paraId="0A329BEE" w14:textId="0541B955" w:rsidR="00AF36BF" w:rsidRPr="00083E19" w:rsidRDefault="00AF36BF" w:rsidP="00506716">
            <w:pPr>
              <w:rPr>
                <w:rFonts w:asciiTheme="majorBidi" w:hAnsiTheme="majorBidi" w:cstheme="majorBidi"/>
                <w:color w:val="000000"/>
                <w:sz w:val="20"/>
                <w:szCs w:val="20"/>
              </w:rPr>
            </w:pPr>
            <w:r w:rsidRPr="00083E19">
              <w:rPr>
                <w:rFonts w:asciiTheme="majorBidi" w:hAnsiTheme="majorBidi" w:cstheme="majorBidi"/>
                <w:color w:val="000000"/>
                <w:sz w:val="20"/>
                <w:szCs w:val="20"/>
              </w:rPr>
              <w:t>Russell (2020)</w:t>
            </w:r>
          </w:p>
        </w:tc>
        <w:tc>
          <w:tcPr>
            <w:tcW w:w="1460" w:type="dxa"/>
            <w:gridSpan w:val="2"/>
            <w:tcBorders>
              <w:left w:val="nil"/>
              <w:right w:val="nil"/>
            </w:tcBorders>
            <w:vAlign w:val="center"/>
          </w:tcPr>
          <w:p w14:paraId="5294BD45" w14:textId="0AFA08E4" w:rsidR="00AF36BF" w:rsidRPr="00083E19" w:rsidRDefault="001611E8" w:rsidP="00506716">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c>
          <w:tcPr>
            <w:tcW w:w="1460" w:type="dxa"/>
            <w:tcBorders>
              <w:left w:val="nil"/>
              <w:right w:val="nil"/>
            </w:tcBorders>
            <w:vAlign w:val="center"/>
          </w:tcPr>
          <w:p w14:paraId="2F2DE8AB" w14:textId="0DA59B32" w:rsidR="00AF36BF" w:rsidRPr="00083E19" w:rsidRDefault="001611E8" w:rsidP="00506716">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0F43B17B" w14:textId="7A8CD850" w:rsidR="00AF36BF" w:rsidRPr="00083E19" w:rsidRDefault="001611E8" w:rsidP="00506716">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Weak</w:t>
            </w:r>
          </w:p>
        </w:tc>
        <w:tc>
          <w:tcPr>
            <w:tcW w:w="1460" w:type="dxa"/>
            <w:tcBorders>
              <w:left w:val="nil"/>
              <w:right w:val="nil"/>
            </w:tcBorders>
            <w:vAlign w:val="center"/>
          </w:tcPr>
          <w:p w14:paraId="32FC687E" w14:textId="04402B4E" w:rsidR="00AF36BF" w:rsidRPr="00083E19" w:rsidRDefault="001611E8" w:rsidP="00506716">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18417514" w14:textId="64FCC66B" w:rsidR="00AF36BF" w:rsidRPr="00083E19" w:rsidRDefault="001611E8" w:rsidP="00506716">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Weak</w:t>
            </w:r>
          </w:p>
        </w:tc>
        <w:tc>
          <w:tcPr>
            <w:tcW w:w="1460" w:type="dxa"/>
            <w:tcBorders>
              <w:left w:val="nil"/>
              <w:right w:val="nil"/>
            </w:tcBorders>
            <w:vAlign w:val="center"/>
          </w:tcPr>
          <w:p w14:paraId="223548CC" w14:textId="4BA06CA2" w:rsidR="00AF36BF" w:rsidRPr="00083E19" w:rsidRDefault="001611E8" w:rsidP="00506716">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Strong</w:t>
            </w:r>
          </w:p>
        </w:tc>
        <w:tc>
          <w:tcPr>
            <w:tcW w:w="1467" w:type="dxa"/>
            <w:tcBorders>
              <w:left w:val="nil"/>
              <w:right w:val="nil"/>
            </w:tcBorders>
            <w:vAlign w:val="center"/>
          </w:tcPr>
          <w:p w14:paraId="71368D5A" w14:textId="0EE47BD9" w:rsidR="00AF36BF" w:rsidRPr="00083E19" w:rsidRDefault="001611E8" w:rsidP="00506716">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Weak</w:t>
            </w:r>
          </w:p>
        </w:tc>
        <w:tc>
          <w:tcPr>
            <w:tcW w:w="1233" w:type="dxa"/>
            <w:tcBorders>
              <w:left w:val="nil"/>
              <w:right w:val="nil"/>
            </w:tcBorders>
            <w:shd w:val="clear" w:color="auto" w:fill="F4B083" w:themeFill="accent2" w:themeFillTint="99"/>
            <w:vAlign w:val="center"/>
          </w:tcPr>
          <w:p w14:paraId="54D9AE54" w14:textId="5E2C1107" w:rsidR="00AF36BF" w:rsidRPr="00083E19" w:rsidRDefault="001611E8" w:rsidP="00506716">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Weak</w:t>
            </w:r>
          </w:p>
        </w:tc>
      </w:tr>
      <w:tr w:rsidR="00AF36BF" w:rsidRPr="00083E19" w14:paraId="3AC4D2F0" w14:textId="77777777" w:rsidTr="00993DE0">
        <w:trPr>
          <w:trHeight w:val="460"/>
          <w:jc w:val="center"/>
        </w:trPr>
        <w:tc>
          <w:tcPr>
            <w:tcW w:w="2142" w:type="dxa"/>
            <w:tcBorders>
              <w:left w:val="nil"/>
              <w:right w:val="nil"/>
            </w:tcBorders>
            <w:vAlign w:val="center"/>
          </w:tcPr>
          <w:p w14:paraId="18FC2C90" w14:textId="57450044" w:rsidR="00AF36BF" w:rsidRPr="00083E19" w:rsidRDefault="00AF36BF" w:rsidP="00506716">
            <w:pPr>
              <w:rPr>
                <w:rFonts w:asciiTheme="majorBidi" w:hAnsiTheme="majorBidi" w:cstheme="majorBidi"/>
                <w:color w:val="000000"/>
                <w:sz w:val="20"/>
                <w:szCs w:val="20"/>
              </w:rPr>
            </w:pPr>
            <w:proofErr w:type="spellStart"/>
            <w:r w:rsidRPr="00083E19">
              <w:rPr>
                <w:rFonts w:asciiTheme="majorBidi" w:hAnsiTheme="majorBidi" w:cstheme="majorBidi"/>
                <w:color w:val="000000"/>
                <w:sz w:val="20"/>
                <w:szCs w:val="20"/>
              </w:rPr>
              <w:t>Schalbroeck</w:t>
            </w:r>
            <w:proofErr w:type="spellEnd"/>
            <w:r w:rsidRPr="00083E19">
              <w:rPr>
                <w:rFonts w:asciiTheme="majorBidi" w:hAnsiTheme="majorBidi" w:cstheme="majorBidi"/>
                <w:color w:val="000000"/>
                <w:sz w:val="20"/>
                <w:szCs w:val="20"/>
              </w:rPr>
              <w:t xml:space="preserve"> et al. (2021)</w:t>
            </w:r>
          </w:p>
        </w:tc>
        <w:tc>
          <w:tcPr>
            <w:tcW w:w="1460" w:type="dxa"/>
            <w:gridSpan w:val="2"/>
            <w:tcBorders>
              <w:left w:val="nil"/>
              <w:right w:val="nil"/>
            </w:tcBorders>
            <w:vAlign w:val="center"/>
          </w:tcPr>
          <w:p w14:paraId="1D465BD8" w14:textId="471625CF" w:rsidR="00AF36BF" w:rsidRPr="00083E19" w:rsidRDefault="00993DE0" w:rsidP="00506716">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c>
          <w:tcPr>
            <w:tcW w:w="1460" w:type="dxa"/>
            <w:tcBorders>
              <w:left w:val="nil"/>
              <w:right w:val="nil"/>
            </w:tcBorders>
            <w:vAlign w:val="center"/>
          </w:tcPr>
          <w:p w14:paraId="2F3E248B" w14:textId="0D35641D" w:rsidR="00AF36BF" w:rsidRPr="00083E19" w:rsidRDefault="00993DE0" w:rsidP="00506716">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7E0CAF60" w14:textId="04971CE0" w:rsidR="00AF36BF" w:rsidRPr="00083E19" w:rsidRDefault="00993DE0" w:rsidP="00506716">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Strong</w:t>
            </w:r>
          </w:p>
        </w:tc>
        <w:tc>
          <w:tcPr>
            <w:tcW w:w="1460" w:type="dxa"/>
            <w:tcBorders>
              <w:left w:val="nil"/>
              <w:right w:val="nil"/>
            </w:tcBorders>
            <w:vAlign w:val="center"/>
          </w:tcPr>
          <w:p w14:paraId="47B0EFA2" w14:textId="1AA328AA" w:rsidR="00AF36BF" w:rsidRPr="00083E19" w:rsidRDefault="00993DE0" w:rsidP="00506716">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69E5FA22" w14:textId="0740E990" w:rsidR="00AF36BF" w:rsidRPr="00083E19" w:rsidRDefault="00993DE0" w:rsidP="00506716">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Strong</w:t>
            </w:r>
          </w:p>
        </w:tc>
        <w:tc>
          <w:tcPr>
            <w:tcW w:w="1460" w:type="dxa"/>
            <w:tcBorders>
              <w:left w:val="nil"/>
              <w:right w:val="nil"/>
            </w:tcBorders>
            <w:vAlign w:val="center"/>
          </w:tcPr>
          <w:p w14:paraId="36B9D3DA" w14:textId="59402375" w:rsidR="00AF36BF" w:rsidRPr="00083E19" w:rsidRDefault="00993DE0" w:rsidP="00506716">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Strong</w:t>
            </w:r>
          </w:p>
        </w:tc>
        <w:tc>
          <w:tcPr>
            <w:tcW w:w="1467" w:type="dxa"/>
            <w:tcBorders>
              <w:left w:val="nil"/>
              <w:right w:val="nil"/>
            </w:tcBorders>
            <w:vAlign w:val="center"/>
          </w:tcPr>
          <w:p w14:paraId="12012272" w14:textId="42B70DDB" w:rsidR="00AF36BF" w:rsidRPr="00083E19" w:rsidRDefault="00993DE0" w:rsidP="00506716">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Strong</w:t>
            </w:r>
          </w:p>
        </w:tc>
        <w:tc>
          <w:tcPr>
            <w:tcW w:w="1233" w:type="dxa"/>
            <w:tcBorders>
              <w:left w:val="nil"/>
              <w:right w:val="nil"/>
            </w:tcBorders>
            <w:shd w:val="clear" w:color="auto" w:fill="92D050"/>
            <w:vAlign w:val="center"/>
          </w:tcPr>
          <w:p w14:paraId="5093377F" w14:textId="3BCD1F6F" w:rsidR="00AF36BF" w:rsidRPr="00083E19" w:rsidRDefault="00993DE0" w:rsidP="00506716">
            <w:pPr>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Strong</w:t>
            </w:r>
          </w:p>
        </w:tc>
      </w:tr>
      <w:tr w:rsidR="007F7363" w:rsidRPr="00083E19" w14:paraId="5ABEDB01" w14:textId="77777777" w:rsidTr="007F7363">
        <w:trPr>
          <w:trHeight w:val="460"/>
          <w:jc w:val="center"/>
        </w:trPr>
        <w:tc>
          <w:tcPr>
            <w:tcW w:w="2142" w:type="dxa"/>
            <w:tcBorders>
              <w:left w:val="nil"/>
              <w:right w:val="nil"/>
            </w:tcBorders>
            <w:vAlign w:val="center"/>
          </w:tcPr>
          <w:p w14:paraId="78D18E21" w14:textId="77777777" w:rsidR="007F7363" w:rsidRPr="00083E19" w:rsidRDefault="007F7363" w:rsidP="00506716">
            <w:pPr>
              <w:rPr>
                <w:rFonts w:asciiTheme="majorBidi" w:hAnsiTheme="majorBidi" w:cstheme="majorBidi"/>
                <w:sz w:val="20"/>
                <w:szCs w:val="20"/>
              </w:rPr>
            </w:pPr>
            <w:r w:rsidRPr="00083E19">
              <w:rPr>
                <w:rFonts w:asciiTheme="majorBidi" w:hAnsiTheme="majorBidi" w:cstheme="majorBidi"/>
                <w:color w:val="000000"/>
                <w:sz w:val="20"/>
                <w:szCs w:val="20"/>
              </w:rPr>
              <w:t>Sundberg (2018)</w:t>
            </w:r>
          </w:p>
        </w:tc>
        <w:tc>
          <w:tcPr>
            <w:tcW w:w="1460" w:type="dxa"/>
            <w:gridSpan w:val="2"/>
            <w:tcBorders>
              <w:left w:val="nil"/>
              <w:right w:val="nil"/>
            </w:tcBorders>
            <w:vAlign w:val="center"/>
          </w:tcPr>
          <w:p w14:paraId="1A467BAE"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0" w:type="dxa"/>
            <w:tcBorders>
              <w:left w:val="nil"/>
              <w:right w:val="nil"/>
            </w:tcBorders>
            <w:vAlign w:val="center"/>
          </w:tcPr>
          <w:p w14:paraId="1D038713"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2B61949B"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460" w:type="dxa"/>
            <w:tcBorders>
              <w:left w:val="nil"/>
              <w:right w:val="nil"/>
            </w:tcBorders>
            <w:vAlign w:val="center"/>
          </w:tcPr>
          <w:p w14:paraId="598EDAB2"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5868B714"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460" w:type="dxa"/>
            <w:tcBorders>
              <w:left w:val="nil"/>
              <w:right w:val="nil"/>
            </w:tcBorders>
            <w:vAlign w:val="center"/>
          </w:tcPr>
          <w:p w14:paraId="444460FE"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467" w:type="dxa"/>
            <w:tcBorders>
              <w:left w:val="nil"/>
              <w:right w:val="nil"/>
            </w:tcBorders>
            <w:vAlign w:val="center"/>
          </w:tcPr>
          <w:p w14:paraId="0E49CB3D"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233" w:type="dxa"/>
            <w:tcBorders>
              <w:left w:val="nil"/>
              <w:right w:val="nil"/>
            </w:tcBorders>
            <w:shd w:val="clear" w:color="auto" w:fill="F4B083" w:themeFill="accent2" w:themeFillTint="99"/>
            <w:vAlign w:val="center"/>
          </w:tcPr>
          <w:p w14:paraId="4006AA44" w14:textId="77777777" w:rsidR="007F7363" w:rsidRPr="00083E19" w:rsidRDefault="007F7363" w:rsidP="00506716">
            <w:pPr>
              <w:jc w:val="center"/>
              <w:rPr>
                <w:rFonts w:asciiTheme="majorBidi" w:hAnsiTheme="majorBidi" w:cstheme="majorBidi"/>
                <w:b/>
                <w:sz w:val="20"/>
                <w:szCs w:val="20"/>
              </w:rPr>
            </w:pPr>
            <w:r w:rsidRPr="00083E19">
              <w:rPr>
                <w:rFonts w:asciiTheme="majorBidi" w:hAnsiTheme="majorBidi" w:cstheme="majorBidi"/>
                <w:color w:val="000000"/>
                <w:sz w:val="20"/>
                <w:szCs w:val="20"/>
              </w:rPr>
              <w:t>Weak</w:t>
            </w:r>
          </w:p>
        </w:tc>
      </w:tr>
      <w:tr w:rsidR="007F7363" w:rsidRPr="00083E19" w14:paraId="0E4B3B09" w14:textId="77777777" w:rsidTr="007F7363">
        <w:trPr>
          <w:trHeight w:val="460"/>
          <w:jc w:val="center"/>
        </w:trPr>
        <w:tc>
          <w:tcPr>
            <w:tcW w:w="2142" w:type="dxa"/>
            <w:tcBorders>
              <w:left w:val="nil"/>
              <w:right w:val="nil"/>
            </w:tcBorders>
            <w:vAlign w:val="center"/>
          </w:tcPr>
          <w:p w14:paraId="66E48935" w14:textId="77777777" w:rsidR="007F7363" w:rsidRPr="00083E19" w:rsidRDefault="007F7363" w:rsidP="00506716">
            <w:pPr>
              <w:rPr>
                <w:rFonts w:asciiTheme="majorBidi" w:hAnsiTheme="majorBidi" w:cstheme="majorBidi"/>
                <w:sz w:val="20"/>
                <w:szCs w:val="20"/>
              </w:rPr>
            </w:pPr>
            <w:r w:rsidRPr="00083E19">
              <w:rPr>
                <w:rFonts w:asciiTheme="majorBidi" w:hAnsiTheme="majorBidi" w:cstheme="majorBidi"/>
                <w:color w:val="000000"/>
                <w:sz w:val="20"/>
                <w:szCs w:val="20"/>
              </w:rPr>
              <w:t>Whitehouse et al. (2009)</w:t>
            </w:r>
          </w:p>
        </w:tc>
        <w:tc>
          <w:tcPr>
            <w:tcW w:w="1460" w:type="dxa"/>
            <w:gridSpan w:val="2"/>
            <w:tcBorders>
              <w:left w:val="nil"/>
              <w:right w:val="nil"/>
            </w:tcBorders>
            <w:vAlign w:val="center"/>
          </w:tcPr>
          <w:p w14:paraId="687099E8"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0" w:type="dxa"/>
            <w:tcBorders>
              <w:left w:val="nil"/>
              <w:right w:val="nil"/>
            </w:tcBorders>
            <w:vAlign w:val="center"/>
          </w:tcPr>
          <w:p w14:paraId="42CD4973"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58879765"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0" w:type="dxa"/>
            <w:tcBorders>
              <w:left w:val="nil"/>
              <w:right w:val="nil"/>
            </w:tcBorders>
            <w:vAlign w:val="center"/>
          </w:tcPr>
          <w:p w14:paraId="64C7D6A1"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right w:val="nil"/>
            </w:tcBorders>
            <w:vAlign w:val="center"/>
          </w:tcPr>
          <w:p w14:paraId="6181CFA1"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460" w:type="dxa"/>
            <w:tcBorders>
              <w:left w:val="nil"/>
              <w:right w:val="nil"/>
            </w:tcBorders>
            <w:vAlign w:val="center"/>
          </w:tcPr>
          <w:p w14:paraId="4C0737F7"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7" w:type="dxa"/>
            <w:tcBorders>
              <w:left w:val="nil"/>
              <w:right w:val="nil"/>
            </w:tcBorders>
            <w:vAlign w:val="center"/>
          </w:tcPr>
          <w:p w14:paraId="4BFAEED3"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233" w:type="dxa"/>
            <w:tcBorders>
              <w:left w:val="nil"/>
              <w:right w:val="nil"/>
            </w:tcBorders>
            <w:shd w:val="clear" w:color="auto" w:fill="FFD966" w:themeFill="accent4" w:themeFillTint="99"/>
            <w:vAlign w:val="center"/>
          </w:tcPr>
          <w:p w14:paraId="74A8E44C" w14:textId="77777777" w:rsidR="007F7363" w:rsidRPr="00083E19" w:rsidRDefault="007F7363" w:rsidP="00506716">
            <w:pPr>
              <w:jc w:val="center"/>
              <w:rPr>
                <w:rFonts w:asciiTheme="majorBidi" w:hAnsiTheme="majorBidi" w:cstheme="majorBidi"/>
                <w:b/>
                <w:sz w:val="20"/>
                <w:szCs w:val="20"/>
              </w:rPr>
            </w:pPr>
            <w:r w:rsidRPr="00083E19">
              <w:rPr>
                <w:rFonts w:asciiTheme="majorBidi" w:hAnsiTheme="majorBidi" w:cstheme="majorBidi"/>
                <w:color w:val="000000"/>
                <w:sz w:val="20"/>
                <w:szCs w:val="20"/>
              </w:rPr>
              <w:t>Moderate</w:t>
            </w:r>
          </w:p>
        </w:tc>
      </w:tr>
      <w:tr w:rsidR="007F7363" w:rsidRPr="00083E19" w14:paraId="666E8535" w14:textId="77777777" w:rsidTr="007F7363">
        <w:trPr>
          <w:trHeight w:val="460"/>
          <w:jc w:val="center"/>
        </w:trPr>
        <w:tc>
          <w:tcPr>
            <w:tcW w:w="2142" w:type="dxa"/>
            <w:tcBorders>
              <w:left w:val="nil"/>
              <w:bottom w:val="single" w:sz="4" w:space="0" w:color="auto"/>
              <w:right w:val="nil"/>
            </w:tcBorders>
            <w:vAlign w:val="center"/>
          </w:tcPr>
          <w:p w14:paraId="772492D2" w14:textId="3BA9AE45" w:rsidR="007F7363" w:rsidRPr="00083E19" w:rsidRDefault="003170B3" w:rsidP="00506716">
            <w:pPr>
              <w:rPr>
                <w:rFonts w:asciiTheme="majorBidi" w:hAnsiTheme="majorBidi" w:cstheme="majorBidi"/>
                <w:sz w:val="20"/>
                <w:szCs w:val="20"/>
              </w:rPr>
            </w:pPr>
            <w:r w:rsidRPr="00083E19">
              <w:rPr>
                <w:rFonts w:asciiTheme="majorBidi" w:hAnsiTheme="majorBidi" w:cstheme="majorBidi"/>
                <w:color w:val="000000"/>
                <w:sz w:val="20"/>
                <w:szCs w:val="20"/>
              </w:rPr>
              <w:fldChar w:fldCharType="begin" w:fldLock="1"/>
            </w:r>
            <w:r w:rsidRPr="00083E19">
              <w:rPr>
                <w:rFonts w:asciiTheme="majorBidi" w:hAnsiTheme="majorBidi" w:cstheme="majorBidi"/>
                <w:color w:val="000000"/>
                <w:sz w:val="20"/>
                <w:szCs w:val="20"/>
              </w:rPr>
              <w:instrText>ADDIN CSL_CITATION {"citationItems":[{"id":"ITEM-1","itemData":{"ISSN":"0419-4217","abstract":"Asperger's Disorder (AD) was first described in 1944 by the Austrian pediatrician named Hans Asperger (Frith, 1991). However, limited research studies on AD are available due to its relatively new establishment as a separate disorder. Social interaction deficits are one of the most prominent symptoms in AD. Given these deficits, children with AD may have difficulties in forming and maintaining friendships. Since friendship is an essential component of normal social functioning, friendships in children with AD and its relationship with loneliness and depression becomes an important topic for consideration. Thus, the current quantitative study examined the quality of friendships and the wellbeing (i.e., loneliness and depression) of children with AD. To explore friendships in children with AD, 42 children with AD between ages 8-12 and 19 of those with sibling between ages of 8-12 were recruited via specialized schools, parent support groups, and service agencies in the New England area, as well as online parent support groups, and resource websites related to AD in the U.S. Participants were asked to complete self-report questionnaires regarding their best friendships and their feelings of depression and loneliness. Different comparisons were employed in analyses: the AD group vs. the Sibling group and children with AD vs. their own siblings. Results of this study revealed significant relationships between friendship variables (i.e., positive friendship quality, friendship conflict, friendship satisfaction, importance of friendship), loneliness, and depression in children with AD. Friendship variables and loneliness were also found to predict depression in children with AD. Moreover, several significant differences in friendship variables, loneliness, and depression were found between children with AD and their own siblings. Results also showed a high percentage of children with AD (22%) had a clinically significant level of depression. In addition, findings of this study suggest that friendship quality impacts children with AD more than it does their siblings. Thus, this study contributes to the limited research evaluating friendships in children with AD, and suggests that children with AD are at risk for depression and in need of help in establishing and maintaining friendships. (PsycINFO Database Record (c) 2016 APA, all rights reserved)","author":[{"dropping-particle":"","family":"Yeung","given":"Angela W","non-dropping-particle":"","parse-names":false,"suffix":""}],"collection-title":"Dissertation Abstracts International","container-title":"Dissertation Abstracts International: Section B: The Sciences and Engineering","id":"ITEM-1","issue":"6-B","issued":{"date-parts":[["2009"]]},"publisher":"ProQuest Information &amp; Learning","publisher-place":"US","title":"The perception of friendships for children with Asperger's disorder and its relationship with loneliness and depression.","type":"article-journal","volume":"70"},"uris":["http://www.mendeley.com/documents/?uuid=8f30cfdd-f28e-4f79-be51-89400e6131f3"]}],"mendeley":{"formattedCitation":"(Yeung, 2009)","manualFormatting":"Yeung (2009)","plainTextFormattedCitation":"(Yeung, 2009)","previouslyFormattedCitation":"(Yeung, 2009)"},"properties":{"noteIndex":0},"schema":"https://github.com/citation-style-language/schema/raw/master/csl-citation.json"}</w:instrText>
            </w:r>
            <w:r w:rsidRPr="00083E19">
              <w:rPr>
                <w:rFonts w:asciiTheme="majorBidi" w:hAnsiTheme="majorBidi" w:cstheme="majorBidi"/>
                <w:color w:val="000000"/>
                <w:sz w:val="20"/>
                <w:szCs w:val="20"/>
              </w:rPr>
              <w:fldChar w:fldCharType="separate"/>
            </w:r>
            <w:r w:rsidRPr="00083E19">
              <w:rPr>
                <w:rFonts w:asciiTheme="majorBidi" w:hAnsiTheme="majorBidi" w:cstheme="majorBidi"/>
                <w:noProof/>
                <w:color w:val="000000"/>
                <w:sz w:val="20"/>
                <w:szCs w:val="20"/>
              </w:rPr>
              <w:t>Yeung (2009)</w:t>
            </w:r>
            <w:r w:rsidRPr="00083E19">
              <w:rPr>
                <w:rFonts w:asciiTheme="majorBidi" w:hAnsiTheme="majorBidi" w:cstheme="majorBidi"/>
                <w:color w:val="000000"/>
                <w:sz w:val="20"/>
                <w:szCs w:val="20"/>
              </w:rPr>
              <w:fldChar w:fldCharType="end"/>
            </w:r>
          </w:p>
        </w:tc>
        <w:tc>
          <w:tcPr>
            <w:tcW w:w="1460" w:type="dxa"/>
            <w:gridSpan w:val="2"/>
            <w:tcBorders>
              <w:left w:val="nil"/>
              <w:bottom w:val="single" w:sz="4" w:space="0" w:color="auto"/>
              <w:right w:val="nil"/>
            </w:tcBorders>
            <w:vAlign w:val="center"/>
          </w:tcPr>
          <w:p w14:paraId="5121783A"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0" w:type="dxa"/>
            <w:tcBorders>
              <w:left w:val="nil"/>
              <w:bottom w:val="single" w:sz="4" w:space="0" w:color="auto"/>
              <w:right w:val="nil"/>
            </w:tcBorders>
            <w:vAlign w:val="center"/>
          </w:tcPr>
          <w:p w14:paraId="0C0E1F51"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bottom w:val="single" w:sz="4" w:space="0" w:color="auto"/>
              <w:right w:val="nil"/>
            </w:tcBorders>
            <w:vAlign w:val="center"/>
          </w:tcPr>
          <w:p w14:paraId="14D41C87"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0" w:type="dxa"/>
            <w:tcBorders>
              <w:left w:val="nil"/>
              <w:bottom w:val="single" w:sz="4" w:space="0" w:color="auto"/>
              <w:right w:val="nil"/>
            </w:tcBorders>
            <w:vAlign w:val="center"/>
          </w:tcPr>
          <w:p w14:paraId="28572011"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461" w:type="dxa"/>
            <w:tcBorders>
              <w:left w:val="nil"/>
              <w:bottom w:val="single" w:sz="4" w:space="0" w:color="auto"/>
              <w:right w:val="nil"/>
            </w:tcBorders>
            <w:vAlign w:val="center"/>
          </w:tcPr>
          <w:p w14:paraId="3175E86B"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460" w:type="dxa"/>
            <w:tcBorders>
              <w:left w:val="nil"/>
              <w:bottom w:val="single" w:sz="4" w:space="0" w:color="auto"/>
              <w:right w:val="nil"/>
            </w:tcBorders>
            <w:vAlign w:val="center"/>
          </w:tcPr>
          <w:p w14:paraId="13622C36"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467" w:type="dxa"/>
            <w:tcBorders>
              <w:left w:val="nil"/>
              <w:bottom w:val="single" w:sz="4" w:space="0" w:color="auto"/>
              <w:right w:val="nil"/>
            </w:tcBorders>
            <w:vAlign w:val="center"/>
          </w:tcPr>
          <w:p w14:paraId="3846D734" w14:textId="77777777" w:rsidR="007F7363" w:rsidRPr="00083E19" w:rsidRDefault="007F7363" w:rsidP="00506716">
            <w:pPr>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233" w:type="dxa"/>
            <w:tcBorders>
              <w:left w:val="nil"/>
              <w:bottom w:val="single" w:sz="4" w:space="0" w:color="auto"/>
              <w:right w:val="nil"/>
            </w:tcBorders>
            <w:shd w:val="clear" w:color="auto" w:fill="F4B083" w:themeFill="accent2" w:themeFillTint="99"/>
            <w:vAlign w:val="center"/>
          </w:tcPr>
          <w:p w14:paraId="10BAB997" w14:textId="77777777" w:rsidR="007F7363" w:rsidRPr="00083E19" w:rsidRDefault="007F7363" w:rsidP="00506716">
            <w:pPr>
              <w:jc w:val="center"/>
              <w:rPr>
                <w:rFonts w:asciiTheme="majorBidi" w:hAnsiTheme="majorBidi" w:cstheme="majorBidi"/>
                <w:b/>
                <w:sz w:val="20"/>
                <w:szCs w:val="20"/>
              </w:rPr>
            </w:pPr>
            <w:r w:rsidRPr="00083E19">
              <w:rPr>
                <w:rFonts w:asciiTheme="majorBidi" w:hAnsiTheme="majorBidi" w:cstheme="majorBidi"/>
                <w:color w:val="000000"/>
                <w:sz w:val="20"/>
                <w:szCs w:val="20"/>
              </w:rPr>
              <w:t>Weak</w:t>
            </w:r>
          </w:p>
        </w:tc>
      </w:tr>
      <w:bookmarkEnd w:id="1"/>
    </w:tbl>
    <w:p w14:paraId="309979F8" w14:textId="71334172" w:rsidR="007F7363" w:rsidRPr="00083E19" w:rsidRDefault="007F7363" w:rsidP="007F7363">
      <w:pPr>
        <w:rPr>
          <w:rFonts w:asciiTheme="majorBidi" w:hAnsiTheme="majorBidi" w:cstheme="majorBidi"/>
          <w:sz w:val="20"/>
          <w:szCs w:val="20"/>
        </w:rPr>
      </w:pPr>
    </w:p>
    <w:p w14:paraId="56629B2A" w14:textId="1FE771B4" w:rsidR="005F5976" w:rsidRPr="00083E19" w:rsidRDefault="005F5976" w:rsidP="007F7363">
      <w:pPr>
        <w:rPr>
          <w:rFonts w:asciiTheme="majorBidi" w:hAnsiTheme="majorBidi" w:cstheme="majorBidi"/>
          <w:sz w:val="20"/>
          <w:szCs w:val="20"/>
        </w:rPr>
      </w:pPr>
    </w:p>
    <w:p w14:paraId="58F5D324" w14:textId="77777777" w:rsidR="00B1058C" w:rsidRPr="00083E19" w:rsidRDefault="00B1058C">
      <w:pPr>
        <w:rPr>
          <w:rFonts w:asciiTheme="majorBidi" w:hAnsiTheme="majorBidi" w:cstheme="majorBidi"/>
          <w:b/>
          <w:bCs/>
          <w:i/>
          <w:iCs/>
          <w:sz w:val="20"/>
          <w:szCs w:val="20"/>
        </w:rPr>
      </w:pPr>
      <w:r w:rsidRPr="00083E19">
        <w:rPr>
          <w:rFonts w:asciiTheme="majorBidi" w:hAnsiTheme="majorBidi" w:cstheme="majorBidi"/>
          <w:b/>
          <w:bCs/>
          <w:i/>
          <w:iCs/>
          <w:sz w:val="20"/>
          <w:szCs w:val="20"/>
        </w:rPr>
        <w:br w:type="page"/>
      </w:r>
    </w:p>
    <w:p w14:paraId="3913B266" w14:textId="77777777" w:rsidR="00B1058C" w:rsidRPr="00083E19" w:rsidRDefault="00B1058C" w:rsidP="00514BEE">
      <w:pPr>
        <w:spacing w:after="120" w:line="480" w:lineRule="auto"/>
        <w:ind w:left="-17"/>
        <w:jc w:val="both"/>
        <w:rPr>
          <w:rFonts w:asciiTheme="majorBidi" w:hAnsiTheme="majorBidi" w:cstheme="majorBidi"/>
          <w:b/>
          <w:bCs/>
          <w:i/>
          <w:iCs/>
          <w:sz w:val="20"/>
          <w:szCs w:val="20"/>
        </w:rPr>
        <w:sectPr w:rsidR="00B1058C" w:rsidRPr="00083E19" w:rsidSect="00693AC0">
          <w:pgSz w:w="16838" w:h="11906" w:orient="landscape"/>
          <w:pgMar w:top="1440" w:right="1440" w:bottom="1440" w:left="1440" w:header="709" w:footer="709" w:gutter="0"/>
          <w:cols w:space="708"/>
          <w:docGrid w:linePitch="360"/>
        </w:sectPr>
      </w:pPr>
    </w:p>
    <w:p w14:paraId="51742E6B" w14:textId="490D1F0D" w:rsidR="00C31A38" w:rsidRPr="00083E19" w:rsidRDefault="00C31A38" w:rsidP="00C31A38">
      <w:pPr>
        <w:jc w:val="center"/>
        <w:rPr>
          <w:rFonts w:asciiTheme="majorBidi" w:hAnsiTheme="majorBidi" w:cstheme="majorBidi"/>
          <w:sz w:val="20"/>
          <w:szCs w:val="20"/>
        </w:rPr>
      </w:pPr>
      <w:r w:rsidRPr="00083E19">
        <w:rPr>
          <w:rFonts w:asciiTheme="majorBidi" w:hAnsiTheme="majorBidi" w:cstheme="majorBidi"/>
          <w:sz w:val="20"/>
          <w:szCs w:val="20"/>
        </w:rPr>
        <w:lastRenderedPageBreak/>
        <w:t xml:space="preserve">Supplementary </w:t>
      </w:r>
      <w:r>
        <w:rPr>
          <w:rFonts w:asciiTheme="majorBidi" w:hAnsiTheme="majorBidi" w:cstheme="majorBidi"/>
          <w:sz w:val="20"/>
          <w:szCs w:val="20"/>
        </w:rPr>
        <w:t>M</w:t>
      </w:r>
      <w:r w:rsidRPr="00083E19">
        <w:rPr>
          <w:rFonts w:asciiTheme="majorBidi" w:hAnsiTheme="majorBidi" w:cstheme="majorBidi"/>
          <w:sz w:val="20"/>
          <w:szCs w:val="20"/>
        </w:rPr>
        <w:t xml:space="preserve">aterial </w:t>
      </w:r>
      <w:r>
        <w:rPr>
          <w:rFonts w:asciiTheme="majorBidi" w:hAnsiTheme="majorBidi" w:cstheme="majorBidi"/>
          <w:sz w:val="20"/>
          <w:szCs w:val="20"/>
        </w:rPr>
        <w:t>4</w:t>
      </w:r>
      <w:r w:rsidRPr="00083E19">
        <w:rPr>
          <w:rFonts w:asciiTheme="majorBidi" w:hAnsiTheme="majorBidi" w:cstheme="majorBidi"/>
          <w:sz w:val="20"/>
          <w:szCs w:val="20"/>
        </w:rPr>
        <w:t>: Quality Appraisal</w:t>
      </w:r>
    </w:p>
    <w:p w14:paraId="14E8D4ED" w14:textId="78D0C86F" w:rsidR="001B0BE3" w:rsidRPr="00097B2F" w:rsidRDefault="00514BEE" w:rsidP="00097B2F">
      <w:pPr>
        <w:spacing w:after="120" w:line="480" w:lineRule="auto"/>
        <w:ind w:left="-17"/>
        <w:jc w:val="both"/>
        <w:rPr>
          <w:rFonts w:asciiTheme="majorBidi" w:hAnsiTheme="majorBidi" w:cstheme="majorBidi"/>
          <w:b/>
          <w:bCs/>
          <w:sz w:val="20"/>
          <w:szCs w:val="20"/>
        </w:rPr>
      </w:pPr>
      <w:r w:rsidRPr="0051441D">
        <w:rPr>
          <w:rFonts w:asciiTheme="majorBidi" w:hAnsiTheme="majorBidi" w:cstheme="majorBidi"/>
          <w:b/>
          <w:bCs/>
          <w:i/>
          <w:iCs/>
          <w:sz w:val="20"/>
          <w:szCs w:val="20"/>
        </w:rPr>
        <w:t>Quality Assessment of Studies Reporting the Association between Loneliness and Anxiety/Depression</w:t>
      </w:r>
      <w:r w:rsidR="001B0BE3" w:rsidRPr="0051441D">
        <w:rPr>
          <w:rFonts w:asciiTheme="majorBidi" w:hAnsiTheme="majorBidi" w:cstheme="majorBidi"/>
          <w:b/>
          <w:bCs/>
          <w:i/>
          <w:iCs/>
          <w:sz w:val="20"/>
          <w:szCs w:val="20"/>
        </w:rPr>
        <w:t xml:space="preserve"> in </w:t>
      </w:r>
      <w:r w:rsidR="0051441D" w:rsidRPr="0051441D">
        <w:rPr>
          <w:rFonts w:asciiTheme="majorBidi" w:hAnsiTheme="majorBidi" w:cstheme="majorBidi"/>
          <w:b/>
          <w:bCs/>
          <w:i/>
          <w:iCs/>
          <w:sz w:val="20"/>
          <w:szCs w:val="20"/>
        </w:rPr>
        <w:t>A</w:t>
      </w:r>
      <w:r w:rsidR="001B0BE3" w:rsidRPr="0051441D">
        <w:rPr>
          <w:rFonts w:asciiTheme="majorBidi" w:hAnsiTheme="majorBidi" w:cstheme="majorBidi"/>
          <w:b/>
          <w:bCs/>
          <w:i/>
          <w:iCs/>
          <w:sz w:val="20"/>
          <w:szCs w:val="20"/>
        </w:rPr>
        <w:t xml:space="preserve">utistic </w:t>
      </w:r>
      <w:r w:rsidR="0051441D" w:rsidRPr="0051441D">
        <w:rPr>
          <w:rFonts w:asciiTheme="majorBidi" w:hAnsiTheme="majorBidi" w:cstheme="majorBidi"/>
          <w:b/>
          <w:bCs/>
          <w:i/>
          <w:iCs/>
          <w:sz w:val="20"/>
          <w:szCs w:val="20"/>
        </w:rPr>
        <w:t>S</w:t>
      </w:r>
      <w:r w:rsidR="001B0BE3" w:rsidRPr="0051441D">
        <w:rPr>
          <w:rFonts w:asciiTheme="majorBidi" w:hAnsiTheme="majorBidi" w:cstheme="majorBidi"/>
          <w:b/>
          <w:bCs/>
          <w:i/>
          <w:iCs/>
          <w:sz w:val="20"/>
          <w:szCs w:val="20"/>
        </w:rPr>
        <w:t>amples</w:t>
      </w:r>
    </w:p>
    <w:p w14:paraId="433D4AA2" w14:textId="47734C20" w:rsidR="001B0BE3" w:rsidRPr="00083E19" w:rsidRDefault="001B0BE3" w:rsidP="004802F0">
      <w:pPr>
        <w:spacing w:after="120" w:line="360" w:lineRule="auto"/>
        <w:ind w:left="-17" w:firstLine="720"/>
        <w:jc w:val="both"/>
        <w:rPr>
          <w:rFonts w:asciiTheme="majorBidi" w:hAnsiTheme="majorBidi" w:cstheme="majorBidi"/>
          <w:color w:val="FF0000"/>
          <w:sz w:val="20"/>
          <w:szCs w:val="20"/>
        </w:rPr>
      </w:pPr>
      <w:r w:rsidRPr="00083E19">
        <w:rPr>
          <w:rFonts w:asciiTheme="majorBidi" w:hAnsiTheme="majorBidi" w:cstheme="majorBidi"/>
          <w:sz w:val="20"/>
          <w:szCs w:val="20"/>
        </w:rPr>
        <w:t xml:space="preserve">Overall, 15 studies received a ‘moderate’ global rating, five a ‘weak’ rating and one a ‘strong’ rating in methodological quality (see </w:t>
      </w:r>
      <w:r w:rsidR="0051441D">
        <w:rPr>
          <w:rFonts w:asciiTheme="majorBidi" w:hAnsiTheme="majorBidi" w:cstheme="majorBidi"/>
          <w:sz w:val="20"/>
          <w:szCs w:val="20"/>
        </w:rPr>
        <w:t xml:space="preserve">Supplementary </w:t>
      </w:r>
      <w:r w:rsidRPr="00083E19">
        <w:rPr>
          <w:rFonts w:asciiTheme="majorBidi" w:hAnsiTheme="majorBidi" w:cstheme="majorBidi"/>
          <w:sz w:val="20"/>
          <w:szCs w:val="20"/>
        </w:rPr>
        <w:t xml:space="preserve">Table </w:t>
      </w:r>
      <w:r w:rsidR="0051441D">
        <w:rPr>
          <w:rFonts w:asciiTheme="majorBidi" w:hAnsiTheme="majorBidi" w:cstheme="majorBidi"/>
          <w:sz w:val="20"/>
          <w:szCs w:val="20"/>
        </w:rPr>
        <w:t>4)</w:t>
      </w:r>
      <w:r w:rsidRPr="00083E19">
        <w:rPr>
          <w:rFonts w:asciiTheme="majorBidi" w:hAnsiTheme="majorBidi" w:cstheme="majorBidi"/>
          <w:sz w:val="20"/>
          <w:szCs w:val="20"/>
        </w:rPr>
        <w:t xml:space="preserve">. All studies appeared to employ an appropriate study design to address the study’s aims. Most studies (N=17) were deemed at least somewhat likely to be representative of the studied population and recruited community or non-treatment seeking participants. The remaining four studies received a ‘weak’ rating due to including only clinical samples </w:t>
      </w:r>
      <w:r w:rsidRPr="00083E19">
        <w:rPr>
          <w:rFonts w:asciiTheme="majorBidi" w:hAnsiTheme="majorBidi" w:cstheme="majorBidi"/>
          <w:sz w:val="20"/>
          <w:szCs w:val="20"/>
        </w:rPr>
        <w:fldChar w:fldCharType="begin" w:fldLock="1"/>
      </w:r>
      <w:r w:rsidRPr="00083E19">
        <w:rPr>
          <w:rFonts w:asciiTheme="majorBidi" w:hAnsiTheme="majorBidi" w:cstheme="majorBidi"/>
          <w:sz w:val="20"/>
          <w:szCs w:val="20"/>
        </w:rPr>
        <w:instrText>ADDIN CSL_CITATION {"citationItems":[{"id":"ITEM-1","itemData":{"DOI":"10.1007/s10803-020-04549-6","abstract":"© 2020, Springer Science+Business Media, LLC, part of Springer Nature. Young adults with autism spectrum disorder (ASD) experience increased rates of anxiety and depression which can impact academic success. The Stepped Transition in Education Program for Students with ASD (STEPS) applies cognitive-behavioral principles to help young adults with ASD improve their adjustment to postsecondary education. We aimed to determine if STEPS had an effect on anxiety and depression. Treatment-seeking adults with ASD (n = 32; Mage = 19.74) were randomized to STEPS or transition as usual (TAU; i.e., waitlist control group). STEPS participants evinced significantly greater declines in depressive symptoms from pre-treatment to post-treatment compared to the waitlist. Anxiety symptoms did not significantly change. Results suggest that transition support for young people with ASD may improve mental health.","author":[{"dropping-particle":"","family":"Capriola-Hall","given":"N.N.","non-dropping-particle":"","parse-names":false,"suffix":""},{"dropping-particle":"","family":"Brewe","given":"A.M.","non-dropping-particle":"","parse-names":false,"suffix":""},{"dropping-particle":"","family":"Golt","given":"J.","non-dropping-particle":"","parse-names":false,"suffix":""},{"dropping-particle":"","family":"White","given":"S.W.","non-dropping-particle":"","parse-names":false,"suffix":""}],"container-title":"Journal of Autism and Developmental Disorders","id":"ITEM-1","issue":"1","issued":{"date-parts":[["2021"]]},"page":"298-306","title":"Anxiety and Depression Reduction as Distal Outcomes of a College Transition Readiness Program for Adults with Autism","type":"article-journal","volume":"51"},"uris":["http://www.mendeley.com/documents/?uuid=bacc6e17-89bc-320f-ae7a-092a96ccf82f"]}],"mendeley":{"formattedCitation":"(Capriola-Hall et al., 2021)","manualFormatting":"(Capriola-Hall et al., 2021;","plainTextFormattedCitation":"(Capriola-Hall et al., 2021)","previouslyFormattedCitation":"(Capriola-Hall et al., 2021)"},"properties":{"noteIndex":0},"schema":"https://github.com/citation-style-language/schema/raw/master/csl-citation.json"}</w:instrText>
      </w:r>
      <w:r w:rsidRPr="00083E19">
        <w:rPr>
          <w:rFonts w:asciiTheme="majorBidi" w:hAnsiTheme="majorBidi" w:cstheme="majorBidi"/>
          <w:sz w:val="20"/>
          <w:szCs w:val="20"/>
        </w:rPr>
        <w:fldChar w:fldCharType="separate"/>
      </w:r>
      <w:r w:rsidRPr="00083E19">
        <w:rPr>
          <w:rFonts w:asciiTheme="majorBidi" w:hAnsiTheme="majorBidi" w:cstheme="majorBidi"/>
          <w:noProof/>
          <w:sz w:val="20"/>
          <w:szCs w:val="20"/>
        </w:rPr>
        <w:t>(Capriola-Hall et al., 2021;</w:t>
      </w:r>
      <w:r w:rsidRPr="00083E19">
        <w:rPr>
          <w:rFonts w:asciiTheme="majorBidi" w:hAnsiTheme="majorBidi" w:cstheme="majorBidi"/>
          <w:sz w:val="20"/>
          <w:szCs w:val="20"/>
        </w:rPr>
        <w:fldChar w:fldCharType="end"/>
      </w:r>
      <w:r w:rsidRPr="00083E19">
        <w:rPr>
          <w:rFonts w:asciiTheme="majorBidi" w:hAnsiTheme="majorBidi" w:cstheme="majorBidi"/>
          <w:sz w:val="20"/>
          <w:szCs w:val="20"/>
        </w:rPr>
        <w:t xml:space="preserve"> </w:t>
      </w:r>
      <w:r w:rsidRPr="00083E19">
        <w:rPr>
          <w:rFonts w:asciiTheme="majorBidi" w:hAnsiTheme="majorBidi" w:cstheme="majorBidi"/>
          <w:sz w:val="20"/>
          <w:szCs w:val="20"/>
        </w:rPr>
        <w:fldChar w:fldCharType="begin" w:fldLock="1"/>
      </w:r>
      <w:r w:rsidRPr="00083E19">
        <w:rPr>
          <w:rFonts w:asciiTheme="majorBidi" w:hAnsiTheme="majorBidi" w:cstheme="majorBidi"/>
          <w:sz w:val="20"/>
          <w:szCs w:val="20"/>
        </w:rPr>
        <w:instrText>ADDIN CSL_CITATION {"citationItems":[{"id":"ITEM-1","itemData":{"DOI":"10.1007/s10578-016-0707-7","abstract":"© 2017, The Author(s). A cross-sectional study was conducted to examine loneliness and its correlates in children (7 to 11 years) and adolescents (12 to 18 years) with autism spectrum disorders (ASD, n = 73) and control groups of clinically referred (ADHD, n = 76) and non-clinical (n = 106) youths. Youths completed questionnaires on loneliness and desire for social interaction, while parents and teachers filled out scales on other aspects of children’s social functioning. Results indicated that only at an adolescent age, the ASD group reported higher levels of loneliness than the control groups. Further, the ASD group generally expressed relatively low levels of desire for social interaction, although these youths displayed a similar increase in the wish to belong during adolescence as participants in the control groups. Finally, the ASD group exhibited lower levels of social competence and social skills and higher levels of social problems and social anxiety than the control groups, and in all groups these social variables correlated in a theoretically meaningful with loneliness.","author":[{"dropping-particle":"","family":"Deckers","given":"A.","non-dropping-particle":"","parse-names":false,"suffix":""},{"dropping-particle":"","family":"Muris","given":"P.","non-dropping-particle":"","parse-names":false,"suffix":""},{"dropping-particle":"","family":"Roelofs","given":"J.","non-dropping-particle":"","parse-names":false,"suffix":""}],"container-title":"Child Psychiatry and Human Development","id":"ITEM-1","issue":"5","issued":{"date-parts":[["2017"]]},"page":"828-839","title":"Being on your own or feeling lonely? Loneliness and other social variables in youths with autism spectrum disorders","type":"article-journal","volume":"48"},"uris":["http://www.mendeley.com/documents/?uuid=eea0848b-b01e-38eb-a35d-84c5d9abdcfe"]}],"mendeley":{"formattedCitation":"(A. Deckers et al., 2017)","manualFormatting":"Deckers et al., 2017","plainTextFormattedCitation":"(A. Deckers et al., 2017)","previouslyFormattedCitation":"(A. Deckers et al., 2017)"},"properties":{"noteIndex":0},"schema":"https://github.com/citation-style-language/schema/raw/master/csl-citation.json"}</w:instrText>
      </w:r>
      <w:r w:rsidRPr="00083E19">
        <w:rPr>
          <w:rFonts w:asciiTheme="majorBidi" w:hAnsiTheme="majorBidi" w:cstheme="majorBidi"/>
          <w:sz w:val="20"/>
          <w:szCs w:val="20"/>
        </w:rPr>
        <w:fldChar w:fldCharType="separate"/>
      </w:r>
      <w:r w:rsidRPr="00083E19">
        <w:rPr>
          <w:rFonts w:asciiTheme="majorBidi" w:hAnsiTheme="majorBidi" w:cstheme="majorBidi"/>
          <w:noProof/>
          <w:sz w:val="20"/>
          <w:szCs w:val="20"/>
        </w:rPr>
        <w:t>Deckers et al., 2017</w:t>
      </w:r>
      <w:r w:rsidRPr="00083E19">
        <w:rPr>
          <w:rFonts w:asciiTheme="majorBidi" w:hAnsiTheme="majorBidi" w:cstheme="majorBidi"/>
          <w:sz w:val="20"/>
          <w:szCs w:val="20"/>
        </w:rPr>
        <w:fldChar w:fldCharType="end"/>
      </w:r>
      <w:r w:rsidRPr="00083E19">
        <w:rPr>
          <w:rFonts w:asciiTheme="majorBidi" w:hAnsiTheme="majorBidi" w:cstheme="majorBidi"/>
          <w:sz w:val="20"/>
          <w:szCs w:val="20"/>
        </w:rPr>
        <w:t xml:space="preserve">; </w:t>
      </w:r>
      <w:r w:rsidRPr="00083E19">
        <w:rPr>
          <w:rFonts w:asciiTheme="majorBidi" w:hAnsiTheme="majorBidi" w:cstheme="majorBidi"/>
          <w:sz w:val="20"/>
          <w:szCs w:val="20"/>
        </w:rPr>
        <w:fldChar w:fldCharType="begin" w:fldLock="1"/>
      </w:r>
      <w:r w:rsidRPr="00083E19">
        <w:rPr>
          <w:rFonts w:asciiTheme="majorBidi" w:hAnsiTheme="majorBidi" w:cstheme="majorBidi"/>
          <w:sz w:val="20"/>
          <w:szCs w:val="20"/>
        </w:rPr>
        <w:instrText>ADDIN CSL_CITATION {"citationItems":[{"id":"ITEM-1","itemData":{"DOI":"https://dx.doi.org/10.1007/s10578-020-01114-1","ISSN":"1573-3327","abstract":"Children with autism spectrum disorder (ASD) are at elevated risk of suicidal ideation, particularly those with comorbid anxiety disorders and/or obsessive-compulsive disorder (OCD). We investigated the risk factors associated with suicidal ideation in 166 children with ASD and comorbid anxiety disorders/OCD, and the unique contribution of externalizing behaviors. Suicidal ideation was reported in the child sample by 13% of parents. Controlling for child age, sex, and IQ, perceived loneliness positively predicted the likelihood of suicidal ideation. In addition, externalizing behaviors positively predicted suicidal ideation, controlling for all other factors. Reliance on parental report to detect suicidal ideation in youth with ASD is a limitation of this study. Nonetheless, these findings highlight the importance of assessing and addressing suicidal ideation in children with ASD and comorbid anxiety disorders/OCD, and more importantly in those with elevated externalizing behaviors and perceptions of loneliness.","author":[{"dropping-particle":"","family":"Buissonniere Ariza","given":"Valerie","non-dropping-particle":"La","parse-names":false,"suffix":""},{"dropping-particle":"","family":"Schneider","given":"Sophie C","non-dropping-particle":"","parse-names":false,"suffix":""},{"dropping-particle":"","family":"Cepeda","given":"Sandra L","non-dropping-particle":"","parse-names":false,"suffix":""},{"dropping-particle":"","family":"Wood","given":"Jeffrey J","non-dropping-particle":"","parse-names":false,"suffix":""},{"dropping-particle":"","family":"Kendall","given":"Philip C","non-dropping-particle":"","parse-names":false,"suffix":""},{"dropping-particle":"","family":"Small","given":"Brent J","non-dropping-particle":"","parse-names":false,"suffix":""},{"dropping-particle":"","family":"Wood","given":"Karen S","non-dropping-particle":"","parse-names":false,"suffix":""},{"dropping-particle":"","family":"Kerns","given":"Connor","non-dropping-particle":"","parse-names":false,"suffix":""},{"dropping-particle":"","family":"Saxena","given":"Kirti","non-dropping-particle":"","parse-names":false,"suffix":""},{"dropping-particle":"","family":"Storch","given":"Eric A","non-dropping-particle":"","parse-names":false,"suffix":""}],"container-title":"Child psychiatry and human development","id":"ITEM-1","issued":{"date-parts":[["2021"]]},"page":"1-14","publisher-place":"United States","title":"Predictors of suicidal thoughts in children with autism spectrum disorder and anxiety or cbsessive-compulsive disorder: The unique contribution of externalizing behaviors.","type":"article-journal"},"uris":["http://www.mendeley.com/documents/?uuid=350f9231-585d-48be-9864-ce72c3bdf97e"]}],"mendeley":{"formattedCitation":"(La Buissonniere Ariza et al., 2021)","manualFormatting":"La Buissonniere Ariza et al., 2021; Maddox et al., 2017)","plainTextFormattedCitation":"(La Buissonniere Ariza et al., 2021)","previouslyFormattedCitation":"(La Buissonniere Ariza et al., 2021)"},"properties":{"noteIndex":0},"schema":"https://github.com/citation-style-language/schema/raw/master/csl-citation.json"}</w:instrText>
      </w:r>
      <w:r w:rsidRPr="00083E19">
        <w:rPr>
          <w:rFonts w:asciiTheme="majorBidi" w:hAnsiTheme="majorBidi" w:cstheme="majorBidi"/>
          <w:sz w:val="20"/>
          <w:szCs w:val="20"/>
        </w:rPr>
        <w:fldChar w:fldCharType="separate"/>
      </w:r>
      <w:r w:rsidRPr="00083E19">
        <w:rPr>
          <w:rFonts w:asciiTheme="majorBidi" w:hAnsiTheme="majorBidi" w:cstheme="majorBidi"/>
          <w:noProof/>
          <w:sz w:val="20"/>
          <w:szCs w:val="20"/>
        </w:rPr>
        <w:t xml:space="preserve">La Buissonniere Ariza et al., 2021; </w:t>
      </w:r>
      <w:r w:rsidRPr="00083E19">
        <w:rPr>
          <w:rFonts w:asciiTheme="majorBidi" w:hAnsiTheme="majorBidi" w:cstheme="majorBidi"/>
          <w:noProof/>
          <w:sz w:val="20"/>
          <w:szCs w:val="20"/>
        </w:rPr>
        <w:fldChar w:fldCharType="begin" w:fldLock="1"/>
      </w:r>
      <w:r w:rsidRPr="00083E19">
        <w:rPr>
          <w:rFonts w:asciiTheme="majorBidi" w:hAnsiTheme="majorBidi" w:cstheme="majorBidi"/>
          <w:noProof/>
          <w:sz w:val="20"/>
          <w:szCs w:val="20"/>
        </w:rPr>
        <w:instrText>ADDIN CSL_CITATION {"citationItems":[{"id":"ITEM-1","itemData":{"DOI":"10.1007/s10803-016-2779-4","abstract":"© 2016, Springer Science+Business Media New York. Anxiety interventions involving social skills training and CBT for youth with ASD have shown promise, but few studies have examined the effects on social functioning or the maintenance of treatment gains. This study evaluated change in social skills during a randomized controlled trial of CBT and during the 1-year follow-up for 25 adolescents with ASD and anxiety. We examined the effect of pretreatment social anxiety and loneliness on treatment response. Social impairment improved during treatment and continued to improve through the 3-month follow-up. Although adolescents with higher social anxiety had greater pretreatment social impairment, they showed steeper improvement in social skills during treatment. Loneliness was not a significant predictor of change during treatment. CBT targeting social skills and anxiety can lead to long-term improvements in social functioning.","author":[{"dropping-particle":"","family":"Maddox","given":"B.B.","non-dropping-particle":"","parse-names":false,"suffix":""},{"dropping-particle":"","family":"Miyazaki","given":"Y.","non-dropping-particle":"","parse-names":false,"suffix":""},{"dropping-particle":"","family":"White","given":"S.W.","non-dropping-particle":"","parse-names":false,"suffix":""}],"container-title":"Journal of Autism and Developmental Disorders","id":"ITEM-1","issue":"12","issued":{"date-parts":[["2017"]]},"page":"3872-3882","title":"Long-term effects of CBT on social impairment in adolescents with ASD","type":"article-journal","volume":"47"},"uris":["http://www.mendeley.com/documents/?uuid=66dc7c94-56a4-3479-8bda-5d34b70887a5"]}],"mendeley":{"formattedCitation":"(Maddox et al., 2017)","manualFormatting":"Maddox et al., 2017","plainTextFormattedCitation":"(Maddox et al., 2017)","previouslyFormattedCitation":"(Maddox et al., 2017)"},"properties":{"noteIndex":0},"schema":"https://github.com/citation-style-language/schema/raw/master/csl-citation.json"}</w:instrText>
      </w:r>
      <w:r w:rsidRPr="00083E19">
        <w:rPr>
          <w:rFonts w:asciiTheme="majorBidi" w:hAnsiTheme="majorBidi" w:cstheme="majorBidi"/>
          <w:noProof/>
          <w:sz w:val="20"/>
          <w:szCs w:val="20"/>
        </w:rPr>
        <w:fldChar w:fldCharType="separate"/>
      </w:r>
      <w:r w:rsidRPr="00083E19">
        <w:rPr>
          <w:rFonts w:asciiTheme="majorBidi" w:hAnsiTheme="majorBidi" w:cstheme="majorBidi"/>
          <w:noProof/>
          <w:sz w:val="20"/>
          <w:szCs w:val="20"/>
        </w:rPr>
        <w:t>Maddox et al., 2017</w:t>
      </w:r>
      <w:r w:rsidRPr="00083E19">
        <w:rPr>
          <w:rFonts w:asciiTheme="majorBidi" w:hAnsiTheme="majorBidi" w:cstheme="majorBidi"/>
          <w:noProof/>
          <w:sz w:val="20"/>
          <w:szCs w:val="20"/>
        </w:rPr>
        <w:fldChar w:fldCharType="end"/>
      </w:r>
      <w:r w:rsidRPr="00083E19">
        <w:rPr>
          <w:rFonts w:asciiTheme="majorBidi" w:hAnsiTheme="majorBidi" w:cstheme="majorBidi"/>
          <w:noProof/>
          <w:sz w:val="20"/>
          <w:szCs w:val="20"/>
        </w:rPr>
        <w:t>)</w:t>
      </w:r>
      <w:r w:rsidRPr="00083E19">
        <w:rPr>
          <w:rFonts w:asciiTheme="majorBidi" w:hAnsiTheme="majorBidi" w:cstheme="majorBidi"/>
          <w:sz w:val="20"/>
          <w:szCs w:val="20"/>
        </w:rPr>
        <w:fldChar w:fldCharType="end"/>
      </w:r>
      <w:r w:rsidRPr="00083E19">
        <w:rPr>
          <w:rFonts w:asciiTheme="majorBidi" w:hAnsiTheme="majorBidi" w:cstheme="majorBidi"/>
          <w:sz w:val="20"/>
          <w:szCs w:val="20"/>
        </w:rPr>
        <w:t>.  Few studies reported the proportion of individuals taking part out of those selected, or this item was not applicable due to opportunistic sampling. Three studies employed a RCT design (</w:t>
      </w:r>
      <w:proofErr w:type="spellStart"/>
      <w:r w:rsidRPr="00083E19">
        <w:rPr>
          <w:rFonts w:asciiTheme="majorBidi" w:hAnsiTheme="majorBidi" w:cstheme="majorBidi"/>
          <w:noProof/>
          <w:sz w:val="20"/>
          <w:szCs w:val="20"/>
        </w:rPr>
        <w:t>Capriola</w:t>
      </w:r>
      <w:proofErr w:type="spellEnd"/>
      <w:r w:rsidRPr="00083E19">
        <w:rPr>
          <w:rFonts w:asciiTheme="majorBidi" w:hAnsiTheme="majorBidi" w:cstheme="majorBidi"/>
          <w:noProof/>
          <w:sz w:val="20"/>
          <w:szCs w:val="20"/>
        </w:rPr>
        <w:t xml:space="preserve">-Hall et al., 2021; </w:t>
      </w:r>
      <w:r w:rsidRPr="00083E19">
        <w:rPr>
          <w:rFonts w:asciiTheme="majorBidi" w:hAnsiTheme="majorBidi" w:cstheme="majorBidi"/>
          <w:sz w:val="20"/>
          <w:szCs w:val="20"/>
        </w:rPr>
        <w:fldChar w:fldCharType="begin" w:fldLock="1"/>
      </w:r>
      <w:r w:rsidRPr="00083E19">
        <w:rPr>
          <w:rFonts w:asciiTheme="majorBidi" w:hAnsiTheme="majorBidi" w:cstheme="majorBidi"/>
          <w:sz w:val="20"/>
          <w:szCs w:val="20"/>
        </w:rPr>
        <w:instrText>ADDIN CSL_CITATION {"citationItems":[{"id":"ITEM-1","itemData":{"DOI":"10.1007/s10803-016-2779-4","abstract":"© 2016, Springer Science+Business Media New York. Anxiety interventions involving social skills training and CBT for youth with ASD have shown promise, but few studies have examined the effects on social functioning or the maintenance of treatment gains. This study evaluated change in social skills during a randomized controlled trial of CBT and during the 1-year follow-up for 25 adolescents with ASD and anxiety. We examined the effect of pretreatment social anxiety and loneliness on treatment response. Social impairment improved during treatment and continued to improve through the 3-month follow-up. Although adolescents with higher social anxiety had greater pretreatment social impairment, they showed steeper improvement in social skills during treatment. Loneliness was not a significant predictor of change during treatment. CBT targeting social skills and anxiety can lead to long-term improvements in social functioning.","author":[{"dropping-particle":"","family":"Maddox","given":"B.B.","non-dropping-particle":"","parse-names":false,"suffix":""},{"dropping-particle":"","family":"Miyazaki","given":"Y.","non-dropping-particle":"","parse-names":false,"suffix":""},{"dropping-particle":"","family":"White","given":"S.W.","non-dropping-particle":"","parse-names":false,"suffix":""}],"container-title":"Journal of Autism and Developmental Disorders","id":"ITEM-1","issue":"12","issued":{"date-parts":[["2017"]]},"page":"3872-3882","title":"Long-term effects of CBT on social impairment in adolescents with ASD","type":"article-journal","volume":"47"},"uris":["http://www.mendeley.com/documents/?uuid=66dc7c94-56a4-3479-8bda-5d34b70887a5"]}],"mendeley":{"formattedCitation":"(Maddox et al., 2017)","manualFormatting":"Maddox et al., 2017","plainTextFormattedCitation":"(Maddox et al., 2017)","previouslyFormattedCitation":"(Maddox et al., 2017)"},"properties":{"noteIndex":0},"schema":"https://github.com/citation-style-language/schema/raw/master/csl-citation.json"}</w:instrText>
      </w:r>
      <w:r w:rsidRPr="00083E19">
        <w:rPr>
          <w:rFonts w:asciiTheme="majorBidi" w:hAnsiTheme="majorBidi" w:cstheme="majorBidi"/>
          <w:sz w:val="20"/>
          <w:szCs w:val="20"/>
        </w:rPr>
        <w:fldChar w:fldCharType="separate"/>
      </w:r>
      <w:r w:rsidRPr="00083E19">
        <w:rPr>
          <w:rFonts w:asciiTheme="majorBidi" w:hAnsiTheme="majorBidi" w:cstheme="majorBidi"/>
          <w:noProof/>
          <w:sz w:val="20"/>
          <w:szCs w:val="20"/>
        </w:rPr>
        <w:t>Maddox et al., 2017</w:t>
      </w:r>
      <w:r w:rsidRPr="00083E19">
        <w:rPr>
          <w:rFonts w:asciiTheme="majorBidi" w:hAnsiTheme="majorBidi" w:cstheme="majorBidi"/>
          <w:sz w:val="20"/>
          <w:szCs w:val="20"/>
        </w:rPr>
        <w:fldChar w:fldCharType="end"/>
      </w:r>
      <w:r w:rsidRPr="00083E19">
        <w:rPr>
          <w:rFonts w:asciiTheme="majorBidi" w:hAnsiTheme="majorBidi" w:cstheme="majorBidi"/>
          <w:sz w:val="20"/>
          <w:szCs w:val="20"/>
        </w:rPr>
        <w:t xml:space="preserve">; </w:t>
      </w:r>
      <w:r w:rsidRPr="00083E19">
        <w:rPr>
          <w:rFonts w:asciiTheme="majorBidi" w:hAnsiTheme="majorBidi" w:cstheme="majorBidi"/>
          <w:sz w:val="20"/>
          <w:szCs w:val="20"/>
        </w:rPr>
        <w:fldChar w:fldCharType="begin" w:fldLock="1"/>
      </w:r>
      <w:r w:rsidRPr="00083E19">
        <w:rPr>
          <w:rFonts w:asciiTheme="majorBidi" w:hAnsiTheme="majorBidi" w:cstheme="majorBidi"/>
          <w:sz w:val="20"/>
          <w:szCs w:val="20"/>
        </w:rPr>
        <w:instrText>ADDIN CSL_CITATION {"citationItems":[{"id":"ITEM-1","itemData":{"DOI":"10.1177/1362361320967789","abstract":"© The Author(s) 2020. Autistic adults commonly experience anxiety and depression. These mental health concerns are often tied to social experiences, such that mental well-being can be supported by social connection and deteriorated by loneliness. The mediating role of social and emotional loneliness (i.e. social isolation and lack of emotional attachment, respectively) between autism features and mental health has yet to be empirically tested among autistic adults. Here, 69 autistic young adults completed self-report questionnaires assessing social contact (Friendship Questionnaire), autism features (Autism Quotient), mental health (Liebowitz Social Anxiety Scale, Social Phobia Inventory, Beck Depression Inventory), and loneliness (Social and Emotional Loneliness Scale for Adults). Positive associations emerged between autism features, social loneliness, family loneliness, social anxiety, and depression. In addition, more social contact was related to less social and family loneliness and less social anxiety but was not related to depression. Mediation analyses indicated significant indirect effects of social contact and autism features on mental health through social loneliness. Indirect effects partially held substituting family loneliness for social loneliness and did not hold using romantic loneliness. In light of these results, the scientific and clinical implications of the role of loneliness for autistic young adults are discussed and recommendations provided. Lay abstract: Autistic adults commonly experience mental health concerns including social anxiety and depression, which can have negative effects on their quality of life. It is not completely clear, however, why rates of mental health concerns are so high. Some evidence suggests that social connectedness might play a key role. The goal of this study was to explore links between loneliness, mental health concerns, autism features, and social contact among autistic adults and test whether the links between mental health with autism features and social contact can be explained by loneliness. Researchers in this study collected data using questionnaires completed by 69 autistic young adults. Autistic adults who reported more autism features also reported more social and family loneliness, higher levels of social anxiety and depression, and fewer initiated social contacts. In addition, adults with more social contact initiations were likely to report lower levels of social and family loneliness…","author":[{"dropping-particle":"","family":"Schiltz","given":"H.K.","non-dropping-particle":"","parse-names":false,"suffix":""},{"dropping-particle":"","family":"McVey","given":"A.J.","non-dropping-particle":"","parse-names":false,"suffix":""},{"dropping-particle":"","family":"Dolan Wozniak","given":"B.","non-dropping-particle":"","parse-names":false,"suffix":""},{"dropping-particle":"","family":"Haendel","given":"A.D.","non-dropping-particle":"","parse-names":false,"suffix":""},{"dropping-particle":"","family":"Stanley","given":"R.","non-dropping-particle":"","parse-names":false,"suffix":""},{"dropping-particle":"","family":"Arias","given":"A.","non-dropping-particle":"","parse-names":false,"suffix":""},{"dropping-particle":"","family":"Gordon","given":"N.","non-dropping-particle":"","parse-names":false,"suffix":""},{"dropping-particle":"","family":"Hecke","given":"A.V.","non-dropping-particle":"Van","parse-names":false,"suffix":""}],"container-title":"Autism","id":"ITEM-1","issue":"2","issued":{"date-parts":[["2020"]]},"page":"545-555","title":"The role of loneliness as a mediator between autism features and mental health among autistic young adults","type":"article-journal","volume":"25"},"uris":["http://www.mendeley.com/documents/?uuid=867cc4ac-56d1-3622-b2d9-e88ffffbd5bc"]}],"mendeley":{"formattedCitation":"(Schiltz et al., 2020)","manualFormatting":"Schiltz et al., 2020)","plainTextFormattedCitation":"(Schiltz et al., 2020)","previouslyFormattedCitation":"(Schiltz et al., 2020)"},"properties":{"noteIndex":0},"schema":"https://github.com/citation-style-language/schema/raw/master/csl-citation.json"}</w:instrText>
      </w:r>
      <w:r w:rsidRPr="00083E19">
        <w:rPr>
          <w:rFonts w:asciiTheme="majorBidi" w:hAnsiTheme="majorBidi" w:cstheme="majorBidi"/>
          <w:sz w:val="20"/>
          <w:szCs w:val="20"/>
        </w:rPr>
        <w:fldChar w:fldCharType="separate"/>
      </w:r>
      <w:r w:rsidRPr="00083E19">
        <w:rPr>
          <w:rFonts w:asciiTheme="majorBidi" w:hAnsiTheme="majorBidi" w:cstheme="majorBidi"/>
          <w:noProof/>
          <w:sz w:val="20"/>
          <w:szCs w:val="20"/>
        </w:rPr>
        <w:t>Schiltz et al., 2020)</w:t>
      </w:r>
      <w:r w:rsidRPr="00083E19">
        <w:rPr>
          <w:rFonts w:asciiTheme="majorBidi" w:hAnsiTheme="majorBidi" w:cstheme="majorBidi"/>
          <w:sz w:val="20"/>
          <w:szCs w:val="20"/>
        </w:rPr>
        <w:fldChar w:fldCharType="end"/>
      </w:r>
      <w:r w:rsidRPr="00083E19">
        <w:rPr>
          <w:rFonts w:asciiTheme="majorBidi" w:hAnsiTheme="majorBidi" w:cstheme="majorBidi"/>
          <w:sz w:val="20"/>
          <w:szCs w:val="20"/>
        </w:rPr>
        <w:t xml:space="preserve"> and attained a ‘strong’ rating for this component; the remaining  studies attained ‘moderate’ ratings due to being cross-sectional.</w:t>
      </w:r>
      <w:r w:rsidRPr="00083E19">
        <w:rPr>
          <w:rFonts w:asciiTheme="majorBidi" w:hAnsiTheme="majorBidi" w:cstheme="majorBidi"/>
          <w:color w:val="FF0000"/>
          <w:sz w:val="20"/>
          <w:szCs w:val="20"/>
        </w:rPr>
        <w:t xml:space="preserve">  </w:t>
      </w:r>
    </w:p>
    <w:p w14:paraId="21650E15" w14:textId="77777777" w:rsidR="001B0BE3" w:rsidRPr="00083E19" w:rsidRDefault="001B0BE3" w:rsidP="004802F0">
      <w:pPr>
        <w:spacing w:after="1" w:line="360" w:lineRule="auto"/>
        <w:ind w:left="-15" w:firstLine="720"/>
        <w:jc w:val="both"/>
        <w:rPr>
          <w:rFonts w:asciiTheme="majorBidi" w:hAnsiTheme="majorBidi" w:cstheme="majorBidi"/>
          <w:color w:val="FF0000"/>
          <w:sz w:val="20"/>
          <w:szCs w:val="20"/>
        </w:rPr>
      </w:pPr>
      <w:r w:rsidRPr="00083E19">
        <w:rPr>
          <w:rFonts w:asciiTheme="majorBidi" w:hAnsiTheme="majorBidi" w:cstheme="majorBidi"/>
          <w:sz w:val="20"/>
          <w:szCs w:val="20"/>
        </w:rPr>
        <w:t xml:space="preserve">Most studies (N=20) received ‘moderate’ ratings for their data collection methods, due to using loneliness and anxiety and/or depression measures that were deemed reliable, although not validated in ASD samples. Only one study achieved ‘strong’ rating in this domain due to using both a loneliness and anxiety measure which was validated for use in ASD samples </w:t>
      </w:r>
      <w:r w:rsidRPr="00083E19">
        <w:rPr>
          <w:rFonts w:asciiTheme="majorBidi" w:hAnsiTheme="majorBidi" w:cstheme="majorBidi"/>
          <w:sz w:val="20"/>
          <w:szCs w:val="20"/>
        </w:rPr>
        <w:fldChar w:fldCharType="begin" w:fldLock="1"/>
      </w:r>
      <w:r w:rsidRPr="00083E19">
        <w:rPr>
          <w:rFonts w:asciiTheme="majorBidi" w:hAnsiTheme="majorBidi" w:cstheme="majorBidi"/>
          <w:sz w:val="20"/>
          <w:szCs w:val="20"/>
        </w:rPr>
        <w:instrText>ADDIN CSL_CITATION {"citationItems":[{"id":"ITEM-1","itemData":{"DOI":"10.1007/s10803-016-2779-4","abstract":"© 2016, Springer Science+Business Media New York. Anxiety interventions involving social skills training and CBT for youth with ASD have shown promise, but few studies have examined the effects on social functioning or the maintenance of treatment gains. This study evaluated change in social skills during a randomized controlled trial of CBT and during the 1-year follow-up for 25 adolescents with ASD and anxiety. We examined the effect of pretreatment social anxiety and loneliness on treatment response. Social impairment improved during treatment and continued to improve through the 3-month follow-up. Although adolescents with higher social anxiety had greater pretreatment social impairment, they showed steeper improvement in social skills during treatment. Loneliness was not a significant predictor of change during treatment. CBT targeting social skills and anxiety can lead to long-term improvements in social functioning.","author":[{"dropping-particle":"","family":"Maddox","given":"B.B.","non-dropping-particle":"","parse-names":false,"suffix":""},{"dropping-particle":"","family":"Miyazaki","given":"Y.","non-dropping-particle":"","parse-names":false,"suffix":""},{"dropping-particle":"","family":"White","given":"S.W.","non-dropping-particle":"","parse-names":false,"suffix":""}],"container-title":"Journal of Autism and Developmental Disorders","id":"ITEM-1","issue":"12","issued":{"date-parts":[["2017"]]},"page":"3872-3882","title":"Long-term effects of CBT on social impairment in adolescents with ASD","type":"article-journal","volume":"47"},"uris":["http://www.mendeley.com/documents/?uuid=66dc7c94-56a4-3479-8bda-5d34b70887a5"]}],"mendeley":{"formattedCitation":"(Maddox et al., 2017)","plainTextFormattedCitation":"(Maddox et al., 2017)","previouslyFormattedCitation":"(Maddox et al., 2017)"},"properties":{"noteIndex":0},"schema":"https://github.com/citation-style-language/schema/raw/master/csl-citation.json"}</w:instrText>
      </w:r>
      <w:r w:rsidRPr="00083E19">
        <w:rPr>
          <w:rFonts w:asciiTheme="majorBidi" w:hAnsiTheme="majorBidi" w:cstheme="majorBidi"/>
          <w:sz w:val="20"/>
          <w:szCs w:val="20"/>
        </w:rPr>
        <w:fldChar w:fldCharType="separate"/>
      </w:r>
      <w:r w:rsidRPr="00083E19">
        <w:rPr>
          <w:rFonts w:asciiTheme="majorBidi" w:hAnsiTheme="majorBidi" w:cstheme="majorBidi"/>
          <w:noProof/>
          <w:sz w:val="20"/>
          <w:szCs w:val="20"/>
        </w:rPr>
        <w:t>(Maddox et al., 2017)</w:t>
      </w:r>
      <w:r w:rsidRPr="00083E19">
        <w:rPr>
          <w:rFonts w:asciiTheme="majorBidi" w:hAnsiTheme="majorBidi" w:cstheme="majorBidi"/>
          <w:sz w:val="20"/>
          <w:szCs w:val="20"/>
        </w:rPr>
        <w:fldChar w:fldCharType="end"/>
      </w:r>
      <w:r w:rsidRPr="00083E19">
        <w:rPr>
          <w:rFonts w:asciiTheme="majorBidi" w:hAnsiTheme="majorBidi" w:cstheme="majorBidi"/>
          <w:sz w:val="20"/>
          <w:szCs w:val="20"/>
        </w:rPr>
        <w:t>. Half of the studies did not provide adequate information regarding the presence of- or reasons for- non-completion and/or missing data for participants who agreed to participate, thus receiving a ‘weak’ rating in the attrition domain. Eight studies indicated 80-100% of participants completed the study and received strong ratings; the remaining studies (N=3) indicated at least 60% of participants completed the study.</w:t>
      </w:r>
    </w:p>
    <w:p w14:paraId="3CD9FE51" w14:textId="7FE0483E" w:rsidR="001B0BE3" w:rsidRPr="00083E19" w:rsidRDefault="001B0BE3" w:rsidP="004802F0">
      <w:pPr>
        <w:spacing w:after="1" w:line="360" w:lineRule="auto"/>
        <w:ind w:left="-15" w:firstLine="720"/>
        <w:jc w:val="both"/>
        <w:rPr>
          <w:rFonts w:asciiTheme="majorBidi" w:hAnsiTheme="majorBidi" w:cstheme="majorBidi"/>
          <w:sz w:val="20"/>
          <w:szCs w:val="20"/>
          <w:lang w:val="nl-NL"/>
        </w:rPr>
      </w:pPr>
      <w:r w:rsidRPr="00083E19">
        <w:rPr>
          <w:rFonts w:asciiTheme="majorBidi" w:hAnsiTheme="majorBidi" w:cstheme="majorBidi"/>
          <w:sz w:val="20"/>
          <w:szCs w:val="20"/>
        </w:rPr>
        <w:t>Seven studies reported using a gold-standard assessment of ASD, attaining ‘strong’ ratings for this domain. Eleven studies used self-</w:t>
      </w:r>
      <w:r w:rsidR="00627621">
        <w:rPr>
          <w:rFonts w:asciiTheme="majorBidi" w:hAnsiTheme="majorBidi" w:cstheme="majorBidi"/>
          <w:sz w:val="20"/>
          <w:szCs w:val="20"/>
        </w:rPr>
        <w:t>report</w:t>
      </w:r>
      <w:r w:rsidRPr="00083E19">
        <w:rPr>
          <w:rFonts w:asciiTheme="majorBidi" w:hAnsiTheme="majorBidi" w:cstheme="majorBidi"/>
          <w:sz w:val="20"/>
          <w:szCs w:val="20"/>
        </w:rPr>
        <w:t xml:space="preserve"> or other-</w:t>
      </w:r>
      <w:r w:rsidR="00627621">
        <w:rPr>
          <w:rFonts w:asciiTheme="majorBidi" w:hAnsiTheme="majorBidi" w:cstheme="majorBidi"/>
          <w:sz w:val="20"/>
          <w:szCs w:val="20"/>
        </w:rPr>
        <w:t>informant</w:t>
      </w:r>
      <w:r w:rsidRPr="00083E19">
        <w:rPr>
          <w:rFonts w:asciiTheme="majorBidi" w:hAnsiTheme="majorBidi" w:cstheme="majorBidi"/>
          <w:sz w:val="20"/>
          <w:szCs w:val="20"/>
        </w:rPr>
        <w:t xml:space="preserve"> screening questionnaires in the absence of gold-standard procedures or obtained medical documentation to confirm diagnosis; the most commonly used (N=9) was the AQ </w:t>
      </w:r>
      <w:r w:rsidRPr="00083E19">
        <w:rPr>
          <w:rFonts w:asciiTheme="majorBidi" w:hAnsiTheme="majorBidi" w:cstheme="majorBidi"/>
          <w:sz w:val="20"/>
          <w:szCs w:val="20"/>
        </w:rPr>
        <w:fldChar w:fldCharType="begin" w:fldLock="1"/>
      </w:r>
      <w:r w:rsidRPr="00083E19">
        <w:rPr>
          <w:rFonts w:asciiTheme="majorBidi" w:hAnsiTheme="majorBidi" w:cstheme="majorBidi"/>
          <w:sz w:val="20"/>
          <w:szCs w:val="20"/>
        </w:rPr>
        <w:instrText>ADDIN CSL_CITATION {"citationItems":[{"id":"ITEM-1","itemData":{"DOI":"10.1023/A:1005653411471","ISSN":"01623257","PMID":"11439754","abstract":"Currently there are no brief, self-administered instruments for measuring the degree to which an adult with normal intelligence has the traits associated with the autistic spectrum. In this paper, we report on a new instrument to assess this: the Autism-Spectrum Quotient (AQ). Individuals score in the range 0-50. Four groups of subjects were assessed: Group 1: 58 adults with Asperger syndrome (AS) or high-functioning autism (HFA); Group 2: 174 randomly selected controls. Group 3: 840 students in Cambridge University; and Group 4: 16 winners of the UK Mathematics Olympiad. The adults with AS/HFA had a mean AQ score of 35.8 (SD = 6.5), significantly higher than Group 2 controls (M = 16.4, SD = 6.3). 80% of the adults with AS/HFA scored 32+, versus 2% of controls. Among the controls, men scored slightly but significantly higher than women. No women scored extremely highly (AQ score 34+) whereas 4% of men did so. Twice as many men (40%) as women (21%) scored at intermediate levels (AQ score 20+). Among the AS/HFA group, male and female scores did not differ significantly. The students in Cambridge University did not differ from the randomly selected control group, but scientists (including mathematicians) scored significantly higher than both humanities and social sciences students, confirming an earlier study that autistic conditions are associated with scientific skills. Within the sciences, mathematicians scored highest. This was replicated in Group 4, the Mathematics Olympiad winners scoring significantly higher than the male Cambridge humanities students. 6% of the student sample scored 32+ on the AQ. On interview, 11 out of 11 of these met three or more DSM-IV criteria for AS/HFA, and all were studying sciences/mathematics, and 7 of the 11 met threshold on these criteria. Test-retest and interrater reliability of the AQ was good. The AQ is thus a valuable instrument for rapidly quantifying where any given individual is situated on the continuum from autism to normality. Its potential for screening for autism spectrum conditions in adults of normal intelligence remains to be fully explored.","author":[{"dropping-particle":"","family":"Baron-Cohen","given":"Simon","non-dropping-particle":"","parse-names":false,"suffix":""},{"dropping-particle":"","family":"Wheelwright","given":"Sally","non-dropping-particle":"","parse-names":false,"suffix":""},{"dropping-particle":"","family":"Skinner","given":"Richard","non-dropping-particle":"","parse-names":false,"suffix":""},{"dropping-particle":"","family":"Martin","given":"Joanne","non-dropping-particle":"","parse-names":false,"suffix":""},{"dropping-particle":"","family":"Clubley","given":"Emma","non-dropping-particle":"","parse-names":false,"suffix":""}],"container-title":"Journal of Autism and Developmental Disorders","id":"ITEM-1","issue":"1","issued":{"date-parts":[["2001"]]},"page":"5-17","publisher":"Springer","title":"The autism-spectrum quotient (AQ): Evidence from asperger syndrome/high-functioning autism, males and females, scientists and mathematicians","type":"article-journal","volume":"31"},"uris":["http://www.mendeley.com/documents/?uuid=71438033-3102-364d-98dd-3540733060fe"]}],"mendeley":{"formattedCitation":"(Baron-Cohen et al., 2001)","plainTextFormattedCitation":"(Baron-Cohen et al., 2001)","previouslyFormattedCitation":"(Baron-Cohen et al., 2001)"},"properties":{"noteIndex":0},"schema":"https://github.com/citation-style-language/schema/raw/master/csl-citation.json"}</w:instrText>
      </w:r>
      <w:r w:rsidRPr="00083E19">
        <w:rPr>
          <w:rFonts w:asciiTheme="majorBidi" w:hAnsiTheme="majorBidi" w:cstheme="majorBidi"/>
          <w:sz w:val="20"/>
          <w:szCs w:val="20"/>
        </w:rPr>
        <w:fldChar w:fldCharType="separate"/>
      </w:r>
      <w:r w:rsidRPr="00083E19">
        <w:rPr>
          <w:rFonts w:asciiTheme="majorBidi" w:hAnsiTheme="majorBidi" w:cstheme="majorBidi"/>
          <w:noProof/>
          <w:sz w:val="20"/>
          <w:szCs w:val="20"/>
        </w:rPr>
        <w:t>(Baron-Cohen et al., 2001)</w:t>
      </w:r>
      <w:r w:rsidRPr="00083E19">
        <w:rPr>
          <w:rFonts w:asciiTheme="majorBidi" w:hAnsiTheme="majorBidi" w:cstheme="majorBidi"/>
          <w:sz w:val="20"/>
          <w:szCs w:val="20"/>
        </w:rPr>
        <w:fldChar w:fldCharType="end"/>
      </w:r>
      <w:r w:rsidRPr="00083E19">
        <w:rPr>
          <w:rFonts w:asciiTheme="majorBidi" w:hAnsiTheme="majorBidi" w:cstheme="majorBidi"/>
          <w:sz w:val="20"/>
          <w:szCs w:val="20"/>
        </w:rPr>
        <w:t xml:space="preserve">. The remaining studies (N=3) demonstrated weak assessment and/or reporting of participants’ ASD diagnoses. Seven studies reported participants’ average IQ scores, although strong ratings were only applied to those that reported measuring IQ as part of study procedures or within the preceding 3 months (N=4). Eight studies did not report any information on IQ and six indicated including participants who were intellectually average or had an IQ&gt;70. </w:t>
      </w:r>
      <w:r w:rsidRPr="00083E19">
        <w:rPr>
          <w:rFonts w:asciiTheme="majorBidi" w:hAnsiTheme="majorBidi" w:cstheme="majorBidi"/>
          <w:sz w:val="20"/>
          <w:szCs w:val="20"/>
          <w:lang w:val="nl-NL"/>
        </w:rPr>
        <w:t xml:space="preserve">Two studies </w:t>
      </w:r>
      <w:r w:rsidRPr="00083E19">
        <w:rPr>
          <w:rFonts w:asciiTheme="majorBidi" w:hAnsiTheme="majorBidi" w:cstheme="majorBidi"/>
          <w:sz w:val="20"/>
          <w:szCs w:val="20"/>
        </w:rPr>
        <w:fldChar w:fldCharType="begin" w:fldLock="1"/>
      </w:r>
      <w:r w:rsidRPr="00083E19">
        <w:rPr>
          <w:rFonts w:asciiTheme="majorBidi" w:hAnsiTheme="majorBidi" w:cstheme="majorBidi"/>
          <w:sz w:val="20"/>
          <w:szCs w:val="20"/>
          <w:lang w:val="nl-NL"/>
        </w:rPr>
        <w:instrText>ADDIN CSL_CITATION {"citationItems":[{"id":"ITEM-1","itemData":{"DOI":"10.1089/AUT.2018.0038","ISSN":"2573-9581","abstract":"Abstract Background: Loneliness is associated with adverse psychological and physical outcomes. However, little is known about the factors contributing to loneliness in autistic adults. This study ...","author":[{"dropping-particle":"","family":"Ee","given":"Dawn","non-dropping-particle":"","parse-names":false,"suffix":""},{"dropping-particle":"","family":"Hwang","given":"Ye In (Jane)","non-dropping-particle":"","parse-names":false,"suffix":""},{"dropping-particle":"","family":"Reppermund","given":"Simone","non-dropping-particle":"","parse-names":false,"suffix":""},{"dropping-particle":"","family":"Srasuebkul","given":"Preeyaporn","non-dropping-particle":"","parse-names":false,"suffix":""},{"dropping-particle":"","family":"Trollor","given":"Julian N.","non-dropping-particle":"","parse-names":false,"suffix":""},{"dropping-particle":"","family":"Foley","given":"Kitty-Rose","non-dropping-particle":"","parse-names":false,"suffix":""},{"dropping-particle":"","family":"Arnold","given":"Samuel R.C.","non-dropping-particle":"","parse-names":false,"suffix":""}],"container-title":"https://home.liebertpub.com/aut","id":"ITEM-1","issued":{"date-parts":[["2019","9","11"]]},"publisher":" Mary Ann Liebert, Inc., publishers  140 Huguenot Street, 3rd Floor New Rochelle, NY 10801 USA  ","title":"Loneliness in Adults on the Autism Spectrum","type":"article-journal"},"uris":["http://www.mendeley.com/documents/?uuid=2a40f6c8-e8c0-3ed0-9157-0d38730a44af"]}],"mendeley":{"formattedCitation":"(Ee et al., 2019)","manualFormatting":"(Ee et al., 2019;","plainTextFormattedCitation":"(Ee et al., 2019)","previouslyFormattedCitation":"(Ee et al., 2019)"},"properties":{"noteIndex":0},"schema":"https://github.com/citation-style-language/schema/raw/master/csl-citation.json"}</w:instrText>
      </w:r>
      <w:r w:rsidRPr="00083E19">
        <w:rPr>
          <w:rFonts w:asciiTheme="majorBidi" w:hAnsiTheme="majorBidi" w:cstheme="majorBidi"/>
          <w:sz w:val="20"/>
          <w:szCs w:val="20"/>
        </w:rPr>
        <w:fldChar w:fldCharType="separate"/>
      </w:r>
      <w:r w:rsidRPr="00083E19">
        <w:rPr>
          <w:rFonts w:asciiTheme="majorBidi" w:hAnsiTheme="majorBidi" w:cstheme="majorBidi"/>
          <w:noProof/>
          <w:sz w:val="20"/>
          <w:szCs w:val="20"/>
          <w:lang w:val="nl-NL"/>
        </w:rPr>
        <w:t>(Ee et al., 2019;</w:t>
      </w:r>
      <w:r w:rsidRPr="00083E19">
        <w:rPr>
          <w:rFonts w:asciiTheme="majorBidi" w:hAnsiTheme="majorBidi" w:cstheme="majorBidi"/>
          <w:sz w:val="20"/>
          <w:szCs w:val="20"/>
        </w:rPr>
        <w:fldChar w:fldCharType="end"/>
      </w:r>
      <w:r w:rsidRPr="00083E19">
        <w:rPr>
          <w:rFonts w:asciiTheme="majorBidi" w:hAnsiTheme="majorBidi" w:cstheme="majorBidi"/>
          <w:sz w:val="20"/>
          <w:szCs w:val="20"/>
        </w:rPr>
        <w:fldChar w:fldCharType="begin" w:fldLock="1"/>
      </w:r>
      <w:r w:rsidRPr="00083E19">
        <w:rPr>
          <w:rFonts w:asciiTheme="majorBidi" w:hAnsiTheme="majorBidi" w:cstheme="majorBidi"/>
          <w:sz w:val="20"/>
          <w:szCs w:val="20"/>
          <w:lang w:val="nl-NL"/>
        </w:rPr>
        <w:instrText>ADDIN CSL_CITATION {"citationItems":[{"id":"ITEM-1","itemData":{"DOI":"https://dx.doi.org/10.1007/s10578-020-01114-1","ISSN":"1573-3327","abstract":"Children with autism spectrum disorder (ASD) are at elevated risk of suicidal ideation, particularly those with comorbid anxiety disorders and/or obsessive-compulsive disorder (OCD). We investigated the risk factors associated with suicidal ideation in 166 children with ASD and comorbid anxiety disorders/OCD, and the unique contribution of externalizing behaviors. Suicidal ideation was reported in the child sample by 13% of parents. Controlling for child age, sex, and IQ, perceived loneliness positively predicted the likelihood of suicidal ideation. In addition, externalizing behaviors positively predicted suicidal ideation, controlling for all other factors. Reliance on parental report to detect suicidal ideation in youth with ASD is a limitation of this study. Nonetheless, these findings highlight the importance of assessing and addressing suicidal ideation in children with ASD and comorbid anxiety disorders/OCD, and more importantly in those with elevated externalizing behaviors and perceptions of loneliness.","author":[{"dropping-particle":"","family":"Buissonniere Ariza","given":"Valerie","non-dropping-particle":"La","parse-names":false,"suffix":""},{"dropping-particle":"","family":"Schneider","given":"Sophie C","non-dropping-particle":"","parse-names":false,"suffix":""},{"dropping-particle":"","family":"Cepeda","given":"Sandra L","non-dropping-particle":"","parse-names":false,"suffix":""},{"dropping-particle":"","family":"Wood","given":"Jeffrey J","non-dropping-particle":"","parse-names":false,"suffix":""},{"dropping-particle":"","family":"Kendall","given":"Philip C","non-dropping-particle":"","parse-names":false,"suffix":""},{"dropping-particle":"","family":"Small","given":"Brent J","non-dropping-particle":"","parse-names":false,"suffix":""},{"dropping-particle":"","family":"Wood","given":"Karen S","non-dropping-particle":"","parse-names":false,"suffix":""},{"dropping-particle":"","family":"Kerns","given":"Connor","non-dropping-particle":"","parse-names":false,"suffix":""},{"dropping-particle":"","family":"Saxena","given":"Kirti","non-dropping-particle":"","parse-names":false,"suffix":""},{"dropping-particle":"","family":"Storch","given":"Eric A","non-dropping-particle":"","parse-names":false,"suffix":""}],"container-title":"Child psychiatry and human development","id":"ITEM-1","issued":{"date-parts":[["2021"]]},"page":"1-14","publisher-place":"United States","title":"Predictors of suicidal thoughts in children with autism spectrum disorder and anxiety or cbsessive-compulsive disorder: The unique contribution of externalizing behaviors.","type":"article-journal"},"uris":["http://www.mendeley.com/documents/?uuid=350f9231-585d-48be-9864-ce72c3bdf97e"]}],"mendeley":{"formattedCitation":"(La Buissonniere Ariza et al., 2021)","manualFormatting":" La Buissonniere Ariza et al., 2021)","plainTextFormattedCitation":"(La Buissonniere Ariza et al., 2021)","previouslyFormattedCitation":"(La Buissonniere Ariza et al., 2021)"},"properties":{"noteIndex":0},"schema":"https://github.com/citation-style-language/schema/raw/master/csl-citation.json"}</w:instrText>
      </w:r>
      <w:r w:rsidRPr="00083E19">
        <w:rPr>
          <w:rFonts w:asciiTheme="majorBidi" w:hAnsiTheme="majorBidi" w:cstheme="majorBidi"/>
          <w:sz w:val="20"/>
          <w:szCs w:val="20"/>
        </w:rPr>
        <w:fldChar w:fldCharType="separate"/>
      </w:r>
      <w:r w:rsidRPr="00083E19">
        <w:rPr>
          <w:rFonts w:asciiTheme="majorBidi" w:hAnsiTheme="majorBidi" w:cstheme="majorBidi"/>
          <w:noProof/>
          <w:sz w:val="20"/>
          <w:szCs w:val="20"/>
          <w:lang w:val="nl-NL"/>
        </w:rPr>
        <w:t xml:space="preserve"> La Buissonniere Ariza et al., 2021)</w:t>
      </w:r>
      <w:r w:rsidRPr="00083E19">
        <w:rPr>
          <w:rFonts w:asciiTheme="majorBidi" w:hAnsiTheme="majorBidi" w:cstheme="majorBidi"/>
          <w:sz w:val="20"/>
          <w:szCs w:val="20"/>
        </w:rPr>
        <w:fldChar w:fldCharType="end"/>
      </w:r>
      <w:r w:rsidRPr="00083E19">
        <w:rPr>
          <w:rFonts w:asciiTheme="majorBidi" w:hAnsiTheme="majorBidi" w:cstheme="majorBidi"/>
          <w:sz w:val="20"/>
          <w:szCs w:val="20"/>
          <w:lang w:val="nl-NL"/>
        </w:rPr>
        <w:t xml:space="preserve"> mentioned including individuals with ID.</w:t>
      </w:r>
    </w:p>
    <w:p w14:paraId="47D05BD5" w14:textId="77777777" w:rsidR="00B1058C" w:rsidRPr="00083E19" w:rsidRDefault="00B1058C" w:rsidP="007F7363">
      <w:pPr>
        <w:rPr>
          <w:rFonts w:asciiTheme="majorBidi" w:hAnsiTheme="majorBidi" w:cstheme="majorBidi"/>
          <w:sz w:val="20"/>
          <w:szCs w:val="20"/>
          <w:lang w:val="nl-NL"/>
        </w:rPr>
        <w:sectPr w:rsidR="00B1058C" w:rsidRPr="00083E19" w:rsidSect="00693AC0">
          <w:pgSz w:w="11906" w:h="16838"/>
          <w:pgMar w:top="1440" w:right="1440" w:bottom="1440" w:left="1440" w:header="709" w:footer="709" w:gutter="0"/>
          <w:cols w:space="708"/>
          <w:docGrid w:linePitch="360"/>
        </w:sectPr>
      </w:pPr>
    </w:p>
    <w:p w14:paraId="107D74A5" w14:textId="2475D9C2" w:rsidR="000C5685" w:rsidRPr="00083E19" w:rsidRDefault="00514BEE" w:rsidP="000C5685">
      <w:pPr>
        <w:pStyle w:val="Caption"/>
        <w:keepNext/>
        <w:rPr>
          <w:rFonts w:asciiTheme="majorBidi" w:hAnsiTheme="majorBidi" w:cstheme="majorBidi"/>
          <w:b/>
          <w:bCs/>
          <w:i w:val="0"/>
          <w:iCs w:val="0"/>
          <w:color w:val="auto"/>
          <w:sz w:val="20"/>
          <w:szCs w:val="20"/>
        </w:rPr>
      </w:pPr>
      <w:r w:rsidRPr="00083E19">
        <w:rPr>
          <w:rFonts w:asciiTheme="majorBidi" w:hAnsiTheme="majorBidi" w:cstheme="majorBidi"/>
          <w:b/>
          <w:bCs/>
          <w:i w:val="0"/>
          <w:iCs w:val="0"/>
          <w:color w:val="auto"/>
          <w:sz w:val="20"/>
          <w:szCs w:val="20"/>
        </w:rPr>
        <w:lastRenderedPageBreak/>
        <w:t>S</w:t>
      </w:r>
      <w:r w:rsidR="009D6C73" w:rsidRPr="00083E19">
        <w:rPr>
          <w:rFonts w:asciiTheme="majorBidi" w:hAnsiTheme="majorBidi" w:cstheme="majorBidi"/>
          <w:b/>
          <w:bCs/>
          <w:i w:val="0"/>
          <w:iCs w:val="0"/>
          <w:color w:val="auto"/>
          <w:sz w:val="20"/>
          <w:szCs w:val="20"/>
        </w:rPr>
        <w:t xml:space="preserve">upplementary </w:t>
      </w:r>
      <w:r w:rsidR="00030CB5">
        <w:rPr>
          <w:rFonts w:asciiTheme="majorBidi" w:hAnsiTheme="majorBidi" w:cstheme="majorBidi"/>
          <w:b/>
          <w:bCs/>
          <w:i w:val="0"/>
          <w:iCs w:val="0"/>
          <w:color w:val="auto"/>
          <w:sz w:val="20"/>
          <w:szCs w:val="20"/>
        </w:rPr>
        <w:t>T</w:t>
      </w:r>
      <w:r w:rsidR="009D6C73" w:rsidRPr="00083E19">
        <w:rPr>
          <w:rFonts w:asciiTheme="majorBidi" w:hAnsiTheme="majorBidi" w:cstheme="majorBidi"/>
          <w:b/>
          <w:bCs/>
          <w:i w:val="0"/>
          <w:iCs w:val="0"/>
          <w:color w:val="auto"/>
          <w:sz w:val="20"/>
          <w:szCs w:val="20"/>
        </w:rPr>
        <w:t>able 4</w:t>
      </w:r>
    </w:p>
    <w:p w14:paraId="0F8FA93D" w14:textId="7863AB49" w:rsidR="000C5685" w:rsidRPr="00083E19" w:rsidRDefault="000C5685" w:rsidP="00514BEE">
      <w:pPr>
        <w:rPr>
          <w:rFonts w:asciiTheme="majorBidi" w:hAnsiTheme="majorBidi" w:cstheme="majorBidi"/>
          <w:sz w:val="20"/>
          <w:szCs w:val="20"/>
        </w:rPr>
      </w:pPr>
      <w:r w:rsidRPr="00083E19">
        <w:rPr>
          <w:rFonts w:asciiTheme="majorBidi" w:hAnsiTheme="majorBidi" w:cstheme="majorBidi"/>
          <w:i/>
          <w:iCs/>
          <w:sz w:val="20"/>
          <w:szCs w:val="20"/>
        </w:rPr>
        <w:t xml:space="preserve">Quality Appraisal Ratings across Studies </w:t>
      </w:r>
      <w:r w:rsidR="001B0BE3" w:rsidRPr="00083E19">
        <w:rPr>
          <w:rFonts w:asciiTheme="majorBidi" w:hAnsiTheme="majorBidi" w:cstheme="majorBidi"/>
          <w:i/>
          <w:iCs/>
          <w:sz w:val="20"/>
          <w:szCs w:val="20"/>
        </w:rPr>
        <w:t xml:space="preserve">Reporting the Association between Loneliness and Anxiety/Depression in </w:t>
      </w:r>
      <w:r w:rsidR="00030CB5">
        <w:rPr>
          <w:rFonts w:asciiTheme="majorBidi" w:hAnsiTheme="majorBidi" w:cstheme="majorBidi"/>
          <w:i/>
          <w:iCs/>
          <w:sz w:val="20"/>
          <w:szCs w:val="20"/>
        </w:rPr>
        <w:t>A</w:t>
      </w:r>
      <w:r w:rsidR="001B0BE3" w:rsidRPr="00083E19">
        <w:rPr>
          <w:rFonts w:asciiTheme="majorBidi" w:hAnsiTheme="majorBidi" w:cstheme="majorBidi"/>
          <w:i/>
          <w:iCs/>
          <w:sz w:val="20"/>
          <w:szCs w:val="20"/>
        </w:rPr>
        <w:t xml:space="preserve">utistic </w:t>
      </w:r>
      <w:r w:rsidR="00030CB5">
        <w:rPr>
          <w:rFonts w:asciiTheme="majorBidi" w:hAnsiTheme="majorBidi" w:cstheme="majorBidi"/>
          <w:i/>
          <w:iCs/>
          <w:sz w:val="20"/>
          <w:szCs w:val="20"/>
        </w:rPr>
        <w:t>S</w:t>
      </w:r>
      <w:r w:rsidR="001B0BE3" w:rsidRPr="00083E19">
        <w:rPr>
          <w:rFonts w:asciiTheme="majorBidi" w:hAnsiTheme="majorBidi" w:cstheme="majorBidi"/>
          <w:i/>
          <w:iCs/>
          <w:sz w:val="20"/>
          <w:szCs w:val="20"/>
        </w:rPr>
        <w:t>amples</w:t>
      </w:r>
    </w:p>
    <w:tbl>
      <w:tblPr>
        <w:tblStyle w:val="TableGrid3"/>
        <w:tblW w:w="13996" w:type="dxa"/>
        <w:jc w:val="center"/>
        <w:tblLayout w:type="fixed"/>
        <w:tblLook w:val="04A0" w:firstRow="1" w:lastRow="0" w:firstColumn="1" w:lastColumn="0" w:noHBand="0" w:noVBand="1"/>
      </w:tblPr>
      <w:tblGrid>
        <w:gridCol w:w="2410"/>
        <w:gridCol w:w="591"/>
        <w:gridCol w:w="1110"/>
        <w:gridCol w:w="1701"/>
        <w:gridCol w:w="1701"/>
        <w:gridCol w:w="1701"/>
        <w:gridCol w:w="1843"/>
        <w:gridCol w:w="1657"/>
        <w:gridCol w:w="14"/>
        <w:gridCol w:w="1254"/>
        <w:gridCol w:w="14"/>
      </w:tblGrid>
      <w:tr w:rsidR="000C5685" w:rsidRPr="00083E19" w14:paraId="0B035F70" w14:textId="77777777" w:rsidTr="00811382">
        <w:trPr>
          <w:trHeight w:val="369"/>
          <w:jc w:val="center"/>
        </w:trPr>
        <w:tc>
          <w:tcPr>
            <w:tcW w:w="2410" w:type="dxa"/>
            <w:vMerge w:val="restart"/>
            <w:tcBorders>
              <w:top w:val="single" w:sz="4" w:space="0" w:color="auto"/>
              <w:left w:val="nil"/>
              <w:right w:val="nil"/>
            </w:tcBorders>
            <w:vAlign w:val="center"/>
          </w:tcPr>
          <w:p w14:paraId="0657ED91" w14:textId="77777777" w:rsidR="000C5685" w:rsidRPr="00083E19" w:rsidRDefault="000C5685" w:rsidP="00506716">
            <w:pPr>
              <w:spacing w:line="360" w:lineRule="auto"/>
              <w:jc w:val="center"/>
              <w:rPr>
                <w:rFonts w:asciiTheme="majorBidi" w:hAnsiTheme="majorBidi" w:cstheme="majorBidi"/>
                <w:b/>
                <w:sz w:val="20"/>
                <w:szCs w:val="20"/>
              </w:rPr>
            </w:pPr>
            <w:r w:rsidRPr="00083E19">
              <w:rPr>
                <w:rFonts w:asciiTheme="majorBidi" w:hAnsiTheme="majorBidi" w:cstheme="majorBidi"/>
                <w:b/>
                <w:sz w:val="20"/>
                <w:szCs w:val="20"/>
              </w:rPr>
              <w:t>Study</w:t>
            </w:r>
          </w:p>
        </w:tc>
        <w:tc>
          <w:tcPr>
            <w:tcW w:w="591" w:type="dxa"/>
            <w:tcBorders>
              <w:top w:val="single" w:sz="4" w:space="0" w:color="auto"/>
              <w:left w:val="nil"/>
              <w:right w:val="nil"/>
            </w:tcBorders>
          </w:tcPr>
          <w:p w14:paraId="76417E4F" w14:textId="77777777" w:rsidR="000C5685" w:rsidRPr="00083E19" w:rsidRDefault="000C5685" w:rsidP="00506716">
            <w:pPr>
              <w:spacing w:before="120" w:line="360" w:lineRule="auto"/>
              <w:ind w:right="595"/>
              <w:jc w:val="center"/>
              <w:rPr>
                <w:rFonts w:asciiTheme="majorBidi" w:hAnsiTheme="majorBidi" w:cstheme="majorBidi"/>
                <w:b/>
                <w:sz w:val="20"/>
                <w:szCs w:val="20"/>
              </w:rPr>
            </w:pPr>
          </w:p>
        </w:tc>
        <w:tc>
          <w:tcPr>
            <w:tcW w:w="9727" w:type="dxa"/>
            <w:gridSpan w:val="7"/>
            <w:tcBorders>
              <w:top w:val="single" w:sz="4" w:space="0" w:color="auto"/>
              <w:left w:val="nil"/>
              <w:right w:val="nil"/>
            </w:tcBorders>
            <w:vAlign w:val="center"/>
          </w:tcPr>
          <w:p w14:paraId="4997841A" w14:textId="77777777" w:rsidR="000C5685" w:rsidRPr="00083E19" w:rsidRDefault="000C5685" w:rsidP="00506716">
            <w:pPr>
              <w:spacing w:before="120" w:line="360" w:lineRule="auto"/>
              <w:ind w:right="595"/>
              <w:jc w:val="center"/>
              <w:rPr>
                <w:rFonts w:asciiTheme="majorBidi" w:hAnsiTheme="majorBidi" w:cstheme="majorBidi"/>
                <w:b/>
                <w:sz w:val="20"/>
                <w:szCs w:val="20"/>
              </w:rPr>
            </w:pPr>
            <w:r w:rsidRPr="00083E19">
              <w:rPr>
                <w:rFonts w:asciiTheme="majorBidi" w:hAnsiTheme="majorBidi" w:cstheme="majorBidi"/>
                <w:b/>
                <w:sz w:val="20"/>
                <w:szCs w:val="20"/>
              </w:rPr>
              <w:t>Component Rating Quality</w:t>
            </w:r>
          </w:p>
        </w:tc>
        <w:tc>
          <w:tcPr>
            <w:tcW w:w="1268" w:type="dxa"/>
            <w:gridSpan w:val="2"/>
            <w:tcBorders>
              <w:top w:val="single" w:sz="4" w:space="0" w:color="auto"/>
              <w:left w:val="nil"/>
              <w:bottom w:val="single" w:sz="4" w:space="0" w:color="auto"/>
              <w:right w:val="nil"/>
            </w:tcBorders>
            <w:vAlign w:val="center"/>
          </w:tcPr>
          <w:p w14:paraId="54B3A665" w14:textId="5D010E88" w:rsidR="000C5685" w:rsidRPr="00083E19" w:rsidRDefault="000C5685" w:rsidP="004F3901">
            <w:pPr>
              <w:jc w:val="center"/>
              <w:rPr>
                <w:rFonts w:asciiTheme="majorBidi" w:hAnsiTheme="majorBidi" w:cstheme="majorBidi"/>
                <w:b/>
                <w:sz w:val="20"/>
                <w:szCs w:val="20"/>
              </w:rPr>
            </w:pPr>
          </w:p>
        </w:tc>
      </w:tr>
      <w:tr w:rsidR="00811382" w:rsidRPr="00083E19" w14:paraId="3912CCDA" w14:textId="77777777" w:rsidTr="00811382">
        <w:trPr>
          <w:gridAfter w:val="1"/>
          <w:wAfter w:w="14" w:type="dxa"/>
          <w:trHeight w:val="550"/>
          <w:jc w:val="center"/>
        </w:trPr>
        <w:tc>
          <w:tcPr>
            <w:tcW w:w="2410" w:type="dxa"/>
            <w:vMerge/>
            <w:tcBorders>
              <w:left w:val="nil"/>
              <w:bottom w:val="single" w:sz="4" w:space="0" w:color="auto"/>
              <w:right w:val="nil"/>
            </w:tcBorders>
            <w:vAlign w:val="center"/>
          </w:tcPr>
          <w:p w14:paraId="1B711100" w14:textId="77777777" w:rsidR="00811382" w:rsidRPr="00083E19" w:rsidRDefault="00811382" w:rsidP="00506716">
            <w:pPr>
              <w:spacing w:line="360" w:lineRule="auto"/>
              <w:jc w:val="center"/>
              <w:rPr>
                <w:rFonts w:asciiTheme="majorBidi" w:hAnsiTheme="majorBidi" w:cstheme="majorBidi"/>
                <w:sz w:val="20"/>
                <w:szCs w:val="20"/>
              </w:rPr>
            </w:pPr>
          </w:p>
        </w:tc>
        <w:tc>
          <w:tcPr>
            <w:tcW w:w="1701" w:type="dxa"/>
            <w:gridSpan w:val="2"/>
            <w:tcBorders>
              <w:left w:val="nil"/>
              <w:bottom w:val="single" w:sz="4" w:space="0" w:color="auto"/>
              <w:right w:val="nil"/>
            </w:tcBorders>
            <w:vAlign w:val="center"/>
          </w:tcPr>
          <w:p w14:paraId="5BA5E126" w14:textId="77777777" w:rsidR="00811382" w:rsidRPr="00083E19" w:rsidRDefault="00811382" w:rsidP="00506716">
            <w:pPr>
              <w:spacing w:before="80" w:line="276" w:lineRule="auto"/>
              <w:jc w:val="center"/>
              <w:rPr>
                <w:rFonts w:asciiTheme="majorBidi" w:hAnsiTheme="majorBidi" w:cstheme="majorBidi"/>
                <w:b/>
                <w:sz w:val="20"/>
                <w:szCs w:val="20"/>
              </w:rPr>
            </w:pPr>
            <w:r w:rsidRPr="00083E19">
              <w:rPr>
                <w:rFonts w:asciiTheme="majorBidi" w:hAnsiTheme="majorBidi" w:cstheme="majorBidi"/>
                <w:b/>
                <w:sz w:val="20"/>
                <w:szCs w:val="20"/>
              </w:rPr>
              <w:t>Management of Selection Bias</w:t>
            </w:r>
          </w:p>
        </w:tc>
        <w:tc>
          <w:tcPr>
            <w:tcW w:w="1701" w:type="dxa"/>
            <w:tcBorders>
              <w:left w:val="nil"/>
              <w:bottom w:val="single" w:sz="4" w:space="0" w:color="auto"/>
              <w:right w:val="nil"/>
            </w:tcBorders>
            <w:vAlign w:val="center"/>
          </w:tcPr>
          <w:p w14:paraId="05BB58D5" w14:textId="77777777" w:rsidR="00811382" w:rsidRPr="00083E19" w:rsidRDefault="00811382" w:rsidP="00506716">
            <w:pPr>
              <w:spacing w:before="80" w:line="276" w:lineRule="auto"/>
              <w:ind w:left="21" w:right="78"/>
              <w:jc w:val="center"/>
              <w:rPr>
                <w:rFonts w:asciiTheme="majorBidi" w:hAnsiTheme="majorBidi" w:cstheme="majorBidi"/>
                <w:b/>
                <w:sz w:val="20"/>
                <w:szCs w:val="20"/>
              </w:rPr>
            </w:pPr>
            <w:r w:rsidRPr="00083E19">
              <w:rPr>
                <w:rFonts w:asciiTheme="majorBidi" w:hAnsiTheme="majorBidi" w:cstheme="majorBidi"/>
                <w:b/>
                <w:sz w:val="20"/>
                <w:szCs w:val="20"/>
              </w:rPr>
              <w:t>Study Design</w:t>
            </w:r>
          </w:p>
        </w:tc>
        <w:tc>
          <w:tcPr>
            <w:tcW w:w="1701" w:type="dxa"/>
            <w:tcBorders>
              <w:left w:val="nil"/>
              <w:bottom w:val="single" w:sz="4" w:space="0" w:color="auto"/>
              <w:right w:val="nil"/>
            </w:tcBorders>
            <w:vAlign w:val="center"/>
          </w:tcPr>
          <w:p w14:paraId="1206BFD0" w14:textId="77777777" w:rsidR="00811382" w:rsidRPr="00083E19" w:rsidRDefault="00811382" w:rsidP="00506716">
            <w:pPr>
              <w:spacing w:before="80" w:line="276" w:lineRule="auto"/>
              <w:ind w:left="58"/>
              <w:jc w:val="center"/>
              <w:rPr>
                <w:rFonts w:asciiTheme="majorBidi" w:hAnsiTheme="majorBidi" w:cstheme="majorBidi"/>
                <w:b/>
                <w:sz w:val="20"/>
                <w:szCs w:val="20"/>
              </w:rPr>
            </w:pPr>
            <w:r w:rsidRPr="00083E19">
              <w:rPr>
                <w:rFonts w:asciiTheme="majorBidi" w:hAnsiTheme="majorBidi" w:cstheme="majorBidi"/>
                <w:b/>
                <w:sz w:val="20"/>
                <w:szCs w:val="20"/>
              </w:rPr>
              <w:t>Data Collection</w:t>
            </w:r>
          </w:p>
        </w:tc>
        <w:tc>
          <w:tcPr>
            <w:tcW w:w="1701" w:type="dxa"/>
            <w:tcBorders>
              <w:left w:val="nil"/>
              <w:bottom w:val="single" w:sz="4" w:space="0" w:color="auto"/>
              <w:right w:val="nil"/>
            </w:tcBorders>
            <w:vAlign w:val="center"/>
          </w:tcPr>
          <w:p w14:paraId="27F93AB2" w14:textId="77777777" w:rsidR="00811382" w:rsidRPr="00083E19" w:rsidRDefault="00811382" w:rsidP="00506716">
            <w:pPr>
              <w:spacing w:before="80" w:line="276" w:lineRule="auto"/>
              <w:jc w:val="center"/>
              <w:rPr>
                <w:rFonts w:asciiTheme="majorBidi" w:hAnsiTheme="majorBidi" w:cstheme="majorBidi"/>
                <w:b/>
                <w:sz w:val="20"/>
                <w:szCs w:val="20"/>
              </w:rPr>
            </w:pPr>
            <w:r w:rsidRPr="00083E19">
              <w:rPr>
                <w:rFonts w:asciiTheme="majorBidi" w:hAnsiTheme="majorBidi" w:cstheme="majorBidi"/>
                <w:b/>
                <w:sz w:val="20"/>
                <w:szCs w:val="20"/>
              </w:rPr>
              <w:t>Management of Attrition</w:t>
            </w:r>
          </w:p>
        </w:tc>
        <w:tc>
          <w:tcPr>
            <w:tcW w:w="1843" w:type="dxa"/>
            <w:tcBorders>
              <w:left w:val="nil"/>
              <w:bottom w:val="single" w:sz="4" w:space="0" w:color="auto"/>
              <w:right w:val="nil"/>
            </w:tcBorders>
            <w:vAlign w:val="center"/>
          </w:tcPr>
          <w:p w14:paraId="1F4D97FB" w14:textId="77777777" w:rsidR="00811382" w:rsidRPr="00083E19" w:rsidRDefault="00811382" w:rsidP="00506716">
            <w:pPr>
              <w:spacing w:before="80" w:line="276" w:lineRule="auto"/>
              <w:jc w:val="center"/>
              <w:rPr>
                <w:rFonts w:asciiTheme="majorBidi" w:hAnsiTheme="majorBidi" w:cstheme="majorBidi"/>
                <w:b/>
                <w:sz w:val="20"/>
                <w:szCs w:val="20"/>
              </w:rPr>
            </w:pPr>
            <w:r w:rsidRPr="00083E19">
              <w:rPr>
                <w:rFonts w:asciiTheme="majorBidi" w:hAnsiTheme="majorBidi" w:cstheme="majorBidi"/>
                <w:b/>
                <w:sz w:val="20"/>
                <w:szCs w:val="20"/>
              </w:rPr>
              <w:t>ASD Diagnosis Confirmation</w:t>
            </w:r>
          </w:p>
        </w:tc>
        <w:tc>
          <w:tcPr>
            <w:tcW w:w="1657" w:type="dxa"/>
            <w:tcBorders>
              <w:left w:val="nil"/>
              <w:bottom w:val="single" w:sz="4" w:space="0" w:color="auto"/>
              <w:right w:val="nil"/>
            </w:tcBorders>
            <w:vAlign w:val="center"/>
          </w:tcPr>
          <w:p w14:paraId="7ECC3F70" w14:textId="77777777" w:rsidR="00811382" w:rsidRPr="00083E19" w:rsidRDefault="00811382" w:rsidP="00506716">
            <w:pPr>
              <w:spacing w:before="80" w:line="276" w:lineRule="auto"/>
              <w:jc w:val="center"/>
              <w:rPr>
                <w:rFonts w:asciiTheme="majorBidi" w:hAnsiTheme="majorBidi" w:cstheme="majorBidi"/>
                <w:b/>
                <w:sz w:val="20"/>
                <w:szCs w:val="20"/>
              </w:rPr>
            </w:pPr>
            <w:r w:rsidRPr="00083E19">
              <w:rPr>
                <w:rFonts w:asciiTheme="majorBidi" w:hAnsiTheme="majorBidi" w:cstheme="majorBidi"/>
                <w:b/>
                <w:sz w:val="20"/>
                <w:szCs w:val="20"/>
              </w:rPr>
              <w:t>Cognitive Functioning Assessment</w:t>
            </w:r>
          </w:p>
        </w:tc>
        <w:tc>
          <w:tcPr>
            <w:tcW w:w="1268" w:type="dxa"/>
            <w:gridSpan w:val="2"/>
            <w:tcBorders>
              <w:top w:val="nil"/>
              <w:left w:val="nil"/>
              <w:bottom w:val="single" w:sz="4" w:space="0" w:color="auto"/>
              <w:right w:val="nil"/>
            </w:tcBorders>
            <w:vAlign w:val="center"/>
          </w:tcPr>
          <w:p w14:paraId="7CAAA1EC" w14:textId="0C976E2C" w:rsidR="00811382" w:rsidRPr="00083E19" w:rsidRDefault="00811382" w:rsidP="004F3901">
            <w:pPr>
              <w:jc w:val="center"/>
              <w:rPr>
                <w:rFonts w:asciiTheme="majorBidi" w:hAnsiTheme="majorBidi" w:cstheme="majorBidi"/>
                <w:sz w:val="20"/>
                <w:szCs w:val="20"/>
              </w:rPr>
            </w:pPr>
            <w:r w:rsidRPr="00083E19">
              <w:rPr>
                <w:rFonts w:asciiTheme="majorBidi" w:hAnsiTheme="majorBidi" w:cstheme="majorBidi"/>
                <w:b/>
                <w:sz w:val="20"/>
                <w:szCs w:val="20"/>
              </w:rPr>
              <w:t>Global Quality Rating</w:t>
            </w:r>
          </w:p>
        </w:tc>
      </w:tr>
      <w:tr w:rsidR="00E64FF1" w:rsidRPr="00083E19" w14:paraId="5DD76818" w14:textId="77777777" w:rsidTr="00B47D1E">
        <w:trPr>
          <w:gridAfter w:val="1"/>
          <w:wAfter w:w="14" w:type="dxa"/>
          <w:trHeight w:val="398"/>
          <w:jc w:val="center"/>
        </w:trPr>
        <w:tc>
          <w:tcPr>
            <w:tcW w:w="2410" w:type="dxa"/>
            <w:tcBorders>
              <w:top w:val="single" w:sz="4" w:space="0" w:color="auto"/>
              <w:left w:val="nil"/>
              <w:right w:val="nil"/>
            </w:tcBorders>
            <w:vAlign w:val="center"/>
          </w:tcPr>
          <w:p w14:paraId="4092A8BF" w14:textId="4998029C" w:rsidR="00E64FF1" w:rsidRPr="00083E19" w:rsidRDefault="00B422C9" w:rsidP="00506716">
            <w:pPr>
              <w:rPr>
                <w:rFonts w:asciiTheme="majorBidi" w:hAnsiTheme="majorBidi" w:cstheme="majorBidi"/>
                <w:color w:val="000000"/>
                <w:sz w:val="20"/>
                <w:szCs w:val="20"/>
              </w:rPr>
            </w:pPr>
            <w:proofErr w:type="spellStart"/>
            <w:r w:rsidRPr="00083E19">
              <w:rPr>
                <w:rFonts w:asciiTheme="majorBidi" w:hAnsiTheme="majorBidi" w:cstheme="majorBidi"/>
                <w:color w:val="000000"/>
                <w:sz w:val="20"/>
                <w:szCs w:val="20"/>
              </w:rPr>
              <w:t>Capriola</w:t>
            </w:r>
            <w:proofErr w:type="spellEnd"/>
            <w:r w:rsidRPr="00083E19">
              <w:rPr>
                <w:rFonts w:asciiTheme="majorBidi" w:hAnsiTheme="majorBidi" w:cstheme="majorBidi"/>
                <w:color w:val="000000"/>
                <w:sz w:val="20"/>
                <w:szCs w:val="20"/>
              </w:rPr>
              <w:t>-Hall et al., (2021)</w:t>
            </w:r>
          </w:p>
        </w:tc>
        <w:tc>
          <w:tcPr>
            <w:tcW w:w="1701" w:type="dxa"/>
            <w:gridSpan w:val="2"/>
            <w:tcBorders>
              <w:top w:val="single" w:sz="4" w:space="0" w:color="auto"/>
              <w:left w:val="nil"/>
              <w:right w:val="nil"/>
            </w:tcBorders>
            <w:vAlign w:val="center"/>
          </w:tcPr>
          <w:p w14:paraId="55607BAE" w14:textId="68B748C0" w:rsidR="00E64FF1" w:rsidRPr="00083E19" w:rsidRDefault="00B47D1E" w:rsidP="00506716">
            <w:pPr>
              <w:spacing w:line="360" w:lineRule="auto"/>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Weak</w:t>
            </w:r>
          </w:p>
        </w:tc>
        <w:tc>
          <w:tcPr>
            <w:tcW w:w="1701" w:type="dxa"/>
            <w:tcBorders>
              <w:top w:val="single" w:sz="4" w:space="0" w:color="auto"/>
              <w:left w:val="nil"/>
              <w:right w:val="nil"/>
            </w:tcBorders>
            <w:vAlign w:val="center"/>
          </w:tcPr>
          <w:p w14:paraId="7175A94F" w14:textId="7ED3E23C" w:rsidR="00E64FF1" w:rsidRPr="00083E19" w:rsidRDefault="00B47D1E" w:rsidP="00506716">
            <w:pPr>
              <w:spacing w:line="360" w:lineRule="auto"/>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Strong</w:t>
            </w:r>
          </w:p>
        </w:tc>
        <w:tc>
          <w:tcPr>
            <w:tcW w:w="1701" w:type="dxa"/>
            <w:tcBorders>
              <w:top w:val="single" w:sz="4" w:space="0" w:color="auto"/>
              <w:left w:val="nil"/>
              <w:right w:val="nil"/>
            </w:tcBorders>
            <w:vAlign w:val="center"/>
          </w:tcPr>
          <w:p w14:paraId="49ED3981" w14:textId="51220AC1" w:rsidR="00E64FF1" w:rsidRPr="00083E19" w:rsidRDefault="00B47D1E" w:rsidP="00506716">
            <w:pPr>
              <w:spacing w:line="360" w:lineRule="auto"/>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c>
          <w:tcPr>
            <w:tcW w:w="1701" w:type="dxa"/>
            <w:tcBorders>
              <w:top w:val="single" w:sz="4" w:space="0" w:color="auto"/>
              <w:left w:val="nil"/>
              <w:right w:val="nil"/>
            </w:tcBorders>
            <w:vAlign w:val="center"/>
          </w:tcPr>
          <w:p w14:paraId="2CC3E2CE" w14:textId="40580B0D" w:rsidR="00E64FF1" w:rsidRPr="00083E19" w:rsidRDefault="00B47D1E" w:rsidP="00506716">
            <w:pPr>
              <w:spacing w:line="360" w:lineRule="auto"/>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Weak</w:t>
            </w:r>
          </w:p>
        </w:tc>
        <w:tc>
          <w:tcPr>
            <w:tcW w:w="1843" w:type="dxa"/>
            <w:tcBorders>
              <w:top w:val="single" w:sz="4" w:space="0" w:color="auto"/>
              <w:left w:val="nil"/>
              <w:right w:val="nil"/>
            </w:tcBorders>
            <w:vAlign w:val="center"/>
          </w:tcPr>
          <w:p w14:paraId="71E0C39D" w14:textId="53CC1732" w:rsidR="00E64FF1" w:rsidRPr="00083E19" w:rsidRDefault="00B47D1E" w:rsidP="00506716">
            <w:pPr>
              <w:spacing w:line="360" w:lineRule="auto"/>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Strong</w:t>
            </w:r>
          </w:p>
        </w:tc>
        <w:tc>
          <w:tcPr>
            <w:tcW w:w="1657" w:type="dxa"/>
            <w:tcBorders>
              <w:top w:val="single" w:sz="4" w:space="0" w:color="auto"/>
              <w:left w:val="nil"/>
              <w:right w:val="nil"/>
            </w:tcBorders>
            <w:vAlign w:val="center"/>
          </w:tcPr>
          <w:p w14:paraId="56BD4283" w14:textId="3CC7862F" w:rsidR="00E64FF1" w:rsidRPr="00083E19" w:rsidRDefault="00B47D1E" w:rsidP="00506716">
            <w:pPr>
              <w:spacing w:line="360" w:lineRule="auto"/>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c>
          <w:tcPr>
            <w:tcW w:w="1268" w:type="dxa"/>
            <w:gridSpan w:val="2"/>
            <w:tcBorders>
              <w:top w:val="single" w:sz="4" w:space="0" w:color="auto"/>
              <w:left w:val="nil"/>
              <w:bottom w:val="single" w:sz="4" w:space="0" w:color="auto"/>
              <w:right w:val="nil"/>
            </w:tcBorders>
            <w:shd w:val="clear" w:color="auto" w:fill="F4B083" w:themeFill="accent2" w:themeFillTint="99"/>
            <w:vAlign w:val="center"/>
          </w:tcPr>
          <w:p w14:paraId="35AD8BC2" w14:textId="4F266448" w:rsidR="00E64FF1" w:rsidRPr="00083E19" w:rsidRDefault="00B47D1E" w:rsidP="00506716">
            <w:pPr>
              <w:spacing w:line="360" w:lineRule="auto"/>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Weak</w:t>
            </w:r>
          </w:p>
        </w:tc>
      </w:tr>
      <w:tr w:rsidR="00811382" w:rsidRPr="00083E19" w14:paraId="021DC07D" w14:textId="77777777" w:rsidTr="00811382">
        <w:trPr>
          <w:gridAfter w:val="1"/>
          <w:wAfter w:w="14" w:type="dxa"/>
          <w:trHeight w:val="398"/>
          <w:jc w:val="center"/>
        </w:trPr>
        <w:tc>
          <w:tcPr>
            <w:tcW w:w="2410" w:type="dxa"/>
            <w:tcBorders>
              <w:top w:val="single" w:sz="4" w:space="0" w:color="auto"/>
              <w:left w:val="nil"/>
              <w:right w:val="nil"/>
            </w:tcBorders>
            <w:vAlign w:val="center"/>
          </w:tcPr>
          <w:p w14:paraId="21499340" w14:textId="77777777" w:rsidR="00811382" w:rsidRPr="00083E19" w:rsidRDefault="00811382" w:rsidP="00506716">
            <w:pPr>
              <w:rPr>
                <w:rFonts w:asciiTheme="majorBidi" w:hAnsiTheme="majorBidi" w:cstheme="majorBidi"/>
                <w:sz w:val="20"/>
                <w:szCs w:val="20"/>
              </w:rPr>
            </w:pPr>
            <w:r w:rsidRPr="00083E19">
              <w:rPr>
                <w:rFonts w:asciiTheme="majorBidi" w:hAnsiTheme="majorBidi" w:cstheme="majorBidi"/>
                <w:color w:val="000000"/>
                <w:sz w:val="20"/>
                <w:szCs w:val="20"/>
              </w:rPr>
              <w:t>Chang et al. (2019)</w:t>
            </w:r>
          </w:p>
        </w:tc>
        <w:tc>
          <w:tcPr>
            <w:tcW w:w="1701" w:type="dxa"/>
            <w:gridSpan w:val="2"/>
            <w:tcBorders>
              <w:top w:val="single" w:sz="4" w:space="0" w:color="auto"/>
              <w:left w:val="nil"/>
              <w:right w:val="nil"/>
            </w:tcBorders>
            <w:vAlign w:val="center"/>
          </w:tcPr>
          <w:p w14:paraId="1EA2BFBD"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top w:val="single" w:sz="4" w:space="0" w:color="auto"/>
              <w:left w:val="nil"/>
              <w:right w:val="nil"/>
            </w:tcBorders>
            <w:vAlign w:val="center"/>
          </w:tcPr>
          <w:p w14:paraId="64A2860E"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top w:val="single" w:sz="4" w:space="0" w:color="auto"/>
              <w:left w:val="nil"/>
              <w:right w:val="nil"/>
            </w:tcBorders>
            <w:vAlign w:val="center"/>
          </w:tcPr>
          <w:p w14:paraId="27409A27"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top w:val="single" w:sz="4" w:space="0" w:color="auto"/>
              <w:left w:val="nil"/>
              <w:right w:val="nil"/>
            </w:tcBorders>
            <w:vAlign w:val="center"/>
          </w:tcPr>
          <w:p w14:paraId="74668F8C"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843" w:type="dxa"/>
            <w:tcBorders>
              <w:top w:val="single" w:sz="4" w:space="0" w:color="auto"/>
              <w:left w:val="nil"/>
              <w:right w:val="nil"/>
            </w:tcBorders>
            <w:vAlign w:val="center"/>
          </w:tcPr>
          <w:p w14:paraId="1D9DF5B5"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657" w:type="dxa"/>
            <w:tcBorders>
              <w:top w:val="single" w:sz="4" w:space="0" w:color="auto"/>
              <w:left w:val="nil"/>
              <w:right w:val="nil"/>
            </w:tcBorders>
            <w:vAlign w:val="center"/>
          </w:tcPr>
          <w:p w14:paraId="4FE7E05E"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268" w:type="dxa"/>
            <w:gridSpan w:val="2"/>
            <w:tcBorders>
              <w:top w:val="single" w:sz="4" w:space="0" w:color="auto"/>
              <w:left w:val="nil"/>
              <w:bottom w:val="single" w:sz="4" w:space="0" w:color="auto"/>
              <w:right w:val="nil"/>
            </w:tcBorders>
            <w:shd w:val="clear" w:color="auto" w:fill="FFD966" w:themeFill="accent4" w:themeFillTint="99"/>
            <w:vAlign w:val="center"/>
          </w:tcPr>
          <w:p w14:paraId="0D975828" w14:textId="77777777" w:rsidR="00811382" w:rsidRPr="00083E19" w:rsidRDefault="00811382" w:rsidP="00506716">
            <w:pPr>
              <w:spacing w:line="360" w:lineRule="auto"/>
              <w:jc w:val="center"/>
              <w:rPr>
                <w:rFonts w:asciiTheme="majorBidi" w:hAnsiTheme="majorBidi" w:cstheme="majorBidi"/>
                <w:b/>
                <w:sz w:val="20"/>
                <w:szCs w:val="20"/>
              </w:rPr>
            </w:pPr>
            <w:r w:rsidRPr="00083E19">
              <w:rPr>
                <w:rFonts w:asciiTheme="majorBidi" w:hAnsiTheme="majorBidi" w:cstheme="majorBidi"/>
                <w:color w:val="000000"/>
                <w:sz w:val="20"/>
                <w:szCs w:val="20"/>
              </w:rPr>
              <w:t>Moderate</w:t>
            </w:r>
          </w:p>
        </w:tc>
      </w:tr>
      <w:tr w:rsidR="00811382" w:rsidRPr="00083E19" w14:paraId="5285BD2E" w14:textId="77777777" w:rsidTr="00811382">
        <w:trPr>
          <w:gridAfter w:val="1"/>
          <w:wAfter w:w="14" w:type="dxa"/>
          <w:trHeight w:val="430"/>
          <w:jc w:val="center"/>
        </w:trPr>
        <w:tc>
          <w:tcPr>
            <w:tcW w:w="2410" w:type="dxa"/>
            <w:tcBorders>
              <w:left w:val="nil"/>
              <w:right w:val="nil"/>
            </w:tcBorders>
            <w:vAlign w:val="center"/>
          </w:tcPr>
          <w:p w14:paraId="4A6E399A" w14:textId="77777777" w:rsidR="00811382" w:rsidRPr="00083E19" w:rsidRDefault="00811382" w:rsidP="00506716">
            <w:pPr>
              <w:rPr>
                <w:rFonts w:asciiTheme="majorBidi" w:hAnsiTheme="majorBidi" w:cstheme="majorBidi"/>
                <w:sz w:val="20"/>
                <w:szCs w:val="20"/>
              </w:rPr>
            </w:pPr>
            <w:proofErr w:type="spellStart"/>
            <w:r w:rsidRPr="00083E19">
              <w:rPr>
                <w:rFonts w:asciiTheme="majorBidi" w:hAnsiTheme="majorBidi" w:cstheme="majorBidi"/>
                <w:color w:val="000000"/>
                <w:sz w:val="20"/>
                <w:szCs w:val="20"/>
              </w:rPr>
              <w:t>Deckers</w:t>
            </w:r>
            <w:proofErr w:type="spellEnd"/>
            <w:r w:rsidRPr="00083E19">
              <w:rPr>
                <w:rFonts w:asciiTheme="majorBidi" w:hAnsiTheme="majorBidi" w:cstheme="majorBidi"/>
                <w:color w:val="000000"/>
                <w:sz w:val="20"/>
                <w:szCs w:val="20"/>
              </w:rPr>
              <w:t xml:space="preserve"> et al. (2017)</w:t>
            </w:r>
          </w:p>
        </w:tc>
        <w:tc>
          <w:tcPr>
            <w:tcW w:w="1701" w:type="dxa"/>
            <w:gridSpan w:val="2"/>
            <w:tcBorders>
              <w:left w:val="nil"/>
              <w:right w:val="nil"/>
            </w:tcBorders>
            <w:vAlign w:val="center"/>
          </w:tcPr>
          <w:p w14:paraId="01A499A6"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701" w:type="dxa"/>
            <w:tcBorders>
              <w:left w:val="nil"/>
              <w:right w:val="nil"/>
            </w:tcBorders>
            <w:vAlign w:val="center"/>
          </w:tcPr>
          <w:p w14:paraId="22A73179"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414F40B9"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1872DB2E"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843" w:type="dxa"/>
            <w:tcBorders>
              <w:left w:val="nil"/>
              <w:right w:val="nil"/>
            </w:tcBorders>
            <w:vAlign w:val="center"/>
          </w:tcPr>
          <w:p w14:paraId="094F3DF8" w14:textId="30236D49"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657" w:type="dxa"/>
            <w:tcBorders>
              <w:left w:val="nil"/>
              <w:right w:val="nil"/>
            </w:tcBorders>
            <w:vAlign w:val="center"/>
          </w:tcPr>
          <w:p w14:paraId="400906CB"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268" w:type="dxa"/>
            <w:gridSpan w:val="2"/>
            <w:tcBorders>
              <w:top w:val="single" w:sz="4" w:space="0" w:color="auto"/>
              <w:left w:val="nil"/>
              <w:bottom w:val="single" w:sz="4" w:space="0" w:color="auto"/>
              <w:right w:val="nil"/>
            </w:tcBorders>
            <w:shd w:val="clear" w:color="auto" w:fill="F4B083" w:themeFill="accent2" w:themeFillTint="99"/>
            <w:vAlign w:val="center"/>
          </w:tcPr>
          <w:p w14:paraId="35568053" w14:textId="77777777" w:rsidR="00811382" w:rsidRPr="00083E19" w:rsidRDefault="00811382" w:rsidP="00506716">
            <w:pPr>
              <w:spacing w:line="360" w:lineRule="auto"/>
              <w:jc w:val="center"/>
              <w:rPr>
                <w:rFonts w:asciiTheme="majorBidi" w:hAnsiTheme="majorBidi" w:cstheme="majorBidi"/>
                <w:b/>
                <w:sz w:val="20"/>
                <w:szCs w:val="20"/>
              </w:rPr>
            </w:pPr>
            <w:r w:rsidRPr="00083E19">
              <w:rPr>
                <w:rFonts w:asciiTheme="majorBidi" w:hAnsiTheme="majorBidi" w:cstheme="majorBidi"/>
                <w:color w:val="000000"/>
                <w:sz w:val="20"/>
                <w:szCs w:val="20"/>
              </w:rPr>
              <w:t>Weak</w:t>
            </w:r>
          </w:p>
        </w:tc>
      </w:tr>
      <w:tr w:rsidR="00E64FF1" w:rsidRPr="00083E19" w14:paraId="3A463F82" w14:textId="77777777" w:rsidTr="00DA5C5A">
        <w:trPr>
          <w:gridAfter w:val="1"/>
          <w:wAfter w:w="14" w:type="dxa"/>
          <w:trHeight w:val="430"/>
          <w:jc w:val="center"/>
        </w:trPr>
        <w:tc>
          <w:tcPr>
            <w:tcW w:w="2410" w:type="dxa"/>
            <w:tcBorders>
              <w:left w:val="nil"/>
              <w:right w:val="nil"/>
            </w:tcBorders>
            <w:vAlign w:val="center"/>
          </w:tcPr>
          <w:p w14:paraId="07A78ABB" w14:textId="04338A78" w:rsidR="00E64FF1" w:rsidRPr="00083E19" w:rsidRDefault="00B422C9" w:rsidP="00506716">
            <w:pPr>
              <w:rPr>
                <w:rFonts w:asciiTheme="majorBidi" w:hAnsiTheme="majorBidi" w:cstheme="majorBidi"/>
                <w:color w:val="000000"/>
                <w:sz w:val="20"/>
                <w:szCs w:val="20"/>
              </w:rPr>
            </w:pPr>
            <w:proofErr w:type="spellStart"/>
            <w:r w:rsidRPr="00083E19">
              <w:rPr>
                <w:rFonts w:asciiTheme="majorBidi" w:hAnsiTheme="majorBidi" w:cstheme="majorBidi"/>
                <w:color w:val="000000"/>
                <w:sz w:val="20"/>
                <w:szCs w:val="20"/>
              </w:rPr>
              <w:t>Ee</w:t>
            </w:r>
            <w:proofErr w:type="spellEnd"/>
            <w:r w:rsidRPr="00083E19">
              <w:rPr>
                <w:rFonts w:asciiTheme="majorBidi" w:hAnsiTheme="majorBidi" w:cstheme="majorBidi"/>
                <w:color w:val="000000"/>
                <w:sz w:val="20"/>
                <w:szCs w:val="20"/>
              </w:rPr>
              <w:t xml:space="preserve"> et al. (2019)</w:t>
            </w:r>
          </w:p>
        </w:tc>
        <w:tc>
          <w:tcPr>
            <w:tcW w:w="1701" w:type="dxa"/>
            <w:gridSpan w:val="2"/>
            <w:tcBorders>
              <w:left w:val="nil"/>
              <w:right w:val="nil"/>
            </w:tcBorders>
            <w:vAlign w:val="center"/>
          </w:tcPr>
          <w:p w14:paraId="4181E9F2" w14:textId="1878508B" w:rsidR="00E64FF1" w:rsidRPr="00083E19" w:rsidRDefault="00B422C9" w:rsidP="00506716">
            <w:pPr>
              <w:spacing w:line="360" w:lineRule="auto"/>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2FF8C3BA" w14:textId="50BA58D5" w:rsidR="00E64FF1" w:rsidRPr="00083E19" w:rsidRDefault="00B422C9" w:rsidP="00506716">
            <w:pPr>
              <w:spacing w:line="360" w:lineRule="auto"/>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7579961A" w14:textId="7A0FD52C" w:rsidR="00E64FF1" w:rsidRPr="00083E19" w:rsidRDefault="00B422C9" w:rsidP="00506716">
            <w:pPr>
              <w:spacing w:line="360" w:lineRule="auto"/>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548053FD" w14:textId="4F6FB4F5" w:rsidR="00E64FF1" w:rsidRPr="00083E19" w:rsidRDefault="00B422C9" w:rsidP="00506716">
            <w:pPr>
              <w:spacing w:line="360" w:lineRule="auto"/>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Strong</w:t>
            </w:r>
          </w:p>
        </w:tc>
        <w:tc>
          <w:tcPr>
            <w:tcW w:w="1843" w:type="dxa"/>
            <w:tcBorders>
              <w:left w:val="nil"/>
              <w:right w:val="nil"/>
            </w:tcBorders>
            <w:vAlign w:val="center"/>
          </w:tcPr>
          <w:p w14:paraId="5A22E427" w14:textId="10918946" w:rsidR="00E64FF1" w:rsidRPr="00083E19" w:rsidRDefault="00B422C9" w:rsidP="00506716">
            <w:pPr>
              <w:spacing w:line="360" w:lineRule="auto"/>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c>
          <w:tcPr>
            <w:tcW w:w="1657" w:type="dxa"/>
            <w:tcBorders>
              <w:left w:val="nil"/>
              <w:right w:val="nil"/>
            </w:tcBorders>
            <w:vAlign w:val="center"/>
          </w:tcPr>
          <w:p w14:paraId="0797A4CE" w14:textId="4DA01065" w:rsidR="00E64FF1" w:rsidRPr="00083E19" w:rsidRDefault="00B422C9" w:rsidP="00506716">
            <w:pPr>
              <w:spacing w:line="360" w:lineRule="auto"/>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Weak</w:t>
            </w:r>
          </w:p>
        </w:tc>
        <w:tc>
          <w:tcPr>
            <w:tcW w:w="1268" w:type="dxa"/>
            <w:gridSpan w:val="2"/>
            <w:tcBorders>
              <w:top w:val="single" w:sz="4" w:space="0" w:color="auto"/>
              <w:left w:val="nil"/>
              <w:bottom w:val="single" w:sz="4" w:space="0" w:color="auto"/>
              <w:right w:val="nil"/>
            </w:tcBorders>
            <w:shd w:val="clear" w:color="auto" w:fill="FFD966" w:themeFill="accent4" w:themeFillTint="99"/>
            <w:vAlign w:val="center"/>
          </w:tcPr>
          <w:p w14:paraId="5F9A373E" w14:textId="71C460F5" w:rsidR="00E64FF1" w:rsidRPr="00083E19" w:rsidRDefault="00B47D1E" w:rsidP="00506716">
            <w:pPr>
              <w:spacing w:line="360" w:lineRule="auto"/>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r>
      <w:tr w:rsidR="00811382" w:rsidRPr="00083E19" w14:paraId="2285DB21" w14:textId="77777777" w:rsidTr="00811382">
        <w:trPr>
          <w:gridAfter w:val="1"/>
          <w:wAfter w:w="14" w:type="dxa"/>
          <w:trHeight w:val="454"/>
          <w:jc w:val="center"/>
        </w:trPr>
        <w:tc>
          <w:tcPr>
            <w:tcW w:w="2410" w:type="dxa"/>
            <w:tcBorders>
              <w:left w:val="nil"/>
              <w:right w:val="nil"/>
            </w:tcBorders>
            <w:vAlign w:val="center"/>
          </w:tcPr>
          <w:p w14:paraId="6FB75D0F" w14:textId="77777777" w:rsidR="00811382" w:rsidRPr="00083E19" w:rsidRDefault="00811382" w:rsidP="00506716">
            <w:pPr>
              <w:rPr>
                <w:rFonts w:asciiTheme="majorBidi" w:hAnsiTheme="majorBidi" w:cstheme="majorBidi"/>
                <w:sz w:val="20"/>
                <w:szCs w:val="20"/>
              </w:rPr>
            </w:pPr>
            <w:r w:rsidRPr="00083E19">
              <w:rPr>
                <w:rFonts w:asciiTheme="majorBidi" w:hAnsiTheme="majorBidi" w:cstheme="majorBidi"/>
                <w:color w:val="000000"/>
                <w:sz w:val="20"/>
                <w:szCs w:val="20"/>
              </w:rPr>
              <w:t>Han et al. (2019)</w:t>
            </w:r>
          </w:p>
        </w:tc>
        <w:tc>
          <w:tcPr>
            <w:tcW w:w="1701" w:type="dxa"/>
            <w:gridSpan w:val="2"/>
            <w:tcBorders>
              <w:left w:val="nil"/>
              <w:right w:val="nil"/>
            </w:tcBorders>
            <w:vAlign w:val="center"/>
          </w:tcPr>
          <w:p w14:paraId="6879EFFF"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28F90B0A"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4C709FEF"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17B4681F"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843" w:type="dxa"/>
            <w:tcBorders>
              <w:left w:val="nil"/>
              <w:right w:val="nil"/>
            </w:tcBorders>
            <w:vAlign w:val="center"/>
          </w:tcPr>
          <w:p w14:paraId="7F0B2DFF"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657" w:type="dxa"/>
            <w:tcBorders>
              <w:left w:val="nil"/>
              <w:right w:val="nil"/>
            </w:tcBorders>
            <w:vAlign w:val="center"/>
          </w:tcPr>
          <w:p w14:paraId="6AF08D70"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268" w:type="dxa"/>
            <w:gridSpan w:val="2"/>
            <w:tcBorders>
              <w:top w:val="single" w:sz="4" w:space="0" w:color="auto"/>
              <w:left w:val="nil"/>
              <w:bottom w:val="single" w:sz="4" w:space="0" w:color="auto"/>
              <w:right w:val="nil"/>
            </w:tcBorders>
            <w:shd w:val="clear" w:color="auto" w:fill="FFD966" w:themeFill="accent4" w:themeFillTint="99"/>
            <w:vAlign w:val="center"/>
          </w:tcPr>
          <w:p w14:paraId="296F00FE" w14:textId="77777777" w:rsidR="00811382" w:rsidRPr="00083E19" w:rsidRDefault="00811382" w:rsidP="00506716">
            <w:pPr>
              <w:spacing w:line="360" w:lineRule="auto"/>
              <w:jc w:val="center"/>
              <w:rPr>
                <w:rFonts w:asciiTheme="majorBidi" w:hAnsiTheme="majorBidi" w:cstheme="majorBidi"/>
                <w:b/>
                <w:sz w:val="20"/>
                <w:szCs w:val="20"/>
              </w:rPr>
            </w:pPr>
            <w:r w:rsidRPr="00083E19">
              <w:rPr>
                <w:rFonts w:asciiTheme="majorBidi" w:hAnsiTheme="majorBidi" w:cstheme="majorBidi"/>
                <w:color w:val="000000"/>
                <w:sz w:val="20"/>
                <w:szCs w:val="20"/>
              </w:rPr>
              <w:t>Moderate</w:t>
            </w:r>
          </w:p>
        </w:tc>
      </w:tr>
      <w:tr w:rsidR="00811382" w:rsidRPr="00083E19" w14:paraId="3EE44E81" w14:textId="77777777" w:rsidTr="00811382">
        <w:trPr>
          <w:gridAfter w:val="1"/>
          <w:wAfter w:w="14" w:type="dxa"/>
          <w:trHeight w:val="430"/>
          <w:jc w:val="center"/>
        </w:trPr>
        <w:tc>
          <w:tcPr>
            <w:tcW w:w="2410" w:type="dxa"/>
            <w:tcBorders>
              <w:left w:val="nil"/>
              <w:right w:val="nil"/>
            </w:tcBorders>
            <w:vAlign w:val="center"/>
          </w:tcPr>
          <w:p w14:paraId="04344613" w14:textId="77777777" w:rsidR="00811382" w:rsidRPr="00083E19" w:rsidRDefault="00811382" w:rsidP="00506716">
            <w:pPr>
              <w:rPr>
                <w:rFonts w:asciiTheme="majorBidi" w:hAnsiTheme="majorBidi" w:cstheme="majorBidi"/>
                <w:sz w:val="20"/>
                <w:szCs w:val="20"/>
              </w:rPr>
            </w:pPr>
            <w:proofErr w:type="gramStart"/>
            <w:r w:rsidRPr="00083E19">
              <w:rPr>
                <w:rFonts w:asciiTheme="majorBidi" w:hAnsiTheme="majorBidi" w:cstheme="majorBidi"/>
                <w:color w:val="000000"/>
                <w:sz w:val="20"/>
                <w:szCs w:val="20"/>
              </w:rPr>
              <w:t>Hedley ,</w:t>
            </w:r>
            <w:proofErr w:type="gramEnd"/>
            <w:r w:rsidRPr="00083E19">
              <w:rPr>
                <w:rFonts w:asciiTheme="majorBidi" w:hAnsiTheme="majorBidi" w:cstheme="majorBidi"/>
                <w:color w:val="000000"/>
                <w:sz w:val="20"/>
                <w:szCs w:val="20"/>
              </w:rPr>
              <w:t xml:space="preserve"> </w:t>
            </w:r>
            <w:proofErr w:type="spellStart"/>
            <w:r w:rsidRPr="00083E19">
              <w:rPr>
                <w:rFonts w:asciiTheme="majorBidi" w:hAnsiTheme="majorBidi" w:cstheme="majorBidi"/>
                <w:color w:val="000000"/>
                <w:sz w:val="20"/>
                <w:szCs w:val="20"/>
              </w:rPr>
              <w:t>Uljarević</w:t>
            </w:r>
            <w:proofErr w:type="spellEnd"/>
            <w:r w:rsidRPr="00083E19">
              <w:rPr>
                <w:rFonts w:asciiTheme="majorBidi" w:hAnsiTheme="majorBidi" w:cstheme="majorBidi"/>
                <w:color w:val="000000"/>
                <w:sz w:val="20"/>
                <w:szCs w:val="20"/>
              </w:rPr>
              <w:t>, Foley, et al. (2018)</w:t>
            </w:r>
          </w:p>
        </w:tc>
        <w:tc>
          <w:tcPr>
            <w:tcW w:w="1701" w:type="dxa"/>
            <w:gridSpan w:val="2"/>
            <w:tcBorders>
              <w:left w:val="nil"/>
              <w:right w:val="nil"/>
            </w:tcBorders>
            <w:vAlign w:val="center"/>
          </w:tcPr>
          <w:p w14:paraId="64710C82"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5FF9CD9D"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1814B891"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6DF9562F"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843" w:type="dxa"/>
            <w:tcBorders>
              <w:left w:val="nil"/>
              <w:right w:val="nil"/>
            </w:tcBorders>
            <w:vAlign w:val="center"/>
          </w:tcPr>
          <w:p w14:paraId="116C3C2B"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657" w:type="dxa"/>
            <w:tcBorders>
              <w:left w:val="nil"/>
              <w:right w:val="nil"/>
            </w:tcBorders>
            <w:vAlign w:val="center"/>
          </w:tcPr>
          <w:p w14:paraId="004CF11A"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268" w:type="dxa"/>
            <w:gridSpan w:val="2"/>
            <w:tcBorders>
              <w:top w:val="single" w:sz="4" w:space="0" w:color="auto"/>
              <w:left w:val="nil"/>
              <w:bottom w:val="single" w:sz="4" w:space="0" w:color="auto"/>
              <w:right w:val="nil"/>
            </w:tcBorders>
            <w:shd w:val="clear" w:color="auto" w:fill="FFD966" w:themeFill="accent4" w:themeFillTint="99"/>
            <w:vAlign w:val="center"/>
          </w:tcPr>
          <w:p w14:paraId="22CA1DC2" w14:textId="77777777" w:rsidR="00811382" w:rsidRPr="00083E19" w:rsidRDefault="00811382" w:rsidP="00506716">
            <w:pPr>
              <w:spacing w:line="360" w:lineRule="auto"/>
              <w:jc w:val="center"/>
              <w:rPr>
                <w:rFonts w:asciiTheme="majorBidi" w:hAnsiTheme="majorBidi" w:cstheme="majorBidi"/>
                <w:b/>
                <w:sz w:val="20"/>
                <w:szCs w:val="20"/>
              </w:rPr>
            </w:pPr>
            <w:r w:rsidRPr="00083E19">
              <w:rPr>
                <w:rFonts w:asciiTheme="majorBidi" w:hAnsiTheme="majorBidi" w:cstheme="majorBidi"/>
                <w:color w:val="000000"/>
                <w:sz w:val="20"/>
                <w:szCs w:val="20"/>
              </w:rPr>
              <w:t>Moderate</w:t>
            </w:r>
          </w:p>
        </w:tc>
      </w:tr>
      <w:tr w:rsidR="00811382" w:rsidRPr="00083E19" w14:paraId="25BE8E29" w14:textId="77777777" w:rsidTr="00811382">
        <w:trPr>
          <w:gridAfter w:val="1"/>
          <w:wAfter w:w="14" w:type="dxa"/>
          <w:trHeight w:val="418"/>
          <w:jc w:val="center"/>
        </w:trPr>
        <w:tc>
          <w:tcPr>
            <w:tcW w:w="2410" w:type="dxa"/>
            <w:tcBorders>
              <w:left w:val="nil"/>
              <w:right w:val="nil"/>
            </w:tcBorders>
            <w:vAlign w:val="center"/>
          </w:tcPr>
          <w:p w14:paraId="57A48779" w14:textId="225FE373" w:rsidR="00811382" w:rsidRPr="00083E19" w:rsidRDefault="003170B3" w:rsidP="00506716">
            <w:pPr>
              <w:rPr>
                <w:rFonts w:asciiTheme="majorBidi" w:hAnsiTheme="majorBidi" w:cstheme="majorBidi"/>
                <w:sz w:val="20"/>
                <w:szCs w:val="20"/>
              </w:rPr>
            </w:pPr>
            <w:r w:rsidRPr="00083E19">
              <w:rPr>
                <w:rFonts w:asciiTheme="majorBidi" w:hAnsiTheme="majorBidi" w:cstheme="majorBidi"/>
                <w:color w:val="000000"/>
                <w:sz w:val="20"/>
                <w:szCs w:val="20"/>
              </w:rPr>
              <w:fldChar w:fldCharType="begin" w:fldLock="1"/>
            </w:r>
            <w:r w:rsidR="0030004B" w:rsidRPr="00083E19">
              <w:rPr>
                <w:rFonts w:asciiTheme="majorBidi" w:hAnsiTheme="majorBidi" w:cstheme="majorBidi"/>
                <w:color w:val="000000"/>
                <w:sz w:val="20"/>
                <w:szCs w:val="20"/>
              </w:rPr>
              <w:instrText>ADDIN CSL_CITATION {"citationItems":[{"id":"ITEM-1","itemData":{"DOI":"10.1016/j.rasd.2017.11.003","abstract":"© 2017 Elsevier Ltd Background Individuals with Autism Spectrum Disorder (ASD) are at increased risk of suicidal ideation and behavior. This study characterized the inter-relationships between loneliness, depression and thoughts of self-harm in adults with ASD. Method Participants were 71 adults with ASD who completed questionnaires that provided information on loneliness, depression and thoughts of self-harm. Relationships between study variables were examined with correlations and a regression analysis. Two exploratory mediation models were then explored. Model 1 tested whether the relationship between depression and thoughts of self-harm was mediated through loneliness. Model 2 tested whether loneliness acted on thoughts of self-harm through depression. Results Twenty-six percent of participants met the clinical cut-off for depression and 21% reported thoughts of self-harm. Depressive symptoms, loneliness, and thoughts of self-harm were significantly correlated. Only Model 2, that identified an indirect pathway from loneliness, through depression to thoughts of self-harm, was supported. The mediator for this model accounted for 56.7% of the total effect. Conclusions This study examined potential mechanisms underlying depression and thoughts of self-harm in ASD. These results highlight a possible contribution of loneliness to depression and thoughts of self-harm, suggesting treatment options that target loneliness may prove beneficial in improving mental health outcomes in ASD.","author":[{"dropping-particle":"","family":"Hedley","given":"D.","non-dropping-particle":"","parse-names":false,"suffix":""},{"dropping-particle":"","family":"Uljarević","given":"M.","non-dropping-particle":"","parse-names":false,"suffix":""},{"dropping-particle":"","family":"Wilmot","given":"M.","non-dropping-particle":"","parse-names":false,"suffix":""},{"dropping-particle":"","family":"Richdale","given":"A.","non-dropping-particle":"","parse-names":false,"suffix":""},{"dropping-particle":"","family":"Dissanayake","given":"C.","non-dropping-particle":"","parse-names":false,"suffix":""}],"container-title":"Research in Autism Spectrum Disorders","id":"ITEM-1","issued":{"date-parts":[["2018"]]},"page":"1-7","title":"Understanding depression and thoughts of self-harm in autism: A potential mechanism involving loneliness","type":"article-journal","volume":"46"},"uris":["http://www.mendeley.com/documents/?uuid=861954dc-b0be-31ce-ac53-77225ee31167"]}],"mendeley":{"formattedCitation":"(Hedley, Uljarević, Wilmot, et al., 2018)","manualFormatting":"Hedley, Uljarević, Wilmot, et al. (2018)","plainTextFormattedCitation":"(Hedley, Uljarević, Wilmot, et al., 2018)","previouslyFormattedCitation":"(Hedley, Uljarević, Wilmot, et al., 2018)"},"properties":{"noteIndex":0},"schema":"https://github.com/citation-style-language/schema/raw/master/csl-citation.json"}</w:instrText>
            </w:r>
            <w:r w:rsidRPr="00083E19">
              <w:rPr>
                <w:rFonts w:asciiTheme="majorBidi" w:hAnsiTheme="majorBidi" w:cstheme="majorBidi"/>
                <w:color w:val="000000"/>
                <w:sz w:val="20"/>
                <w:szCs w:val="20"/>
              </w:rPr>
              <w:fldChar w:fldCharType="separate"/>
            </w:r>
            <w:r w:rsidRPr="00083E19">
              <w:rPr>
                <w:rFonts w:asciiTheme="majorBidi" w:hAnsiTheme="majorBidi" w:cstheme="majorBidi"/>
                <w:noProof/>
                <w:color w:val="000000"/>
                <w:sz w:val="20"/>
                <w:szCs w:val="20"/>
              </w:rPr>
              <w:t>Hedley, Uljarević, Wilmot, et al. (2018)</w:t>
            </w:r>
            <w:r w:rsidRPr="00083E19">
              <w:rPr>
                <w:rFonts w:asciiTheme="majorBidi" w:hAnsiTheme="majorBidi" w:cstheme="majorBidi"/>
                <w:color w:val="000000"/>
                <w:sz w:val="20"/>
                <w:szCs w:val="20"/>
              </w:rPr>
              <w:fldChar w:fldCharType="end"/>
            </w:r>
          </w:p>
        </w:tc>
        <w:tc>
          <w:tcPr>
            <w:tcW w:w="1701" w:type="dxa"/>
            <w:gridSpan w:val="2"/>
            <w:tcBorders>
              <w:left w:val="nil"/>
              <w:right w:val="nil"/>
            </w:tcBorders>
            <w:vAlign w:val="center"/>
          </w:tcPr>
          <w:p w14:paraId="5DEE1A47"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1272F029"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24C8324E"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2F3EAB2F"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843" w:type="dxa"/>
            <w:tcBorders>
              <w:left w:val="nil"/>
              <w:right w:val="nil"/>
            </w:tcBorders>
            <w:vAlign w:val="center"/>
          </w:tcPr>
          <w:p w14:paraId="123A038B"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657" w:type="dxa"/>
            <w:tcBorders>
              <w:left w:val="nil"/>
              <w:right w:val="nil"/>
            </w:tcBorders>
            <w:vAlign w:val="center"/>
          </w:tcPr>
          <w:p w14:paraId="56A69A53"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268" w:type="dxa"/>
            <w:gridSpan w:val="2"/>
            <w:tcBorders>
              <w:top w:val="single" w:sz="4" w:space="0" w:color="auto"/>
              <w:left w:val="nil"/>
              <w:bottom w:val="single" w:sz="4" w:space="0" w:color="auto"/>
              <w:right w:val="nil"/>
            </w:tcBorders>
            <w:shd w:val="clear" w:color="auto" w:fill="FFD966" w:themeFill="accent4" w:themeFillTint="99"/>
            <w:vAlign w:val="center"/>
          </w:tcPr>
          <w:p w14:paraId="507B5025" w14:textId="77777777" w:rsidR="00811382" w:rsidRPr="00083E19" w:rsidRDefault="00811382" w:rsidP="00506716">
            <w:pPr>
              <w:spacing w:line="360" w:lineRule="auto"/>
              <w:jc w:val="center"/>
              <w:rPr>
                <w:rFonts w:asciiTheme="majorBidi" w:hAnsiTheme="majorBidi" w:cstheme="majorBidi"/>
                <w:b/>
                <w:sz w:val="20"/>
                <w:szCs w:val="20"/>
              </w:rPr>
            </w:pPr>
            <w:r w:rsidRPr="00083E19">
              <w:rPr>
                <w:rFonts w:asciiTheme="majorBidi" w:hAnsiTheme="majorBidi" w:cstheme="majorBidi"/>
                <w:color w:val="000000"/>
                <w:sz w:val="20"/>
                <w:szCs w:val="20"/>
              </w:rPr>
              <w:t>Moderate</w:t>
            </w:r>
          </w:p>
        </w:tc>
      </w:tr>
      <w:tr w:rsidR="00B422C9" w:rsidRPr="00083E19" w14:paraId="57EDEC36" w14:textId="77777777" w:rsidTr="00811382">
        <w:trPr>
          <w:gridAfter w:val="1"/>
          <w:wAfter w:w="14" w:type="dxa"/>
          <w:trHeight w:val="418"/>
          <w:jc w:val="center"/>
        </w:trPr>
        <w:tc>
          <w:tcPr>
            <w:tcW w:w="2410" w:type="dxa"/>
            <w:tcBorders>
              <w:left w:val="nil"/>
              <w:right w:val="nil"/>
            </w:tcBorders>
            <w:vAlign w:val="center"/>
          </w:tcPr>
          <w:p w14:paraId="701264E8" w14:textId="5CCF9BF8" w:rsidR="00B422C9" w:rsidRPr="00083E19" w:rsidRDefault="00B422C9" w:rsidP="00B422C9">
            <w:pPr>
              <w:rPr>
                <w:rFonts w:asciiTheme="majorBidi" w:hAnsiTheme="majorBidi" w:cstheme="majorBidi"/>
                <w:color w:val="000000"/>
                <w:sz w:val="20"/>
                <w:szCs w:val="20"/>
              </w:rPr>
            </w:pPr>
            <w:r w:rsidRPr="00083E19">
              <w:rPr>
                <w:rFonts w:asciiTheme="majorBidi" w:hAnsiTheme="majorBidi" w:cstheme="majorBidi"/>
                <w:color w:val="000000"/>
                <w:sz w:val="20"/>
                <w:szCs w:val="20"/>
              </w:rPr>
              <w:t>Hymas (2021)</w:t>
            </w:r>
          </w:p>
        </w:tc>
        <w:tc>
          <w:tcPr>
            <w:tcW w:w="1701" w:type="dxa"/>
            <w:gridSpan w:val="2"/>
            <w:tcBorders>
              <w:left w:val="nil"/>
              <w:right w:val="nil"/>
            </w:tcBorders>
            <w:vAlign w:val="center"/>
          </w:tcPr>
          <w:p w14:paraId="0CB60083" w14:textId="3EEBF82C" w:rsidR="00B422C9" w:rsidRPr="00083E19" w:rsidRDefault="00B422C9" w:rsidP="00B422C9">
            <w:pPr>
              <w:spacing w:line="360" w:lineRule="auto"/>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3D3E482E" w14:textId="32FED98C" w:rsidR="00B422C9" w:rsidRPr="00083E19" w:rsidRDefault="00B422C9" w:rsidP="00B422C9">
            <w:pPr>
              <w:spacing w:line="360" w:lineRule="auto"/>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1963D518" w14:textId="3F018F94" w:rsidR="00B422C9" w:rsidRPr="00083E19" w:rsidRDefault="00B422C9" w:rsidP="00B422C9">
            <w:pPr>
              <w:spacing w:line="360" w:lineRule="auto"/>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 xml:space="preserve">Moderate </w:t>
            </w:r>
          </w:p>
        </w:tc>
        <w:tc>
          <w:tcPr>
            <w:tcW w:w="1701" w:type="dxa"/>
            <w:tcBorders>
              <w:left w:val="nil"/>
              <w:right w:val="nil"/>
            </w:tcBorders>
            <w:vAlign w:val="center"/>
          </w:tcPr>
          <w:p w14:paraId="25F2BF08" w14:textId="1435B5DE" w:rsidR="00B422C9" w:rsidRPr="00083E19" w:rsidRDefault="00B422C9" w:rsidP="00B422C9">
            <w:pPr>
              <w:spacing w:line="360" w:lineRule="auto"/>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Strong</w:t>
            </w:r>
          </w:p>
        </w:tc>
        <w:tc>
          <w:tcPr>
            <w:tcW w:w="1843" w:type="dxa"/>
            <w:tcBorders>
              <w:left w:val="nil"/>
              <w:right w:val="nil"/>
            </w:tcBorders>
            <w:vAlign w:val="center"/>
          </w:tcPr>
          <w:p w14:paraId="6C974A0E" w14:textId="25C41ED3" w:rsidR="00B422C9" w:rsidRPr="00083E19" w:rsidRDefault="00B422C9" w:rsidP="00B422C9">
            <w:pPr>
              <w:spacing w:line="360" w:lineRule="auto"/>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c>
          <w:tcPr>
            <w:tcW w:w="1657" w:type="dxa"/>
            <w:tcBorders>
              <w:left w:val="nil"/>
              <w:right w:val="nil"/>
            </w:tcBorders>
            <w:vAlign w:val="center"/>
          </w:tcPr>
          <w:p w14:paraId="0300E51D" w14:textId="3D82280C" w:rsidR="00B422C9" w:rsidRPr="00083E19" w:rsidRDefault="00B422C9" w:rsidP="00B422C9">
            <w:pPr>
              <w:spacing w:line="360" w:lineRule="auto"/>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Weak</w:t>
            </w:r>
          </w:p>
        </w:tc>
        <w:tc>
          <w:tcPr>
            <w:tcW w:w="1268" w:type="dxa"/>
            <w:gridSpan w:val="2"/>
            <w:tcBorders>
              <w:top w:val="single" w:sz="4" w:space="0" w:color="auto"/>
              <w:left w:val="nil"/>
              <w:bottom w:val="single" w:sz="4" w:space="0" w:color="auto"/>
              <w:right w:val="nil"/>
            </w:tcBorders>
            <w:shd w:val="clear" w:color="auto" w:fill="FFD966" w:themeFill="accent4" w:themeFillTint="99"/>
            <w:vAlign w:val="center"/>
          </w:tcPr>
          <w:p w14:paraId="54623DE9" w14:textId="45472B6D" w:rsidR="00B422C9" w:rsidRPr="00083E19" w:rsidRDefault="00B422C9" w:rsidP="00B422C9">
            <w:pPr>
              <w:spacing w:line="360" w:lineRule="auto"/>
              <w:jc w:val="center"/>
              <w:rPr>
                <w:rFonts w:asciiTheme="majorBidi" w:hAnsiTheme="majorBidi" w:cstheme="majorBidi"/>
                <w:color w:val="000000"/>
                <w:sz w:val="20"/>
                <w:szCs w:val="20"/>
              </w:rPr>
            </w:pPr>
            <w:r w:rsidRPr="00083E19">
              <w:rPr>
                <w:rFonts w:asciiTheme="majorBidi" w:hAnsiTheme="majorBidi" w:cstheme="majorBidi"/>
                <w:color w:val="000000"/>
                <w:sz w:val="20"/>
                <w:szCs w:val="20"/>
              </w:rPr>
              <w:t>Moderate</w:t>
            </w:r>
          </w:p>
        </w:tc>
      </w:tr>
      <w:tr w:rsidR="00811382" w:rsidRPr="00083E19" w14:paraId="786CDDEF" w14:textId="77777777" w:rsidTr="00811382">
        <w:trPr>
          <w:gridAfter w:val="1"/>
          <w:wAfter w:w="14" w:type="dxa"/>
          <w:trHeight w:val="430"/>
          <w:jc w:val="center"/>
        </w:trPr>
        <w:tc>
          <w:tcPr>
            <w:tcW w:w="2410" w:type="dxa"/>
            <w:tcBorders>
              <w:left w:val="nil"/>
              <w:right w:val="nil"/>
            </w:tcBorders>
            <w:vAlign w:val="center"/>
          </w:tcPr>
          <w:p w14:paraId="1A6071E5" w14:textId="77777777" w:rsidR="00811382" w:rsidRPr="00083E19" w:rsidRDefault="00811382" w:rsidP="00506716">
            <w:pPr>
              <w:rPr>
                <w:rFonts w:asciiTheme="majorBidi" w:hAnsiTheme="majorBidi" w:cstheme="majorBidi"/>
                <w:sz w:val="20"/>
                <w:szCs w:val="20"/>
              </w:rPr>
            </w:pPr>
            <w:r w:rsidRPr="00083E19">
              <w:rPr>
                <w:rFonts w:asciiTheme="majorBidi" w:hAnsiTheme="majorBidi" w:cstheme="majorBidi"/>
                <w:color w:val="000000"/>
                <w:sz w:val="20"/>
                <w:szCs w:val="20"/>
              </w:rPr>
              <w:t>Jackson et al. (2018)</w:t>
            </w:r>
          </w:p>
        </w:tc>
        <w:tc>
          <w:tcPr>
            <w:tcW w:w="1701" w:type="dxa"/>
            <w:gridSpan w:val="2"/>
            <w:tcBorders>
              <w:left w:val="nil"/>
              <w:right w:val="nil"/>
            </w:tcBorders>
            <w:vAlign w:val="center"/>
          </w:tcPr>
          <w:p w14:paraId="00FE1E1C"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2FD5C953"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105E391B"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09C16BAC"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843" w:type="dxa"/>
            <w:tcBorders>
              <w:left w:val="nil"/>
              <w:right w:val="nil"/>
            </w:tcBorders>
            <w:vAlign w:val="center"/>
          </w:tcPr>
          <w:p w14:paraId="5C4C5510"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657" w:type="dxa"/>
            <w:tcBorders>
              <w:left w:val="nil"/>
              <w:right w:val="nil"/>
            </w:tcBorders>
            <w:vAlign w:val="center"/>
          </w:tcPr>
          <w:p w14:paraId="77682DC3"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268" w:type="dxa"/>
            <w:gridSpan w:val="2"/>
            <w:tcBorders>
              <w:top w:val="single" w:sz="4" w:space="0" w:color="auto"/>
              <w:left w:val="nil"/>
              <w:bottom w:val="single" w:sz="4" w:space="0" w:color="auto"/>
              <w:right w:val="nil"/>
            </w:tcBorders>
            <w:shd w:val="clear" w:color="auto" w:fill="FFD966" w:themeFill="accent4" w:themeFillTint="99"/>
            <w:vAlign w:val="center"/>
          </w:tcPr>
          <w:p w14:paraId="72B081B4" w14:textId="77777777" w:rsidR="00811382" w:rsidRPr="00083E19" w:rsidRDefault="00811382" w:rsidP="00506716">
            <w:pPr>
              <w:spacing w:line="360" w:lineRule="auto"/>
              <w:jc w:val="center"/>
              <w:rPr>
                <w:rFonts w:asciiTheme="majorBidi" w:hAnsiTheme="majorBidi" w:cstheme="majorBidi"/>
                <w:b/>
                <w:sz w:val="20"/>
                <w:szCs w:val="20"/>
              </w:rPr>
            </w:pPr>
            <w:r w:rsidRPr="00083E19">
              <w:rPr>
                <w:rFonts w:asciiTheme="majorBidi" w:hAnsiTheme="majorBidi" w:cstheme="majorBidi"/>
                <w:color w:val="000000"/>
                <w:sz w:val="20"/>
                <w:szCs w:val="20"/>
              </w:rPr>
              <w:t>Moderate</w:t>
            </w:r>
          </w:p>
        </w:tc>
      </w:tr>
      <w:tr w:rsidR="00811382" w:rsidRPr="00083E19" w14:paraId="6466AC42" w14:textId="77777777" w:rsidTr="00811382">
        <w:trPr>
          <w:gridAfter w:val="1"/>
          <w:wAfter w:w="14" w:type="dxa"/>
          <w:trHeight w:val="430"/>
          <w:jc w:val="center"/>
        </w:trPr>
        <w:tc>
          <w:tcPr>
            <w:tcW w:w="2410" w:type="dxa"/>
            <w:tcBorders>
              <w:left w:val="nil"/>
              <w:right w:val="nil"/>
            </w:tcBorders>
            <w:vAlign w:val="center"/>
          </w:tcPr>
          <w:p w14:paraId="038B0A4C" w14:textId="77777777" w:rsidR="00811382" w:rsidRPr="00083E19" w:rsidRDefault="00811382" w:rsidP="00506716">
            <w:pPr>
              <w:rPr>
                <w:rFonts w:asciiTheme="majorBidi" w:hAnsiTheme="majorBidi" w:cstheme="majorBidi"/>
                <w:sz w:val="20"/>
                <w:szCs w:val="20"/>
              </w:rPr>
            </w:pPr>
            <w:r w:rsidRPr="00083E19">
              <w:rPr>
                <w:rFonts w:asciiTheme="majorBidi" w:hAnsiTheme="majorBidi" w:cstheme="majorBidi"/>
                <w:color w:val="000000"/>
                <w:sz w:val="20"/>
                <w:szCs w:val="20"/>
              </w:rPr>
              <w:t xml:space="preserve">La </w:t>
            </w:r>
            <w:proofErr w:type="spellStart"/>
            <w:r w:rsidRPr="00083E19">
              <w:rPr>
                <w:rFonts w:asciiTheme="majorBidi" w:hAnsiTheme="majorBidi" w:cstheme="majorBidi"/>
                <w:color w:val="000000"/>
                <w:sz w:val="20"/>
                <w:szCs w:val="20"/>
              </w:rPr>
              <w:t>Buissonniere</w:t>
            </w:r>
            <w:proofErr w:type="spellEnd"/>
            <w:r w:rsidRPr="00083E19">
              <w:rPr>
                <w:rFonts w:asciiTheme="majorBidi" w:hAnsiTheme="majorBidi" w:cstheme="majorBidi"/>
                <w:color w:val="000000"/>
                <w:sz w:val="20"/>
                <w:szCs w:val="20"/>
              </w:rPr>
              <w:t xml:space="preserve"> Ariza et al. (2021)</w:t>
            </w:r>
          </w:p>
        </w:tc>
        <w:tc>
          <w:tcPr>
            <w:tcW w:w="1701" w:type="dxa"/>
            <w:gridSpan w:val="2"/>
            <w:tcBorders>
              <w:left w:val="nil"/>
              <w:right w:val="nil"/>
            </w:tcBorders>
            <w:vAlign w:val="center"/>
          </w:tcPr>
          <w:p w14:paraId="0816AB74"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701" w:type="dxa"/>
            <w:tcBorders>
              <w:left w:val="nil"/>
              <w:right w:val="nil"/>
            </w:tcBorders>
            <w:vAlign w:val="center"/>
          </w:tcPr>
          <w:p w14:paraId="68BC2A33"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7C19041F"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66C02680"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843" w:type="dxa"/>
            <w:tcBorders>
              <w:left w:val="nil"/>
              <w:right w:val="nil"/>
            </w:tcBorders>
            <w:vAlign w:val="center"/>
          </w:tcPr>
          <w:p w14:paraId="7491E579"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657" w:type="dxa"/>
            <w:tcBorders>
              <w:left w:val="nil"/>
              <w:right w:val="nil"/>
            </w:tcBorders>
            <w:vAlign w:val="center"/>
          </w:tcPr>
          <w:p w14:paraId="1C1D3F28"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268" w:type="dxa"/>
            <w:gridSpan w:val="2"/>
            <w:tcBorders>
              <w:top w:val="single" w:sz="4" w:space="0" w:color="auto"/>
              <w:left w:val="nil"/>
              <w:bottom w:val="single" w:sz="4" w:space="0" w:color="auto"/>
              <w:right w:val="nil"/>
            </w:tcBorders>
            <w:shd w:val="clear" w:color="auto" w:fill="FFD966" w:themeFill="accent4" w:themeFillTint="99"/>
            <w:vAlign w:val="center"/>
          </w:tcPr>
          <w:p w14:paraId="290CA019" w14:textId="77777777" w:rsidR="00811382" w:rsidRPr="00083E19" w:rsidRDefault="00811382" w:rsidP="00506716">
            <w:pPr>
              <w:spacing w:line="360" w:lineRule="auto"/>
              <w:jc w:val="center"/>
              <w:rPr>
                <w:rFonts w:asciiTheme="majorBidi" w:hAnsiTheme="majorBidi" w:cstheme="majorBidi"/>
                <w:b/>
                <w:sz w:val="20"/>
                <w:szCs w:val="20"/>
              </w:rPr>
            </w:pPr>
            <w:r w:rsidRPr="00083E19">
              <w:rPr>
                <w:rFonts w:asciiTheme="majorBidi" w:hAnsiTheme="majorBidi" w:cstheme="majorBidi"/>
                <w:color w:val="000000"/>
                <w:sz w:val="20"/>
                <w:szCs w:val="20"/>
              </w:rPr>
              <w:t>Moderate</w:t>
            </w:r>
          </w:p>
        </w:tc>
      </w:tr>
      <w:tr w:rsidR="00811382" w:rsidRPr="00083E19" w14:paraId="2B8D2557" w14:textId="77777777" w:rsidTr="00811382">
        <w:trPr>
          <w:gridAfter w:val="1"/>
          <w:wAfter w:w="14" w:type="dxa"/>
          <w:trHeight w:val="430"/>
          <w:jc w:val="center"/>
        </w:trPr>
        <w:tc>
          <w:tcPr>
            <w:tcW w:w="2410" w:type="dxa"/>
            <w:tcBorders>
              <w:left w:val="nil"/>
              <w:right w:val="nil"/>
            </w:tcBorders>
            <w:vAlign w:val="center"/>
          </w:tcPr>
          <w:p w14:paraId="51EB3D43" w14:textId="77777777" w:rsidR="00811382" w:rsidRPr="00083E19" w:rsidRDefault="00811382" w:rsidP="00506716">
            <w:pPr>
              <w:rPr>
                <w:rFonts w:asciiTheme="majorBidi" w:hAnsiTheme="majorBidi" w:cstheme="majorBidi"/>
                <w:sz w:val="20"/>
                <w:szCs w:val="20"/>
              </w:rPr>
            </w:pPr>
            <w:proofErr w:type="spellStart"/>
            <w:r w:rsidRPr="00083E19">
              <w:rPr>
                <w:rFonts w:asciiTheme="majorBidi" w:hAnsiTheme="majorBidi" w:cstheme="majorBidi"/>
                <w:color w:val="000000"/>
                <w:sz w:val="20"/>
                <w:szCs w:val="20"/>
              </w:rPr>
              <w:t>Lieb</w:t>
            </w:r>
            <w:proofErr w:type="spellEnd"/>
            <w:r w:rsidRPr="00083E19">
              <w:rPr>
                <w:rFonts w:asciiTheme="majorBidi" w:hAnsiTheme="majorBidi" w:cstheme="majorBidi"/>
                <w:color w:val="000000"/>
                <w:sz w:val="20"/>
                <w:szCs w:val="20"/>
              </w:rPr>
              <w:t xml:space="preserve"> and </w:t>
            </w:r>
            <w:proofErr w:type="spellStart"/>
            <w:r w:rsidRPr="00083E19">
              <w:rPr>
                <w:rFonts w:asciiTheme="majorBidi" w:hAnsiTheme="majorBidi" w:cstheme="majorBidi"/>
                <w:color w:val="000000"/>
                <w:sz w:val="20"/>
                <w:szCs w:val="20"/>
              </w:rPr>
              <w:t>Bohnert</w:t>
            </w:r>
            <w:proofErr w:type="spellEnd"/>
            <w:r w:rsidRPr="00083E19">
              <w:rPr>
                <w:rFonts w:asciiTheme="majorBidi" w:hAnsiTheme="majorBidi" w:cstheme="majorBidi"/>
                <w:color w:val="000000"/>
                <w:sz w:val="20"/>
                <w:szCs w:val="20"/>
              </w:rPr>
              <w:t xml:space="preserve"> (2017)</w:t>
            </w:r>
          </w:p>
        </w:tc>
        <w:tc>
          <w:tcPr>
            <w:tcW w:w="1701" w:type="dxa"/>
            <w:gridSpan w:val="2"/>
            <w:tcBorders>
              <w:left w:val="nil"/>
              <w:right w:val="nil"/>
            </w:tcBorders>
            <w:vAlign w:val="center"/>
          </w:tcPr>
          <w:p w14:paraId="489A12A6"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59CA45F1"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11284C4E"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5203FD30"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843" w:type="dxa"/>
            <w:tcBorders>
              <w:left w:val="nil"/>
              <w:right w:val="nil"/>
            </w:tcBorders>
            <w:vAlign w:val="center"/>
          </w:tcPr>
          <w:p w14:paraId="7E1504C2"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657" w:type="dxa"/>
            <w:tcBorders>
              <w:left w:val="nil"/>
              <w:right w:val="nil"/>
            </w:tcBorders>
            <w:vAlign w:val="center"/>
          </w:tcPr>
          <w:p w14:paraId="07647D04"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268" w:type="dxa"/>
            <w:gridSpan w:val="2"/>
            <w:tcBorders>
              <w:top w:val="single" w:sz="4" w:space="0" w:color="auto"/>
              <w:left w:val="nil"/>
              <w:bottom w:val="single" w:sz="4" w:space="0" w:color="auto"/>
              <w:right w:val="nil"/>
            </w:tcBorders>
            <w:shd w:val="clear" w:color="auto" w:fill="FFD966" w:themeFill="accent4" w:themeFillTint="99"/>
            <w:vAlign w:val="center"/>
          </w:tcPr>
          <w:p w14:paraId="351CC3B7" w14:textId="77777777" w:rsidR="00811382" w:rsidRPr="00083E19" w:rsidRDefault="00811382" w:rsidP="00506716">
            <w:pPr>
              <w:spacing w:line="360" w:lineRule="auto"/>
              <w:jc w:val="center"/>
              <w:rPr>
                <w:rFonts w:asciiTheme="majorBidi" w:hAnsiTheme="majorBidi" w:cstheme="majorBidi"/>
                <w:b/>
                <w:sz w:val="20"/>
                <w:szCs w:val="20"/>
              </w:rPr>
            </w:pPr>
            <w:r w:rsidRPr="00083E19">
              <w:rPr>
                <w:rFonts w:asciiTheme="majorBidi" w:hAnsiTheme="majorBidi" w:cstheme="majorBidi"/>
                <w:color w:val="000000"/>
                <w:sz w:val="20"/>
                <w:szCs w:val="20"/>
              </w:rPr>
              <w:t>Moderate</w:t>
            </w:r>
          </w:p>
        </w:tc>
      </w:tr>
      <w:tr w:rsidR="00811382" w:rsidRPr="00083E19" w14:paraId="157F5B21" w14:textId="77777777" w:rsidTr="00811382">
        <w:trPr>
          <w:gridAfter w:val="1"/>
          <w:wAfter w:w="14" w:type="dxa"/>
          <w:trHeight w:val="430"/>
          <w:jc w:val="center"/>
        </w:trPr>
        <w:tc>
          <w:tcPr>
            <w:tcW w:w="2410" w:type="dxa"/>
            <w:tcBorders>
              <w:left w:val="nil"/>
              <w:right w:val="nil"/>
            </w:tcBorders>
            <w:vAlign w:val="center"/>
          </w:tcPr>
          <w:p w14:paraId="60DE369F" w14:textId="77777777" w:rsidR="00811382" w:rsidRPr="00083E19" w:rsidRDefault="00811382" w:rsidP="00506716">
            <w:pPr>
              <w:rPr>
                <w:rFonts w:asciiTheme="majorBidi" w:hAnsiTheme="majorBidi" w:cstheme="majorBidi"/>
                <w:sz w:val="20"/>
                <w:szCs w:val="20"/>
              </w:rPr>
            </w:pPr>
            <w:r w:rsidRPr="00083E19">
              <w:rPr>
                <w:rFonts w:asciiTheme="majorBidi" w:hAnsiTheme="majorBidi" w:cstheme="majorBidi"/>
                <w:color w:val="000000"/>
                <w:sz w:val="20"/>
                <w:szCs w:val="20"/>
              </w:rPr>
              <w:t>Maddox et al. (2017)</w:t>
            </w:r>
          </w:p>
        </w:tc>
        <w:tc>
          <w:tcPr>
            <w:tcW w:w="1701" w:type="dxa"/>
            <w:gridSpan w:val="2"/>
            <w:tcBorders>
              <w:left w:val="nil"/>
              <w:right w:val="nil"/>
            </w:tcBorders>
            <w:vAlign w:val="center"/>
          </w:tcPr>
          <w:p w14:paraId="47E25E8F"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701" w:type="dxa"/>
            <w:tcBorders>
              <w:left w:val="nil"/>
              <w:right w:val="nil"/>
            </w:tcBorders>
            <w:vAlign w:val="center"/>
          </w:tcPr>
          <w:p w14:paraId="525263E6"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701" w:type="dxa"/>
            <w:tcBorders>
              <w:left w:val="nil"/>
              <w:right w:val="nil"/>
            </w:tcBorders>
            <w:vAlign w:val="center"/>
          </w:tcPr>
          <w:p w14:paraId="530248E8"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sz w:val="20"/>
                <w:szCs w:val="20"/>
              </w:rPr>
              <w:t>Strong</w:t>
            </w:r>
          </w:p>
        </w:tc>
        <w:tc>
          <w:tcPr>
            <w:tcW w:w="1701" w:type="dxa"/>
            <w:tcBorders>
              <w:left w:val="nil"/>
              <w:right w:val="nil"/>
            </w:tcBorders>
            <w:vAlign w:val="center"/>
          </w:tcPr>
          <w:p w14:paraId="19B3D5C8"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843" w:type="dxa"/>
            <w:tcBorders>
              <w:left w:val="nil"/>
              <w:right w:val="nil"/>
            </w:tcBorders>
            <w:vAlign w:val="center"/>
          </w:tcPr>
          <w:p w14:paraId="231D29E8"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657" w:type="dxa"/>
            <w:tcBorders>
              <w:left w:val="nil"/>
              <w:right w:val="nil"/>
            </w:tcBorders>
            <w:vAlign w:val="center"/>
          </w:tcPr>
          <w:p w14:paraId="30DD715D" w14:textId="77777777" w:rsidR="00811382" w:rsidRPr="00083E19" w:rsidRDefault="00811382"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268" w:type="dxa"/>
            <w:gridSpan w:val="2"/>
            <w:tcBorders>
              <w:top w:val="single" w:sz="4" w:space="0" w:color="auto"/>
              <w:left w:val="nil"/>
              <w:bottom w:val="single" w:sz="4" w:space="0" w:color="auto"/>
              <w:right w:val="nil"/>
            </w:tcBorders>
            <w:shd w:val="clear" w:color="auto" w:fill="FFD966" w:themeFill="accent4" w:themeFillTint="99"/>
            <w:vAlign w:val="center"/>
          </w:tcPr>
          <w:p w14:paraId="3A52CC96" w14:textId="77777777" w:rsidR="00811382" w:rsidRPr="00083E19" w:rsidRDefault="00811382" w:rsidP="00506716">
            <w:pPr>
              <w:spacing w:line="360" w:lineRule="auto"/>
              <w:jc w:val="center"/>
              <w:rPr>
                <w:rFonts w:asciiTheme="majorBidi" w:hAnsiTheme="majorBidi" w:cstheme="majorBidi"/>
                <w:b/>
                <w:sz w:val="20"/>
                <w:szCs w:val="20"/>
              </w:rPr>
            </w:pPr>
            <w:r w:rsidRPr="00083E19">
              <w:rPr>
                <w:rFonts w:asciiTheme="majorBidi" w:hAnsiTheme="majorBidi" w:cstheme="majorBidi"/>
                <w:color w:val="000000"/>
                <w:sz w:val="20"/>
                <w:szCs w:val="20"/>
              </w:rPr>
              <w:t>Moderate</w:t>
            </w:r>
          </w:p>
        </w:tc>
      </w:tr>
      <w:tr w:rsidR="0010717F" w:rsidRPr="00083E19" w14:paraId="453DA7F6" w14:textId="77777777" w:rsidTr="00811382">
        <w:trPr>
          <w:gridAfter w:val="1"/>
          <w:wAfter w:w="14" w:type="dxa"/>
          <w:trHeight w:val="430"/>
          <w:jc w:val="center"/>
        </w:trPr>
        <w:tc>
          <w:tcPr>
            <w:tcW w:w="2410" w:type="dxa"/>
            <w:tcBorders>
              <w:left w:val="nil"/>
              <w:right w:val="nil"/>
            </w:tcBorders>
            <w:vAlign w:val="center"/>
          </w:tcPr>
          <w:p w14:paraId="51D7C326" w14:textId="77777777" w:rsidR="0010717F" w:rsidRPr="00083E19" w:rsidRDefault="0010717F" w:rsidP="00506716">
            <w:pPr>
              <w:rPr>
                <w:rFonts w:asciiTheme="majorBidi" w:hAnsiTheme="majorBidi" w:cstheme="majorBidi"/>
                <w:sz w:val="20"/>
                <w:szCs w:val="20"/>
              </w:rPr>
            </w:pPr>
            <w:proofErr w:type="spellStart"/>
            <w:r w:rsidRPr="00083E19">
              <w:rPr>
                <w:rFonts w:asciiTheme="majorBidi" w:hAnsiTheme="majorBidi" w:cstheme="majorBidi"/>
                <w:color w:val="000000"/>
                <w:sz w:val="20"/>
                <w:szCs w:val="20"/>
              </w:rPr>
              <w:t>Mahjouri</w:t>
            </w:r>
            <w:proofErr w:type="spellEnd"/>
            <w:r w:rsidRPr="00083E19">
              <w:rPr>
                <w:rFonts w:asciiTheme="majorBidi" w:hAnsiTheme="majorBidi" w:cstheme="majorBidi"/>
                <w:color w:val="000000"/>
                <w:sz w:val="20"/>
                <w:szCs w:val="20"/>
              </w:rPr>
              <w:t xml:space="preserve"> (2011)</w:t>
            </w:r>
          </w:p>
        </w:tc>
        <w:tc>
          <w:tcPr>
            <w:tcW w:w="1701" w:type="dxa"/>
            <w:gridSpan w:val="2"/>
            <w:tcBorders>
              <w:left w:val="nil"/>
              <w:right w:val="nil"/>
            </w:tcBorders>
            <w:vAlign w:val="center"/>
          </w:tcPr>
          <w:p w14:paraId="5D66718E"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3E1F2BE1"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408F692C"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58C2A4D5"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843" w:type="dxa"/>
            <w:tcBorders>
              <w:left w:val="nil"/>
              <w:right w:val="nil"/>
            </w:tcBorders>
            <w:vAlign w:val="center"/>
          </w:tcPr>
          <w:p w14:paraId="3E3A7624"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657" w:type="dxa"/>
            <w:tcBorders>
              <w:left w:val="nil"/>
              <w:right w:val="nil"/>
            </w:tcBorders>
            <w:vAlign w:val="center"/>
          </w:tcPr>
          <w:p w14:paraId="63D31918"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268" w:type="dxa"/>
            <w:gridSpan w:val="2"/>
            <w:tcBorders>
              <w:top w:val="single" w:sz="4" w:space="0" w:color="auto"/>
              <w:left w:val="nil"/>
              <w:bottom w:val="single" w:sz="4" w:space="0" w:color="auto"/>
              <w:right w:val="nil"/>
            </w:tcBorders>
            <w:shd w:val="clear" w:color="auto" w:fill="A8D08D" w:themeFill="accent6" w:themeFillTint="99"/>
            <w:vAlign w:val="center"/>
          </w:tcPr>
          <w:p w14:paraId="34769BA4" w14:textId="77777777" w:rsidR="0010717F" w:rsidRPr="00083E19" w:rsidRDefault="0010717F" w:rsidP="00506716">
            <w:pPr>
              <w:spacing w:line="360" w:lineRule="auto"/>
              <w:jc w:val="center"/>
              <w:rPr>
                <w:rFonts w:asciiTheme="majorBidi" w:hAnsiTheme="majorBidi" w:cstheme="majorBidi"/>
                <w:b/>
                <w:sz w:val="20"/>
                <w:szCs w:val="20"/>
              </w:rPr>
            </w:pPr>
            <w:r w:rsidRPr="00083E19">
              <w:rPr>
                <w:rFonts w:asciiTheme="majorBidi" w:hAnsiTheme="majorBidi" w:cstheme="majorBidi"/>
                <w:color w:val="000000"/>
                <w:sz w:val="20"/>
                <w:szCs w:val="20"/>
              </w:rPr>
              <w:t>Strong</w:t>
            </w:r>
          </w:p>
        </w:tc>
      </w:tr>
      <w:tr w:rsidR="0010717F" w:rsidRPr="00083E19" w14:paraId="59DBA2F0" w14:textId="77777777" w:rsidTr="00811382">
        <w:trPr>
          <w:gridAfter w:val="1"/>
          <w:wAfter w:w="14" w:type="dxa"/>
          <w:trHeight w:val="430"/>
          <w:jc w:val="center"/>
        </w:trPr>
        <w:tc>
          <w:tcPr>
            <w:tcW w:w="2410" w:type="dxa"/>
            <w:tcBorders>
              <w:left w:val="nil"/>
              <w:bottom w:val="single" w:sz="4" w:space="0" w:color="auto"/>
              <w:right w:val="nil"/>
            </w:tcBorders>
            <w:vAlign w:val="center"/>
          </w:tcPr>
          <w:p w14:paraId="696169D9" w14:textId="77777777" w:rsidR="0010717F" w:rsidRPr="00083E19" w:rsidRDefault="0010717F" w:rsidP="00506716">
            <w:pPr>
              <w:rPr>
                <w:rFonts w:asciiTheme="majorBidi" w:hAnsiTheme="majorBidi" w:cstheme="majorBidi"/>
                <w:sz w:val="20"/>
                <w:szCs w:val="20"/>
              </w:rPr>
            </w:pPr>
            <w:r w:rsidRPr="00083E19">
              <w:rPr>
                <w:rFonts w:asciiTheme="majorBidi" w:hAnsiTheme="majorBidi" w:cstheme="majorBidi"/>
                <w:color w:val="000000"/>
                <w:sz w:val="20"/>
                <w:szCs w:val="20"/>
              </w:rPr>
              <w:t>Mazurek (2014)</w:t>
            </w:r>
          </w:p>
        </w:tc>
        <w:tc>
          <w:tcPr>
            <w:tcW w:w="1701" w:type="dxa"/>
            <w:gridSpan w:val="2"/>
            <w:tcBorders>
              <w:left w:val="nil"/>
              <w:bottom w:val="single" w:sz="4" w:space="0" w:color="auto"/>
              <w:right w:val="nil"/>
            </w:tcBorders>
            <w:vAlign w:val="center"/>
          </w:tcPr>
          <w:p w14:paraId="59268FBC"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bottom w:val="single" w:sz="4" w:space="0" w:color="auto"/>
              <w:right w:val="nil"/>
            </w:tcBorders>
            <w:vAlign w:val="center"/>
          </w:tcPr>
          <w:p w14:paraId="3764FA56"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bottom w:val="single" w:sz="4" w:space="0" w:color="auto"/>
              <w:right w:val="nil"/>
            </w:tcBorders>
            <w:vAlign w:val="center"/>
          </w:tcPr>
          <w:p w14:paraId="548E9E9B"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bottom w:val="single" w:sz="4" w:space="0" w:color="auto"/>
              <w:right w:val="nil"/>
            </w:tcBorders>
            <w:vAlign w:val="center"/>
          </w:tcPr>
          <w:p w14:paraId="7E677486"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843" w:type="dxa"/>
            <w:tcBorders>
              <w:left w:val="nil"/>
              <w:bottom w:val="single" w:sz="4" w:space="0" w:color="auto"/>
              <w:right w:val="nil"/>
            </w:tcBorders>
            <w:vAlign w:val="center"/>
          </w:tcPr>
          <w:p w14:paraId="61EE3F2D"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657" w:type="dxa"/>
            <w:tcBorders>
              <w:left w:val="nil"/>
              <w:bottom w:val="single" w:sz="4" w:space="0" w:color="auto"/>
              <w:right w:val="nil"/>
            </w:tcBorders>
            <w:vAlign w:val="center"/>
          </w:tcPr>
          <w:p w14:paraId="0BFA7CFD" w14:textId="05C7602B"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268" w:type="dxa"/>
            <w:gridSpan w:val="2"/>
            <w:tcBorders>
              <w:top w:val="single" w:sz="4" w:space="0" w:color="auto"/>
              <w:left w:val="nil"/>
              <w:bottom w:val="single" w:sz="4" w:space="0" w:color="auto"/>
              <w:right w:val="nil"/>
            </w:tcBorders>
            <w:shd w:val="clear" w:color="auto" w:fill="F4B083" w:themeFill="accent2" w:themeFillTint="99"/>
            <w:vAlign w:val="center"/>
          </w:tcPr>
          <w:p w14:paraId="2399AF02" w14:textId="77777777" w:rsidR="0010717F" w:rsidRPr="00083E19" w:rsidRDefault="0010717F" w:rsidP="00506716">
            <w:pPr>
              <w:spacing w:line="360" w:lineRule="auto"/>
              <w:jc w:val="center"/>
              <w:rPr>
                <w:rFonts w:asciiTheme="majorBidi" w:hAnsiTheme="majorBidi" w:cstheme="majorBidi"/>
                <w:b/>
                <w:sz w:val="20"/>
                <w:szCs w:val="20"/>
              </w:rPr>
            </w:pPr>
            <w:r w:rsidRPr="00083E19">
              <w:rPr>
                <w:rFonts w:asciiTheme="majorBidi" w:hAnsiTheme="majorBidi" w:cstheme="majorBidi"/>
                <w:color w:val="000000"/>
                <w:sz w:val="20"/>
                <w:szCs w:val="20"/>
              </w:rPr>
              <w:t>Weak</w:t>
            </w:r>
          </w:p>
        </w:tc>
      </w:tr>
      <w:tr w:rsidR="0010717F" w:rsidRPr="00083E19" w14:paraId="62BE1A66" w14:textId="77777777" w:rsidTr="00811382">
        <w:trPr>
          <w:gridAfter w:val="1"/>
          <w:wAfter w:w="14" w:type="dxa"/>
          <w:trHeight w:val="430"/>
          <w:jc w:val="center"/>
        </w:trPr>
        <w:tc>
          <w:tcPr>
            <w:tcW w:w="2410" w:type="dxa"/>
            <w:tcBorders>
              <w:left w:val="nil"/>
              <w:bottom w:val="single" w:sz="4" w:space="0" w:color="auto"/>
              <w:right w:val="nil"/>
            </w:tcBorders>
            <w:vAlign w:val="center"/>
          </w:tcPr>
          <w:p w14:paraId="5A06A867" w14:textId="77777777" w:rsidR="0010717F" w:rsidRPr="00083E19" w:rsidRDefault="0010717F" w:rsidP="00506716">
            <w:pPr>
              <w:rPr>
                <w:rFonts w:asciiTheme="majorBidi" w:hAnsiTheme="majorBidi" w:cstheme="majorBidi"/>
                <w:sz w:val="20"/>
                <w:szCs w:val="20"/>
              </w:rPr>
            </w:pPr>
            <w:proofErr w:type="spellStart"/>
            <w:r w:rsidRPr="00083E19">
              <w:rPr>
                <w:rFonts w:asciiTheme="majorBidi" w:hAnsiTheme="majorBidi" w:cstheme="majorBidi"/>
                <w:color w:val="000000"/>
                <w:sz w:val="20"/>
                <w:szCs w:val="20"/>
              </w:rPr>
              <w:t>Schiltz</w:t>
            </w:r>
            <w:proofErr w:type="spellEnd"/>
            <w:r w:rsidRPr="00083E19">
              <w:rPr>
                <w:rFonts w:asciiTheme="majorBidi" w:hAnsiTheme="majorBidi" w:cstheme="majorBidi"/>
                <w:color w:val="000000"/>
                <w:sz w:val="20"/>
                <w:szCs w:val="20"/>
              </w:rPr>
              <w:t xml:space="preserve"> et al. (2020)</w:t>
            </w:r>
          </w:p>
        </w:tc>
        <w:tc>
          <w:tcPr>
            <w:tcW w:w="1701" w:type="dxa"/>
            <w:gridSpan w:val="2"/>
            <w:tcBorders>
              <w:left w:val="nil"/>
              <w:bottom w:val="single" w:sz="4" w:space="0" w:color="auto"/>
              <w:right w:val="nil"/>
            </w:tcBorders>
            <w:vAlign w:val="center"/>
          </w:tcPr>
          <w:p w14:paraId="4C7761BE"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bottom w:val="single" w:sz="4" w:space="0" w:color="auto"/>
              <w:right w:val="nil"/>
            </w:tcBorders>
            <w:vAlign w:val="center"/>
          </w:tcPr>
          <w:p w14:paraId="1AED8633"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701" w:type="dxa"/>
            <w:tcBorders>
              <w:left w:val="nil"/>
              <w:bottom w:val="single" w:sz="4" w:space="0" w:color="auto"/>
              <w:right w:val="nil"/>
            </w:tcBorders>
            <w:vAlign w:val="center"/>
          </w:tcPr>
          <w:p w14:paraId="72F84E7F"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bottom w:val="single" w:sz="4" w:space="0" w:color="auto"/>
              <w:right w:val="nil"/>
            </w:tcBorders>
            <w:vAlign w:val="center"/>
          </w:tcPr>
          <w:p w14:paraId="3AE848C3"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843" w:type="dxa"/>
            <w:tcBorders>
              <w:left w:val="nil"/>
              <w:bottom w:val="single" w:sz="4" w:space="0" w:color="auto"/>
              <w:right w:val="nil"/>
            </w:tcBorders>
            <w:vAlign w:val="center"/>
          </w:tcPr>
          <w:p w14:paraId="7C3C2698"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657" w:type="dxa"/>
            <w:tcBorders>
              <w:left w:val="nil"/>
              <w:bottom w:val="single" w:sz="4" w:space="0" w:color="auto"/>
              <w:right w:val="nil"/>
            </w:tcBorders>
            <w:vAlign w:val="center"/>
          </w:tcPr>
          <w:p w14:paraId="2AA1998B"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268" w:type="dxa"/>
            <w:gridSpan w:val="2"/>
            <w:tcBorders>
              <w:top w:val="single" w:sz="4" w:space="0" w:color="auto"/>
              <w:left w:val="nil"/>
              <w:bottom w:val="single" w:sz="4" w:space="0" w:color="auto"/>
              <w:right w:val="nil"/>
            </w:tcBorders>
            <w:shd w:val="clear" w:color="auto" w:fill="FFD966" w:themeFill="accent4" w:themeFillTint="99"/>
            <w:vAlign w:val="center"/>
          </w:tcPr>
          <w:p w14:paraId="148C3AF2" w14:textId="77777777" w:rsidR="0010717F" w:rsidRPr="00083E19" w:rsidRDefault="0010717F" w:rsidP="00506716">
            <w:pPr>
              <w:spacing w:line="360" w:lineRule="auto"/>
              <w:jc w:val="center"/>
              <w:rPr>
                <w:rFonts w:asciiTheme="majorBidi" w:hAnsiTheme="majorBidi" w:cstheme="majorBidi"/>
                <w:b/>
                <w:sz w:val="20"/>
                <w:szCs w:val="20"/>
              </w:rPr>
            </w:pPr>
            <w:r w:rsidRPr="00083E19">
              <w:rPr>
                <w:rFonts w:asciiTheme="majorBidi" w:hAnsiTheme="majorBidi" w:cstheme="majorBidi"/>
                <w:color w:val="000000"/>
                <w:sz w:val="20"/>
                <w:szCs w:val="20"/>
              </w:rPr>
              <w:t>Moderate</w:t>
            </w:r>
          </w:p>
        </w:tc>
      </w:tr>
      <w:tr w:rsidR="0010717F" w:rsidRPr="00083E19" w14:paraId="7FAD6722" w14:textId="77777777" w:rsidTr="00811382">
        <w:trPr>
          <w:gridAfter w:val="1"/>
          <w:wAfter w:w="14" w:type="dxa"/>
          <w:trHeight w:val="430"/>
          <w:jc w:val="center"/>
        </w:trPr>
        <w:tc>
          <w:tcPr>
            <w:tcW w:w="2410" w:type="dxa"/>
            <w:tcBorders>
              <w:left w:val="nil"/>
              <w:bottom w:val="single" w:sz="4" w:space="0" w:color="auto"/>
              <w:right w:val="nil"/>
            </w:tcBorders>
            <w:vAlign w:val="center"/>
          </w:tcPr>
          <w:p w14:paraId="320795A5" w14:textId="77777777" w:rsidR="0010717F" w:rsidRPr="00083E19" w:rsidRDefault="0010717F" w:rsidP="00506716">
            <w:pPr>
              <w:rPr>
                <w:rFonts w:asciiTheme="majorBidi" w:hAnsiTheme="majorBidi" w:cstheme="majorBidi"/>
                <w:sz w:val="20"/>
                <w:szCs w:val="20"/>
              </w:rPr>
            </w:pPr>
            <w:proofErr w:type="spellStart"/>
            <w:r w:rsidRPr="00083E19">
              <w:rPr>
                <w:rFonts w:asciiTheme="majorBidi" w:hAnsiTheme="majorBidi" w:cstheme="majorBidi"/>
                <w:color w:val="000000"/>
                <w:sz w:val="20"/>
                <w:szCs w:val="20"/>
              </w:rPr>
              <w:lastRenderedPageBreak/>
              <w:t>Syu</w:t>
            </w:r>
            <w:proofErr w:type="spellEnd"/>
            <w:r w:rsidRPr="00083E19">
              <w:rPr>
                <w:rFonts w:asciiTheme="majorBidi" w:hAnsiTheme="majorBidi" w:cstheme="majorBidi"/>
                <w:color w:val="000000"/>
                <w:sz w:val="20"/>
                <w:szCs w:val="20"/>
              </w:rPr>
              <w:t xml:space="preserve"> and Lin (2018)</w:t>
            </w:r>
          </w:p>
        </w:tc>
        <w:tc>
          <w:tcPr>
            <w:tcW w:w="1701" w:type="dxa"/>
            <w:gridSpan w:val="2"/>
            <w:tcBorders>
              <w:left w:val="nil"/>
              <w:bottom w:val="single" w:sz="4" w:space="0" w:color="auto"/>
              <w:right w:val="nil"/>
            </w:tcBorders>
            <w:vAlign w:val="center"/>
          </w:tcPr>
          <w:p w14:paraId="6804A591"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bottom w:val="single" w:sz="4" w:space="0" w:color="auto"/>
              <w:right w:val="nil"/>
            </w:tcBorders>
            <w:vAlign w:val="center"/>
          </w:tcPr>
          <w:p w14:paraId="1550A896"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bottom w:val="single" w:sz="4" w:space="0" w:color="auto"/>
              <w:right w:val="nil"/>
            </w:tcBorders>
            <w:vAlign w:val="center"/>
          </w:tcPr>
          <w:p w14:paraId="4ED56A58"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bottom w:val="single" w:sz="4" w:space="0" w:color="auto"/>
              <w:right w:val="nil"/>
            </w:tcBorders>
            <w:vAlign w:val="center"/>
          </w:tcPr>
          <w:p w14:paraId="6C5D9612"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843" w:type="dxa"/>
            <w:tcBorders>
              <w:left w:val="nil"/>
              <w:bottom w:val="single" w:sz="4" w:space="0" w:color="auto"/>
              <w:right w:val="nil"/>
            </w:tcBorders>
            <w:vAlign w:val="center"/>
          </w:tcPr>
          <w:p w14:paraId="5D532427"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657" w:type="dxa"/>
            <w:tcBorders>
              <w:left w:val="nil"/>
              <w:bottom w:val="single" w:sz="4" w:space="0" w:color="auto"/>
              <w:right w:val="nil"/>
            </w:tcBorders>
            <w:vAlign w:val="center"/>
          </w:tcPr>
          <w:p w14:paraId="599ED07F"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268" w:type="dxa"/>
            <w:gridSpan w:val="2"/>
            <w:tcBorders>
              <w:top w:val="single" w:sz="4" w:space="0" w:color="auto"/>
              <w:left w:val="nil"/>
              <w:bottom w:val="single" w:sz="4" w:space="0" w:color="auto"/>
              <w:right w:val="nil"/>
            </w:tcBorders>
            <w:shd w:val="clear" w:color="000000" w:fill="FFD966"/>
            <w:vAlign w:val="center"/>
          </w:tcPr>
          <w:p w14:paraId="3CB17A4B" w14:textId="77777777" w:rsidR="0010717F" w:rsidRPr="00083E19" w:rsidRDefault="0010717F" w:rsidP="00506716">
            <w:pPr>
              <w:spacing w:line="360" w:lineRule="auto"/>
              <w:jc w:val="center"/>
              <w:rPr>
                <w:rFonts w:asciiTheme="majorBidi" w:hAnsiTheme="majorBidi" w:cstheme="majorBidi"/>
                <w:b/>
                <w:sz w:val="20"/>
                <w:szCs w:val="20"/>
              </w:rPr>
            </w:pPr>
            <w:r w:rsidRPr="00083E19">
              <w:rPr>
                <w:rFonts w:asciiTheme="majorBidi" w:hAnsiTheme="majorBidi" w:cstheme="majorBidi"/>
                <w:color w:val="000000"/>
                <w:sz w:val="20"/>
                <w:szCs w:val="20"/>
              </w:rPr>
              <w:t>Moderate</w:t>
            </w:r>
          </w:p>
        </w:tc>
      </w:tr>
      <w:tr w:rsidR="0010717F" w:rsidRPr="00083E19" w14:paraId="795C3CB2" w14:textId="77777777" w:rsidTr="00811382">
        <w:trPr>
          <w:gridAfter w:val="1"/>
          <w:wAfter w:w="14" w:type="dxa"/>
          <w:trHeight w:val="430"/>
          <w:jc w:val="center"/>
        </w:trPr>
        <w:tc>
          <w:tcPr>
            <w:tcW w:w="2410" w:type="dxa"/>
            <w:tcBorders>
              <w:left w:val="nil"/>
              <w:right w:val="nil"/>
            </w:tcBorders>
            <w:vAlign w:val="center"/>
          </w:tcPr>
          <w:p w14:paraId="3A5A8607" w14:textId="77777777" w:rsidR="0010717F" w:rsidRPr="00083E19" w:rsidRDefault="0010717F" w:rsidP="00506716">
            <w:pPr>
              <w:rPr>
                <w:rFonts w:asciiTheme="majorBidi" w:hAnsiTheme="majorBidi" w:cstheme="majorBidi"/>
                <w:sz w:val="20"/>
                <w:szCs w:val="20"/>
              </w:rPr>
            </w:pPr>
            <w:r w:rsidRPr="00083E19">
              <w:rPr>
                <w:rFonts w:asciiTheme="majorBidi" w:hAnsiTheme="majorBidi" w:cstheme="majorBidi"/>
                <w:color w:val="000000"/>
                <w:sz w:val="20"/>
                <w:szCs w:val="20"/>
              </w:rPr>
              <w:t>Wendler (2019)</w:t>
            </w:r>
          </w:p>
        </w:tc>
        <w:tc>
          <w:tcPr>
            <w:tcW w:w="1701" w:type="dxa"/>
            <w:gridSpan w:val="2"/>
            <w:tcBorders>
              <w:left w:val="nil"/>
              <w:right w:val="nil"/>
            </w:tcBorders>
            <w:vAlign w:val="center"/>
          </w:tcPr>
          <w:p w14:paraId="3DD48BFE"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1E0B53C3"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12A39ACF"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2976A761"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843" w:type="dxa"/>
            <w:tcBorders>
              <w:left w:val="nil"/>
              <w:right w:val="nil"/>
            </w:tcBorders>
            <w:vAlign w:val="center"/>
          </w:tcPr>
          <w:p w14:paraId="48000636"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657" w:type="dxa"/>
            <w:tcBorders>
              <w:left w:val="nil"/>
              <w:right w:val="nil"/>
            </w:tcBorders>
            <w:vAlign w:val="center"/>
          </w:tcPr>
          <w:p w14:paraId="43FB1484"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268" w:type="dxa"/>
            <w:gridSpan w:val="2"/>
            <w:tcBorders>
              <w:top w:val="single" w:sz="4" w:space="0" w:color="auto"/>
              <w:left w:val="nil"/>
              <w:bottom w:val="single" w:sz="4" w:space="0" w:color="auto"/>
              <w:right w:val="nil"/>
            </w:tcBorders>
            <w:shd w:val="clear" w:color="auto" w:fill="FFD966" w:themeFill="accent4" w:themeFillTint="99"/>
            <w:vAlign w:val="center"/>
          </w:tcPr>
          <w:p w14:paraId="124EF00F" w14:textId="77777777" w:rsidR="0010717F" w:rsidRPr="00083E19" w:rsidRDefault="0010717F" w:rsidP="00506716">
            <w:pPr>
              <w:spacing w:line="360" w:lineRule="auto"/>
              <w:jc w:val="center"/>
              <w:rPr>
                <w:rFonts w:asciiTheme="majorBidi" w:hAnsiTheme="majorBidi" w:cstheme="majorBidi"/>
                <w:b/>
                <w:sz w:val="20"/>
                <w:szCs w:val="20"/>
              </w:rPr>
            </w:pPr>
            <w:r w:rsidRPr="00083E19">
              <w:rPr>
                <w:rFonts w:asciiTheme="majorBidi" w:hAnsiTheme="majorBidi" w:cstheme="majorBidi"/>
                <w:color w:val="000000"/>
                <w:sz w:val="20"/>
                <w:szCs w:val="20"/>
              </w:rPr>
              <w:t>Moderate</w:t>
            </w:r>
          </w:p>
        </w:tc>
      </w:tr>
      <w:tr w:rsidR="0010717F" w:rsidRPr="00083E19" w14:paraId="1E05FAC1" w14:textId="77777777" w:rsidTr="00811382">
        <w:trPr>
          <w:gridAfter w:val="1"/>
          <w:wAfter w:w="14" w:type="dxa"/>
          <w:trHeight w:val="430"/>
          <w:jc w:val="center"/>
        </w:trPr>
        <w:tc>
          <w:tcPr>
            <w:tcW w:w="2410" w:type="dxa"/>
            <w:tcBorders>
              <w:left w:val="nil"/>
              <w:right w:val="nil"/>
            </w:tcBorders>
            <w:vAlign w:val="center"/>
          </w:tcPr>
          <w:p w14:paraId="62918348" w14:textId="77777777" w:rsidR="0010717F" w:rsidRPr="00083E19" w:rsidRDefault="0010717F" w:rsidP="00506716">
            <w:pPr>
              <w:rPr>
                <w:rFonts w:asciiTheme="majorBidi" w:hAnsiTheme="majorBidi" w:cstheme="majorBidi"/>
                <w:sz w:val="20"/>
                <w:szCs w:val="20"/>
              </w:rPr>
            </w:pPr>
            <w:r w:rsidRPr="00083E19">
              <w:rPr>
                <w:rFonts w:asciiTheme="majorBidi" w:hAnsiTheme="majorBidi" w:cstheme="majorBidi"/>
                <w:color w:val="000000"/>
                <w:sz w:val="20"/>
                <w:szCs w:val="20"/>
              </w:rPr>
              <w:t>White and Roberson-Nay (2009)</w:t>
            </w:r>
          </w:p>
        </w:tc>
        <w:tc>
          <w:tcPr>
            <w:tcW w:w="1701" w:type="dxa"/>
            <w:gridSpan w:val="2"/>
            <w:tcBorders>
              <w:left w:val="nil"/>
              <w:right w:val="nil"/>
            </w:tcBorders>
            <w:vAlign w:val="center"/>
          </w:tcPr>
          <w:p w14:paraId="03663C7F"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042B97BA"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1B66DEA3"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5477E543"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843" w:type="dxa"/>
            <w:tcBorders>
              <w:left w:val="nil"/>
              <w:right w:val="nil"/>
            </w:tcBorders>
            <w:vAlign w:val="center"/>
          </w:tcPr>
          <w:p w14:paraId="16A31136"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657" w:type="dxa"/>
            <w:tcBorders>
              <w:left w:val="nil"/>
              <w:right w:val="nil"/>
            </w:tcBorders>
            <w:vAlign w:val="center"/>
          </w:tcPr>
          <w:p w14:paraId="08D7FE3E"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268" w:type="dxa"/>
            <w:gridSpan w:val="2"/>
            <w:tcBorders>
              <w:top w:val="single" w:sz="4" w:space="0" w:color="auto"/>
              <w:left w:val="nil"/>
              <w:bottom w:val="single" w:sz="4" w:space="0" w:color="auto"/>
              <w:right w:val="nil"/>
            </w:tcBorders>
            <w:shd w:val="clear" w:color="auto" w:fill="FFD966" w:themeFill="accent4" w:themeFillTint="99"/>
            <w:vAlign w:val="center"/>
          </w:tcPr>
          <w:p w14:paraId="614137C9" w14:textId="77777777" w:rsidR="0010717F" w:rsidRPr="00083E19" w:rsidRDefault="0010717F" w:rsidP="00506716">
            <w:pPr>
              <w:spacing w:line="360" w:lineRule="auto"/>
              <w:jc w:val="center"/>
              <w:rPr>
                <w:rFonts w:asciiTheme="majorBidi" w:hAnsiTheme="majorBidi" w:cstheme="majorBidi"/>
                <w:b/>
                <w:sz w:val="20"/>
                <w:szCs w:val="20"/>
              </w:rPr>
            </w:pPr>
            <w:r w:rsidRPr="00083E19">
              <w:rPr>
                <w:rFonts w:asciiTheme="majorBidi" w:hAnsiTheme="majorBidi" w:cstheme="majorBidi"/>
                <w:color w:val="000000"/>
                <w:sz w:val="20"/>
                <w:szCs w:val="20"/>
              </w:rPr>
              <w:t>Moderate</w:t>
            </w:r>
          </w:p>
        </w:tc>
      </w:tr>
      <w:tr w:rsidR="0010717F" w:rsidRPr="00083E19" w14:paraId="05E3CF61" w14:textId="77777777" w:rsidTr="00811382">
        <w:trPr>
          <w:gridAfter w:val="1"/>
          <w:wAfter w:w="14" w:type="dxa"/>
          <w:trHeight w:val="430"/>
          <w:jc w:val="center"/>
        </w:trPr>
        <w:tc>
          <w:tcPr>
            <w:tcW w:w="2410" w:type="dxa"/>
            <w:tcBorders>
              <w:left w:val="nil"/>
              <w:right w:val="nil"/>
            </w:tcBorders>
            <w:vAlign w:val="center"/>
          </w:tcPr>
          <w:p w14:paraId="667184B2" w14:textId="3A5803B9" w:rsidR="0010717F" w:rsidRPr="00083E19" w:rsidRDefault="0030004B" w:rsidP="00506716">
            <w:pPr>
              <w:rPr>
                <w:rFonts w:asciiTheme="majorBidi" w:hAnsiTheme="majorBidi" w:cstheme="majorBidi"/>
                <w:sz w:val="20"/>
                <w:szCs w:val="20"/>
              </w:rPr>
            </w:pPr>
            <w:r w:rsidRPr="00083E19">
              <w:rPr>
                <w:rFonts w:asciiTheme="majorBidi" w:hAnsiTheme="majorBidi" w:cstheme="majorBidi"/>
                <w:color w:val="000000"/>
                <w:sz w:val="20"/>
                <w:szCs w:val="20"/>
              </w:rPr>
              <w:fldChar w:fldCharType="begin" w:fldLock="1"/>
            </w:r>
            <w:r w:rsidRPr="00083E19">
              <w:rPr>
                <w:rFonts w:asciiTheme="majorBidi" w:hAnsiTheme="majorBidi" w:cstheme="majorBidi"/>
                <w:color w:val="000000"/>
                <w:sz w:val="20"/>
                <w:szCs w:val="20"/>
              </w:rPr>
              <w:instrText>ADDIN CSL_CITATION {"citationItems":[{"id":"ITEM-1","itemData":{"abstract":"Main Project: This study aimed to 1) investigate if adolescents and young adults with autism spectrum disorder (ASD) who are high in social anxiety underestimate their social performance when compared with those low in social anxiety, and 2) investigate the association between social motivation and social anxiety. Participants (n=20) aged 14-21 years completed measures of social anxiety, loneliness and social satisfaction before taking part in a video-recorded group discussion. Self and observer ratings of social performance were analysed. Results revealed that participants high in social anxiety rated themselves significantly poorer than did observers. The interaction between social anxiety group and rater was non-significant. Loneliness significantly correlated with social anxiety. This study highlights how cognitive factors may be involved in social anxiety for young people with ASD and discusses implications for psychological intervention. Service Improvement Project Objective: Chronic illness, such as Cystic Fibrosis, can make adolescence and young adulthood challenging. During this time, young people must move on from using paediatric to adult healthcare services. This transition is a current research focus, acknowledged to require careful preparation and planning and be considered within a developmental context. This study aimed to explore the experiences of some young people with Cystic Fibrosis and their parents during this transition in order to inform a transition pathway. Method: Five young people and three parents who were either approaching or had experienced transition were interviewed about their experiences. Transcribed interviews were analysed using thematic analysis. Results: Four key themes emerged: moving on from the familiarity and security of children’s services; changes in the nature of relationships with healthcare professionals; transition as a condensed process in the context of adolescence; and changing roles in healthcare. Conclusions: Results highlighted the strong attachment to paediatric team and the anxiety about change for both patients and parents. Themes are discussed along with service recommendations which aim to reduce this anxiety for patients by supporting the establishment of new relationships and increase familiarity and confidence with the new setting and processes. Literature Review: Family members often become significantly involved in obsessive compulsive disorder, changing their lives to accommodate the sy…","author":[{"dropping-particle":"","family":"Wood","given":"Helen","non-dropping-particle":"","parse-names":false,"suffix":""}],"container-title":"PQDT - UK &amp; Ireland","id":"ITEM-1","issued":{"date-parts":[["2014"]]},"language":"English","note":"Copyright - Database copyright ProQuest LLC; ProQuest does not claim copyright in the individual underlying works.\n\nAnalyte descriptor - Bibliographic data provided by EThOS, the British Library’s UK thesis service: https://ethos.bl.uk/OrderDetails.do?uin=uk.bl.ethos.675686\n\nLast updated - 2020-10-29","publisher":"University of Bath (United Kingdom)","publisher-place":"Ann Arbor","title":"Social anxiety and self-perceptions of social performance in adolescents and young adults with high functioning autism spectrum disorders","type":"thesis"},"uris":["http://www.mendeley.com/documents/?uuid=6dac0d40-d98b-4dc7-8e6f-d88babf80438"]}],"mendeley":{"formattedCitation":"(Wood, 2014)","manualFormatting":"Wood (2014)","plainTextFormattedCitation":"(Wood, 2014)","previouslyFormattedCitation":"(Wood, 2014)"},"properties":{"noteIndex":0},"schema":"https://github.com/citation-style-language/schema/raw/master/csl-citation.json"}</w:instrText>
            </w:r>
            <w:r w:rsidRPr="00083E19">
              <w:rPr>
                <w:rFonts w:asciiTheme="majorBidi" w:hAnsiTheme="majorBidi" w:cstheme="majorBidi"/>
                <w:color w:val="000000"/>
                <w:sz w:val="20"/>
                <w:szCs w:val="20"/>
              </w:rPr>
              <w:fldChar w:fldCharType="separate"/>
            </w:r>
            <w:r w:rsidRPr="00083E19">
              <w:rPr>
                <w:rFonts w:asciiTheme="majorBidi" w:hAnsiTheme="majorBidi" w:cstheme="majorBidi"/>
                <w:noProof/>
                <w:color w:val="000000"/>
                <w:sz w:val="20"/>
                <w:szCs w:val="20"/>
              </w:rPr>
              <w:t>Wood (2014)</w:t>
            </w:r>
            <w:r w:rsidRPr="00083E19">
              <w:rPr>
                <w:rFonts w:asciiTheme="majorBidi" w:hAnsiTheme="majorBidi" w:cstheme="majorBidi"/>
                <w:color w:val="000000"/>
                <w:sz w:val="20"/>
                <w:szCs w:val="20"/>
              </w:rPr>
              <w:fldChar w:fldCharType="end"/>
            </w:r>
          </w:p>
        </w:tc>
        <w:tc>
          <w:tcPr>
            <w:tcW w:w="1701" w:type="dxa"/>
            <w:gridSpan w:val="2"/>
            <w:tcBorders>
              <w:left w:val="nil"/>
              <w:right w:val="nil"/>
            </w:tcBorders>
            <w:vAlign w:val="center"/>
          </w:tcPr>
          <w:p w14:paraId="2BFC7E8D"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108FB18E"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283C5312"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2D4BA717"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843" w:type="dxa"/>
            <w:tcBorders>
              <w:left w:val="nil"/>
              <w:right w:val="nil"/>
            </w:tcBorders>
            <w:vAlign w:val="center"/>
          </w:tcPr>
          <w:p w14:paraId="4A55F71F"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657" w:type="dxa"/>
            <w:tcBorders>
              <w:left w:val="nil"/>
              <w:right w:val="nil"/>
            </w:tcBorders>
            <w:vAlign w:val="center"/>
          </w:tcPr>
          <w:p w14:paraId="5EF62AF7"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268" w:type="dxa"/>
            <w:gridSpan w:val="2"/>
            <w:tcBorders>
              <w:top w:val="single" w:sz="4" w:space="0" w:color="auto"/>
              <w:left w:val="nil"/>
              <w:bottom w:val="single" w:sz="4" w:space="0" w:color="auto"/>
              <w:right w:val="nil"/>
            </w:tcBorders>
            <w:shd w:val="clear" w:color="auto" w:fill="F4B083" w:themeFill="accent2" w:themeFillTint="99"/>
            <w:vAlign w:val="center"/>
          </w:tcPr>
          <w:p w14:paraId="24DB233E" w14:textId="77777777" w:rsidR="0010717F" w:rsidRPr="00083E19" w:rsidRDefault="0010717F" w:rsidP="00506716">
            <w:pPr>
              <w:spacing w:line="360" w:lineRule="auto"/>
              <w:jc w:val="center"/>
              <w:rPr>
                <w:rFonts w:asciiTheme="majorBidi" w:hAnsiTheme="majorBidi" w:cstheme="majorBidi"/>
                <w:b/>
                <w:sz w:val="20"/>
                <w:szCs w:val="20"/>
              </w:rPr>
            </w:pPr>
            <w:r w:rsidRPr="00083E19">
              <w:rPr>
                <w:rFonts w:asciiTheme="majorBidi" w:hAnsiTheme="majorBidi" w:cstheme="majorBidi"/>
                <w:color w:val="000000"/>
                <w:sz w:val="20"/>
                <w:szCs w:val="20"/>
              </w:rPr>
              <w:t>Weak</w:t>
            </w:r>
          </w:p>
        </w:tc>
      </w:tr>
      <w:tr w:rsidR="0010717F" w:rsidRPr="00083E19" w14:paraId="4A71EA00" w14:textId="77777777" w:rsidTr="00811382">
        <w:trPr>
          <w:gridAfter w:val="1"/>
          <w:wAfter w:w="14" w:type="dxa"/>
          <w:trHeight w:val="430"/>
          <w:jc w:val="center"/>
        </w:trPr>
        <w:tc>
          <w:tcPr>
            <w:tcW w:w="2410" w:type="dxa"/>
            <w:tcBorders>
              <w:left w:val="nil"/>
              <w:right w:val="nil"/>
            </w:tcBorders>
            <w:vAlign w:val="center"/>
          </w:tcPr>
          <w:p w14:paraId="0F976527" w14:textId="3F90730A" w:rsidR="0010717F" w:rsidRPr="00083E19" w:rsidRDefault="0030004B" w:rsidP="00506716">
            <w:pPr>
              <w:rPr>
                <w:rFonts w:asciiTheme="majorBidi" w:hAnsiTheme="majorBidi" w:cstheme="majorBidi"/>
                <w:sz w:val="20"/>
                <w:szCs w:val="20"/>
              </w:rPr>
            </w:pPr>
            <w:r w:rsidRPr="00083E19">
              <w:rPr>
                <w:rFonts w:asciiTheme="majorBidi" w:hAnsiTheme="majorBidi" w:cstheme="majorBidi"/>
                <w:color w:val="000000"/>
                <w:sz w:val="20"/>
                <w:szCs w:val="20"/>
              </w:rPr>
              <w:fldChar w:fldCharType="begin" w:fldLock="1"/>
            </w:r>
            <w:r w:rsidR="006A2BD3" w:rsidRPr="00083E19">
              <w:rPr>
                <w:rFonts w:asciiTheme="majorBidi" w:hAnsiTheme="majorBidi" w:cstheme="majorBidi"/>
                <w:color w:val="000000"/>
                <w:sz w:val="20"/>
                <w:szCs w:val="20"/>
              </w:rPr>
              <w:instrText>ADDIN CSL_CITATION {"citationItems":[{"id":"ITEM-1","itemData":{"DOI":"10.5817/CP2017-1-6","abstract":"© 2017, Masaryk University. All rights reserved. Parental mediation of technology use is proposed to protect against the risk of cyber victimization and the associated negative consequences. Although the buffering effects of parental mediation of technology use are currently being investigated, little attention has focused on whether parental mediation protects against the depression, anxiety, and loneliness associated with cyber victimization among adolescents with autism spectrum disorders. The present study focused on this gap in the literature by investigating the buffering effect of parental mediation on the associations between cyber victimization and depression, anxiety, and loneliness. Participants were 128 6th through 8th graders from the Midwestern United States (ages range from 11-16 years old; 89% male), and they completed questionnaires on their perceptions of parental mediation of technology use, cyber victimization, face-to-face victimization, depression, loneliness, and anxiety. After controlling for face-to-face victimization, the findings revealed that high levels of perceived parental technology mediation made the relationship between cyber victimization and depression more negative, while lower levels of perceived parental technology mediation made the association more positive. These patterns were not found for anxiety or loneliness.","author":[{"dropping-particle":"","family":"Wright","given":"M.F.","non-dropping-particle":"","parse-names":false,"suffix":""}],"container-title":"Cyberpsychology","id":"ITEM-1","issue":"1","issued":{"date-parts":[["2017"]]},"page":"1-12","title":"Parental mediation, cyber victimization, adjustment difficulties, and adolescents with autism spectrum disorder","type":"article-journal","volume":"11"},"uris":["http://www.mendeley.com/documents/?uuid=eafe1fc1-adcc-3e21-b9d5-24a7abf94338"]}],"mendeley":{"formattedCitation":"(Wright, 2017)","manualFormatting":"Wright (2017)","plainTextFormattedCitation":"(Wright, 2017)","previouslyFormattedCitation":"(Wright, 2017)"},"properties":{"noteIndex":0},"schema":"https://github.com/citation-style-language/schema/raw/master/csl-citation.json"}</w:instrText>
            </w:r>
            <w:r w:rsidRPr="00083E19">
              <w:rPr>
                <w:rFonts w:asciiTheme="majorBidi" w:hAnsiTheme="majorBidi" w:cstheme="majorBidi"/>
                <w:color w:val="000000"/>
                <w:sz w:val="20"/>
                <w:szCs w:val="20"/>
              </w:rPr>
              <w:fldChar w:fldCharType="separate"/>
            </w:r>
            <w:r w:rsidRPr="00083E19">
              <w:rPr>
                <w:rFonts w:asciiTheme="majorBidi" w:hAnsiTheme="majorBidi" w:cstheme="majorBidi"/>
                <w:noProof/>
                <w:color w:val="000000"/>
                <w:sz w:val="20"/>
                <w:szCs w:val="20"/>
              </w:rPr>
              <w:t>Wright (2017)</w:t>
            </w:r>
            <w:r w:rsidRPr="00083E19">
              <w:rPr>
                <w:rFonts w:asciiTheme="majorBidi" w:hAnsiTheme="majorBidi" w:cstheme="majorBidi"/>
                <w:color w:val="000000"/>
                <w:sz w:val="20"/>
                <w:szCs w:val="20"/>
              </w:rPr>
              <w:fldChar w:fldCharType="end"/>
            </w:r>
          </w:p>
        </w:tc>
        <w:tc>
          <w:tcPr>
            <w:tcW w:w="1701" w:type="dxa"/>
            <w:gridSpan w:val="2"/>
            <w:tcBorders>
              <w:left w:val="nil"/>
              <w:right w:val="nil"/>
            </w:tcBorders>
            <w:vAlign w:val="center"/>
          </w:tcPr>
          <w:p w14:paraId="3E104363"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10F60BFA"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1CB28513"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07A7EB9E"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Strong</w:t>
            </w:r>
          </w:p>
        </w:tc>
        <w:tc>
          <w:tcPr>
            <w:tcW w:w="1843" w:type="dxa"/>
            <w:tcBorders>
              <w:left w:val="nil"/>
              <w:right w:val="nil"/>
            </w:tcBorders>
            <w:vAlign w:val="center"/>
          </w:tcPr>
          <w:p w14:paraId="5006CB56"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657" w:type="dxa"/>
            <w:tcBorders>
              <w:left w:val="nil"/>
              <w:right w:val="nil"/>
            </w:tcBorders>
            <w:vAlign w:val="center"/>
          </w:tcPr>
          <w:p w14:paraId="2FB39243"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268" w:type="dxa"/>
            <w:gridSpan w:val="2"/>
            <w:tcBorders>
              <w:top w:val="single" w:sz="4" w:space="0" w:color="auto"/>
              <w:left w:val="nil"/>
              <w:bottom w:val="single" w:sz="4" w:space="0" w:color="auto"/>
              <w:right w:val="nil"/>
            </w:tcBorders>
            <w:shd w:val="clear" w:color="auto" w:fill="FFD966" w:themeFill="accent4" w:themeFillTint="99"/>
            <w:vAlign w:val="center"/>
          </w:tcPr>
          <w:p w14:paraId="16FEDD06" w14:textId="77777777" w:rsidR="0010717F" w:rsidRPr="00083E19" w:rsidRDefault="0010717F" w:rsidP="00506716">
            <w:pPr>
              <w:spacing w:line="360" w:lineRule="auto"/>
              <w:jc w:val="center"/>
              <w:rPr>
                <w:rFonts w:asciiTheme="majorBidi" w:hAnsiTheme="majorBidi" w:cstheme="majorBidi"/>
                <w:b/>
                <w:sz w:val="20"/>
                <w:szCs w:val="20"/>
              </w:rPr>
            </w:pPr>
            <w:r w:rsidRPr="00083E19">
              <w:rPr>
                <w:rFonts w:asciiTheme="majorBidi" w:hAnsiTheme="majorBidi" w:cstheme="majorBidi"/>
                <w:color w:val="000000"/>
                <w:sz w:val="20"/>
                <w:szCs w:val="20"/>
              </w:rPr>
              <w:t>Moderate</w:t>
            </w:r>
          </w:p>
        </w:tc>
      </w:tr>
      <w:tr w:rsidR="0010717F" w:rsidRPr="00083E19" w14:paraId="23104CA8" w14:textId="77777777" w:rsidTr="00811382">
        <w:trPr>
          <w:gridAfter w:val="1"/>
          <w:wAfter w:w="14" w:type="dxa"/>
          <w:trHeight w:val="430"/>
          <w:jc w:val="center"/>
        </w:trPr>
        <w:tc>
          <w:tcPr>
            <w:tcW w:w="2410" w:type="dxa"/>
            <w:tcBorders>
              <w:left w:val="nil"/>
              <w:right w:val="nil"/>
            </w:tcBorders>
            <w:vAlign w:val="center"/>
          </w:tcPr>
          <w:p w14:paraId="0F2ACC08" w14:textId="77777777" w:rsidR="0010717F" w:rsidRPr="00083E19" w:rsidRDefault="0010717F" w:rsidP="00506716">
            <w:pPr>
              <w:rPr>
                <w:rFonts w:asciiTheme="majorBidi" w:hAnsiTheme="majorBidi" w:cstheme="majorBidi"/>
                <w:sz w:val="20"/>
                <w:szCs w:val="20"/>
              </w:rPr>
            </w:pPr>
            <w:r w:rsidRPr="00083E19">
              <w:rPr>
                <w:rFonts w:asciiTheme="majorBidi" w:hAnsiTheme="majorBidi" w:cstheme="majorBidi"/>
                <w:color w:val="000000"/>
                <w:sz w:val="20"/>
                <w:szCs w:val="20"/>
              </w:rPr>
              <w:t>Yeung (2009)</w:t>
            </w:r>
          </w:p>
        </w:tc>
        <w:tc>
          <w:tcPr>
            <w:tcW w:w="1701" w:type="dxa"/>
            <w:gridSpan w:val="2"/>
            <w:tcBorders>
              <w:left w:val="nil"/>
              <w:right w:val="nil"/>
            </w:tcBorders>
            <w:vAlign w:val="center"/>
          </w:tcPr>
          <w:p w14:paraId="77E21410"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37289CC1"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5899871B"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Moderate</w:t>
            </w:r>
          </w:p>
        </w:tc>
        <w:tc>
          <w:tcPr>
            <w:tcW w:w="1701" w:type="dxa"/>
            <w:tcBorders>
              <w:left w:val="nil"/>
              <w:right w:val="nil"/>
            </w:tcBorders>
            <w:vAlign w:val="center"/>
          </w:tcPr>
          <w:p w14:paraId="14E10D93"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843" w:type="dxa"/>
            <w:tcBorders>
              <w:left w:val="nil"/>
              <w:right w:val="nil"/>
            </w:tcBorders>
            <w:vAlign w:val="center"/>
          </w:tcPr>
          <w:p w14:paraId="18D2700F"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657" w:type="dxa"/>
            <w:tcBorders>
              <w:left w:val="nil"/>
              <w:right w:val="nil"/>
            </w:tcBorders>
            <w:vAlign w:val="center"/>
          </w:tcPr>
          <w:p w14:paraId="5C21B701" w14:textId="77777777" w:rsidR="0010717F" w:rsidRPr="00083E19" w:rsidRDefault="0010717F" w:rsidP="00506716">
            <w:pPr>
              <w:spacing w:line="360" w:lineRule="auto"/>
              <w:jc w:val="center"/>
              <w:rPr>
                <w:rFonts w:asciiTheme="majorBidi" w:hAnsiTheme="majorBidi" w:cstheme="majorBidi"/>
                <w:sz w:val="20"/>
                <w:szCs w:val="20"/>
              </w:rPr>
            </w:pPr>
            <w:r w:rsidRPr="00083E19">
              <w:rPr>
                <w:rFonts w:asciiTheme="majorBidi" w:hAnsiTheme="majorBidi" w:cstheme="majorBidi"/>
                <w:color w:val="000000"/>
                <w:sz w:val="20"/>
                <w:szCs w:val="20"/>
              </w:rPr>
              <w:t>Weak</w:t>
            </w:r>
          </w:p>
        </w:tc>
        <w:tc>
          <w:tcPr>
            <w:tcW w:w="1268" w:type="dxa"/>
            <w:gridSpan w:val="2"/>
            <w:tcBorders>
              <w:top w:val="single" w:sz="4" w:space="0" w:color="auto"/>
              <w:left w:val="nil"/>
              <w:bottom w:val="single" w:sz="4" w:space="0" w:color="auto"/>
              <w:right w:val="nil"/>
            </w:tcBorders>
            <w:shd w:val="clear" w:color="auto" w:fill="F4B083" w:themeFill="accent2" w:themeFillTint="99"/>
            <w:vAlign w:val="center"/>
          </w:tcPr>
          <w:p w14:paraId="14768D1D" w14:textId="77777777" w:rsidR="0010717F" w:rsidRPr="00083E19" w:rsidRDefault="0010717F" w:rsidP="00506716">
            <w:pPr>
              <w:spacing w:line="360" w:lineRule="auto"/>
              <w:jc w:val="center"/>
              <w:rPr>
                <w:rFonts w:asciiTheme="majorBidi" w:hAnsiTheme="majorBidi" w:cstheme="majorBidi"/>
                <w:b/>
                <w:sz w:val="20"/>
                <w:szCs w:val="20"/>
              </w:rPr>
            </w:pPr>
            <w:r w:rsidRPr="00083E19">
              <w:rPr>
                <w:rFonts w:asciiTheme="majorBidi" w:hAnsiTheme="majorBidi" w:cstheme="majorBidi"/>
                <w:color w:val="000000"/>
                <w:sz w:val="20"/>
                <w:szCs w:val="20"/>
              </w:rPr>
              <w:t>Weak</w:t>
            </w:r>
          </w:p>
        </w:tc>
      </w:tr>
    </w:tbl>
    <w:p w14:paraId="70EC06FE" w14:textId="3FC1D680" w:rsidR="005F5976" w:rsidRPr="00083E19" w:rsidRDefault="005F5976" w:rsidP="007F7363">
      <w:pPr>
        <w:rPr>
          <w:rFonts w:asciiTheme="majorBidi" w:hAnsiTheme="majorBidi" w:cstheme="majorBidi"/>
          <w:sz w:val="20"/>
          <w:szCs w:val="20"/>
        </w:rPr>
      </w:pPr>
    </w:p>
    <w:sectPr w:rsidR="005F5976" w:rsidRPr="00083E19" w:rsidSect="00693AC0">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7953E" w14:textId="77777777" w:rsidR="005A336B" w:rsidRDefault="005A336B" w:rsidP="00DF48F2">
      <w:pPr>
        <w:spacing w:after="0" w:line="240" w:lineRule="auto"/>
      </w:pPr>
      <w:r>
        <w:separator/>
      </w:r>
    </w:p>
  </w:endnote>
  <w:endnote w:type="continuationSeparator" w:id="0">
    <w:p w14:paraId="45EB1B0D" w14:textId="77777777" w:rsidR="005A336B" w:rsidRDefault="005A336B" w:rsidP="00DF4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ode">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7547E" w14:textId="10962825" w:rsidR="007B29B1" w:rsidRPr="002C7B03" w:rsidRDefault="007B29B1" w:rsidP="008E2CA5">
    <w:pPr>
      <w:pStyle w:val="Footer"/>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CDAA5" w14:textId="77777777" w:rsidR="005A336B" w:rsidRDefault="005A336B" w:rsidP="00DF48F2">
      <w:pPr>
        <w:spacing w:after="0" w:line="240" w:lineRule="auto"/>
      </w:pPr>
      <w:r>
        <w:separator/>
      </w:r>
    </w:p>
  </w:footnote>
  <w:footnote w:type="continuationSeparator" w:id="0">
    <w:p w14:paraId="4F7B479D" w14:textId="77777777" w:rsidR="005A336B" w:rsidRDefault="005A336B" w:rsidP="00DF48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A9D90" w14:textId="19445112" w:rsidR="007B29B1" w:rsidRPr="00661A84" w:rsidRDefault="00627621" w:rsidP="00627621">
    <w:bookmarkStart w:id="0" w:name="_Hlk93346939"/>
    <w:r w:rsidRPr="00040FD8">
      <w:rPr>
        <w:rFonts w:asciiTheme="majorBidi" w:hAnsiTheme="majorBidi" w:cstheme="majorBidi"/>
        <w:sz w:val="24"/>
        <w:szCs w:val="24"/>
      </w:rPr>
      <w:t>Loneliness in autism and its association with anxiety and depression: A systematic review with meta-analyses</w:t>
    </w:r>
    <w:bookmarkEnd w:id="0"/>
    <w:r>
      <w:rPr>
        <w:rFonts w:asciiTheme="majorBidi" w:hAnsiTheme="majorBidi" w:cstheme="majorBidi"/>
        <w:sz w:val="24"/>
        <w:szCs w:val="24"/>
      </w:rPr>
      <w:t xml:space="preserve">                                                       </w:t>
    </w:r>
    <w:sdt>
      <w:sdtPr>
        <w:id w:val="1842507341"/>
        <w:docPartObj>
          <w:docPartGallery w:val="Page Numbers (Top of Page)"/>
          <w:docPartUnique/>
        </w:docPartObj>
      </w:sdtPr>
      <w:sdtEndPr>
        <w:rPr>
          <w:rFonts w:ascii="Times New Roman" w:hAnsi="Times New Roman" w:cs="Times New Roman"/>
          <w:noProof/>
          <w:sz w:val="20"/>
          <w:szCs w:val="20"/>
        </w:rPr>
      </w:sdtEndPr>
      <w:sdtContent>
        <w:r w:rsidR="008E2CA5" w:rsidRPr="00040FD8">
          <w:rPr>
            <w:rFonts w:ascii="Times New Roman" w:hAnsi="Times New Roman" w:cs="Times New Roman"/>
            <w:sz w:val="20"/>
            <w:szCs w:val="20"/>
          </w:rPr>
          <w:fldChar w:fldCharType="begin"/>
        </w:r>
        <w:r w:rsidR="008E2CA5" w:rsidRPr="00040FD8">
          <w:rPr>
            <w:rFonts w:ascii="Times New Roman" w:hAnsi="Times New Roman" w:cs="Times New Roman"/>
            <w:sz w:val="20"/>
            <w:szCs w:val="20"/>
          </w:rPr>
          <w:instrText xml:space="preserve"> PAGE   \* MERGEFORMAT </w:instrText>
        </w:r>
        <w:r w:rsidR="008E2CA5" w:rsidRPr="00040FD8">
          <w:rPr>
            <w:rFonts w:ascii="Times New Roman" w:hAnsi="Times New Roman" w:cs="Times New Roman"/>
            <w:sz w:val="20"/>
            <w:szCs w:val="20"/>
          </w:rPr>
          <w:fldChar w:fldCharType="separate"/>
        </w:r>
        <w:r w:rsidR="008E2CA5" w:rsidRPr="00040FD8">
          <w:rPr>
            <w:rFonts w:ascii="Times New Roman" w:hAnsi="Times New Roman" w:cs="Times New Roman"/>
            <w:noProof/>
            <w:sz w:val="20"/>
            <w:szCs w:val="20"/>
          </w:rPr>
          <w:t>2</w:t>
        </w:r>
        <w:r w:rsidR="008E2CA5" w:rsidRPr="00040FD8">
          <w:rPr>
            <w:rFonts w:ascii="Times New Roman" w:hAnsi="Times New Roman" w:cs="Times New Roman"/>
            <w:noProof/>
            <w:sz w:val="20"/>
            <w:szCs w:val="20"/>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345E1"/>
    <w:multiLevelType w:val="hybridMultilevel"/>
    <w:tmpl w:val="236C2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26D06"/>
    <w:multiLevelType w:val="multilevel"/>
    <w:tmpl w:val="94608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932013"/>
    <w:multiLevelType w:val="hybridMultilevel"/>
    <w:tmpl w:val="005AC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31A7D"/>
    <w:multiLevelType w:val="hybridMultilevel"/>
    <w:tmpl w:val="CA942F9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38443B"/>
    <w:multiLevelType w:val="hybridMultilevel"/>
    <w:tmpl w:val="079AE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FF6D18"/>
    <w:multiLevelType w:val="hybridMultilevel"/>
    <w:tmpl w:val="A908434A"/>
    <w:lvl w:ilvl="0" w:tplc="F010544E">
      <w:numFmt w:val="bullet"/>
      <w:lvlText w:val="-"/>
      <w:lvlJc w:val="left"/>
      <w:pPr>
        <w:ind w:left="1080"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E1B0300"/>
    <w:multiLevelType w:val="hybridMultilevel"/>
    <w:tmpl w:val="978A1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116AFC"/>
    <w:multiLevelType w:val="hybridMultilevel"/>
    <w:tmpl w:val="57221F58"/>
    <w:lvl w:ilvl="0" w:tplc="1818C72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D30352"/>
    <w:multiLevelType w:val="hybridMultilevel"/>
    <w:tmpl w:val="2FCCF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EC2530"/>
    <w:multiLevelType w:val="hybridMultilevel"/>
    <w:tmpl w:val="B8865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4F11D5"/>
    <w:multiLevelType w:val="hybridMultilevel"/>
    <w:tmpl w:val="151C5404"/>
    <w:lvl w:ilvl="0" w:tplc="FEB879B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53253A"/>
    <w:multiLevelType w:val="hybridMultilevel"/>
    <w:tmpl w:val="DAB85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5A18E2"/>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689098F"/>
    <w:multiLevelType w:val="hybridMultilevel"/>
    <w:tmpl w:val="49B055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896E24"/>
    <w:multiLevelType w:val="hybridMultilevel"/>
    <w:tmpl w:val="58367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D85C17"/>
    <w:multiLevelType w:val="multilevel"/>
    <w:tmpl w:val="32DED7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55E196F"/>
    <w:multiLevelType w:val="hybridMultilevel"/>
    <w:tmpl w:val="CAA49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FC3E87"/>
    <w:multiLevelType w:val="multilevel"/>
    <w:tmpl w:val="0BC6EA9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72D7624"/>
    <w:multiLevelType w:val="hybridMultilevel"/>
    <w:tmpl w:val="CBA4E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F40FD9"/>
    <w:multiLevelType w:val="hybridMultilevel"/>
    <w:tmpl w:val="A51ED926"/>
    <w:lvl w:ilvl="0" w:tplc="9DC2C0D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0A44E0"/>
    <w:multiLevelType w:val="hybridMultilevel"/>
    <w:tmpl w:val="F88A9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33413E"/>
    <w:multiLevelType w:val="hybridMultilevel"/>
    <w:tmpl w:val="D842E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9"/>
  </w:num>
  <w:num w:numId="4">
    <w:abstractNumId w:val="13"/>
  </w:num>
  <w:num w:numId="5">
    <w:abstractNumId w:val="3"/>
  </w:num>
  <w:num w:numId="6">
    <w:abstractNumId w:val="7"/>
  </w:num>
  <w:num w:numId="7">
    <w:abstractNumId w:val="10"/>
  </w:num>
  <w:num w:numId="8">
    <w:abstractNumId w:val="0"/>
  </w:num>
  <w:num w:numId="9">
    <w:abstractNumId w:val="6"/>
  </w:num>
  <w:num w:numId="10">
    <w:abstractNumId w:val="14"/>
  </w:num>
  <w:num w:numId="11">
    <w:abstractNumId w:val="4"/>
  </w:num>
  <w:num w:numId="12">
    <w:abstractNumId w:val="20"/>
  </w:num>
  <w:num w:numId="13">
    <w:abstractNumId w:val="21"/>
  </w:num>
  <w:num w:numId="14">
    <w:abstractNumId w:val="18"/>
  </w:num>
  <w:num w:numId="15">
    <w:abstractNumId w:val="16"/>
  </w:num>
  <w:num w:numId="16">
    <w:abstractNumId w:val="2"/>
  </w:num>
  <w:num w:numId="17">
    <w:abstractNumId w:val="15"/>
  </w:num>
  <w:num w:numId="18">
    <w:abstractNumId w:val="17"/>
  </w:num>
  <w:num w:numId="19">
    <w:abstractNumId w:val="5"/>
  </w:num>
  <w:num w:numId="20">
    <w:abstractNumId w:val="8"/>
  </w:num>
  <w:num w:numId="21">
    <w:abstractNumId w:val="1"/>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s-ES_tradnl" w:vendorID="64" w:dllVersion="6" w:nlCheck="1" w:checkStyle="0"/>
  <w:activeWritingStyle w:appName="MSWord" w:lang="en-GB" w:vendorID="64" w:dllVersion="0" w:nlCheck="1" w:checkStyle="0"/>
  <w:activeWritingStyle w:appName="MSWord" w:lang="fr-FR" w:vendorID="64" w:dllVersion="0" w:nlCheck="1" w:checkStyle="0"/>
  <w:activeWritingStyle w:appName="MSWord" w:lang="es-ES_tradnl"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F66"/>
    <w:rsid w:val="00000356"/>
    <w:rsid w:val="000022F8"/>
    <w:rsid w:val="00005FC8"/>
    <w:rsid w:val="000071DE"/>
    <w:rsid w:val="00010851"/>
    <w:rsid w:val="00010BDC"/>
    <w:rsid w:val="00013171"/>
    <w:rsid w:val="00013B6B"/>
    <w:rsid w:val="00015FB1"/>
    <w:rsid w:val="000165AA"/>
    <w:rsid w:val="00017362"/>
    <w:rsid w:val="000173AF"/>
    <w:rsid w:val="000175E1"/>
    <w:rsid w:val="000201ED"/>
    <w:rsid w:val="000206BE"/>
    <w:rsid w:val="00021F9E"/>
    <w:rsid w:val="00022AFF"/>
    <w:rsid w:val="00022EA7"/>
    <w:rsid w:val="000244A4"/>
    <w:rsid w:val="000275F4"/>
    <w:rsid w:val="00030934"/>
    <w:rsid w:val="00030CB5"/>
    <w:rsid w:val="00036BB4"/>
    <w:rsid w:val="00037DAD"/>
    <w:rsid w:val="00040FD8"/>
    <w:rsid w:val="00041097"/>
    <w:rsid w:val="00046C40"/>
    <w:rsid w:val="00047928"/>
    <w:rsid w:val="000517E8"/>
    <w:rsid w:val="00051A89"/>
    <w:rsid w:val="000522C0"/>
    <w:rsid w:val="0005272C"/>
    <w:rsid w:val="000531D8"/>
    <w:rsid w:val="00053D57"/>
    <w:rsid w:val="00053FC6"/>
    <w:rsid w:val="00054EA1"/>
    <w:rsid w:val="00055175"/>
    <w:rsid w:val="00056CBD"/>
    <w:rsid w:val="000600E1"/>
    <w:rsid w:val="00060261"/>
    <w:rsid w:val="00060334"/>
    <w:rsid w:val="00060532"/>
    <w:rsid w:val="00060571"/>
    <w:rsid w:val="00060A71"/>
    <w:rsid w:val="000622BC"/>
    <w:rsid w:val="000644D8"/>
    <w:rsid w:val="000651C3"/>
    <w:rsid w:val="00066DB8"/>
    <w:rsid w:val="000709EA"/>
    <w:rsid w:val="000726F0"/>
    <w:rsid w:val="000736A9"/>
    <w:rsid w:val="0007538A"/>
    <w:rsid w:val="00075A27"/>
    <w:rsid w:val="00076391"/>
    <w:rsid w:val="0008026A"/>
    <w:rsid w:val="00083476"/>
    <w:rsid w:val="00083A82"/>
    <w:rsid w:val="00083E19"/>
    <w:rsid w:val="0008416C"/>
    <w:rsid w:val="00085BC2"/>
    <w:rsid w:val="00093AEE"/>
    <w:rsid w:val="00093D42"/>
    <w:rsid w:val="00094FE5"/>
    <w:rsid w:val="00097B2F"/>
    <w:rsid w:val="000A0121"/>
    <w:rsid w:val="000A3BBF"/>
    <w:rsid w:val="000A3EB0"/>
    <w:rsid w:val="000A5E1A"/>
    <w:rsid w:val="000B0060"/>
    <w:rsid w:val="000B4BDF"/>
    <w:rsid w:val="000B7C18"/>
    <w:rsid w:val="000B7EB4"/>
    <w:rsid w:val="000C0276"/>
    <w:rsid w:val="000C0E2E"/>
    <w:rsid w:val="000C2429"/>
    <w:rsid w:val="000C2FD6"/>
    <w:rsid w:val="000C5685"/>
    <w:rsid w:val="000C7159"/>
    <w:rsid w:val="000C728E"/>
    <w:rsid w:val="000C74A7"/>
    <w:rsid w:val="000D02B8"/>
    <w:rsid w:val="000D1801"/>
    <w:rsid w:val="000D276F"/>
    <w:rsid w:val="000D3B46"/>
    <w:rsid w:val="000D4872"/>
    <w:rsid w:val="000D5064"/>
    <w:rsid w:val="000D667C"/>
    <w:rsid w:val="000E1C96"/>
    <w:rsid w:val="000E2B7C"/>
    <w:rsid w:val="000E3FE1"/>
    <w:rsid w:val="000E71E0"/>
    <w:rsid w:val="000F3D28"/>
    <w:rsid w:val="0010058B"/>
    <w:rsid w:val="001018C3"/>
    <w:rsid w:val="00101F1D"/>
    <w:rsid w:val="00102080"/>
    <w:rsid w:val="00104A46"/>
    <w:rsid w:val="0010653E"/>
    <w:rsid w:val="0010717F"/>
    <w:rsid w:val="00107918"/>
    <w:rsid w:val="00110649"/>
    <w:rsid w:val="00110941"/>
    <w:rsid w:val="00115B19"/>
    <w:rsid w:val="00115BEF"/>
    <w:rsid w:val="001163AC"/>
    <w:rsid w:val="001211D3"/>
    <w:rsid w:val="001222E1"/>
    <w:rsid w:val="00123B77"/>
    <w:rsid w:val="00124951"/>
    <w:rsid w:val="00131814"/>
    <w:rsid w:val="00135471"/>
    <w:rsid w:val="00136073"/>
    <w:rsid w:val="00136A3D"/>
    <w:rsid w:val="00137E10"/>
    <w:rsid w:val="00140130"/>
    <w:rsid w:val="001405E2"/>
    <w:rsid w:val="00141A0A"/>
    <w:rsid w:val="00143BDF"/>
    <w:rsid w:val="00143C4F"/>
    <w:rsid w:val="00143F57"/>
    <w:rsid w:val="001456A6"/>
    <w:rsid w:val="00151A3A"/>
    <w:rsid w:val="00154471"/>
    <w:rsid w:val="00154B1F"/>
    <w:rsid w:val="00155759"/>
    <w:rsid w:val="001559DB"/>
    <w:rsid w:val="00157B05"/>
    <w:rsid w:val="001611E8"/>
    <w:rsid w:val="00161CC4"/>
    <w:rsid w:val="00162391"/>
    <w:rsid w:val="00162B98"/>
    <w:rsid w:val="00162CCB"/>
    <w:rsid w:val="00164063"/>
    <w:rsid w:val="0016509A"/>
    <w:rsid w:val="001670AB"/>
    <w:rsid w:val="001704A9"/>
    <w:rsid w:val="00170FF1"/>
    <w:rsid w:val="00171BE0"/>
    <w:rsid w:val="00171C1C"/>
    <w:rsid w:val="001744FE"/>
    <w:rsid w:val="001762C1"/>
    <w:rsid w:val="001765C7"/>
    <w:rsid w:val="001770A1"/>
    <w:rsid w:val="00183F1B"/>
    <w:rsid w:val="001844E9"/>
    <w:rsid w:val="00184D03"/>
    <w:rsid w:val="00185A15"/>
    <w:rsid w:val="00186B30"/>
    <w:rsid w:val="001878BA"/>
    <w:rsid w:val="0019002E"/>
    <w:rsid w:val="00193980"/>
    <w:rsid w:val="001957DA"/>
    <w:rsid w:val="0019595D"/>
    <w:rsid w:val="001962B2"/>
    <w:rsid w:val="001A0D6F"/>
    <w:rsid w:val="001A4669"/>
    <w:rsid w:val="001A5BA8"/>
    <w:rsid w:val="001A7760"/>
    <w:rsid w:val="001B05B8"/>
    <w:rsid w:val="001B0BE3"/>
    <w:rsid w:val="001B0FF3"/>
    <w:rsid w:val="001B3363"/>
    <w:rsid w:val="001B4AE2"/>
    <w:rsid w:val="001B691C"/>
    <w:rsid w:val="001B6EAD"/>
    <w:rsid w:val="001C1440"/>
    <w:rsid w:val="001C1551"/>
    <w:rsid w:val="001C2372"/>
    <w:rsid w:val="001C3574"/>
    <w:rsid w:val="001C441D"/>
    <w:rsid w:val="001C7785"/>
    <w:rsid w:val="001D1FAC"/>
    <w:rsid w:val="001D223F"/>
    <w:rsid w:val="001D3D15"/>
    <w:rsid w:val="001D67BE"/>
    <w:rsid w:val="001D6CDA"/>
    <w:rsid w:val="001E0AA0"/>
    <w:rsid w:val="001E1B3B"/>
    <w:rsid w:val="001E20B2"/>
    <w:rsid w:val="001E53C9"/>
    <w:rsid w:val="001F03BD"/>
    <w:rsid w:val="001F0CFB"/>
    <w:rsid w:val="001F15E9"/>
    <w:rsid w:val="001F5433"/>
    <w:rsid w:val="001F671A"/>
    <w:rsid w:val="001F7BEC"/>
    <w:rsid w:val="001F7F0D"/>
    <w:rsid w:val="00202538"/>
    <w:rsid w:val="00202FCE"/>
    <w:rsid w:val="00204BA2"/>
    <w:rsid w:val="00205413"/>
    <w:rsid w:val="00206337"/>
    <w:rsid w:val="0020797B"/>
    <w:rsid w:val="00210824"/>
    <w:rsid w:val="00215307"/>
    <w:rsid w:val="00221F00"/>
    <w:rsid w:val="00223849"/>
    <w:rsid w:val="00223DC8"/>
    <w:rsid w:val="002243A4"/>
    <w:rsid w:val="002259CC"/>
    <w:rsid w:val="00225AA6"/>
    <w:rsid w:val="0023680A"/>
    <w:rsid w:val="0023775D"/>
    <w:rsid w:val="00237FF6"/>
    <w:rsid w:val="002427B8"/>
    <w:rsid w:val="002437F2"/>
    <w:rsid w:val="00247214"/>
    <w:rsid w:val="002507FE"/>
    <w:rsid w:val="002510DE"/>
    <w:rsid w:val="00252933"/>
    <w:rsid w:val="00252DA9"/>
    <w:rsid w:val="00254ED6"/>
    <w:rsid w:val="00255382"/>
    <w:rsid w:val="002575E3"/>
    <w:rsid w:val="00257D54"/>
    <w:rsid w:val="00261AB0"/>
    <w:rsid w:val="00261EDB"/>
    <w:rsid w:val="00262419"/>
    <w:rsid w:val="00262FE3"/>
    <w:rsid w:val="002647FF"/>
    <w:rsid w:val="00265DCD"/>
    <w:rsid w:val="002668D0"/>
    <w:rsid w:val="00267BC8"/>
    <w:rsid w:val="00270764"/>
    <w:rsid w:val="002713EE"/>
    <w:rsid w:val="002718EF"/>
    <w:rsid w:val="00272637"/>
    <w:rsid w:val="00273660"/>
    <w:rsid w:val="00273DE0"/>
    <w:rsid w:val="00273FFB"/>
    <w:rsid w:val="00274B95"/>
    <w:rsid w:val="00274FEB"/>
    <w:rsid w:val="0027671C"/>
    <w:rsid w:val="00276B31"/>
    <w:rsid w:val="002805FA"/>
    <w:rsid w:val="00280F5C"/>
    <w:rsid w:val="00282040"/>
    <w:rsid w:val="00282AC2"/>
    <w:rsid w:val="00283DB9"/>
    <w:rsid w:val="002859CA"/>
    <w:rsid w:val="00287E38"/>
    <w:rsid w:val="002906BB"/>
    <w:rsid w:val="00292F7B"/>
    <w:rsid w:val="002942AF"/>
    <w:rsid w:val="002954F6"/>
    <w:rsid w:val="00296404"/>
    <w:rsid w:val="00297C16"/>
    <w:rsid w:val="00297DDD"/>
    <w:rsid w:val="002A0696"/>
    <w:rsid w:val="002A18F8"/>
    <w:rsid w:val="002A5E33"/>
    <w:rsid w:val="002B099F"/>
    <w:rsid w:val="002B1946"/>
    <w:rsid w:val="002B2356"/>
    <w:rsid w:val="002B2CB6"/>
    <w:rsid w:val="002B2E17"/>
    <w:rsid w:val="002B3362"/>
    <w:rsid w:val="002B60F5"/>
    <w:rsid w:val="002B634E"/>
    <w:rsid w:val="002B693D"/>
    <w:rsid w:val="002B7352"/>
    <w:rsid w:val="002C0E1B"/>
    <w:rsid w:val="002C0F86"/>
    <w:rsid w:val="002C0FCA"/>
    <w:rsid w:val="002C310D"/>
    <w:rsid w:val="002C4912"/>
    <w:rsid w:val="002C74C2"/>
    <w:rsid w:val="002C7B03"/>
    <w:rsid w:val="002C7C5D"/>
    <w:rsid w:val="002D1C3A"/>
    <w:rsid w:val="002D312A"/>
    <w:rsid w:val="002D32F4"/>
    <w:rsid w:val="002D525C"/>
    <w:rsid w:val="002E00D3"/>
    <w:rsid w:val="002E07B1"/>
    <w:rsid w:val="002E1115"/>
    <w:rsid w:val="002E220A"/>
    <w:rsid w:val="002E59E9"/>
    <w:rsid w:val="002E66C3"/>
    <w:rsid w:val="002F065E"/>
    <w:rsid w:val="002F166C"/>
    <w:rsid w:val="002F199C"/>
    <w:rsid w:val="002F19B9"/>
    <w:rsid w:val="002F47BF"/>
    <w:rsid w:val="002F4A70"/>
    <w:rsid w:val="0030004B"/>
    <w:rsid w:val="00300AFA"/>
    <w:rsid w:val="003015AB"/>
    <w:rsid w:val="003019BE"/>
    <w:rsid w:val="003028A3"/>
    <w:rsid w:val="00302B60"/>
    <w:rsid w:val="00303F40"/>
    <w:rsid w:val="00304297"/>
    <w:rsid w:val="00304E91"/>
    <w:rsid w:val="00306262"/>
    <w:rsid w:val="00311B67"/>
    <w:rsid w:val="003126F0"/>
    <w:rsid w:val="003146B7"/>
    <w:rsid w:val="00314E12"/>
    <w:rsid w:val="00315247"/>
    <w:rsid w:val="003170B3"/>
    <w:rsid w:val="00317CFB"/>
    <w:rsid w:val="00317F2C"/>
    <w:rsid w:val="00317F6C"/>
    <w:rsid w:val="003209D4"/>
    <w:rsid w:val="003223A5"/>
    <w:rsid w:val="00324294"/>
    <w:rsid w:val="00325FF8"/>
    <w:rsid w:val="00327DE2"/>
    <w:rsid w:val="003307AE"/>
    <w:rsid w:val="00332116"/>
    <w:rsid w:val="00332389"/>
    <w:rsid w:val="00332BDC"/>
    <w:rsid w:val="0033587A"/>
    <w:rsid w:val="00341EE4"/>
    <w:rsid w:val="00342D6F"/>
    <w:rsid w:val="0034366C"/>
    <w:rsid w:val="00344854"/>
    <w:rsid w:val="00344B9E"/>
    <w:rsid w:val="003463ED"/>
    <w:rsid w:val="00346418"/>
    <w:rsid w:val="00346DDA"/>
    <w:rsid w:val="00347BAA"/>
    <w:rsid w:val="00350E25"/>
    <w:rsid w:val="003523E0"/>
    <w:rsid w:val="0035328B"/>
    <w:rsid w:val="00355161"/>
    <w:rsid w:val="00356533"/>
    <w:rsid w:val="003617F4"/>
    <w:rsid w:val="003627E2"/>
    <w:rsid w:val="003651CE"/>
    <w:rsid w:val="00366B4A"/>
    <w:rsid w:val="00367260"/>
    <w:rsid w:val="0037058A"/>
    <w:rsid w:val="003722C8"/>
    <w:rsid w:val="0037237A"/>
    <w:rsid w:val="00373D93"/>
    <w:rsid w:val="003750F9"/>
    <w:rsid w:val="00376D38"/>
    <w:rsid w:val="003805C5"/>
    <w:rsid w:val="003908BC"/>
    <w:rsid w:val="00393052"/>
    <w:rsid w:val="0039366A"/>
    <w:rsid w:val="00393FDE"/>
    <w:rsid w:val="00394BDB"/>
    <w:rsid w:val="00394D1E"/>
    <w:rsid w:val="00394E41"/>
    <w:rsid w:val="0039500C"/>
    <w:rsid w:val="003953C8"/>
    <w:rsid w:val="00395895"/>
    <w:rsid w:val="00395FF1"/>
    <w:rsid w:val="0039630F"/>
    <w:rsid w:val="0039750A"/>
    <w:rsid w:val="00397760"/>
    <w:rsid w:val="003A0EC1"/>
    <w:rsid w:val="003A13C0"/>
    <w:rsid w:val="003A2308"/>
    <w:rsid w:val="003A277B"/>
    <w:rsid w:val="003A33A3"/>
    <w:rsid w:val="003A4095"/>
    <w:rsid w:val="003A4CB6"/>
    <w:rsid w:val="003A507B"/>
    <w:rsid w:val="003A6359"/>
    <w:rsid w:val="003B062C"/>
    <w:rsid w:val="003B197C"/>
    <w:rsid w:val="003B2049"/>
    <w:rsid w:val="003B2170"/>
    <w:rsid w:val="003B3054"/>
    <w:rsid w:val="003B415F"/>
    <w:rsid w:val="003B43DF"/>
    <w:rsid w:val="003B4B47"/>
    <w:rsid w:val="003B4B69"/>
    <w:rsid w:val="003B5300"/>
    <w:rsid w:val="003B6855"/>
    <w:rsid w:val="003B6D66"/>
    <w:rsid w:val="003C0DBE"/>
    <w:rsid w:val="003C238A"/>
    <w:rsid w:val="003C2764"/>
    <w:rsid w:val="003C2945"/>
    <w:rsid w:val="003C51E5"/>
    <w:rsid w:val="003C5713"/>
    <w:rsid w:val="003C5BB7"/>
    <w:rsid w:val="003D3C55"/>
    <w:rsid w:val="003E299D"/>
    <w:rsid w:val="003E53EF"/>
    <w:rsid w:val="003E58CA"/>
    <w:rsid w:val="003E5F21"/>
    <w:rsid w:val="003E6A07"/>
    <w:rsid w:val="003E6A09"/>
    <w:rsid w:val="003E76DB"/>
    <w:rsid w:val="003E7C0E"/>
    <w:rsid w:val="003F076B"/>
    <w:rsid w:val="003F2CC0"/>
    <w:rsid w:val="003F443C"/>
    <w:rsid w:val="003F5D22"/>
    <w:rsid w:val="00400AFF"/>
    <w:rsid w:val="004029BD"/>
    <w:rsid w:val="00404B5A"/>
    <w:rsid w:val="004051C6"/>
    <w:rsid w:val="004118DB"/>
    <w:rsid w:val="004121B5"/>
    <w:rsid w:val="0041401B"/>
    <w:rsid w:val="00415B44"/>
    <w:rsid w:val="0041669C"/>
    <w:rsid w:val="00416EBD"/>
    <w:rsid w:val="004174A9"/>
    <w:rsid w:val="00420093"/>
    <w:rsid w:val="004204D9"/>
    <w:rsid w:val="00420B2B"/>
    <w:rsid w:val="0042131E"/>
    <w:rsid w:val="004215F6"/>
    <w:rsid w:val="00421F0C"/>
    <w:rsid w:val="00424934"/>
    <w:rsid w:val="0043047B"/>
    <w:rsid w:val="00431FCF"/>
    <w:rsid w:val="0043334D"/>
    <w:rsid w:val="0043708F"/>
    <w:rsid w:val="00437A05"/>
    <w:rsid w:val="00437FF8"/>
    <w:rsid w:val="0044183E"/>
    <w:rsid w:val="00441E3E"/>
    <w:rsid w:val="00442D7C"/>
    <w:rsid w:val="00443F2B"/>
    <w:rsid w:val="0044411B"/>
    <w:rsid w:val="00446FFA"/>
    <w:rsid w:val="00447836"/>
    <w:rsid w:val="00450DD5"/>
    <w:rsid w:val="00450F8D"/>
    <w:rsid w:val="00451554"/>
    <w:rsid w:val="0045232F"/>
    <w:rsid w:val="00453C21"/>
    <w:rsid w:val="0045430A"/>
    <w:rsid w:val="00455E70"/>
    <w:rsid w:val="00460253"/>
    <w:rsid w:val="004638B0"/>
    <w:rsid w:val="00464848"/>
    <w:rsid w:val="00464CF7"/>
    <w:rsid w:val="00464E0D"/>
    <w:rsid w:val="00465213"/>
    <w:rsid w:val="0047013E"/>
    <w:rsid w:val="0047172A"/>
    <w:rsid w:val="00474FD0"/>
    <w:rsid w:val="00476391"/>
    <w:rsid w:val="00477483"/>
    <w:rsid w:val="004802F0"/>
    <w:rsid w:val="00481A07"/>
    <w:rsid w:val="00482795"/>
    <w:rsid w:val="00483982"/>
    <w:rsid w:val="004913DA"/>
    <w:rsid w:val="0049155F"/>
    <w:rsid w:val="0049212F"/>
    <w:rsid w:val="004964BC"/>
    <w:rsid w:val="00497970"/>
    <w:rsid w:val="004A0111"/>
    <w:rsid w:val="004A01DD"/>
    <w:rsid w:val="004A07A6"/>
    <w:rsid w:val="004A0F47"/>
    <w:rsid w:val="004A0FDC"/>
    <w:rsid w:val="004A2216"/>
    <w:rsid w:val="004A2728"/>
    <w:rsid w:val="004A5634"/>
    <w:rsid w:val="004A638E"/>
    <w:rsid w:val="004A671F"/>
    <w:rsid w:val="004A68AD"/>
    <w:rsid w:val="004A7123"/>
    <w:rsid w:val="004A725B"/>
    <w:rsid w:val="004A7B7E"/>
    <w:rsid w:val="004B0303"/>
    <w:rsid w:val="004B0A2E"/>
    <w:rsid w:val="004B2900"/>
    <w:rsid w:val="004B30A1"/>
    <w:rsid w:val="004B4612"/>
    <w:rsid w:val="004B7B66"/>
    <w:rsid w:val="004C1061"/>
    <w:rsid w:val="004C2528"/>
    <w:rsid w:val="004C2B1F"/>
    <w:rsid w:val="004C33CF"/>
    <w:rsid w:val="004D0B3F"/>
    <w:rsid w:val="004D3CE9"/>
    <w:rsid w:val="004D4980"/>
    <w:rsid w:val="004D4E28"/>
    <w:rsid w:val="004D57A6"/>
    <w:rsid w:val="004D5D77"/>
    <w:rsid w:val="004D6E28"/>
    <w:rsid w:val="004E2CB2"/>
    <w:rsid w:val="004E4205"/>
    <w:rsid w:val="004E42DC"/>
    <w:rsid w:val="004E4F4B"/>
    <w:rsid w:val="004E65CE"/>
    <w:rsid w:val="004F0790"/>
    <w:rsid w:val="004F121F"/>
    <w:rsid w:val="004F3901"/>
    <w:rsid w:val="004F5687"/>
    <w:rsid w:val="004F5AAD"/>
    <w:rsid w:val="005020D7"/>
    <w:rsid w:val="00504999"/>
    <w:rsid w:val="00506716"/>
    <w:rsid w:val="005075F7"/>
    <w:rsid w:val="00510C9B"/>
    <w:rsid w:val="00510FCF"/>
    <w:rsid w:val="0051106B"/>
    <w:rsid w:val="005119A6"/>
    <w:rsid w:val="00513D9C"/>
    <w:rsid w:val="0051441D"/>
    <w:rsid w:val="0051456E"/>
    <w:rsid w:val="00514BEE"/>
    <w:rsid w:val="00515084"/>
    <w:rsid w:val="0051545D"/>
    <w:rsid w:val="005162EA"/>
    <w:rsid w:val="0051664E"/>
    <w:rsid w:val="0051696C"/>
    <w:rsid w:val="00517725"/>
    <w:rsid w:val="0052490D"/>
    <w:rsid w:val="00524AE0"/>
    <w:rsid w:val="0053056D"/>
    <w:rsid w:val="00531D70"/>
    <w:rsid w:val="00534827"/>
    <w:rsid w:val="00537503"/>
    <w:rsid w:val="005408AA"/>
    <w:rsid w:val="005412AE"/>
    <w:rsid w:val="00542250"/>
    <w:rsid w:val="005440A5"/>
    <w:rsid w:val="005446F7"/>
    <w:rsid w:val="00545E23"/>
    <w:rsid w:val="00546A58"/>
    <w:rsid w:val="005478F5"/>
    <w:rsid w:val="0055185C"/>
    <w:rsid w:val="00552771"/>
    <w:rsid w:val="005554C5"/>
    <w:rsid w:val="005557F8"/>
    <w:rsid w:val="00555A48"/>
    <w:rsid w:val="00555BA1"/>
    <w:rsid w:val="00557E27"/>
    <w:rsid w:val="00560586"/>
    <w:rsid w:val="00561C07"/>
    <w:rsid w:val="00562EDC"/>
    <w:rsid w:val="00563490"/>
    <w:rsid w:val="005637E0"/>
    <w:rsid w:val="00563E05"/>
    <w:rsid w:val="00567506"/>
    <w:rsid w:val="00570696"/>
    <w:rsid w:val="00576D2B"/>
    <w:rsid w:val="00576E1E"/>
    <w:rsid w:val="00583311"/>
    <w:rsid w:val="00584860"/>
    <w:rsid w:val="005853F6"/>
    <w:rsid w:val="00585D0B"/>
    <w:rsid w:val="0058695B"/>
    <w:rsid w:val="00587AAF"/>
    <w:rsid w:val="00591267"/>
    <w:rsid w:val="005927EF"/>
    <w:rsid w:val="00592A6F"/>
    <w:rsid w:val="00594B23"/>
    <w:rsid w:val="005A0E7A"/>
    <w:rsid w:val="005A19FC"/>
    <w:rsid w:val="005A20FD"/>
    <w:rsid w:val="005A336B"/>
    <w:rsid w:val="005A38C0"/>
    <w:rsid w:val="005A4671"/>
    <w:rsid w:val="005A4A43"/>
    <w:rsid w:val="005A5714"/>
    <w:rsid w:val="005A6461"/>
    <w:rsid w:val="005A69C1"/>
    <w:rsid w:val="005B6FAD"/>
    <w:rsid w:val="005C0AA5"/>
    <w:rsid w:val="005C3143"/>
    <w:rsid w:val="005C31E6"/>
    <w:rsid w:val="005C69B6"/>
    <w:rsid w:val="005C6ACF"/>
    <w:rsid w:val="005D0607"/>
    <w:rsid w:val="005D0949"/>
    <w:rsid w:val="005D3B64"/>
    <w:rsid w:val="005D5D6C"/>
    <w:rsid w:val="005D7112"/>
    <w:rsid w:val="005E07AB"/>
    <w:rsid w:val="005E37F1"/>
    <w:rsid w:val="005E3FB5"/>
    <w:rsid w:val="005E426B"/>
    <w:rsid w:val="005E7399"/>
    <w:rsid w:val="005F2C17"/>
    <w:rsid w:val="005F2FBD"/>
    <w:rsid w:val="005F5976"/>
    <w:rsid w:val="005F6D24"/>
    <w:rsid w:val="005F7D00"/>
    <w:rsid w:val="00602C7A"/>
    <w:rsid w:val="00602F59"/>
    <w:rsid w:val="006032C1"/>
    <w:rsid w:val="00603F8D"/>
    <w:rsid w:val="0060531F"/>
    <w:rsid w:val="00605E60"/>
    <w:rsid w:val="00606A8B"/>
    <w:rsid w:val="00607841"/>
    <w:rsid w:val="0061061F"/>
    <w:rsid w:val="006108F1"/>
    <w:rsid w:val="00612ACF"/>
    <w:rsid w:val="006155C3"/>
    <w:rsid w:val="00616817"/>
    <w:rsid w:val="006214D1"/>
    <w:rsid w:val="006235BF"/>
    <w:rsid w:val="00623EBE"/>
    <w:rsid w:val="00624841"/>
    <w:rsid w:val="00625469"/>
    <w:rsid w:val="00627621"/>
    <w:rsid w:val="00627653"/>
    <w:rsid w:val="0062781D"/>
    <w:rsid w:val="00630BCD"/>
    <w:rsid w:val="006317C3"/>
    <w:rsid w:val="00636AFC"/>
    <w:rsid w:val="006401F2"/>
    <w:rsid w:val="00641146"/>
    <w:rsid w:val="0064174C"/>
    <w:rsid w:val="00641A8A"/>
    <w:rsid w:val="00643643"/>
    <w:rsid w:val="006457E8"/>
    <w:rsid w:val="00650DF7"/>
    <w:rsid w:val="00651E94"/>
    <w:rsid w:val="0065288C"/>
    <w:rsid w:val="006531CE"/>
    <w:rsid w:val="00653EC6"/>
    <w:rsid w:val="00655113"/>
    <w:rsid w:val="00656152"/>
    <w:rsid w:val="00657387"/>
    <w:rsid w:val="00657AD1"/>
    <w:rsid w:val="00661A84"/>
    <w:rsid w:val="00662D84"/>
    <w:rsid w:val="00665548"/>
    <w:rsid w:val="0066657B"/>
    <w:rsid w:val="0066664E"/>
    <w:rsid w:val="00666CC2"/>
    <w:rsid w:val="0067056B"/>
    <w:rsid w:val="0067166D"/>
    <w:rsid w:val="006718DE"/>
    <w:rsid w:val="006722E2"/>
    <w:rsid w:val="00674165"/>
    <w:rsid w:val="00674509"/>
    <w:rsid w:val="00674F35"/>
    <w:rsid w:val="00675A6E"/>
    <w:rsid w:val="00677E65"/>
    <w:rsid w:val="006800DD"/>
    <w:rsid w:val="00681D36"/>
    <w:rsid w:val="006843EF"/>
    <w:rsid w:val="00684E36"/>
    <w:rsid w:val="00685262"/>
    <w:rsid w:val="00690694"/>
    <w:rsid w:val="00691BBF"/>
    <w:rsid w:val="00693AC0"/>
    <w:rsid w:val="006940B7"/>
    <w:rsid w:val="00694B63"/>
    <w:rsid w:val="006A0D0A"/>
    <w:rsid w:val="006A1B06"/>
    <w:rsid w:val="006A2BD3"/>
    <w:rsid w:val="006A35FC"/>
    <w:rsid w:val="006A5282"/>
    <w:rsid w:val="006B28C4"/>
    <w:rsid w:val="006B2E65"/>
    <w:rsid w:val="006B6309"/>
    <w:rsid w:val="006B7D57"/>
    <w:rsid w:val="006C10F7"/>
    <w:rsid w:val="006C2BE8"/>
    <w:rsid w:val="006C3DB4"/>
    <w:rsid w:val="006C42AD"/>
    <w:rsid w:val="006C7398"/>
    <w:rsid w:val="006D0FEB"/>
    <w:rsid w:val="006D2272"/>
    <w:rsid w:val="006E1AF8"/>
    <w:rsid w:val="006E7537"/>
    <w:rsid w:val="006F0C12"/>
    <w:rsid w:val="006F15F2"/>
    <w:rsid w:val="006F1677"/>
    <w:rsid w:val="006F2A86"/>
    <w:rsid w:val="006F5BF8"/>
    <w:rsid w:val="006F6F0A"/>
    <w:rsid w:val="006F7A36"/>
    <w:rsid w:val="007024C1"/>
    <w:rsid w:val="00702DD4"/>
    <w:rsid w:val="00703D26"/>
    <w:rsid w:val="00704025"/>
    <w:rsid w:val="0070508F"/>
    <w:rsid w:val="0070514E"/>
    <w:rsid w:val="007057EA"/>
    <w:rsid w:val="00705DAF"/>
    <w:rsid w:val="0070670D"/>
    <w:rsid w:val="00706F31"/>
    <w:rsid w:val="00712259"/>
    <w:rsid w:val="00712D17"/>
    <w:rsid w:val="00713F04"/>
    <w:rsid w:val="00720989"/>
    <w:rsid w:val="00720EBC"/>
    <w:rsid w:val="007240B7"/>
    <w:rsid w:val="007245DE"/>
    <w:rsid w:val="00725806"/>
    <w:rsid w:val="0072583D"/>
    <w:rsid w:val="00726426"/>
    <w:rsid w:val="007268F3"/>
    <w:rsid w:val="0073018F"/>
    <w:rsid w:val="00730DD4"/>
    <w:rsid w:val="00732A37"/>
    <w:rsid w:val="00734978"/>
    <w:rsid w:val="0073563D"/>
    <w:rsid w:val="00736304"/>
    <w:rsid w:val="007363F5"/>
    <w:rsid w:val="00737271"/>
    <w:rsid w:val="0074128A"/>
    <w:rsid w:val="0074191F"/>
    <w:rsid w:val="00741B44"/>
    <w:rsid w:val="007459AA"/>
    <w:rsid w:val="00750DEB"/>
    <w:rsid w:val="007516E5"/>
    <w:rsid w:val="00752C2D"/>
    <w:rsid w:val="00753093"/>
    <w:rsid w:val="00753265"/>
    <w:rsid w:val="00753986"/>
    <w:rsid w:val="0075492C"/>
    <w:rsid w:val="00760047"/>
    <w:rsid w:val="00761DA8"/>
    <w:rsid w:val="00766618"/>
    <w:rsid w:val="00772692"/>
    <w:rsid w:val="00772D3D"/>
    <w:rsid w:val="0077312B"/>
    <w:rsid w:val="007737C0"/>
    <w:rsid w:val="00773AB8"/>
    <w:rsid w:val="007742E7"/>
    <w:rsid w:val="00775CE9"/>
    <w:rsid w:val="007765AE"/>
    <w:rsid w:val="007800B5"/>
    <w:rsid w:val="007801BF"/>
    <w:rsid w:val="00780E74"/>
    <w:rsid w:val="00781B01"/>
    <w:rsid w:val="00782B72"/>
    <w:rsid w:val="007838E7"/>
    <w:rsid w:val="00792083"/>
    <w:rsid w:val="0079331B"/>
    <w:rsid w:val="00793332"/>
    <w:rsid w:val="00795952"/>
    <w:rsid w:val="00795AF2"/>
    <w:rsid w:val="007A000D"/>
    <w:rsid w:val="007A0DAE"/>
    <w:rsid w:val="007A2359"/>
    <w:rsid w:val="007A32EC"/>
    <w:rsid w:val="007A33BA"/>
    <w:rsid w:val="007A6839"/>
    <w:rsid w:val="007A7536"/>
    <w:rsid w:val="007A7C89"/>
    <w:rsid w:val="007B2175"/>
    <w:rsid w:val="007B29B1"/>
    <w:rsid w:val="007B41E9"/>
    <w:rsid w:val="007B5610"/>
    <w:rsid w:val="007B7CD7"/>
    <w:rsid w:val="007C15C5"/>
    <w:rsid w:val="007C2C72"/>
    <w:rsid w:val="007C3190"/>
    <w:rsid w:val="007C3B4B"/>
    <w:rsid w:val="007C3E11"/>
    <w:rsid w:val="007C6D48"/>
    <w:rsid w:val="007D031B"/>
    <w:rsid w:val="007D2B22"/>
    <w:rsid w:val="007D37A1"/>
    <w:rsid w:val="007D62D2"/>
    <w:rsid w:val="007D62F8"/>
    <w:rsid w:val="007D67BC"/>
    <w:rsid w:val="007D73AE"/>
    <w:rsid w:val="007E0159"/>
    <w:rsid w:val="007E0721"/>
    <w:rsid w:val="007E1C71"/>
    <w:rsid w:val="007E43F8"/>
    <w:rsid w:val="007E62AA"/>
    <w:rsid w:val="007E6ECE"/>
    <w:rsid w:val="007E734F"/>
    <w:rsid w:val="007E790C"/>
    <w:rsid w:val="007E7F62"/>
    <w:rsid w:val="007F0414"/>
    <w:rsid w:val="007F5AD2"/>
    <w:rsid w:val="007F7363"/>
    <w:rsid w:val="0080101E"/>
    <w:rsid w:val="00802F81"/>
    <w:rsid w:val="0080430A"/>
    <w:rsid w:val="008045A8"/>
    <w:rsid w:val="0080592C"/>
    <w:rsid w:val="00810281"/>
    <w:rsid w:val="0081062C"/>
    <w:rsid w:val="00811382"/>
    <w:rsid w:val="008114DE"/>
    <w:rsid w:val="00812452"/>
    <w:rsid w:val="00812A25"/>
    <w:rsid w:val="00813612"/>
    <w:rsid w:val="00814F6C"/>
    <w:rsid w:val="00815E8E"/>
    <w:rsid w:val="00823489"/>
    <w:rsid w:val="00825B27"/>
    <w:rsid w:val="00825CE7"/>
    <w:rsid w:val="00826028"/>
    <w:rsid w:val="00826921"/>
    <w:rsid w:val="00826F0C"/>
    <w:rsid w:val="00831F3F"/>
    <w:rsid w:val="008320C0"/>
    <w:rsid w:val="0083350B"/>
    <w:rsid w:val="00834C46"/>
    <w:rsid w:val="00834D14"/>
    <w:rsid w:val="00835FEB"/>
    <w:rsid w:val="008364D3"/>
    <w:rsid w:val="008375F9"/>
    <w:rsid w:val="0084228D"/>
    <w:rsid w:val="00842A53"/>
    <w:rsid w:val="0084386C"/>
    <w:rsid w:val="0084743A"/>
    <w:rsid w:val="00850C71"/>
    <w:rsid w:val="00851F66"/>
    <w:rsid w:val="008526B3"/>
    <w:rsid w:val="0085289A"/>
    <w:rsid w:val="008528AC"/>
    <w:rsid w:val="008531A0"/>
    <w:rsid w:val="00853F66"/>
    <w:rsid w:val="00854036"/>
    <w:rsid w:val="008547B1"/>
    <w:rsid w:val="00855008"/>
    <w:rsid w:val="00855116"/>
    <w:rsid w:val="008562F9"/>
    <w:rsid w:val="00857DD2"/>
    <w:rsid w:val="00861093"/>
    <w:rsid w:val="00862A94"/>
    <w:rsid w:val="00863628"/>
    <w:rsid w:val="00864CF1"/>
    <w:rsid w:val="00865F5A"/>
    <w:rsid w:val="00866AA5"/>
    <w:rsid w:val="00873902"/>
    <w:rsid w:val="00876F44"/>
    <w:rsid w:val="00877A6E"/>
    <w:rsid w:val="00880FF1"/>
    <w:rsid w:val="008813AA"/>
    <w:rsid w:val="008830F3"/>
    <w:rsid w:val="00883511"/>
    <w:rsid w:val="0088738C"/>
    <w:rsid w:val="00890DCC"/>
    <w:rsid w:val="00891E00"/>
    <w:rsid w:val="00891E83"/>
    <w:rsid w:val="008945B5"/>
    <w:rsid w:val="00894C98"/>
    <w:rsid w:val="0089739F"/>
    <w:rsid w:val="00897EF3"/>
    <w:rsid w:val="008A0127"/>
    <w:rsid w:val="008A15A3"/>
    <w:rsid w:val="008A47B0"/>
    <w:rsid w:val="008A6CC9"/>
    <w:rsid w:val="008A7DCA"/>
    <w:rsid w:val="008B128D"/>
    <w:rsid w:val="008B3399"/>
    <w:rsid w:val="008B729F"/>
    <w:rsid w:val="008C0E5A"/>
    <w:rsid w:val="008C10B2"/>
    <w:rsid w:val="008C2408"/>
    <w:rsid w:val="008C3889"/>
    <w:rsid w:val="008C4736"/>
    <w:rsid w:val="008C6E13"/>
    <w:rsid w:val="008D2D63"/>
    <w:rsid w:val="008D2E79"/>
    <w:rsid w:val="008D4A66"/>
    <w:rsid w:val="008D5F98"/>
    <w:rsid w:val="008D7966"/>
    <w:rsid w:val="008E1A58"/>
    <w:rsid w:val="008E2CA5"/>
    <w:rsid w:val="008F2E20"/>
    <w:rsid w:val="008F447C"/>
    <w:rsid w:val="008F6E0E"/>
    <w:rsid w:val="008F7FAB"/>
    <w:rsid w:val="00900B0C"/>
    <w:rsid w:val="00900FB8"/>
    <w:rsid w:val="009032C6"/>
    <w:rsid w:val="0091296D"/>
    <w:rsid w:val="009129A9"/>
    <w:rsid w:val="009139AF"/>
    <w:rsid w:val="00915813"/>
    <w:rsid w:val="00917233"/>
    <w:rsid w:val="00917674"/>
    <w:rsid w:val="00917C01"/>
    <w:rsid w:val="0092029B"/>
    <w:rsid w:val="00924C01"/>
    <w:rsid w:val="00930C07"/>
    <w:rsid w:val="00930EC2"/>
    <w:rsid w:val="00934158"/>
    <w:rsid w:val="00937519"/>
    <w:rsid w:val="0093770B"/>
    <w:rsid w:val="00940004"/>
    <w:rsid w:val="009424DB"/>
    <w:rsid w:val="00943606"/>
    <w:rsid w:val="00943B55"/>
    <w:rsid w:val="00945094"/>
    <w:rsid w:val="009454D9"/>
    <w:rsid w:val="00945EB6"/>
    <w:rsid w:val="0094673E"/>
    <w:rsid w:val="00947B91"/>
    <w:rsid w:val="00950372"/>
    <w:rsid w:val="0095243C"/>
    <w:rsid w:val="0095363C"/>
    <w:rsid w:val="009546E6"/>
    <w:rsid w:val="0095531B"/>
    <w:rsid w:val="009555A9"/>
    <w:rsid w:val="00957A19"/>
    <w:rsid w:val="00957D2A"/>
    <w:rsid w:val="00960111"/>
    <w:rsid w:val="00960208"/>
    <w:rsid w:val="00960238"/>
    <w:rsid w:val="00960673"/>
    <w:rsid w:val="00963FF2"/>
    <w:rsid w:val="009641F6"/>
    <w:rsid w:val="009649B3"/>
    <w:rsid w:val="00966179"/>
    <w:rsid w:val="0096662A"/>
    <w:rsid w:val="00966EB2"/>
    <w:rsid w:val="00967E60"/>
    <w:rsid w:val="00971B75"/>
    <w:rsid w:val="00972616"/>
    <w:rsid w:val="0097263A"/>
    <w:rsid w:val="0097472C"/>
    <w:rsid w:val="00976A15"/>
    <w:rsid w:val="00977AA1"/>
    <w:rsid w:val="00980101"/>
    <w:rsid w:val="00987ADB"/>
    <w:rsid w:val="00990B15"/>
    <w:rsid w:val="009910ED"/>
    <w:rsid w:val="00991211"/>
    <w:rsid w:val="00991A6B"/>
    <w:rsid w:val="00992463"/>
    <w:rsid w:val="00993572"/>
    <w:rsid w:val="00993A72"/>
    <w:rsid w:val="00993DE0"/>
    <w:rsid w:val="00995DDD"/>
    <w:rsid w:val="00996A55"/>
    <w:rsid w:val="009A1B18"/>
    <w:rsid w:val="009A23FA"/>
    <w:rsid w:val="009A3F3D"/>
    <w:rsid w:val="009A4B37"/>
    <w:rsid w:val="009A4FF9"/>
    <w:rsid w:val="009A6BAE"/>
    <w:rsid w:val="009B1FD2"/>
    <w:rsid w:val="009B299F"/>
    <w:rsid w:val="009B35CA"/>
    <w:rsid w:val="009B7685"/>
    <w:rsid w:val="009C01A7"/>
    <w:rsid w:val="009C0488"/>
    <w:rsid w:val="009C2D29"/>
    <w:rsid w:val="009C43AF"/>
    <w:rsid w:val="009C522C"/>
    <w:rsid w:val="009C597A"/>
    <w:rsid w:val="009C5AF6"/>
    <w:rsid w:val="009C5CDC"/>
    <w:rsid w:val="009C6A23"/>
    <w:rsid w:val="009C71FB"/>
    <w:rsid w:val="009D0E40"/>
    <w:rsid w:val="009D4344"/>
    <w:rsid w:val="009D523F"/>
    <w:rsid w:val="009D6C73"/>
    <w:rsid w:val="009D7994"/>
    <w:rsid w:val="009E0CAD"/>
    <w:rsid w:val="009E1334"/>
    <w:rsid w:val="009E3C08"/>
    <w:rsid w:val="009F09F4"/>
    <w:rsid w:val="009F0AD4"/>
    <w:rsid w:val="009F2EDE"/>
    <w:rsid w:val="009F3EBA"/>
    <w:rsid w:val="009F3FF6"/>
    <w:rsid w:val="009F426C"/>
    <w:rsid w:val="009F4621"/>
    <w:rsid w:val="009F4A93"/>
    <w:rsid w:val="009F5A35"/>
    <w:rsid w:val="009F5D90"/>
    <w:rsid w:val="009F60B6"/>
    <w:rsid w:val="009F6DDA"/>
    <w:rsid w:val="00A00652"/>
    <w:rsid w:val="00A00E8B"/>
    <w:rsid w:val="00A028C0"/>
    <w:rsid w:val="00A034DC"/>
    <w:rsid w:val="00A03D13"/>
    <w:rsid w:val="00A046ED"/>
    <w:rsid w:val="00A11499"/>
    <w:rsid w:val="00A11643"/>
    <w:rsid w:val="00A12EDB"/>
    <w:rsid w:val="00A13B3F"/>
    <w:rsid w:val="00A16A77"/>
    <w:rsid w:val="00A179BD"/>
    <w:rsid w:val="00A17DC2"/>
    <w:rsid w:val="00A20AFC"/>
    <w:rsid w:val="00A2149E"/>
    <w:rsid w:val="00A22C04"/>
    <w:rsid w:val="00A244E9"/>
    <w:rsid w:val="00A24947"/>
    <w:rsid w:val="00A26778"/>
    <w:rsid w:val="00A306F6"/>
    <w:rsid w:val="00A31637"/>
    <w:rsid w:val="00A33D53"/>
    <w:rsid w:val="00A34135"/>
    <w:rsid w:val="00A3650C"/>
    <w:rsid w:val="00A37F76"/>
    <w:rsid w:val="00A42925"/>
    <w:rsid w:val="00A45D97"/>
    <w:rsid w:val="00A479AA"/>
    <w:rsid w:val="00A50362"/>
    <w:rsid w:val="00A50F9D"/>
    <w:rsid w:val="00A514AF"/>
    <w:rsid w:val="00A5159A"/>
    <w:rsid w:val="00A522BB"/>
    <w:rsid w:val="00A52509"/>
    <w:rsid w:val="00A5360C"/>
    <w:rsid w:val="00A552E8"/>
    <w:rsid w:val="00A56650"/>
    <w:rsid w:val="00A57271"/>
    <w:rsid w:val="00A572D7"/>
    <w:rsid w:val="00A612A9"/>
    <w:rsid w:val="00A61B91"/>
    <w:rsid w:val="00A63FC5"/>
    <w:rsid w:val="00A64743"/>
    <w:rsid w:val="00A64F6F"/>
    <w:rsid w:val="00A65673"/>
    <w:rsid w:val="00A67DE7"/>
    <w:rsid w:val="00A67FF1"/>
    <w:rsid w:val="00A73700"/>
    <w:rsid w:val="00A7729E"/>
    <w:rsid w:val="00A77BB0"/>
    <w:rsid w:val="00A80857"/>
    <w:rsid w:val="00A80A9F"/>
    <w:rsid w:val="00A845B6"/>
    <w:rsid w:val="00A84D3C"/>
    <w:rsid w:val="00A878C8"/>
    <w:rsid w:val="00A87FDC"/>
    <w:rsid w:val="00A906A5"/>
    <w:rsid w:val="00A9074D"/>
    <w:rsid w:val="00A91A8C"/>
    <w:rsid w:val="00A9244B"/>
    <w:rsid w:val="00A9365A"/>
    <w:rsid w:val="00A94EC0"/>
    <w:rsid w:val="00A94F0A"/>
    <w:rsid w:val="00A96286"/>
    <w:rsid w:val="00A96C48"/>
    <w:rsid w:val="00A96D1C"/>
    <w:rsid w:val="00A97E0A"/>
    <w:rsid w:val="00AB1388"/>
    <w:rsid w:val="00AB1454"/>
    <w:rsid w:val="00AB3983"/>
    <w:rsid w:val="00AB4D40"/>
    <w:rsid w:val="00AB7C11"/>
    <w:rsid w:val="00AC3237"/>
    <w:rsid w:val="00AC3257"/>
    <w:rsid w:val="00AC3ACD"/>
    <w:rsid w:val="00AC46A7"/>
    <w:rsid w:val="00AC7AE4"/>
    <w:rsid w:val="00AD0B8C"/>
    <w:rsid w:val="00AD18E8"/>
    <w:rsid w:val="00AD2094"/>
    <w:rsid w:val="00AD47EF"/>
    <w:rsid w:val="00AD5CEB"/>
    <w:rsid w:val="00AD6832"/>
    <w:rsid w:val="00AE1AAF"/>
    <w:rsid w:val="00AE3647"/>
    <w:rsid w:val="00AE3980"/>
    <w:rsid w:val="00AE3BEA"/>
    <w:rsid w:val="00AE4CC0"/>
    <w:rsid w:val="00AE57F2"/>
    <w:rsid w:val="00AE604C"/>
    <w:rsid w:val="00AE6BB4"/>
    <w:rsid w:val="00AE79D9"/>
    <w:rsid w:val="00AE7A30"/>
    <w:rsid w:val="00AF2384"/>
    <w:rsid w:val="00AF2A87"/>
    <w:rsid w:val="00AF36BF"/>
    <w:rsid w:val="00AF50AE"/>
    <w:rsid w:val="00AF5DA2"/>
    <w:rsid w:val="00AF5F90"/>
    <w:rsid w:val="00AF65BD"/>
    <w:rsid w:val="00AF6B43"/>
    <w:rsid w:val="00B0038B"/>
    <w:rsid w:val="00B019B5"/>
    <w:rsid w:val="00B03FD2"/>
    <w:rsid w:val="00B0522B"/>
    <w:rsid w:val="00B056A2"/>
    <w:rsid w:val="00B069AA"/>
    <w:rsid w:val="00B07385"/>
    <w:rsid w:val="00B1043E"/>
    <w:rsid w:val="00B1058C"/>
    <w:rsid w:val="00B10E98"/>
    <w:rsid w:val="00B1308F"/>
    <w:rsid w:val="00B134AF"/>
    <w:rsid w:val="00B145F9"/>
    <w:rsid w:val="00B173D9"/>
    <w:rsid w:val="00B21046"/>
    <w:rsid w:val="00B235F4"/>
    <w:rsid w:val="00B24D11"/>
    <w:rsid w:val="00B25DB9"/>
    <w:rsid w:val="00B301F9"/>
    <w:rsid w:val="00B33E6D"/>
    <w:rsid w:val="00B34512"/>
    <w:rsid w:val="00B353AF"/>
    <w:rsid w:val="00B35637"/>
    <w:rsid w:val="00B369CE"/>
    <w:rsid w:val="00B36A35"/>
    <w:rsid w:val="00B4050B"/>
    <w:rsid w:val="00B422C9"/>
    <w:rsid w:val="00B42D6D"/>
    <w:rsid w:val="00B43260"/>
    <w:rsid w:val="00B43389"/>
    <w:rsid w:val="00B449CA"/>
    <w:rsid w:val="00B451C2"/>
    <w:rsid w:val="00B4580E"/>
    <w:rsid w:val="00B46E46"/>
    <w:rsid w:val="00B47416"/>
    <w:rsid w:val="00B47D1E"/>
    <w:rsid w:val="00B50CAA"/>
    <w:rsid w:val="00B52507"/>
    <w:rsid w:val="00B5401D"/>
    <w:rsid w:val="00B54D58"/>
    <w:rsid w:val="00B60CAE"/>
    <w:rsid w:val="00B60DB8"/>
    <w:rsid w:val="00B625EC"/>
    <w:rsid w:val="00B62D36"/>
    <w:rsid w:val="00B631D9"/>
    <w:rsid w:val="00B63627"/>
    <w:rsid w:val="00B638C9"/>
    <w:rsid w:val="00B65989"/>
    <w:rsid w:val="00B66823"/>
    <w:rsid w:val="00B66F65"/>
    <w:rsid w:val="00B67CFF"/>
    <w:rsid w:val="00B67DC0"/>
    <w:rsid w:val="00B70522"/>
    <w:rsid w:val="00B7188B"/>
    <w:rsid w:val="00B71BBE"/>
    <w:rsid w:val="00B71CE1"/>
    <w:rsid w:val="00B734E0"/>
    <w:rsid w:val="00B7356B"/>
    <w:rsid w:val="00B749A1"/>
    <w:rsid w:val="00B74C64"/>
    <w:rsid w:val="00B84881"/>
    <w:rsid w:val="00B9000F"/>
    <w:rsid w:val="00B90420"/>
    <w:rsid w:val="00B93604"/>
    <w:rsid w:val="00B93D7B"/>
    <w:rsid w:val="00B95C74"/>
    <w:rsid w:val="00BA0773"/>
    <w:rsid w:val="00BA174A"/>
    <w:rsid w:val="00BA1DAF"/>
    <w:rsid w:val="00BA3939"/>
    <w:rsid w:val="00BA513C"/>
    <w:rsid w:val="00BA53C9"/>
    <w:rsid w:val="00BA6034"/>
    <w:rsid w:val="00BA6080"/>
    <w:rsid w:val="00BB21AD"/>
    <w:rsid w:val="00BB2C1D"/>
    <w:rsid w:val="00BB3399"/>
    <w:rsid w:val="00BB380B"/>
    <w:rsid w:val="00BB3A4E"/>
    <w:rsid w:val="00BB4920"/>
    <w:rsid w:val="00BB58BA"/>
    <w:rsid w:val="00BB5F94"/>
    <w:rsid w:val="00BB5FFF"/>
    <w:rsid w:val="00BB75F6"/>
    <w:rsid w:val="00BC1621"/>
    <w:rsid w:val="00BC342F"/>
    <w:rsid w:val="00BC350D"/>
    <w:rsid w:val="00BC409D"/>
    <w:rsid w:val="00BC410C"/>
    <w:rsid w:val="00BC48BB"/>
    <w:rsid w:val="00BC62BD"/>
    <w:rsid w:val="00BC6A8A"/>
    <w:rsid w:val="00BC79DF"/>
    <w:rsid w:val="00BD2753"/>
    <w:rsid w:val="00BD28F2"/>
    <w:rsid w:val="00BD3B88"/>
    <w:rsid w:val="00BD4D99"/>
    <w:rsid w:val="00BD7181"/>
    <w:rsid w:val="00BE5677"/>
    <w:rsid w:val="00BE66B9"/>
    <w:rsid w:val="00BF02DC"/>
    <w:rsid w:val="00BF0AC3"/>
    <w:rsid w:val="00BF1ACA"/>
    <w:rsid w:val="00BF2B9A"/>
    <w:rsid w:val="00BF366F"/>
    <w:rsid w:val="00BF3C11"/>
    <w:rsid w:val="00BF3F74"/>
    <w:rsid w:val="00BF5597"/>
    <w:rsid w:val="00BF67DD"/>
    <w:rsid w:val="00BF77B0"/>
    <w:rsid w:val="00C012E8"/>
    <w:rsid w:val="00C023E8"/>
    <w:rsid w:val="00C029C2"/>
    <w:rsid w:val="00C02CA1"/>
    <w:rsid w:val="00C0305D"/>
    <w:rsid w:val="00C0418D"/>
    <w:rsid w:val="00C1017E"/>
    <w:rsid w:val="00C1042B"/>
    <w:rsid w:val="00C1360B"/>
    <w:rsid w:val="00C14693"/>
    <w:rsid w:val="00C16094"/>
    <w:rsid w:val="00C17C04"/>
    <w:rsid w:val="00C230EA"/>
    <w:rsid w:val="00C23D93"/>
    <w:rsid w:val="00C24E4D"/>
    <w:rsid w:val="00C307AB"/>
    <w:rsid w:val="00C3103E"/>
    <w:rsid w:val="00C31A38"/>
    <w:rsid w:val="00C32358"/>
    <w:rsid w:val="00C339F1"/>
    <w:rsid w:val="00C3407C"/>
    <w:rsid w:val="00C35A34"/>
    <w:rsid w:val="00C36A22"/>
    <w:rsid w:val="00C371A0"/>
    <w:rsid w:val="00C37C00"/>
    <w:rsid w:val="00C40034"/>
    <w:rsid w:val="00C43039"/>
    <w:rsid w:val="00C44260"/>
    <w:rsid w:val="00C463CA"/>
    <w:rsid w:val="00C4651D"/>
    <w:rsid w:val="00C46E4C"/>
    <w:rsid w:val="00C508C6"/>
    <w:rsid w:val="00C51BD9"/>
    <w:rsid w:val="00C53A3B"/>
    <w:rsid w:val="00C53AC0"/>
    <w:rsid w:val="00C55119"/>
    <w:rsid w:val="00C55B52"/>
    <w:rsid w:val="00C56708"/>
    <w:rsid w:val="00C62006"/>
    <w:rsid w:val="00C6306A"/>
    <w:rsid w:val="00C648EC"/>
    <w:rsid w:val="00C65450"/>
    <w:rsid w:val="00C65BB2"/>
    <w:rsid w:val="00C67DBD"/>
    <w:rsid w:val="00C71354"/>
    <w:rsid w:val="00C71B0E"/>
    <w:rsid w:val="00C73388"/>
    <w:rsid w:val="00C74915"/>
    <w:rsid w:val="00C82313"/>
    <w:rsid w:val="00C8234E"/>
    <w:rsid w:val="00C86564"/>
    <w:rsid w:val="00C879B4"/>
    <w:rsid w:val="00C87A1B"/>
    <w:rsid w:val="00C9129A"/>
    <w:rsid w:val="00C91CE9"/>
    <w:rsid w:val="00C91ED0"/>
    <w:rsid w:val="00C9442C"/>
    <w:rsid w:val="00C94496"/>
    <w:rsid w:val="00C94AA5"/>
    <w:rsid w:val="00C9521C"/>
    <w:rsid w:val="00C95806"/>
    <w:rsid w:val="00C96DB3"/>
    <w:rsid w:val="00CA0E44"/>
    <w:rsid w:val="00CA1C54"/>
    <w:rsid w:val="00CA2096"/>
    <w:rsid w:val="00CA2D6D"/>
    <w:rsid w:val="00CA301F"/>
    <w:rsid w:val="00CA3FB9"/>
    <w:rsid w:val="00CA549F"/>
    <w:rsid w:val="00CB2947"/>
    <w:rsid w:val="00CB3305"/>
    <w:rsid w:val="00CB391A"/>
    <w:rsid w:val="00CB3D23"/>
    <w:rsid w:val="00CB4AAC"/>
    <w:rsid w:val="00CB7414"/>
    <w:rsid w:val="00CC056E"/>
    <w:rsid w:val="00CC1124"/>
    <w:rsid w:val="00CC24E7"/>
    <w:rsid w:val="00CC3096"/>
    <w:rsid w:val="00CC4584"/>
    <w:rsid w:val="00CC483E"/>
    <w:rsid w:val="00CC61D7"/>
    <w:rsid w:val="00CC6A52"/>
    <w:rsid w:val="00CC6B0D"/>
    <w:rsid w:val="00CC6D23"/>
    <w:rsid w:val="00CC703D"/>
    <w:rsid w:val="00CC7C28"/>
    <w:rsid w:val="00CD2966"/>
    <w:rsid w:val="00CD2EA1"/>
    <w:rsid w:val="00CD31E2"/>
    <w:rsid w:val="00CD4FCC"/>
    <w:rsid w:val="00CD6F1B"/>
    <w:rsid w:val="00CD70A4"/>
    <w:rsid w:val="00CD7224"/>
    <w:rsid w:val="00CD7ED5"/>
    <w:rsid w:val="00CE0C7E"/>
    <w:rsid w:val="00CE0DD1"/>
    <w:rsid w:val="00CE2B89"/>
    <w:rsid w:val="00CE3923"/>
    <w:rsid w:val="00CE3B81"/>
    <w:rsid w:val="00CE61DD"/>
    <w:rsid w:val="00CE7A6A"/>
    <w:rsid w:val="00CE7BA3"/>
    <w:rsid w:val="00CF0C4A"/>
    <w:rsid w:val="00CF226F"/>
    <w:rsid w:val="00CF4061"/>
    <w:rsid w:val="00CF4B7A"/>
    <w:rsid w:val="00CF58C8"/>
    <w:rsid w:val="00CF5F4B"/>
    <w:rsid w:val="00CF6D15"/>
    <w:rsid w:val="00D002C0"/>
    <w:rsid w:val="00D00A00"/>
    <w:rsid w:val="00D01033"/>
    <w:rsid w:val="00D029A3"/>
    <w:rsid w:val="00D02D14"/>
    <w:rsid w:val="00D03C02"/>
    <w:rsid w:val="00D04492"/>
    <w:rsid w:val="00D11835"/>
    <w:rsid w:val="00D122DC"/>
    <w:rsid w:val="00D124D1"/>
    <w:rsid w:val="00D125ED"/>
    <w:rsid w:val="00D12BAE"/>
    <w:rsid w:val="00D15D40"/>
    <w:rsid w:val="00D16DE0"/>
    <w:rsid w:val="00D20334"/>
    <w:rsid w:val="00D230B3"/>
    <w:rsid w:val="00D24385"/>
    <w:rsid w:val="00D24C7F"/>
    <w:rsid w:val="00D2723A"/>
    <w:rsid w:val="00D3163C"/>
    <w:rsid w:val="00D31C5F"/>
    <w:rsid w:val="00D32B2C"/>
    <w:rsid w:val="00D3323E"/>
    <w:rsid w:val="00D3506D"/>
    <w:rsid w:val="00D3782E"/>
    <w:rsid w:val="00D447E4"/>
    <w:rsid w:val="00D4709F"/>
    <w:rsid w:val="00D502A2"/>
    <w:rsid w:val="00D50EF0"/>
    <w:rsid w:val="00D51118"/>
    <w:rsid w:val="00D54929"/>
    <w:rsid w:val="00D55989"/>
    <w:rsid w:val="00D57425"/>
    <w:rsid w:val="00D616D5"/>
    <w:rsid w:val="00D62D88"/>
    <w:rsid w:val="00D63466"/>
    <w:rsid w:val="00D64ADA"/>
    <w:rsid w:val="00D65305"/>
    <w:rsid w:val="00D67C8D"/>
    <w:rsid w:val="00D70008"/>
    <w:rsid w:val="00D7093B"/>
    <w:rsid w:val="00D71C4C"/>
    <w:rsid w:val="00D728AF"/>
    <w:rsid w:val="00D74CED"/>
    <w:rsid w:val="00D75D9F"/>
    <w:rsid w:val="00D806B8"/>
    <w:rsid w:val="00D809EE"/>
    <w:rsid w:val="00D81142"/>
    <w:rsid w:val="00D81644"/>
    <w:rsid w:val="00D82689"/>
    <w:rsid w:val="00D82719"/>
    <w:rsid w:val="00D834EF"/>
    <w:rsid w:val="00D843EC"/>
    <w:rsid w:val="00D84B2C"/>
    <w:rsid w:val="00D84C2C"/>
    <w:rsid w:val="00D8610E"/>
    <w:rsid w:val="00D86F23"/>
    <w:rsid w:val="00D908B8"/>
    <w:rsid w:val="00D90966"/>
    <w:rsid w:val="00D90B8D"/>
    <w:rsid w:val="00D90C24"/>
    <w:rsid w:val="00D90F93"/>
    <w:rsid w:val="00D91410"/>
    <w:rsid w:val="00D91BEC"/>
    <w:rsid w:val="00D94A7E"/>
    <w:rsid w:val="00D94BBE"/>
    <w:rsid w:val="00D95FA4"/>
    <w:rsid w:val="00D965C8"/>
    <w:rsid w:val="00D97000"/>
    <w:rsid w:val="00D97FA9"/>
    <w:rsid w:val="00DA5C5A"/>
    <w:rsid w:val="00DA6DD7"/>
    <w:rsid w:val="00DA6F32"/>
    <w:rsid w:val="00DA790A"/>
    <w:rsid w:val="00DB1356"/>
    <w:rsid w:val="00DB3615"/>
    <w:rsid w:val="00DB465B"/>
    <w:rsid w:val="00DB4FB8"/>
    <w:rsid w:val="00DB545C"/>
    <w:rsid w:val="00DB7CF7"/>
    <w:rsid w:val="00DB7DF8"/>
    <w:rsid w:val="00DC065A"/>
    <w:rsid w:val="00DC15CE"/>
    <w:rsid w:val="00DC2A45"/>
    <w:rsid w:val="00DC36AE"/>
    <w:rsid w:val="00DC3BFB"/>
    <w:rsid w:val="00DC3F7E"/>
    <w:rsid w:val="00DC6CC3"/>
    <w:rsid w:val="00DC7BBA"/>
    <w:rsid w:val="00DC7BDB"/>
    <w:rsid w:val="00DD02BA"/>
    <w:rsid w:val="00DD0B14"/>
    <w:rsid w:val="00DD1070"/>
    <w:rsid w:val="00DD3130"/>
    <w:rsid w:val="00DD5246"/>
    <w:rsid w:val="00DD564F"/>
    <w:rsid w:val="00DD5FDF"/>
    <w:rsid w:val="00DD5FEE"/>
    <w:rsid w:val="00DD6428"/>
    <w:rsid w:val="00DD7B3E"/>
    <w:rsid w:val="00DE10A3"/>
    <w:rsid w:val="00DE1CDD"/>
    <w:rsid w:val="00DE24F2"/>
    <w:rsid w:val="00DE2B54"/>
    <w:rsid w:val="00DE37C0"/>
    <w:rsid w:val="00DE464A"/>
    <w:rsid w:val="00DE6068"/>
    <w:rsid w:val="00DE6ED9"/>
    <w:rsid w:val="00DF2206"/>
    <w:rsid w:val="00DF260A"/>
    <w:rsid w:val="00DF3079"/>
    <w:rsid w:val="00DF30B3"/>
    <w:rsid w:val="00DF48F2"/>
    <w:rsid w:val="00DF7E8E"/>
    <w:rsid w:val="00E00590"/>
    <w:rsid w:val="00E01279"/>
    <w:rsid w:val="00E02BA8"/>
    <w:rsid w:val="00E03BD6"/>
    <w:rsid w:val="00E10A11"/>
    <w:rsid w:val="00E13D18"/>
    <w:rsid w:val="00E14012"/>
    <w:rsid w:val="00E159FE"/>
    <w:rsid w:val="00E1749A"/>
    <w:rsid w:val="00E17C28"/>
    <w:rsid w:val="00E17D6F"/>
    <w:rsid w:val="00E20E10"/>
    <w:rsid w:val="00E214D9"/>
    <w:rsid w:val="00E21F6B"/>
    <w:rsid w:val="00E237CE"/>
    <w:rsid w:val="00E237F8"/>
    <w:rsid w:val="00E24D8A"/>
    <w:rsid w:val="00E2693A"/>
    <w:rsid w:val="00E2790E"/>
    <w:rsid w:val="00E31186"/>
    <w:rsid w:val="00E31CB1"/>
    <w:rsid w:val="00E32BB2"/>
    <w:rsid w:val="00E33B14"/>
    <w:rsid w:val="00E351D9"/>
    <w:rsid w:val="00E356F0"/>
    <w:rsid w:val="00E362A2"/>
    <w:rsid w:val="00E37073"/>
    <w:rsid w:val="00E40D52"/>
    <w:rsid w:val="00E4169F"/>
    <w:rsid w:val="00E458BB"/>
    <w:rsid w:val="00E45FEE"/>
    <w:rsid w:val="00E51899"/>
    <w:rsid w:val="00E52975"/>
    <w:rsid w:val="00E52D37"/>
    <w:rsid w:val="00E53066"/>
    <w:rsid w:val="00E550B7"/>
    <w:rsid w:val="00E5678B"/>
    <w:rsid w:val="00E56A1B"/>
    <w:rsid w:val="00E573A6"/>
    <w:rsid w:val="00E600D8"/>
    <w:rsid w:val="00E61101"/>
    <w:rsid w:val="00E618B6"/>
    <w:rsid w:val="00E635B1"/>
    <w:rsid w:val="00E6426C"/>
    <w:rsid w:val="00E64B47"/>
    <w:rsid w:val="00E64FF1"/>
    <w:rsid w:val="00E654AD"/>
    <w:rsid w:val="00E65868"/>
    <w:rsid w:val="00E703A4"/>
    <w:rsid w:val="00E75827"/>
    <w:rsid w:val="00E75A9B"/>
    <w:rsid w:val="00E75BDC"/>
    <w:rsid w:val="00E764F1"/>
    <w:rsid w:val="00E77337"/>
    <w:rsid w:val="00E82251"/>
    <w:rsid w:val="00E82321"/>
    <w:rsid w:val="00E847D5"/>
    <w:rsid w:val="00E84D0F"/>
    <w:rsid w:val="00E84D27"/>
    <w:rsid w:val="00E8591B"/>
    <w:rsid w:val="00E86370"/>
    <w:rsid w:val="00E868B7"/>
    <w:rsid w:val="00E87F33"/>
    <w:rsid w:val="00E9073A"/>
    <w:rsid w:val="00E96656"/>
    <w:rsid w:val="00E970CD"/>
    <w:rsid w:val="00E97C84"/>
    <w:rsid w:val="00EA0620"/>
    <w:rsid w:val="00EA11FA"/>
    <w:rsid w:val="00EA6405"/>
    <w:rsid w:val="00EA6B98"/>
    <w:rsid w:val="00EA75C3"/>
    <w:rsid w:val="00EA79F7"/>
    <w:rsid w:val="00EB08DD"/>
    <w:rsid w:val="00EB2BAD"/>
    <w:rsid w:val="00EB438C"/>
    <w:rsid w:val="00EB5788"/>
    <w:rsid w:val="00EC2396"/>
    <w:rsid w:val="00EC2875"/>
    <w:rsid w:val="00EC3609"/>
    <w:rsid w:val="00EC4283"/>
    <w:rsid w:val="00EC7C72"/>
    <w:rsid w:val="00ED1E09"/>
    <w:rsid w:val="00ED2065"/>
    <w:rsid w:val="00ED6AD6"/>
    <w:rsid w:val="00ED6AFA"/>
    <w:rsid w:val="00EE153A"/>
    <w:rsid w:val="00EE1813"/>
    <w:rsid w:val="00EE18EF"/>
    <w:rsid w:val="00EE40A8"/>
    <w:rsid w:val="00EF2932"/>
    <w:rsid w:val="00EF408B"/>
    <w:rsid w:val="00EF755D"/>
    <w:rsid w:val="00F017F2"/>
    <w:rsid w:val="00F0237D"/>
    <w:rsid w:val="00F0271E"/>
    <w:rsid w:val="00F04297"/>
    <w:rsid w:val="00F067C9"/>
    <w:rsid w:val="00F06D53"/>
    <w:rsid w:val="00F07DB1"/>
    <w:rsid w:val="00F110A5"/>
    <w:rsid w:val="00F11B20"/>
    <w:rsid w:val="00F12615"/>
    <w:rsid w:val="00F13412"/>
    <w:rsid w:val="00F141B5"/>
    <w:rsid w:val="00F21CEF"/>
    <w:rsid w:val="00F21ECD"/>
    <w:rsid w:val="00F232CD"/>
    <w:rsid w:val="00F23558"/>
    <w:rsid w:val="00F2465C"/>
    <w:rsid w:val="00F24CD1"/>
    <w:rsid w:val="00F26E05"/>
    <w:rsid w:val="00F27011"/>
    <w:rsid w:val="00F30367"/>
    <w:rsid w:val="00F31996"/>
    <w:rsid w:val="00F335A2"/>
    <w:rsid w:val="00F33C56"/>
    <w:rsid w:val="00F34E6C"/>
    <w:rsid w:val="00F4094C"/>
    <w:rsid w:val="00F41269"/>
    <w:rsid w:val="00F41679"/>
    <w:rsid w:val="00F43539"/>
    <w:rsid w:val="00F45B43"/>
    <w:rsid w:val="00F47440"/>
    <w:rsid w:val="00F477BB"/>
    <w:rsid w:val="00F512CA"/>
    <w:rsid w:val="00F52A89"/>
    <w:rsid w:val="00F53131"/>
    <w:rsid w:val="00F53ABD"/>
    <w:rsid w:val="00F540D5"/>
    <w:rsid w:val="00F54B42"/>
    <w:rsid w:val="00F55250"/>
    <w:rsid w:val="00F5652B"/>
    <w:rsid w:val="00F575F0"/>
    <w:rsid w:val="00F61BB9"/>
    <w:rsid w:val="00F705BC"/>
    <w:rsid w:val="00F7175D"/>
    <w:rsid w:val="00F717F9"/>
    <w:rsid w:val="00F740FC"/>
    <w:rsid w:val="00F74507"/>
    <w:rsid w:val="00F7606C"/>
    <w:rsid w:val="00F76774"/>
    <w:rsid w:val="00F77309"/>
    <w:rsid w:val="00F778E6"/>
    <w:rsid w:val="00F8122C"/>
    <w:rsid w:val="00F81778"/>
    <w:rsid w:val="00F8179F"/>
    <w:rsid w:val="00F835AC"/>
    <w:rsid w:val="00F83D6B"/>
    <w:rsid w:val="00F865E1"/>
    <w:rsid w:val="00F8672D"/>
    <w:rsid w:val="00F86904"/>
    <w:rsid w:val="00F87BDB"/>
    <w:rsid w:val="00F909D8"/>
    <w:rsid w:val="00F90C10"/>
    <w:rsid w:val="00F92B74"/>
    <w:rsid w:val="00F9397E"/>
    <w:rsid w:val="00F9410D"/>
    <w:rsid w:val="00F950D8"/>
    <w:rsid w:val="00F96363"/>
    <w:rsid w:val="00F97CCB"/>
    <w:rsid w:val="00FA2494"/>
    <w:rsid w:val="00FA27F4"/>
    <w:rsid w:val="00FA41D2"/>
    <w:rsid w:val="00FA73C4"/>
    <w:rsid w:val="00FA7FDB"/>
    <w:rsid w:val="00FB139A"/>
    <w:rsid w:val="00FB43BF"/>
    <w:rsid w:val="00FB56A6"/>
    <w:rsid w:val="00FC0E9A"/>
    <w:rsid w:val="00FC2DC1"/>
    <w:rsid w:val="00FC3F67"/>
    <w:rsid w:val="00FC51C6"/>
    <w:rsid w:val="00FC59F9"/>
    <w:rsid w:val="00FC6E8D"/>
    <w:rsid w:val="00FC743E"/>
    <w:rsid w:val="00FD14C1"/>
    <w:rsid w:val="00FD2647"/>
    <w:rsid w:val="00FD2872"/>
    <w:rsid w:val="00FD4FC9"/>
    <w:rsid w:val="00FD6AC6"/>
    <w:rsid w:val="00FD7B85"/>
    <w:rsid w:val="00FE17CD"/>
    <w:rsid w:val="00FE2350"/>
    <w:rsid w:val="00FE6779"/>
    <w:rsid w:val="00FE7E96"/>
    <w:rsid w:val="00FF044F"/>
    <w:rsid w:val="00FF0FB8"/>
    <w:rsid w:val="00FF1548"/>
    <w:rsid w:val="00FF426E"/>
    <w:rsid w:val="00FF5C09"/>
    <w:rsid w:val="00FF788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8908FB"/>
  <w15:chartTrackingRefBased/>
  <w15:docId w15:val="{7DA244D1-55BB-45AD-B01D-1DD6A0280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507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DB7D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503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463C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3F66"/>
    <w:pPr>
      <w:ind w:left="720"/>
      <w:contextualSpacing/>
    </w:pPr>
  </w:style>
  <w:style w:type="paragraph" w:customStyle="1" w:styleId="Default">
    <w:name w:val="Default"/>
    <w:rsid w:val="00055175"/>
    <w:pPr>
      <w:autoSpaceDE w:val="0"/>
      <w:autoSpaceDN w:val="0"/>
      <w:adjustRightInd w:val="0"/>
      <w:spacing w:after="0" w:line="240" w:lineRule="auto"/>
    </w:pPr>
    <w:rPr>
      <w:rFonts w:ascii="Code" w:hAnsi="Code" w:cs="Code"/>
      <w:color w:val="000000"/>
      <w:sz w:val="24"/>
      <w:szCs w:val="24"/>
    </w:rPr>
  </w:style>
  <w:style w:type="character" w:customStyle="1" w:styleId="Heading1Char">
    <w:name w:val="Heading 1 Char"/>
    <w:basedOn w:val="DefaultParagraphFont"/>
    <w:link w:val="Heading1"/>
    <w:uiPriority w:val="9"/>
    <w:rsid w:val="002507FE"/>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2507FE"/>
    <w:rPr>
      <w:color w:val="0563C1" w:themeColor="hyperlink"/>
      <w:u w:val="single"/>
    </w:rPr>
  </w:style>
  <w:style w:type="character" w:customStyle="1" w:styleId="UnresolvedMention1">
    <w:name w:val="Unresolved Mention1"/>
    <w:basedOn w:val="DefaultParagraphFont"/>
    <w:uiPriority w:val="99"/>
    <w:semiHidden/>
    <w:unhideWhenUsed/>
    <w:rsid w:val="002507FE"/>
    <w:rPr>
      <w:color w:val="605E5C"/>
      <w:shd w:val="clear" w:color="auto" w:fill="E1DFDD"/>
    </w:rPr>
  </w:style>
  <w:style w:type="character" w:customStyle="1" w:styleId="Heading2Char">
    <w:name w:val="Heading 2 Char"/>
    <w:basedOn w:val="DefaultParagraphFont"/>
    <w:link w:val="Heading2"/>
    <w:uiPriority w:val="9"/>
    <w:rsid w:val="00DB7DF8"/>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70670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670D"/>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7F0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B2049"/>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DF48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48F2"/>
    <w:rPr>
      <w:sz w:val="20"/>
      <w:szCs w:val="20"/>
    </w:rPr>
  </w:style>
  <w:style w:type="character" w:styleId="FootnoteReference">
    <w:name w:val="footnote reference"/>
    <w:basedOn w:val="DefaultParagraphFont"/>
    <w:uiPriority w:val="99"/>
    <w:semiHidden/>
    <w:unhideWhenUsed/>
    <w:rsid w:val="00DF48F2"/>
    <w:rPr>
      <w:vertAlign w:val="superscript"/>
    </w:rPr>
  </w:style>
  <w:style w:type="character" w:styleId="Strong">
    <w:name w:val="Strong"/>
    <w:basedOn w:val="DefaultParagraphFont"/>
    <w:uiPriority w:val="22"/>
    <w:qFormat/>
    <w:rsid w:val="00261EDB"/>
    <w:rPr>
      <w:b/>
      <w:bCs/>
    </w:rPr>
  </w:style>
  <w:style w:type="character" w:styleId="Emphasis">
    <w:name w:val="Emphasis"/>
    <w:basedOn w:val="DefaultParagraphFont"/>
    <w:uiPriority w:val="20"/>
    <w:qFormat/>
    <w:rsid w:val="00943606"/>
    <w:rPr>
      <w:i/>
      <w:iCs/>
    </w:rPr>
  </w:style>
  <w:style w:type="character" w:customStyle="1" w:styleId="Heading3Char">
    <w:name w:val="Heading 3 Char"/>
    <w:basedOn w:val="DefaultParagraphFont"/>
    <w:link w:val="Heading3"/>
    <w:uiPriority w:val="9"/>
    <w:rsid w:val="00950372"/>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AC32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C463CA"/>
    <w:rPr>
      <w:rFonts w:asciiTheme="majorHAnsi" w:eastAsiaTheme="majorEastAsia" w:hAnsiTheme="majorHAnsi" w:cstheme="majorBidi"/>
      <w:i/>
      <w:iCs/>
      <w:color w:val="2F5496" w:themeColor="accent1" w:themeShade="BF"/>
    </w:rPr>
  </w:style>
  <w:style w:type="character" w:customStyle="1" w:styleId="il">
    <w:name w:val="il"/>
    <w:basedOn w:val="DefaultParagraphFont"/>
    <w:rsid w:val="002F4A70"/>
  </w:style>
  <w:style w:type="paragraph" w:styleId="Footer">
    <w:name w:val="footer"/>
    <w:basedOn w:val="Normal"/>
    <w:link w:val="FooterChar"/>
    <w:uiPriority w:val="99"/>
    <w:unhideWhenUsed/>
    <w:rsid w:val="008F44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47C"/>
  </w:style>
  <w:style w:type="table" w:customStyle="1" w:styleId="TableGrid1">
    <w:name w:val="Table Grid1"/>
    <w:basedOn w:val="TableNormal"/>
    <w:next w:val="TableGrid"/>
    <w:uiPriority w:val="39"/>
    <w:rsid w:val="00EB5788"/>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67506"/>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41146"/>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38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86C"/>
  </w:style>
  <w:style w:type="paragraph" w:styleId="TOCHeading">
    <w:name w:val="TOC Heading"/>
    <w:basedOn w:val="Heading1"/>
    <w:next w:val="Normal"/>
    <w:uiPriority w:val="39"/>
    <w:unhideWhenUsed/>
    <w:qFormat/>
    <w:rsid w:val="00135471"/>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135471"/>
    <w:pPr>
      <w:spacing w:after="100"/>
    </w:pPr>
  </w:style>
  <w:style w:type="paragraph" w:styleId="TOC2">
    <w:name w:val="toc 2"/>
    <w:basedOn w:val="Normal"/>
    <w:next w:val="Normal"/>
    <w:autoRedefine/>
    <w:uiPriority w:val="39"/>
    <w:unhideWhenUsed/>
    <w:rsid w:val="00135471"/>
    <w:pPr>
      <w:spacing w:after="100"/>
      <w:ind w:left="220"/>
    </w:pPr>
  </w:style>
  <w:style w:type="paragraph" w:styleId="TOC3">
    <w:name w:val="toc 3"/>
    <w:basedOn w:val="Normal"/>
    <w:next w:val="Normal"/>
    <w:autoRedefine/>
    <w:uiPriority w:val="39"/>
    <w:unhideWhenUsed/>
    <w:rsid w:val="00135471"/>
    <w:pPr>
      <w:spacing w:after="100"/>
      <w:ind w:left="440"/>
    </w:pPr>
  </w:style>
  <w:style w:type="character" w:customStyle="1" w:styleId="title-text">
    <w:name w:val="title-text"/>
    <w:basedOn w:val="DefaultParagraphFont"/>
    <w:rsid w:val="003C5713"/>
  </w:style>
  <w:style w:type="character" w:styleId="EndnoteReference">
    <w:name w:val="endnote reference"/>
    <w:basedOn w:val="DefaultParagraphFont"/>
    <w:uiPriority w:val="99"/>
    <w:semiHidden/>
    <w:unhideWhenUsed/>
    <w:rsid w:val="00873902"/>
    <w:rPr>
      <w:vertAlign w:val="superscript"/>
    </w:rPr>
  </w:style>
  <w:style w:type="paragraph" w:customStyle="1" w:styleId="p">
    <w:name w:val="p"/>
    <w:basedOn w:val="Normal"/>
    <w:rsid w:val="002E22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kwd-text">
    <w:name w:val="kwd-text"/>
    <w:basedOn w:val="DefaultParagraphFont"/>
    <w:rsid w:val="002E220A"/>
  </w:style>
  <w:style w:type="character" w:customStyle="1" w:styleId="cf01">
    <w:name w:val="cf01"/>
    <w:basedOn w:val="DefaultParagraphFont"/>
    <w:rsid w:val="00EB08DD"/>
    <w:rPr>
      <w:rFonts w:ascii="Segoe UI" w:hAnsi="Segoe UI" w:cs="Segoe UI" w:hint="default"/>
      <w:sz w:val="18"/>
      <w:szCs w:val="18"/>
    </w:rPr>
  </w:style>
  <w:style w:type="character" w:customStyle="1" w:styleId="mixed-citation">
    <w:name w:val="mixed-citation"/>
    <w:basedOn w:val="DefaultParagraphFont"/>
    <w:rsid w:val="00674509"/>
  </w:style>
  <w:style w:type="character" w:customStyle="1" w:styleId="ref-title">
    <w:name w:val="ref-title"/>
    <w:basedOn w:val="DefaultParagraphFont"/>
    <w:rsid w:val="00674509"/>
  </w:style>
  <w:style w:type="character" w:customStyle="1" w:styleId="ref-journal">
    <w:name w:val="ref-journal"/>
    <w:basedOn w:val="DefaultParagraphFont"/>
    <w:rsid w:val="00674509"/>
  </w:style>
  <w:style w:type="character" w:customStyle="1" w:styleId="ref-vol">
    <w:name w:val="ref-vol"/>
    <w:basedOn w:val="DefaultParagraphFont"/>
    <w:rsid w:val="00674509"/>
  </w:style>
  <w:style w:type="character" w:customStyle="1" w:styleId="nowrap">
    <w:name w:val="nowrap"/>
    <w:basedOn w:val="DefaultParagraphFont"/>
    <w:rsid w:val="00674509"/>
  </w:style>
  <w:style w:type="paragraph" w:styleId="BalloonText">
    <w:name w:val="Balloon Text"/>
    <w:basedOn w:val="Normal"/>
    <w:link w:val="BalloonTextChar"/>
    <w:uiPriority w:val="99"/>
    <w:semiHidden/>
    <w:unhideWhenUsed/>
    <w:rsid w:val="005067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6716"/>
    <w:rPr>
      <w:rFonts w:ascii="Segoe UI" w:hAnsi="Segoe UI" w:cs="Segoe UI"/>
      <w:sz w:val="18"/>
      <w:szCs w:val="18"/>
    </w:rPr>
  </w:style>
  <w:style w:type="character" w:styleId="CommentReference">
    <w:name w:val="annotation reference"/>
    <w:basedOn w:val="DefaultParagraphFont"/>
    <w:uiPriority w:val="99"/>
    <w:semiHidden/>
    <w:unhideWhenUsed/>
    <w:rsid w:val="00506716"/>
    <w:rPr>
      <w:sz w:val="16"/>
      <w:szCs w:val="16"/>
    </w:rPr>
  </w:style>
  <w:style w:type="paragraph" w:styleId="CommentText">
    <w:name w:val="annotation text"/>
    <w:basedOn w:val="Normal"/>
    <w:link w:val="CommentTextChar"/>
    <w:uiPriority w:val="99"/>
    <w:unhideWhenUsed/>
    <w:rsid w:val="00506716"/>
    <w:pPr>
      <w:spacing w:line="240" w:lineRule="auto"/>
    </w:pPr>
    <w:rPr>
      <w:sz w:val="20"/>
      <w:szCs w:val="20"/>
    </w:rPr>
  </w:style>
  <w:style w:type="character" w:customStyle="1" w:styleId="CommentTextChar">
    <w:name w:val="Comment Text Char"/>
    <w:basedOn w:val="DefaultParagraphFont"/>
    <w:link w:val="CommentText"/>
    <w:uiPriority w:val="99"/>
    <w:rsid w:val="00506716"/>
    <w:rPr>
      <w:sz w:val="20"/>
      <w:szCs w:val="20"/>
    </w:rPr>
  </w:style>
  <w:style w:type="paragraph" w:styleId="CommentSubject">
    <w:name w:val="annotation subject"/>
    <w:basedOn w:val="CommentText"/>
    <w:next w:val="CommentText"/>
    <w:link w:val="CommentSubjectChar"/>
    <w:uiPriority w:val="99"/>
    <w:semiHidden/>
    <w:unhideWhenUsed/>
    <w:rsid w:val="00506716"/>
    <w:rPr>
      <w:b/>
      <w:bCs/>
    </w:rPr>
  </w:style>
  <w:style w:type="character" w:customStyle="1" w:styleId="CommentSubjectChar">
    <w:name w:val="Comment Subject Char"/>
    <w:basedOn w:val="CommentTextChar"/>
    <w:link w:val="CommentSubject"/>
    <w:uiPriority w:val="99"/>
    <w:semiHidden/>
    <w:rsid w:val="00506716"/>
    <w:rPr>
      <w:b/>
      <w:bCs/>
      <w:sz w:val="20"/>
      <w:szCs w:val="20"/>
    </w:rPr>
  </w:style>
  <w:style w:type="paragraph" w:customStyle="1" w:styleId="pf0">
    <w:name w:val="pf0"/>
    <w:basedOn w:val="Normal"/>
    <w:rsid w:val="009F5A3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0B7EB4"/>
    <w:pPr>
      <w:spacing w:after="0" w:line="240" w:lineRule="auto"/>
    </w:pPr>
  </w:style>
  <w:style w:type="character" w:styleId="UnresolvedMention">
    <w:name w:val="Unresolved Mention"/>
    <w:basedOn w:val="DefaultParagraphFont"/>
    <w:uiPriority w:val="99"/>
    <w:semiHidden/>
    <w:unhideWhenUsed/>
    <w:rsid w:val="007B29B1"/>
    <w:rPr>
      <w:color w:val="605E5C"/>
      <w:shd w:val="clear" w:color="auto" w:fill="E1DFDD"/>
    </w:rPr>
  </w:style>
  <w:style w:type="character" w:customStyle="1" w:styleId="cf11">
    <w:name w:val="cf11"/>
    <w:basedOn w:val="DefaultParagraphFont"/>
    <w:rsid w:val="00C37C00"/>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6475">
      <w:bodyDiv w:val="1"/>
      <w:marLeft w:val="0"/>
      <w:marRight w:val="0"/>
      <w:marTop w:val="0"/>
      <w:marBottom w:val="0"/>
      <w:divBdr>
        <w:top w:val="none" w:sz="0" w:space="0" w:color="auto"/>
        <w:left w:val="none" w:sz="0" w:space="0" w:color="auto"/>
        <w:bottom w:val="none" w:sz="0" w:space="0" w:color="auto"/>
        <w:right w:val="none" w:sz="0" w:space="0" w:color="auto"/>
      </w:divBdr>
      <w:divsChild>
        <w:div w:id="780606033">
          <w:marLeft w:val="0"/>
          <w:marRight w:val="0"/>
          <w:marTop w:val="0"/>
          <w:marBottom w:val="0"/>
          <w:divBdr>
            <w:top w:val="none" w:sz="0" w:space="0" w:color="auto"/>
            <w:left w:val="none" w:sz="0" w:space="0" w:color="auto"/>
            <w:bottom w:val="none" w:sz="0" w:space="0" w:color="auto"/>
            <w:right w:val="none" w:sz="0" w:space="0" w:color="auto"/>
          </w:divBdr>
        </w:div>
        <w:div w:id="595796614">
          <w:marLeft w:val="0"/>
          <w:marRight w:val="0"/>
          <w:marTop w:val="0"/>
          <w:marBottom w:val="0"/>
          <w:divBdr>
            <w:top w:val="none" w:sz="0" w:space="0" w:color="auto"/>
            <w:left w:val="none" w:sz="0" w:space="0" w:color="auto"/>
            <w:bottom w:val="none" w:sz="0" w:space="0" w:color="auto"/>
            <w:right w:val="none" w:sz="0" w:space="0" w:color="auto"/>
          </w:divBdr>
        </w:div>
        <w:div w:id="2041734530">
          <w:marLeft w:val="0"/>
          <w:marRight w:val="0"/>
          <w:marTop w:val="0"/>
          <w:marBottom w:val="0"/>
          <w:divBdr>
            <w:top w:val="none" w:sz="0" w:space="0" w:color="auto"/>
            <w:left w:val="none" w:sz="0" w:space="0" w:color="auto"/>
            <w:bottom w:val="none" w:sz="0" w:space="0" w:color="auto"/>
            <w:right w:val="none" w:sz="0" w:space="0" w:color="auto"/>
          </w:divBdr>
        </w:div>
        <w:div w:id="1349142372">
          <w:marLeft w:val="0"/>
          <w:marRight w:val="0"/>
          <w:marTop w:val="0"/>
          <w:marBottom w:val="0"/>
          <w:divBdr>
            <w:top w:val="none" w:sz="0" w:space="0" w:color="auto"/>
            <w:left w:val="none" w:sz="0" w:space="0" w:color="auto"/>
            <w:bottom w:val="none" w:sz="0" w:space="0" w:color="auto"/>
            <w:right w:val="none" w:sz="0" w:space="0" w:color="auto"/>
          </w:divBdr>
        </w:div>
        <w:div w:id="1591232325">
          <w:marLeft w:val="0"/>
          <w:marRight w:val="0"/>
          <w:marTop w:val="0"/>
          <w:marBottom w:val="0"/>
          <w:divBdr>
            <w:top w:val="none" w:sz="0" w:space="0" w:color="auto"/>
            <w:left w:val="none" w:sz="0" w:space="0" w:color="auto"/>
            <w:bottom w:val="none" w:sz="0" w:space="0" w:color="auto"/>
            <w:right w:val="none" w:sz="0" w:space="0" w:color="auto"/>
          </w:divBdr>
        </w:div>
        <w:div w:id="768086305">
          <w:marLeft w:val="0"/>
          <w:marRight w:val="0"/>
          <w:marTop w:val="0"/>
          <w:marBottom w:val="0"/>
          <w:divBdr>
            <w:top w:val="none" w:sz="0" w:space="0" w:color="auto"/>
            <w:left w:val="none" w:sz="0" w:space="0" w:color="auto"/>
            <w:bottom w:val="none" w:sz="0" w:space="0" w:color="auto"/>
            <w:right w:val="none" w:sz="0" w:space="0" w:color="auto"/>
          </w:divBdr>
        </w:div>
        <w:div w:id="801118962">
          <w:marLeft w:val="0"/>
          <w:marRight w:val="0"/>
          <w:marTop w:val="0"/>
          <w:marBottom w:val="0"/>
          <w:divBdr>
            <w:top w:val="none" w:sz="0" w:space="0" w:color="auto"/>
            <w:left w:val="none" w:sz="0" w:space="0" w:color="auto"/>
            <w:bottom w:val="none" w:sz="0" w:space="0" w:color="auto"/>
            <w:right w:val="none" w:sz="0" w:space="0" w:color="auto"/>
          </w:divBdr>
        </w:div>
        <w:div w:id="955067318">
          <w:marLeft w:val="0"/>
          <w:marRight w:val="0"/>
          <w:marTop w:val="0"/>
          <w:marBottom w:val="0"/>
          <w:divBdr>
            <w:top w:val="none" w:sz="0" w:space="0" w:color="auto"/>
            <w:left w:val="none" w:sz="0" w:space="0" w:color="auto"/>
            <w:bottom w:val="none" w:sz="0" w:space="0" w:color="auto"/>
            <w:right w:val="none" w:sz="0" w:space="0" w:color="auto"/>
          </w:divBdr>
        </w:div>
      </w:divsChild>
    </w:div>
    <w:div w:id="109395512">
      <w:bodyDiv w:val="1"/>
      <w:marLeft w:val="0"/>
      <w:marRight w:val="0"/>
      <w:marTop w:val="0"/>
      <w:marBottom w:val="0"/>
      <w:divBdr>
        <w:top w:val="none" w:sz="0" w:space="0" w:color="auto"/>
        <w:left w:val="none" w:sz="0" w:space="0" w:color="auto"/>
        <w:bottom w:val="none" w:sz="0" w:space="0" w:color="auto"/>
        <w:right w:val="none" w:sz="0" w:space="0" w:color="auto"/>
      </w:divBdr>
      <w:divsChild>
        <w:div w:id="1977757607">
          <w:marLeft w:val="0"/>
          <w:marRight w:val="0"/>
          <w:marTop w:val="0"/>
          <w:marBottom w:val="0"/>
          <w:divBdr>
            <w:top w:val="none" w:sz="0" w:space="0" w:color="auto"/>
            <w:left w:val="none" w:sz="0" w:space="0" w:color="auto"/>
            <w:bottom w:val="none" w:sz="0" w:space="0" w:color="auto"/>
            <w:right w:val="none" w:sz="0" w:space="0" w:color="auto"/>
          </w:divBdr>
        </w:div>
        <w:div w:id="815949716">
          <w:marLeft w:val="0"/>
          <w:marRight w:val="0"/>
          <w:marTop w:val="0"/>
          <w:marBottom w:val="0"/>
          <w:divBdr>
            <w:top w:val="none" w:sz="0" w:space="0" w:color="auto"/>
            <w:left w:val="none" w:sz="0" w:space="0" w:color="auto"/>
            <w:bottom w:val="none" w:sz="0" w:space="0" w:color="auto"/>
            <w:right w:val="none" w:sz="0" w:space="0" w:color="auto"/>
          </w:divBdr>
        </w:div>
        <w:div w:id="1209535686">
          <w:marLeft w:val="0"/>
          <w:marRight w:val="0"/>
          <w:marTop w:val="0"/>
          <w:marBottom w:val="0"/>
          <w:divBdr>
            <w:top w:val="none" w:sz="0" w:space="0" w:color="auto"/>
            <w:left w:val="none" w:sz="0" w:space="0" w:color="auto"/>
            <w:bottom w:val="none" w:sz="0" w:space="0" w:color="auto"/>
            <w:right w:val="none" w:sz="0" w:space="0" w:color="auto"/>
          </w:divBdr>
        </w:div>
        <w:div w:id="597447491">
          <w:marLeft w:val="0"/>
          <w:marRight w:val="0"/>
          <w:marTop w:val="0"/>
          <w:marBottom w:val="0"/>
          <w:divBdr>
            <w:top w:val="none" w:sz="0" w:space="0" w:color="auto"/>
            <w:left w:val="none" w:sz="0" w:space="0" w:color="auto"/>
            <w:bottom w:val="none" w:sz="0" w:space="0" w:color="auto"/>
            <w:right w:val="none" w:sz="0" w:space="0" w:color="auto"/>
          </w:divBdr>
        </w:div>
        <w:div w:id="1451243313">
          <w:marLeft w:val="0"/>
          <w:marRight w:val="0"/>
          <w:marTop w:val="0"/>
          <w:marBottom w:val="0"/>
          <w:divBdr>
            <w:top w:val="none" w:sz="0" w:space="0" w:color="auto"/>
            <w:left w:val="none" w:sz="0" w:space="0" w:color="auto"/>
            <w:bottom w:val="none" w:sz="0" w:space="0" w:color="auto"/>
            <w:right w:val="none" w:sz="0" w:space="0" w:color="auto"/>
          </w:divBdr>
        </w:div>
        <w:div w:id="2064057074">
          <w:marLeft w:val="0"/>
          <w:marRight w:val="0"/>
          <w:marTop w:val="0"/>
          <w:marBottom w:val="0"/>
          <w:divBdr>
            <w:top w:val="none" w:sz="0" w:space="0" w:color="auto"/>
            <w:left w:val="none" w:sz="0" w:space="0" w:color="auto"/>
            <w:bottom w:val="none" w:sz="0" w:space="0" w:color="auto"/>
            <w:right w:val="none" w:sz="0" w:space="0" w:color="auto"/>
          </w:divBdr>
        </w:div>
        <w:div w:id="2138453796">
          <w:marLeft w:val="0"/>
          <w:marRight w:val="0"/>
          <w:marTop w:val="0"/>
          <w:marBottom w:val="0"/>
          <w:divBdr>
            <w:top w:val="none" w:sz="0" w:space="0" w:color="auto"/>
            <w:left w:val="none" w:sz="0" w:space="0" w:color="auto"/>
            <w:bottom w:val="none" w:sz="0" w:space="0" w:color="auto"/>
            <w:right w:val="none" w:sz="0" w:space="0" w:color="auto"/>
          </w:divBdr>
        </w:div>
      </w:divsChild>
    </w:div>
    <w:div w:id="272058802">
      <w:bodyDiv w:val="1"/>
      <w:marLeft w:val="0"/>
      <w:marRight w:val="0"/>
      <w:marTop w:val="0"/>
      <w:marBottom w:val="0"/>
      <w:divBdr>
        <w:top w:val="none" w:sz="0" w:space="0" w:color="auto"/>
        <w:left w:val="none" w:sz="0" w:space="0" w:color="auto"/>
        <w:bottom w:val="none" w:sz="0" w:space="0" w:color="auto"/>
        <w:right w:val="none" w:sz="0" w:space="0" w:color="auto"/>
      </w:divBdr>
    </w:div>
    <w:div w:id="354623394">
      <w:bodyDiv w:val="1"/>
      <w:marLeft w:val="0"/>
      <w:marRight w:val="0"/>
      <w:marTop w:val="0"/>
      <w:marBottom w:val="0"/>
      <w:divBdr>
        <w:top w:val="none" w:sz="0" w:space="0" w:color="auto"/>
        <w:left w:val="none" w:sz="0" w:space="0" w:color="auto"/>
        <w:bottom w:val="none" w:sz="0" w:space="0" w:color="auto"/>
        <w:right w:val="none" w:sz="0" w:space="0" w:color="auto"/>
      </w:divBdr>
    </w:div>
    <w:div w:id="470025945">
      <w:bodyDiv w:val="1"/>
      <w:marLeft w:val="0"/>
      <w:marRight w:val="0"/>
      <w:marTop w:val="0"/>
      <w:marBottom w:val="0"/>
      <w:divBdr>
        <w:top w:val="none" w:sz="0" w:space="0" w:color="auto"/>
        <w:left w:val="none" w:sz="0" w:space="0" w:color="auto"/>
        <w:bottom w:val="none" w:sz="0" w:space="0" w:color="auto"/>
        <w:right w:val="none" w:sz="0" w:space="0" w:color="auto"/>
      </w:divBdr>
    </w:div>
    <w:div w:id="564340444">
      <w:bodyDiv w:val="1"/>
      <w:marLeft w:val="0"/>
      <w:marRight w:val="0"/>
      <w:marTop w:val="0"/>
      <w:marBottom w:val="0"/>
      <w:divBdr>
        <w:top w:val="none" w:sz="0" w:space="0" w:color="auto"/>
        <w:left w:val="none" w:sz="0" w:space="0" w:color="auto"/>
        <w:bottom w:val="none" w:sz="0" w:space="0" w:color="auto"/>
        <w:right w:val="none" w:sz="0" w:space="0" w:color="auto"/>
      </w:divBdr>
    </w:div>
    <w:div w:id="658731315">
      <w:bodyDiv w:val="1"/>
      <w:marLeft w:val="0"/>
      <w:marRight w:val="0"/>
      <w:marTop w:val="0"/>
      <w:marBottom w:val="0"/>
      <w:divBdr>
        <w:top w:val="none" w:sz="0" w:space="0" w:color="auto"/>
        <w:left w:val="none" w:sz="0" w:space="0" w:color="auto"/>
        <w:bottom w:val="none" w:sz="0" w:space="0" w:color="auto"/>
        <w:right w:val="none" w:sz="0" w:space="0" w:color="auto"/>
      </w:divBdr>
    </w:div>
    <w:div w:id="669062985">
      <w:bodyDiv w:val="1"/>
      <w:marLeft w:val="0"/>
      <w:marRight w:val="0"/>
      <w:marTop w:val="0"/>
      <w:marBottom w:val="0"/>
      <w:divBdr>
        <w:top w:val="none" w:sz="0" w:space="0" w:color="auto"/>
        <w:left w:val="none" w:sz="0" w:space="0" w:color="auto"/>
        <w:bottom w:val="none" w:sz="0" w:space="0" w:color="auto"/>
        <w:right w:val="none" w:sz="0" w:space="0" w:color="auto"/>
      </w:divBdr>
    </w:div>
    <w:div w:id="747313932">
      <w:bodyDiv w:val="1"/>
      <w:marLeft w:val="0"/>
      <w:marRight w:val="0"/>
      <w:marTop w:val="0"/>
      <w:marBottom w:val="0"/>
      <w:divBdr>
        <w:top w:val="none" w:sz="0" w:space="0" w:color="auto"/>
        <w:left w:val="none" w:sz="0" w:space="0" w:color="auto"/>
        <w:bottom w:val="none" w:sz="0" w:space="0" w:color="auto"/>
        <w:right w:val="none" w:sz="0" w:space="0" w:color="auto"/>
      </w:divBdr>
    </w:div>
    <w:div w:id="764112824">
      <w:bodyDiv w:val="1"/>
      <w:marLeft w:val="0"/>
      <w:marRight w:val="0"/>
      <w:marTop w:val="0"/>
      <w:marBottom w:val="0"/>
      <w:divBdr>
        <w:top w:val="none" w:sz="0" w:space="0" w:color="auto"/>
        <w:left w:val="none" w:sz="0" w:space="0" w:color="auto"/>
        <w:bottom w:val="none" w:sz="0" w:space="0" w:color="auto"/>
        <w:right w:val="none" w:sz="0" w:space="0" w:color="auto"/>
      </w:divBdr>
    </w:div>
    <w:div w:id="791173356">
      <w:bodyDiv w:val="1"/>
      <w:marLeft w:val="0"/>
      <w:marRight w:val="0"/>
      <w:marTop w:val="0"/>
      <w:marBottom w:val="0"/>
      <w:divBdr>
        <w:top w:val="none" w:sz="0" w:space="0" w:color="auto"/>
        <w:left w:val="none" w:sz="0" w:space="0" w:color="auto"/>
        <w:bottom w:val="none" w:sz="0" w:space="0" w:color="auto"/>
        <w:right w:val="none" w:sz="0" w:space="0" w:color="auto"/>
      </w:divBdr>
      <w:divsChild>
        <w:div w:id="1603293328">
          <w:marLeft w:val="0"/>
          <w:marRight w:val="0"/>
          <w:marTop w:val="0"/>
          <w:marBottom w:val="0"/>
          <w:divBdr>
            <w:top w:val="none" w:sz="0" w:space="0" w:color="auto"/>
            <w:left w:val="none" w:sz="0" w:space="0" w:color="auto"/>
            <w:bottom w:val="none" w:sz="0" w:space="0" w:color="auto"/>
            <w:right w:val="none" w:sz="0" w:space="0" w:color="auto"/>
          </w:divBdr>
        </w:div>
        <w:div w:id="1280070570">
          <w:marLeft w:val="0"/>
          <w:marRight w:val="0"/>
          <w:marTop w:val="0"/>
          <w:marBottom w:val="0"/>
          <w:divBdr>
            <w:top w:val="none" w:sz="0" w:space="0" w:color="auto"/>
            <w:left w:val="none" w:sz="0" w:space="0" w:color="auto"/>
            <w:bottom w:val="none" w:sz="0" w:space="0" w:color="auto"/>
            <w:right w:val="none" w:sz="0" w:space="0" w:color="auto"/>
          </w:divBdr>
        </w:div>
        <w:div w:id="1342972587">
          <w:marLeft w:val="0"/>
          <w:marRight w:val="0"/>
          <w:marTop w:val="0"/>
          <w:marBottom w:val="0"/>
          <w:divBdr>
            <w:top w:val="none" w:sz="0" w:space="0" w:color="auto"/>
            <w:left w:val="none" w:sz="0" w:space="0" w:color="auto"/>
            <w:bottom w:val="none" w:sz="0" w:space="0" w:color="auto"/>
            <w:right w:val="none" w:sz="0" w:space="0" w:color="auto"/>
          </w:divBdr>
        </w:div>
        <w:div w:id="2042439617">
          <w:marLeft w:val="0"/>
          <w:marRight w:val="0"/>
          <w:marTop w:val="0"/>
          <w:marBottom w:val="0"/>
          <w:divBdr>
            <w:top w:val="none" w:sz="0" w:space="0" w:color="auto"/>
            <w:left w:val="none" w:sz="0" w:space="0" w:color="auto"/>
            <w:bottom w:val="none" w:sz="0" w:space="0" w:color="auto"/>
            <w:right w:val="none" w:sz="0" w:space="0" w:color="auto"/>
          </w:divBdr>
        </w:div>
      </w:divsChild>
    </w:div>
    <w:div w:id="797801483">
      <w:bodyDiv w:val="1"/>
      <w:marLeft w:val="0"/>
      <w:marRight w:val="0"/>
      <w:marTop w:val="0"/>
      <w:marBottom w:val="0"/>
      <w:divBdr>
        <w:top w:val="none" w:sz="0" w:space="0" w:color="auto"/>
        <w:left w:val="none" w:sz="0" w:space="0" w:color="auto"/>
        <w:bottom w:val="none" w:sz="0" w:space="0" w:color="auto"/>
        <w:right w:val="none" w:sz="0" w:space="0" w:color="auto"/>
      </w:divBdr>
      <w:divsChild>
        <w:div w:id="762841423">
          <w:marLeft w:val="0"/>
          <w:marRight w:val="0"/>
          <w:marTop w:val="0"/>
          <w:marBottom w:val="0"/>
          <w:divBdr>
            <w:top w:val="none" w:sz="0" w:space="0" w:color="auto"/>
            <w:left w:val="none" w:sz="0" w:space="0" w:color="auto"/>
            <w:bottom w:val="none" w:sz="0" w:space="0" w:color="auto"/>
            <w:right w:val="none" w:sz="0" w:space="0" w:color="auto"/>
          </w:divBdr>
        </w:div>
        <w:div w:id="774863902">
          <w:marLeft w:val="0"/>
          <w:marRight w:val="0"/>
          <w:marTop w:val="0"/>
          <w:marBottom w:val="0"/>
          <w:divBdr>
            <w:top w:val="none" w:sz="0" w:space="0" w:color="auto"/>
            <w:left w:val="none" w:sz="0" w:space="0" w:color="auto"/>
            <w:bottom w:val="none" w:sz="0" w:space="0" w:color="auto"/>
            <w:right w:val="none" w:sz="0" w:space="0" w:color="auto"/>
          </w:divBdr>
        </w:div>
        <w:div w:id="656767256">
          <w:marLeft w:val="0"/>
          <w:marRight w:val="0"/>
          <w:marTop w:val="0"/>
          <w:marBottom w:val="0"/>
          <w:divBdr>
            <w:top w:val="none" w:sz="0" w:space="0" w:color="auto"/>
            <w:left w:val="none" w:sz="0" w:space="0" w:color="auto"/>
            <w:bottom w:val="none" w:sz="0" w:space="0" w:color="auto"/>
            <w:right w:val="none" w:sz="0" w:space="0" w:color="auto"/>
          </w:divBdr>
        </w:div>
      </w:divsChild>
    </w:div>
    <w:div w:id="810371448">
      <w:bodyDiv w:val="1"/>
      <w:marLeft w:val="0"/>
      <w:marRight w:val="0"/>
      <w:marTop w:val="0"/>
      <w:marBottom w:val="0"/>
      <w:divBdr>
        <w:top w:val="none" w:sz="0" w:space="0" w:color="auto"/>
        <w:left w:val="none" w:sz="0" w:space="0" w:color="auto"/>
        <w:bottom w:val="none" w:sz="0" w:space="0" w:color="auto"/>
        <w:right w:val="none" w:sz="0" w:space="0" w:color="auto"/>
      </w:divBdr>
    </w:div>
    <w:div w:id="892740147">
      <w:bodyDiv w:val="1"/>
      <w:marLeft w:val="0"/>
      <w:marRight w:val="0"/>
      <w:marTop w:val="0"/>
      <w:marBottom w:val="0"/>
      <w:divBdr>
        <w:top w:val="none" w:sz="0" w:space="0" w:color="auto"/>
        <w:left w:val="none" w:sz="0" w:space="0" w:color="auto"/>
        <w:bottom w:val="none" w:sz="0" w:space="0" w:color="auto"/>
        <w:right w:val="none" w:sz="0" w:space="0" w:color="auto"/>
      </w:divBdr>
    </w:div>
    <w:div w:id="1033309840">
      <w:bodyDiv w:val="1"/>
      <w:marLeft w:val="0"/>
      <w:marRight w:val="0"/>
      <w:marTop w:val="0"/>
      <w:marBottom w:val="0"/>
      <w:divBdr>
        <w:top w:val="none" w:sz="0" w:space="0" w:color="auto"/>
        <w:left w:val="none" w:sz="0" w:space="0" w:color="auto"/>
        <w:bottom w:val="none" w:sz="0" w:space="0" w:color="auto"/>
        <w:right w:val="none" w:sz="0" w:space="0" w:color="auto"/>
      </w:divBdr>
    </w:div>
    <w:div w:id="1049499551">
      <w:bodyDiv w:val="1"/>
      <w:marLeft w:val="0"/>
      <w:marRight w:val="0"/>
      <w:marTop w:val="0"/>
      <w:marBottom w:val="0"/>
      <w:divBdr>
        <w:top w:val="none" w:sz="0" w:space="0" w:color="auto"/>
        <w:left w:val="none" w:sz="0" w:space="0" w:color="auto"/>
        <w:bottom w:val="none" w:sz="0" w:space="0" w:color="auto"/>
        <w:right w:val="none" w:sz="0" w:space="0" w:color="auto"/>
      </w:divBdr>
    </w:div>
    <w:div w:id="1077705463">
      <w:bodyDiv w:val="1"/>
      <w:marLeft w:val="0"/>
      <w:marRight w:val="0"/>
      <w:marTop w:val="0"/>
      <w:marBottom w:val="0"/>
      <w:divBdr>
        <w:top w:val="none" w:sz="0" w:space="0" w:color="auto"/>
        <w:left w:val="none" w:sz="0" w:space="0" w:color="auto"/>
        <w:bottom w:val="none" w:sz="0" w:space="0" w:color="auto"/>
        <w:right w:val="none" w:sz="0" w:space="0" w:color="auto"/>
      </w:divBdr>
      <w:divsChild>
        <w:div w:id="959186291">
          <w:marLeft w:val="0"/>
          <w:marRight w:val="0"/>
          <w:marTop w:val="0"/>
          <w:marBottom w:val="0"/>
          <w:divBdr>
            <w:top w:val="none" w:sz="0" w:space="0" w:color="auto"/>
            <w:left w:val="none" w:sz="0" w:space="0" w:color="auto"/>
            <w:bottom w:val="none" w:sz="0" w:space="0" w:color="auto"/>
            <w:right w:val="none" w:sz="0" w:space="0" w:color="auto"/>
          </w:divBdr>
        </w:div>
        <w:div w:id="214199480">
          <w:marLeft w:val="0"/>
          <w:marRight w:val="0"/>
          <w:marTop w:val="0"/>
          <w:marBottom w:val="0"/>
          <w:divBdr>
            <w:top w:val="none" w:sz="0" w:space="0" w:color="auto"/>
            <w:left w:val="none" w:sz="0" w:space="0" w:color="auto"/>
            <w:bottom w:val="none" w:sz="0" w:space="0" w:color="auto"/>
            <w:right w:val="none" w:sz="0" w:space="0" w:color="auto"/>
          </w:divBdr>
        </w:div>
        <w:div w:id="2048531636">
          <w:marLeft w:val="0"/>
          <w:marRight w:val="0"/>
          <w:marTop w:val="0"/>
          <w:marBottom w:val="0"/>
          <w:divBdr>
            <w:top w:val="none" w:sz="0" w:space="0" w:color="auto"/>
            <w:left w:val="none" w:sz="0" w:space="0" w:color="auto"/>
            <w:bottom w:val="none" w:sz="0" w:space="0" w:color="auto"/>
            <w:right w:val="none" w:sz="0" w:space="0" w:color="auto"/>
          </w:divBdr>
        </w:div>
      </w:divsChild>
    </w:div>
    <w:div w:id="1143740922">
      <w:bodyDiv w:val="1"/>
      <w:marLeft w:val="0"/>
      <w:marRight w:val="0"/>
      <w:marTop w:val="0"/>
      <w:marBottom w:val="0"/>
      <w:divBdr>
        <w:top w:val="none" w:sz="0" w:space="0" w:color="auto"/>
        <w:left w:val="none" w:sz="0" w:space="0" w:color="auto"/>
        <w:bottom w:val="none" w:sz="0" w:space="0" w:color="auto"/>
        <w:right w:val="none" w:sz="0" w:space="0" w:color="auto"/>
      </w:divBdr>
    </w:div>
    <w:div w:id="1161122363">
      <w:bodyDiv w:val="1"/>
      <w:marLeft w:val="0"/>
      <w:marRight w:val="0"/>
      <w:marTop w:val="0"/>
      <w:marBottom w:val="0"/>
      <w:divBdr>
        <w:top w:val="none" w:sz="0" w:space="0" w:color="auto"/>
        <w:left w:val="none" w:sz="0" w:space="0" w:color="auto"/>
        <w:bottom w:val="none" w:sz="0" w:space="0" w:color="auto"/>
        <w:right w:val="none" w:sz="0" w:space="0" w:color="auto"/>
      </w:divBdr>
    </w:div>
    <w:div w:id="1214191272">
      <w:bodyDiv w:val="1"/>
      <w:marLeft w:val="0"/>
      <w:marRight w:val="0"/>
      <w:marTop w:val="0"/>
      <w:marBottom w:val="0"/>
      <w:divBdr>
        <w:top w:val="none" w:sz="0" w:space="0" w:color="auto"/>
        <w:left w:val="none" w:sz="0" w:space="0" w:color="auto"/>
        <w:bottom w:val="none" w:sz="0" w:space="0" w:color="auto"/>
        <w:right w:val="none" w:sz="0" w:space="0" w:color="auto"/>
      </w:divBdr>
    </w:div>
    <w:div w:id="1238320239">
      <w:bodyDiv w:val="1"/>
      <w:marLeft w:val="0"/>
      <w:marRight w:val="0"/>
      <w:marTop w:val="0"/>
      <w:marBottom w:val="0"/>
      <w:divBdr>
        <w:top w:val="none" w:sz="0" w:space="0" w:color="auto"/>
        <w:left w:val="none" w:sz="0" w:space="0" w:color="auto"/>
        <w:bottom w:val="none" w:sz="0" w:space="0" w:color="auto"/>
        <w:right w:val="none" w:sz="0" w:space="0" w:color="auto"/>
      </w:divBdr>
    </w:div>
    <w:div w:id="1264798379">
      <w:bodyDiv w:val="1"/>
      <w:marLeft w:val="0"/>
      <w:marRight w:val="0"/>
      <w:marTop w:val="0"/>
      <w:marBottom w:val="0"/>
      <w:divBdr>
        <w:top w:val="none" w:sz="0" w:space="0" w:color="auto"/>
        <w:left w:val="none" w:sz="0" w:space="0" w:color="auto"/>
        <w:bottom w:val="none" w:sz="0" w:space="0" w:color="auto"/>
        <w:right w:val="none" w:sz="0" w:space="0" w:color="auto"/>
      </w:divBdr>
    </w:div>
    <w:div w:id="1276788791">
      <w:bodyDiv w:val="1"/>
      <w:marLeft w:val="0"/>
      <w:marRight w:val="0"/>
      <w:marTop w:val="0"/>
      <w:marBottom w:val="0"/>
      <w:divBdr>
        <w:top w:val="none" w:sz="0" w:space="0" w:color="auto"/>
        <w:left w:val="none" w:sz="0" w:space="0" w:color="auto"/>
        <w:bottom w:val="none" w:sz="0" w:space="0" w:color="auto"/>
        <w:right w:val="none" w:sz="0" w:space="0" w:color="auto"/>
      </w:divBdr>
    </w:div>
    <w:div w:id="1340497840">
      <w:bodyDiv w:val="1"/>
      <w:marLeft w:val="0"/>
      <w:marRight w:val="0"/>
      <w:marTop w:val="0"/>
      <w:marBottom w:val="0"/>
      <w:divBdr>
        <w:top w:val="none" w:sz="0" w:space="0" w:color="auto"/>
        <w:left w:val="none" w:sz="0" w:space="0" w:color="auto"/>
        <w:bottom w:val="none" w:sz="0" w:space="0" w:color="auto"/>
        <w:right w:val="none" w:sz="0" w:space="0" w:color="auto"/>
      </w:divBdr>
    </w:div>
    <w:div w:id="1615672709">
      <w:bodyDiv w:val="1"/>
      <w:marLeft w:val="0"/>
      <w:marRight w:val="0"/>
      <w:marTop w:val="0"/>
      <w:marBottom w:val="0"/>
      <w:divBdr>
        <w:top w:val="none" w:sz="0" w:space="0" w:color="auto"/>
        <w:left w:val="none" w:sz="0" w:space="0" w:color="auto"/>
        <w:bottom w:val="none" w:sz="0" w:space="0" w:color="auto"/>
        <w:right w:val="none" w:sz="0" w:space="0" w:color="auto"/>
      </w:divBdr>
      <w:divsChild>
        <w:div w:id="607391331">
          <w:marLeft w:val="0"/>
          <w:marRight w:val="0"/>
          <w:marTop w:val="0"/>
          <w:marBottom w:val="0"/>
          <w:divBdr>
            <w:top w:val="none" w:sz="0" w:space="0" w:color="auto"/>
            <w:left w:val="none" w:sz="0" w:space="0" w:color="auto"/>
            <w:bottom w:val="none" w:sz="0" w:space="0" w:color="auto"/>
            <w:right w:val="none" w:sz="0" w:space="0" w:color="auto"/>
          </w:divBdr>
        </w:div>
        <w:div w:id="127170901">
          <w:marLeft w:val="0"/>
          <w:marRight w:val="0"/>
          <w:marTop w:val="0"/>
          <w:marBottom w:val="0"/>
          <w:divBdr>
            <w:top w:val="none" w:sz="0" w:space="0" w:color="auto"/>
            <w:left w:val="none" w:sz="0" w:space="0" w:color="auto"/>
            <w:bottom w:val="none" w:sz="0" w:space="0" w:color="auto"/>
            <w:right w:val="none" w:sz="0" w:space="0" w:color="auto"/>
          </w:divBdr>
        </w:div>
        <w:div w:id="1455824961">
          <w:marLeft w:val="0"/>
          <w:marRight w:val="0"/>
          <w:marTop w:val="0"/>
          <w:marBottom w:val="0"/>
          <w:divBdr>
            <w:top w:val="none" w:sz="0" w:space="0" w:color="auto"/>
            <w:left w:val="none" w:sz="0" w:space="0" w:color="auto"/>
            <w:bottom w:val="none" w:sz="0" w:space="0" w:color="auto"/>
            <w:right w:val="none" w:sz="0" w:space="0" w:color="auto"/>
          </w:divBdr>
        </w:div>
        <w:div w:id="1704669041">
          <w:marLeft w:val="0"/>
          <w:marRight w:val="0"/>
          <w:marTop w:val="0"/>
          <w:marBottom w:val="0"/>
          <w:divBdr>
            <w:top w:val="none" w:sz="0" w:space="0" w:color="auto"/>
            <w:left w:val="none" w:sz="0" w:space="0" w:color="auto"/>
            <w:bottom w:val="none" w:sz="0" w:space="0" w:color="auto"/>
            <w:right w:val="none" w:sz="0" w:space="0" w:color="auto"/>
          </w:divBdr>
        </w:div>
        <w:div w:id="501549503">
          <w:marLeft w:val="0"/>
          <w:marRight w:val="0"/>
          <w:marTop w:val="0"/>
          <w:marBottom w:val="0"/>
          <w:divBdr>
            <w:top w:val="none" w:sz="0" w:space="0" w:color="auto"/>
            <w:left w:val="none" w:sz="0" w:space="0" w:color="auto"/>
            <w:bottom w:val="none" w:sz="0" w:space="0" w:color="auto"/>
            <w:right w:val="none" w:sz="0" w:space="0" w:color="auto"/>
          </w:divBdr>
        </w:div>
      </w:divsChild>
    </w:div>
    <w:div w:id="1722358948">
      <w:bodyDiv w:val="1"/>
      <w:marLeft w:val="0"/>
      <w:marRight w:val="0"/>
      <w:marTop w:val="0"/>
      <w:marBottom w:val="0"/>
      <w:divBdr>
        <w:top w:val="none" w:sz="0" w:space="0" w:color="auto"/>
        <w:left w:val="none" w:sz="0" w:space="0" w:color="auto"/>
        <w:bottom w:val="none" w:sz="0" w:space="0" w:color="auto"/>
        <w:right w:val="none" w:sz="0" w:space="0" w:color="auto"/>
      </w:divBdr>
    </w:div>
    <w:div w:id="1832260161">
      <w:bodyDiv w:val="1"/>
      <w:marLeft w:val="0"/>
      <w:marRight w:val="0"/>
      <w:marTop w:val="0"/>
      <w:marBottom w:val="0"/>
      <w:divBdr>
        <w:top w:val="none" w:sz="0" w:space="0" w:color="auto"/>
        <w:left w:val="none" w:sz="0" w:space="0" w:color="auto"/>
        <w:bottom w:val="none" w:sz="0" w:space="0" w:color="auto"/>
        <w:right w:val="none" w:sz="0" w:space="0" w:color="auto"/>
      </w:divBdr>
    </w:div>
    <w:div w:id="1876842978">
      <w:bodyDiv w:val="1"/>
      <w:marLeft w:val="0"/>
      <w:marRight w:val="0"/>
      <w:marTop w:val="0"/>
      <w:marBottom w:val="0"/>
      <w:divBdr>
        <w:top w:val="none" w:sz="0" w:space="0" w:color="auto"/>
        <w:left w:val="none" w:sz="0" w:space="0" w:color="auto"/>
        <w:bottom w:val="none" w:sz="0" w:space="0" w:color="auto"/>
        <w:right w:val="none" w:sz="0" w:space="0" w:color="auto"/>
      </w:divBdr>
    </w:div>
    <w:div w:id="202258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C711A-EE3E-44F2-9DEE-91BAF1E54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12242</Words>
  <Characters>69785</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Hymas</dc:creator>
  <cp:keywords/>
  <dc:description/>
  <cp:lastModifiedBy>Rebecca Hymas</cp:lastModifiedBy>
  <cp:revision>2</cp:revision>
  <dcterms:created xsi:type="dcterms:W3CDTF">2022-07-06T17:50:00Z</dcterms:created>
  <dcterms:modified xsi:type="dcterms:W3CDTF">2022-07-06T17:50:00Z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17146cbe-2e4e-3ff0-b319-99cdb471adb5</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http://www.zotero.org/styles/social-science-and-medicine</vt:lpwstr>
  </property>
  <property fmtid="{D5CDD505-2E9C-101B-9397-08002B2CF9AE}" pid="24" name="Mendeley Recent Style Name 9_1">
    <vt:lpwstr>Social Science &amp; Medicine</vt:lpwstr>
  </property>
</Properties>
</file>