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EF511" w14:textId="77777777" w:rsidR="004C1907" w:rsidRPr="008A31DF" w:rsidRDefault="004C7D9D">
      <w:pPr>
        <w:spacing w:line="480" w:lineRule="auto"/>
        <w:jc w:val="center"/>
        <w:rPr>
          <w:rFonts w:ascii="Times New Roman" w:hAnsi="Times New Roman" w:cs="Times New Roman"/>
          <w:b/>
          <w:bCs/>
          <w:sz w:val="20"/>
          <w:szCs w:val="20"/>
          <w:lang w:val="en-US"/>
        </w:rPr>
      </w:pPr>
      <w:r w:rsidRPr="008A31DF">
        <w:rPr>
          <w:rFonts w:ascii="Times New Roman" w:hAnsi="Times New Roman" w:cs="Times New Roman"/>
          <w:b/>
          <w:bCs/>
          <w:sz w:val="20"/>
          <w:szCs w:val="20"/>
          <w:lang w:val="en-US"/>
        </w:rPr>
        <w:t>Supplementary Material</w:t>
      </w:r>
    </w:p>
    <w:p w14:paraId="0E664D47" w14:textId="77777777" w:rsidR="004C1907" w:rsidRPr="008A31DF" w:rsidRDefault="004C1907">
      <w:pPr>
        <w:spacing w:line="480" w:lineRule="auto"/>
        <w:rPr>
          <w:rFonts w:ascii="Times New Roman" w:hAnsi="Times New Roman" w:cs="Times New Roman"/>
          <w:sz w:val="20"/>
          <w:szCs w:val="20"/>
          <w:lang w:val="en-US"/>
        </w:rPr>
      </w:pPr>
    </w:p>
    <w:p w14:paraId="05AF5897" w14:textId="51E2D609" w:rsidR="004C1907" w:rsidRPr="008A31DF" w:rsidRDefault="004C7D9D">
      <w:pPr>
        <w:spacing w:line="480" w:lineRule="auto"/>
        <w:rPr>
          <w:rFonts w:ascii="Times New Roman" w:hAnsi="Times New Roman" w:cs="Times New Roman"/>
          <w:sz w:val="20"/>
          <w:szCs w:val="20"/>
          <w:lang w:val="en-US"/>
        </w:rPr>
      </w:pPr>
      <w:r w:rsidRPr="008A31DF">
        <w:rPr>
          <w:rFonts w:ascii="Times New Roman" w:hAnsi="Times New Roman" w:cs="Times New Roman"/>
          <w:b/>
          <w:bCs/>
          <w:sz w:val="20"/>
          <w:szCs w:val="20"/>
          <w:lang w:val="en-US"/>
        </w:rPr>
        <w:t>Title:</w:t>
      </w:r>
      <w:r w:rsidRPr="008A31DF">
        <w:rPr>
          <w:rFonts w:ascii="Times New Roman" w:hAnsi="Times New Roman" w:cs="Times New Roman"/>
          <w:sz w:val="20"/>
          <w:szCs w:val="20"/>
          <w:lang w:val="en-US"/>
        </w:rPr>
        <w:t xml:space="preserve"> Using the Interpersonal Theory of Suicide to Inform Our Understanding of </w:t>
      </w:r>
      <w:r w:rsidR="00C05B8E" w:rsidRPr="008A31DF">
        <w:rPr>
          <w:rFonts w:ascii="Times New Roman" w:hAnsi="Times New Roman" w:cs="Times New Roman"/>
          <w:sz w:val="20"/>
          <w:szCs w:val="20"/>
          <w:lang w:val="en-US"/>
        </w:rPr>
        <w:t xml:space="preserve">Suicide </w:t>
      </w:r>
      <w:r w:rsidRPr="008A31DF">
        <w:rPr>
          <w:rFonts w:ascii="Times New Roman" w:hAnsi="Times New Roman" w:cs="Times New Roman"/>
          <w:sz w:val="20"/>
          <w:szCs w:val="20"/>
          <w:lang w:val="en-US"/>
        </w:rPr>
        <w:t>Risk in Autism Spectrum Disorder: A Scoping Review</w:t>
      </w:r>
    </w:p>
    <w:p w14:paraId="5CE23678" w14:textId="77777777" w:rsidR="008A31DF" w:rsidRPr="008A31DF" w:rsidRDefault="008A31DF">
      <w:pPr>
        <w:spacing w:line="480" w:lineRule="auto"/>
        <w:rPr>
          <w:rFonts w:ascii="Times New Roman" w:hAnsi="Times New Roman" w:cs="Times New Roman"/>
          <w:sz w:val="20"/>
          <w:szCs w:val="20"/>
          <w:lang w:val="en-US"/>
        </w:rPr>
      </w:pPr>
    </w:p>
    <w:p w14:paraId="4C2E3E3C" w14:textId="77777777" w:rsidR="008A31DF" w:rsidRPr="008A31DF" w:rsidRDefault="008A31DF" w:rsidP="008A31DF">
      <w:pPr>
        <w:spacing w:line="480" w:lineRule="auto"/>
        <w:rPr>
          <w:rFonts w:ascii="Times New Roman" w:hAnsi="Times New Roman" w:cs="Times New Roman"/>
          <w:sz w:val="20"/>
          <w:szCs w:val="20"/>
          <w:lang w:val="en-US"/>
        </w:rPr>
      </w:pPr>
      <w:r w:rsidRPr="008A31DF">
        <w:rPr>
          <w:rFonts w:ascii="Times New Roman" w:hAnsi="Times New Roman" w:cs="Times New Roman"/>
          <w:b/>
          <w:bCs/>
          <w:sz w:val="20"/>
          <w:szCs w:val="20"/>
          <w:lang w:val="en-US"/>
        </w:rPr>
        <w:t>Contents</w:t>
      </w:r>
    </w:p>
    <w:p w14:paraId="2516552C" w14:textId="77777777" w:rsidR="008A31DF" w:rsidRPr="008A31DF" w:rsidRDefault="008A31DF" w:rsidP="008A31DF">
      <w:pPr>
        <w:numPr>
          <w:ilvl w:val="0"/>
          <w:numId w:val="3"/>
        </w:numPr>
        <w:spacing w:line="480" w:lineRule="auto"/>
        <w:rPr>
          <w:rFonts w:ascii="Times New Roman" w:hAnsi="Times New Roman" w:cs="Times New Roman"/>
          <w:sz w:val="20"/>
          <w:szCs w:val="20"/>
          <w:lang w:val="en-US"/>
        </w:rPr>
      </w:pPr>
      <w:r w:rsidRPr="008A31DF">
        <w:rPr>
          <w:rFonts w:ascii="Times New Roman" w:hAnsi="Times New Roman" w:cs="Times New Roman"/>
          <w:sz w:val="20"/>
          <w:szCs w:val="20"/>
          <w:lang w:val="en-US"/>
        </w:rPr>
        <w:t>PRISMA-</w:t>
      </w:r>
      <w:proofErr w:type="spellStart"/>
      <w:r w:rsidRPr="008A31DF">
        <w:rPr>
          <w:rFonts w:ascii="Times New Roman" w:hAnsi="Times New Roman" w:cs="Times New Roman"/>
          <w:sz w:val="20"/>
          <w:szCs w:val="20"/>
          <w:lang w:val="en-US"/>
        </w:rPr>
        <w:t>ScR</w:t>
      </w:r>
      <w:proofErr w:type="spellEnd"/>
      <w:r w:rsidRPr="008A31DF">
        <w:rPr>
          <w:rFonts w:ascii="Times New Roman" w:hAnsi="Times New Roman" w:cs="Times New Roman"/>
          <w:sz w:val="20"/>
          <w:szCs w:val="20"/>
          <w:lang w:val="en-US"/>
        </w:rPr>
        <w:t xml:space="preserve"> Checklist</w:t>
      </w:r>
    </w:p>
    <w:p w14:paraId="64CE3680" w14:textId="77777777" w:rsidR="008A31DF" w:rsidRPr="008A31DF" w:rsidRDefault="008A31DF" w:rsidP="008A31DF">
      <w:pPr>
        <w:numPr>
          <w:ilvl w:val="0"/>
          <w:numId w:val="3"/>
        </w:numPr>
        <w:spacing w:line="480" w:lineRule="auto"/>
        <w:rPr>
          <w:rFonts w:ascii="Times New Roman" w:hAnsi="Times New Roman" w:cs="Times New Roman"/>
          <w:sz w:val="20"/>
          <w:szCs w:val="20"/>
          <w:lang w:val="en-US"/>
        </w:rPr>
      </w:pPr>
      <w:r w:rsidRPr="008A31DF">
        <w:rPr>
          <w:rFonts w:ascii="Times New Roman" w:hAnsi="Times New Roman" w:cs="Times New Roman"/>
          <w:sz w:val="20"/>
          <w:szCs w:val="20"/>
          <w:lang w:val="en-US"/>
        </w:rPr>
        <w:t>Boolean Search Strings</w:t>
      </w:r>
    </w:p>
    <w:p w14:paraId="560DAB35" w14:textId="77777777" w:rsidR="008A31DF" w:rsidRPr="008A31DF" w:rsidRDefault="008A31DF" w:rsidP="008A31DF">
      <w:pPr>
        <w:numPr>
          <w:ilvl w:val="0"/>
          <w:numId w:val="3"/>
        </w:numPr>
        <w:spacing w:line="480" w:lineRule="auto"/>
        <w:rPr>
          <w:rFonts w:ascii="Times New Roman" w:hAnsi="Times New Roman" w:cs="Times New Roman"/>
          <w:sz w:val="20"/>
          <w:szCs w:val="20"/>
          <w:lang w:val="en-US"/>
        </w:rPr>
      </w:pPr>
      <w:r w:rsidRPr="008A31DF">
        <w:rPr>
          <w:rFonts w:ascii="Times New Roman" w:hAnsi="Times New Roman" w:cs="Times New Roman"/>
          <w:sz w:val="20"/>
          <w:szCs w:val="20"/>
          <w:lang w:val="en-US"/>
        </w:rPr>
        <w:t>Breakdown of Data Charting Categories</w:t>
      </w:r>
    </w:p>
    <w:p w14:paraId="48244513" w14:textId="77777777" w:rsidR="008A31DF" w:rsidRDefault="008A31DF" w:rsidP="008A31DF">
      <w:pPr>
        <w:numPr>
          <w:ilvl w:val="0"/>
          <w:numId w:val="3"/>
        </w:numPr>
        <w:spacing w:line="480" w:lineRule="auto"/>
        <w:rPr>
          <w:rFonts w:ascii="Times New Roman" w:hAnsi="Times New Roman" w:cs="Times New Roman"/>
          <w:sz w:val="20"/>
          <w:szCs w:val="20"/>
          <w:lang w:val="en-US"/>
        </w:rPr>
      </w:pPr>
      <w:r w:rsidRPr="008A31DF">
        <w:rPr>
          <w:rFonts w:ascii="Times New Roman" w:hAnsi="Times New Roman" w:cs="Times New Roman"/>
          <w:sz w:val="20"/>
          <w:szCs w:val="20"/>
          <w:lang w:val="en-US"/>
        </w:rPr>
        <w:t>Exploratory Findings: Constructs Beyond the Core ITS Framework</w:t>
      </w:r>
    </w:p>
    <w:p w14:paraId="5865E055" w14:textId="77777777" w:rsidR="006C469D" w:rsidRPr="008A31DF" w:rsidRDefault="006C469D" w:rsidP="006C469D">
      <w:pPr>
        <w:numPr>
          <w:ilvl w:val="0"/>
          <w:numId w:val="3"/>
        </w:numPr>
        <w:spacing w:line="480" w:lineRule="auto"/>
        <w:rPr>
          <w:rFonts w:ascii="Times New Roman" w:hAnsi="Times New Roman" w:cs="Times New Roman"/>
          <w:sz w:val="20"/>
          <w:szCs w:val="20"/>
          <w:lang w:val="en-US"/>
        </w:rPr>
      </w:pPr>
      <w:r w:rsidRPr="008A31DF">
        <w:rPr>
          <w:rFonts w:ascii="Times New Roman" w:hAnsi="Times New Roman" w:cs="Times New Roman"/>
          <w:sz w:val="20"/>
          <w:szCs w:val="20"/>
          <w:lang w:val="en-US"/>
        </w:rPr>
        <w:t>Study Characteristics Table</w:t>
      </w:r>
    </w:p>
    <w:p w14:paraId="1697CB7B" w14:textId="77777777" w:rsidR="006C469D" w:rsidRPr="008A31DF" w:rsidRDefault="006C469D" w:rsidP="006C469D">
      <w:pPr>
        <w:spacing w:line="480" w:lineRule="auto"/>
        <w:ind w:left="720"/>
        <w:rPr>
          <w:rFonts w:ascii="Times New Roman" w:hAnsi="Times New Roman" w:cs="Times New Roman"/>
          <w:sz w:val="20"/>
          <w:szCs w:val="20"/>
          <w:lang w:val="en-US"/>
        </w:rPr>
      </w:pPr>
    </w:p>
    <w:p w14:paraId="41D98176" w14:textId="77777777" w:rsidR="008A31DF" w:rsidRPr="008A31DF" w:rsidRDefault="008A31DF">
      <w:pPr>
        <w:spacing w:line="480" w:lineRule="auto"/>
        <w:rPr>
          <w:rFonts w:ascii="Times New Roman" w:hAnsi="Times New Roman" w:cs="Times New Roman"/>
          <w:sz w:val="20"/>
          <w:szCs w:val="20"/>
          <w:lang w:val="en-US"/>
        </w:rPr>
      </w:pPr>
    </w:p>
    <w:p w14:paraId="01662D19" w14:textId="77777777" w:rsidR="00B60CAA" w:rsidRPr="008A31DF" w:rsidRDefault="00B60CAA">
      <w:pPr>
        <w:spacing w:line="480" w:lineRule="auto"/>
        <w:rPr>
          <w:rFonts w:ascii="Times New Roman" w:hAnsi="Times New Roman" w:cs="Times New Roman"/>
          <w:sz w:val="20"/>
          <w:szCs w:val="20"/>
          <w:lang w:val="en-US"/>
        </w:rPr>
      </w:pPr>
    </w:p>
    <w:p w14:paraId="1F424049" w14:textId="430AD031" w:rsidR="006130DB" w:rsidRPr="00BA2E19" w:rsidRDefault="006130DB" w:rsidP="00004E2F">
      <w:pPr>
        <w:spacing w:line="480" w:lineRule="auto"/>
        <w:ind w:left="360"/>
        <w:rPr>
          <w:rFonts w:ascii="Times New Roman" w:hAnsi="Times New Roman" w:cs="Times New Roman"/>
          <w:color w:val="0070C0"/>
          <w:sz w:val="20"/>
          <w:szCs w:val="20"/>
          <w:lang w:val="en-US"/>
        </w:rPr>
      </w:pPr>
    </w:p>
    <w:p w14:paraId="7FDB1F80" w14:textId="77777777" w:rsidR="00F13041" w:rsidRPr="00BA2E19" w:rsidRDefault="00F13041" w:rsidP="00004E2F">
      <w:pPr>
        <w:spacing w:line="480" w:lineRule="auto"/>
        <w:ind w:left="360"/>
        <w:rPr>
          <w:rFonts w:ascii="Times New Roman" w:hAnsi="Times New Roman" w:cs="Times New Roman"/>
          <w:color w:val="0070C0"/>
          <w:sz w:val="20"/>
          <w:szCs w:val="20"/>
          <w:lang w:val="en-US"/>
        </w:rPr>
      </w:pPr>
    </w:p>
    <w:p w14:paraId="47CC85BA" w14:textId="77777777" w:rsidR="00F13041" w:rsidRPr="00BA2E19" w:rsidRDefault="00F13041" w:rsidP="00004E2F">
      <w:pPr>
        <w:spacing w:line="480" w:lineRule="auto"/>
        <w:ind w:left="360"/>
        <w:rPr>
          <w:rFonts w:ascii="Times New Roman" w:hAnsi="Times New Roman" w:cs="Times New Roman"/>
          <w:sz w:val="20"/>
          <w:szCs w:val="20"/>
          <w:lang w:val="en-US"/>
        </w:rPr>
      </w:pPr>
    </w:p>
    <w:p w14:paraId="15F84DD2" w14:textId="77777777" w:rsidR="004C1907" w:rsidRPr="00BA2E19" w:rsidRDefault="004C1907">
      <w:pPr>
        <w:spacing w:line="480" w:lineRule="auto"/>
        <w:ind w:firstLine="720"/>
        <w:rPr>
          <w:rFonts w:ascii="Times New Roman" w:hAnsi="Times New Roman" w:cs="Times New Roman"/>
          <w:b/>
          <w:bCs/>
          <w:sz w:val="20"/>
          <w:szCs w:val="20"/>
          <w:lang w:val="en-US"/>
        </w:rPr>
      </w:pPr>
    </w:p>
    <w:p w14:paraId="71CE3E8A" w14:textId="77777777" w:rsidR="004C1907" w:rsidRPr="00BA2E19" w:rsidRDefault="004C1907">
      <w:pPr>
        <w:spacing w:line="480" w:lineRule="auto"/>
        <w:ind w:firstLine="720"/>
        <w:rPr>
          <w:rFonts w:ascii="Times New Roman" w:hAnsi="Times New Roman" w:cs="Times New Roman"/>
          <w:b/>
          <w:bCs/>
          <w:sz w:val="20"/>
          <w:szCs w:val="20"/>
          <w:lang w:val="en-US"/>
        </w:rPr>
      </w:pPr>
    </w:p>
    <w:p w14:paraId="10421864" w14:textId="77777777" w:rsidR="004C1907" w:rsidRPr="00BA2E19" w:rsidRDefault="004C1907">
      <w:pPr>
        <w:spacing w:line="480" w:lineRule="auto"/>
        <w:ind w:firstLine="720"/>
        <w:rPr>
          <w:rFonts w:ascii="Times New Roman" w:hAnsi="Times New Roman" w:cs="Times New Roman"/>
          <w:b/>
          <w:bCs/>
          <w:sz w:val="20"/>
          <w:szCs w:val="20"/>
          <w:lang w:val="en-US"/>
        </w:rPr>
      </w:pPr>
    </w:p>
    <w:p w14:paraId="52AE694D" w14:textId="77777777" w:rsidR="004C1907" w:rsidRPr="00BA2E19" w:rsidRDefault="004C1907">
      <w:pPr>
        <w:spacing w:line="480" w:lineRule="auto"/>
        <w:ind w:firstLine="720"/>
        <w:rPr>
          <w:rFonts w:ascii="Times New Roman" w:hAnsi="Times New Roman" w:cs="Times New Roman"/>
          <w:b/>
          <w:bCs/>
          <w:sz w:val="20"/>
          <w:szCs w:val="20"/>
          <w:lang w:val="en-US"/>
        </w:rPr>
      </w:pPr>
    </w:p>
    <w:p w14:paraId="080A98ED" w14:textId="77777777" w:rsidR="004C1907" w:rsidRPr="00BA2E19" w:rsidRDefault="004C1907">
      <w:pPr>
        <w:spacing w:line="480" w:lineRule="auto"/>
        <w:ind w:firstLine="720"/>
        <w:rPr>
          <w:rFonts w:ascii="Times New Roman" w:hAnsi="Times New Roman" w:cs="Times New Roman"/>
          <w:b/>
          <w:bCs/>
          <w:sz w:val="20"/>
          <w:szCs w:val="20"/>
          <w:lang w:val="en-US"/>
        </w:rPr>
      </w:pPr>
    </w:p>
    <w:p w14:paraId="1999696F" w14:textId="77777777" w:rsidR="004C1907" w:rsidRPr="00BA2E19" w:rsidRDefault="004C1907">
      <w:pPr>
        <w:spacing w:line="480" w:lineRule="auto"/>
        <w:ind w:firstLine="720"/>
        <w:rPr>
          <w:rFonts w:ascii="Times New Roman" w:hAnsi="Times New Roman" w:cs="Times New Roman"/>
          <w:b/>
          <w:bCs/>
          <w:sz w:val="20"/>
          <w:szCs w:val="20"/>
          <w:lang w:val="en-US"/>
        </w:rPr>
      </w:pPr>
    </w:p>
    <w:p w14:paraId="2D6E76AE" w14:textId="77777777" w:rsidR="004C1907" w:rsidRPr="00BA2E19" w:rsidRDefault="004C1907">
      <w:pPr>
        <w:spacing w:line="480" w:lineRule="auto"/>
        <w:ind w:firstLine="720"/>
        <w:rPr>
          <w:rFonts w:ascii="Times New Roman" w:hAnsi="Times New Roman" w:cs="Times New Roman"/>
          <w:b/>
          <w:bCs/>
          <w:sz w:val="20"/>
          <w:szCs w:val="20"/>
          <w:lang w:val="en-US"/>
        </w:rPr>
      </w:pPr>
    </w:p>
    <w:p w14:paraId="01CBC343" w14:textId="77777777" w:rsidR="004C1907" w:rsidRPr="00BA2E19" w:rsidRDefault="004C1907">
      <w:pPr>
        <w:spacing w:line="480" w:lineRule="auto"/>
        <w:ind w:firstLine="720"/>
        <w:rPr>
          <w:rFonts w:ascii="Times New Roman" w:hAnsi="Times New Roman" w:cs="Times New Roman"/>
          <w:b/>
          <w:bCs/>
          <w:sz w:val="20"/>
          <w:szCs w:val="20"/>
          <w:lang w:val="en-US"/>
        </w:rPr>
      </w:pPr>
    </w:p>
    <w:p w14:paraId="010E90D9" w14:textId="77777777" w:rsidR="004C1907" w:rsidRPr="00BA2E19" w:rsidRDefault="004C1907">
      <w:pPr>
        <w:spacing w:line="480" w:lineRule="auto"/>
        <w:ind w:firstLine="720"/>
        <w:rPr>
          <w:rFonts w:ascii="Times New Roman" w:hAnsi="Times New Roman" w:cs="Times New Roman"/>
          <w:b/>
          <w:bCs/>
          <w:sz w:val="20"/>
          <w:szCs w:val="20"/>
          <w:lang w:val="en-US"/>
        </w:rPr>
      </w:pPr>
    </w:p>
    <w:p w14:paraId="26D78E75" w14:textId="77777777" w:rsidR="004C1907" w:rsidRPr="00BA2E19" w:rsidRDefault="004C1907">
      <w:pPr>
        <w:spacing w:line="480" w:lineRule="auto"/>
        <w:ind w:firstLine="720"/>
        <w:rPr>
          <w:rFonts w:ascii="Times New Roman" w:hAnsi="Times New Roman" w:cs="Times New Roman"/>
          <w:b/>
          <w:bCs/>
          <w:sz w:val="20"/>
          <w:szCs w:val="20"/>
          <w:lang w:val="en-US"/>
        </w:rPr>
      </w:pPr>
    </w:p>
    <w:p w14:paraId="3680DCC4" w14:textId="77777777" w:rsidR="004C1907" w:rsidRPr="00BA2E19" w:rsidRDefault="004C1907">
      <w:pPr>
        <w:spacing w:line="480" w:lineRule="auto"/>
        <w:ind w:firstLine="720"/>
        <w:rPr>
          <w:rFonts w:ascii="Times New Roman" w:hAnsi="Times New Roman" w:cs="Times New Roman"/>
          <w:b/>
          <w:bCs/>
          <w:sz w:val="20"/>
          <w:szCs w:val="20"/>
          <w:lang w:val="en-US"/>
        </w:rPr>
      </w:pPr>
    </w:p>
    <w:p w14:paraId="08A20FBB" w14:textId="77777777" w:rsidR="004C1907" w:rsidRPr="00BA2E19" w:rsidRDefault="004C1907">
      <w:pPr>
        <w:spacing w:line="480" w:lineRule="auto"/>
        <w:ind w:firstLine="720"/>
        <w:rPr>
          <w:rFonts w:ascii="Times New Roman" w:hAnsi="Times New Roman" w:cs="Times New Roman"/>
          <w:b/>
          <w:bCs/>
          <w:sz w:val="20"/>
          <w:szCs w:val="20"/>
          <w:lang w:val="en-US"/>
        </w:rPr>
      </w:pPr>
    </w:p>
    <w:p w14:paraId="601089EC" w14:textId="77777777" w:rsidR="004206FC" w:rsidRPr="00BA2E19" w:rsidRDefault="004206FC">
      <w:pPr>
        <w:spacing w:line="480" w:lineRule="auto"/>
        <w:ind w:firstLine="720"/>
        <w:rPr>
          <w:rFonts w:ascii="Times New Roman" w:hAnsi="Times New Roman" w:cs="Times New Roman"/>
          <w:b/>
          <w:bCs/>
          <w:sz w:val="20"/>
          <w:szCs w:val="20"/>
          <w:lang w:val="en-US"/>
        </w:rPr>
      </w:pPr>
    </w:p>
    <w:p w14:paraId="7DDFFA56" w14:textId="77777777" w:rsidR="004206FC" w:rsidRPr="00BA2E19" w:rsidRDefault="004206FC">
      <w:pPr>
        <w:spacing w:line="480" w:lineRule="auto"/>
        <w:ind w:firstLine="720"/>
        <w:rPr>
          <w:rFonts w:ascii="Times New Roman" w:hAnsi="Times New Roman" w:cs="Times New Roman"/>
          <w:b/>
          <w:bCs/>
          <w:sz w:val="20"/>
          <w:szCs w:val="20"/>
          <w:lang w:val="en-US"/>
        </w:rPr>
      </w:pPr>
    </w:p>
    <w:p w14:paraId="5A82E84F" w14:textId="42A93132" w:rsidR="008A31DF" w:rsidRPr="008A31DF" w:rsidRDefault="008A31DF" w:rsidP="008A31DF">
      <w:pPr>
        <w:pStyle w:val="Lijstalinea"/>
        <w:numPr>
          <w:ilvl w:val="0"/>
          <w:numId w:val="4"/>
        </w:numPr>
        <w:spacing w:line="480" w:lineRule="auto"/>
        <w:rPr>
          <w:rFonts w:ascii="Times New Roman" w:hAnsi="Times New Roman" w:cs="Times New Roman"/>
          <w:b/>
          <w:bCs/>
          <w:sz w:val="20"/>
          <w:szCs w:val="20"/>
          <w:lang w:val="en-US"/>
        </w:rPr>
      </w:pPr>
      <w:r w:rsidRPr="008A31DF">
        <w:rPr>
          <w:rFonts w:ascii="Times New Roman" w:hAnsi="Times New Roman" w:cs="Times New Roman"/>
          <w:b/>
          <w:bCs/>
          <w:sz w:val="20"/>
          <w:szCs w:val="20"/>
          <w:lang w:val="en-US"/>
        </w:rPr>
        <w:t>PRISMA-</w:t>
      </w:r>
      <w:proofErr w:type="spellStart"/>
      <w:r w:rsidRPr="008A31DF">
        <w:rPr>
          <w:rFonts w:ascii="Times New Roman" w:hAnsi="Times New Roman" w:cs="Times New Roman"/>
          <w:b/>
          <w:bCs/>
          <w:sz w:val="20"/>
          <w:szCs w:val="20"/>
          <w:lang w:val="en-US"/>
        </w:rPr>
        <w:t>ScR</w:t>
      </w:r>
      <w:proofErr w:type="spellEnd"/>
      <w:r w:rsidRPr="008A31DF">
        <w:rPr>
          <w:rFonts w:ascii="Times New Roman" w:hAnsi="Times New Roman" w:cs="Times New Roman"/>
          <w:b/>
          <w:bCs/>
          <w:sz w:val="20"/>
          <w:szCs w:val="20"/>
          <w:lang w:val="en-US"/>
        </w:rPr>
        <w:t xml:space="preserve"> Checklist</w:t>
      </w:r>
    </w:p>
    <w:tbl>
      <w:tblPr>
        <w:tblStyle w:val="PlainTable21"/>
        <w:tblW w:w="9795" w:type="dxa"/>
        <w:tblLook w:val="04A0" w:firstRow="1" w:lastRow="0" w:firstColumn="1" w:lastColumn="0" w:noHBand="0" w:noVBand="1"/>
      </w:tblPr>
      <w:tblGrid>
        <w:gridCol w:w="1727"/>
        <w:gridCol w:w="583"/>
        <w:gridCol w:w="5715"/>
        <w:gridCol w:w="1770"/>
      </w:tblGrid>
      <w:tr w:rsidR="008A31DF" w:rsidRPr="00BA2E19" w14:paraId="4DA75029" w14:textId="77777777" w:rsidTr="00147C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B16F683" w14:textId="77777777" w:rsidR="008A31DF" w:rsidRPr="00BA2E19" w:rsidRDefault="008A31DF" w:rsidP="00147C41">
            <w:pPr>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Section</w:t>
            </w:r>
          </w:p>
        </w:tc>
        <w:tc>
          <w:tcPr>
            <w:tcW w:w="0" w:type="auto"/>
          </w:tcPr>
          <w:p w14:paraId="6AFBFB4B" w14:textId="77777777" w:rsidR="008A31DF" w:rsidRPr="00BA2E19" w:rsidRDefault="008A31DF" w:rsidP="00147C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Item</w:t>
            </w:r>
          </w:p>
        </w:tc>
        <w:tc>
          <w:tcPr>
            <w:tcW w:w="0" w:type="auto"/>
          </w:tcPr>
          <w:p w14:paraId="5FE46840" w14:textId="77777777" w:rsidR="008A31DF" w:rsidRPr="00BA2E19" w:rsidRDefault="008A31DF" w:rsidP="00147C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PRISMA-</w:t>
            </w:r>
            <w:proofErr w:type="spellStart"/>
            <w:r w:rsidRPr="00BA2E19">
              <w:rPr>
                <w:rFonts w:ascii="Times New Roman" w:hAnsi="Times New Roman" w:cs="Times New Roman"/>
                <w:b w:val="0"/>
                <w:bCs w:val="0"/>
                <w:sz w:val="20"/>
                <w:szCs w:val="20"/>
                <w:lang w:val="en-US"/>
              </w:rPr>
              <w:t>ScR</w:t>
            </w:r>
            <w:proofErr w:type="spellEnd"/>
            <w:r w:rsidRPr="00BA2E19">
              <w:rPr>
                <w:rFonts w:ascii="Times New Roman" w:hAnsi="Times New Roman" w:cs="Times New Roman"/>
                <w:b w:val="0"/>
                <w:bCs w:val="0"/>
                <w:sz w:val="20"/>
                <w:szCs w:val="20"/>
                <w:lang w:val="en-US"/>
              </w:rPr>
              <w:t xml:space="preserve"> Checklist Item</w:t>
            </w:r>
          </w:p>
        </w:tc>
        <w:tc>
          <w:tcPr>
            <w:tcW w:w="1770" w:type="dxa"/>
          </w:tcPr>
          <w:p w14:paraId="588050C4" w14:textId="77777777" w:rsidR="008A31DF" w:rsidRPr="00BA2E19" w:rsidRDefault="008A31DF" w:rsidP="00147C4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roofErr w:type="gramStart"/>
            <w:r w:rsidRPr="00BA2E19">
              <w:rPr>
                <w:rFonts w:ascii="Times New Roman" w:hAnsi="Times New Roman" w:cs="Times New Roman"/>
                <w:b w:val="0"/>
                <w:bCs w:val="0"/>
                <w:sz w:val="20"/>
                <w:szCs w:val="20"/>
                <w:lang w:val="en-US"/>
              </w:rPr>
              <w:t>Reported</w:t>
            </w:r>
            <w:proofErr w:type="gramEnd"/>
            <w:r w:rsidRPr="00BA2E19">
              <w:rPr>
                <w:rFonts w:ascii="Times New Roman" w:hAnsi="Times New Roman" w:cs="Times New Roman"/>
                <w:b w:val="0"/>
                <w:bCs w:val="0"/>
                <w:sz w:val="20"/>
                <w:szCs w:val="20"/>
                <w:lang w:val="en-US"/>
              </w:rPr>
              <w:t xml:space="preserve"> on Page #</w:t>
            </w:r>
          </w:p>
        </w:tc>
      </w:tr>
      <w:tr w:rsidR="008A31DF" w:rsidRPr="00BA2E19" w14:paraId="694E5C3E"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26BB1062" w14:textId="77777777" w:rsidR="008A31DF" w:rsidRPr="00BA2E19" w:rsidRDefault="008A31DF" w:rsidP="00147C41">
            <w:pPr>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TITLE</w:t>
            </w:r>
          </w:p>
        </w:tc>
        <w:tc>
          <w:tcPr>
            <w:tcW w:w="0" w:type="auto"/>
            <w:tcBorders>
              <w:top w:val="single" w:sz="4" w:space="0" w:color="7F7F7F" w:themeColor="text1" w:themeTint="80"/>
              <w:bottom w:val="single" w:sz="4" w:space="0" w:color="7F7F7F" w:themeColor="text1" w:themeTint="80"/>
            </w:tcBorders>
          </w:tcPr>
          <w:p w14:paraId="7170511F"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w:t>
            </w:r>
          </w:p>
        </w:tc>
        <w:tc>
          <w:tcPr>
            <w:tcW w:w="0" w:type="auto"/>
            <w:tcBorders>
              <w:top w:val="single" w:sz="4" w:space="0" w:color="7F7F7F" w:themeColor="text1" w:themeTint="80"/>
              <w:bottom w:val="single" w:sz="4" w:space="0" w:color="7F7F7F" w:themeColor="text1" w:themeTint="80"/>
            </w:tcBorders>
          </w:tcPr>
          <w:p w14:paraId="7CE5041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Identify the report as a scoping review.</w:t>
            </w:r>
          </w:p>
        </w:tc>
        <w:tc>
          <w:tcPr>
            <w:tcW w:w="1770" w:type="dxa"/>
            <w:tcBorders>
              <w:top w:val="single" w:sz="4" w:space="0" w:color="7F7F7F" w:themeColor="text1" w:themeTint="80"/>
              <w:bottom w:val="single" w:sz="4" w:space="0" w:color="7F7F7F" w:themeColor="text1" w:themeTint="80"/>
            </w:tcBorders>
          </w:tcPr>
          <w:p w14:paraId="78DA49C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w:t>
            </w:r>
          </w:p>
        </w:tc>
      </w:tr>
      <w:tr w:rsidR="008A31DF" w:rsidRPr="00BA2E19" w14:paraId="6ED74703"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7E35B2D3" w14:textId="77777777" w:rsidR="008A31DF" w:rsidRPr="00BA2E19" w:rsidRDefault="008A31DF" w:rsidP="00147C41">
            <w:pPr>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ABSTRACT</w:t>
            </w:r>
          </w:p>
        </w:tc>
        <w:tc>
          <w:tcPr>
            <w:tcW w:w="0" w:type="auto"/>
          </w:tcPr>
          <w:p w14:paraId="6D1A55F7"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Pr>
          <w:p w14:paraId="2660D4C0"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Structured summary</w:t>
            </w:r>
          </w:p>
        </w:tc>
        <w:tc>
          <w:tcPr>
            <w:tcW w:w="1770" w:type="dxa"/>
          </w:tcPr>
          <w:p w14:paraId="6BCE9281"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2</w:t>
            </w:r>
          </w:p>
        </w:tc>
      </w:tr>
      <w:tr w:rsidR="008A31DF" w:rsidRPr="00BA2E19" w14:paraId="5B718DB7"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53CC2A83"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5A87B722"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2</w:t>
            </w:r>
          </w:p>
        </w:tc>
        <w:tc>
          <w:tcPr>
            <w:tcW w:w="0" w:type="auto"/>
            <w:tcBorders>
              <w:top w:val="single" w:sz="4" w:space="0" w:color="7F7F7F" w:themeColor="text1" w:themeTint="80"/>
              <w:bottom w:val="single" w:sz="4" w:space="0" w:color="7F7F7F" w:themeColor="text1" w:themeTint="80"/>
            </w:tcBorders>
          </w:tcPr>
          <w:p w14:paraId="23898180"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 xml:space="preserve">Provide a structured summary that includes (as </w:t>
            </w:r>
            <w:proofErr w:type="gramStart"/>
            <w:r w:rsidRPr="00BA2E19">
              <w:rPr>
                <w:rFonts w:ascii="Times New Roman" w:hAnsi="Times New Roman" w:cs="Times New Roman"/>
                <w:sz w:val="20"/>
                <w:szCs w:val="20"/>
                <w:lang w:val="en-US"/>
              </w:rPr>
              <w:t>applicable):</w:t>
            </w:r>
            <w:proofErr w:type="gramEnd"/>
            <w:r w:rsidRPr="00BA2E19">
              <w:rPr>
                <w:rFonts w:ascii="Times New Roman" w:hAnsi="Times New Roman" w:cs="Times New Roman"/>
                <w:sz w:val="20"/>
                <w:szCs w:val="20"/>
                <w:lang w:val="en-US"/>
              </w:rPr>
              <w:t xml:space="preserve"> background, objectives, eligibility criteria, sources of evidence, charting methods, results, and conclusions that relate to the review questions and objectives.</w:t>
            </w:r>
          </w:p>
        </w:tc>
        <w:tc>
          <w:tcPr>
            <w:tcW w:w="1770" w:type="dxa"/>
            <w:tcBorders>
              <w:top w:val="single" w:sz="4" w:space="0" w:color="7F7F7F" w:themeColor="text1" w:themeTint="80"/>
              <w:bottom w:val="single" w:sz="4" w:space="0" w:color="7F7F7F" w:themeColor="text1" w:themeTint="80"/>
            </w:tcBorders>
          </w:tcPr>
          <w:p w14:paraId="6D39BF6C"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8A31DF" w:rsidRPr="00BA2E19" w14:paraId="14004F97"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2E568C82" w14:textId="77777777" w:rsidR="008A31DF" w:rsidRPr="00BA2E19" w:rsidRDefault="008A31DF" w:rsidP="00147C41">
            <w:pPr>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INTRODUCTION</w:t>
            </w:r>
          </w:p>
        </w:tc>
        <w:tc>
          <w:tcPr>
            <w:tcW w:w="0" w:type="auto"/>
          </w:tcPr>
          <w:p w14:paraId="495927B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3</w:t>
            </w:r>
          </w:p>
        </w:tc>
        <w:tc>
          <w:tcPr>
            <w:tcW w:w="0" w:type="auto"/>
          </w:tcPr>
          <w:p w14:paraId="7C54DB0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Rationale</w:t>
            </w:r>
          </w:p>
        </w:tc>
        <w:tc>
          <w:tcPr>
            <w:tcW w:w="1770" w:type="dxa"/>
          </w:tcPr>
          <w:p w14:paraId="5E62EBE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3 - 5</w:t>
            </w:r>
          </w:p>
        </w:tc>
      </w:tr>
      <w:tr w:rsidR="008A31DF" w:rsidRPr="00BA2E19" w14:paraId="775C2D46"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6AFA0B73"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15963271"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3E19CFAD"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Describe the rationale for the review in the context of what is already known. Explain why the review questions/objectives lend themselves to a scoping review approach.</w:t>
            </w:r>
          </w:p>
        </w:tc>
        <w:tc>
          <w:tcPr>
            <w:tcW w:w="1770" w:type="dxa"/>
            <w:tcBorders>
              <w:top w:val="single" w:sz="4" w:space="0" w:color="7F7F7F" w:themeColor="text1" w:themeTint="80"/>
              <w:bottom w:val="single" w:sz="4" w:space="0" w:color="7F7F7F" w:themeColor="text1" w:themeTint="80"/>
            </w:tcBorders>
          </w:tcPr>
          <w:p w14:paraId="7F40E348"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8A31DF" w:rsidRPr="00BA2E19" w14:paraId="252B23D3"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2641DAD4" w14:textId="77777777" w:rsidR="008A31DF" w:rsidRPr="00BA2E19" w:rsidRDefault="008A31DF" w:rsidP="00147C41">
            <w:pPr>
              <w:rPr>
                <w:rFonts w:ascii="Times New Roman" w:hAnsi="Times New Roman" w:cs="Times New Roman"/>
                <w:sz w:val="20"/>
                <w:szCs w:val="20"/>
                <w:lang w:val="en-US"/>
              </w:rPr>
            </w:pPr>
          </w:p>
        </w:tc>
        <w:tc>
          <w:tcPr>
            <w:tcW w:w="0" w:type="auto"/>
          </w:tcPr>
          <w:p w14:paraId="4774CF5B"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4</w:t>
            </w:r>
          </w:p>
        </w:tc>
        <w:tc>
          <w:tcPr>
            <w:tcW w:w="0" w:type="auto"/>
          </w:tcPr>
          <w:p w14:paraId="6743B5D1"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Objectives</w:t>
            </w:r>
          </w:p>
        </w:tc>
        <w:tc>
          <w:tcPr>
            <w:tcW w:w="1770" w:type="dxa"/>
          </w:tcPr>
          <w:p w14:paraId="2BA2F20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5</w:t>
            </w:r>
          </w:p>
        </w:tc>
      </w:tr>
      <w:tr w:rsidR="008A31DF" w:rsidRPr="00BA2E19" w14:paraId="2C0E6A92"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030A1B1D"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35BEE99F"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78155A8B"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1770" w:type="dxa"/>
            <w:tcBorders>
              <w:top w:val="single" w:sz="4" w:space="0" w:color="7F7F7F" w:themeColor="text1" w:themeTint="80"/>
              <w:bottom w:val="single" w:sz="4" w:space="0" w:color="7F7F7F" w:themeColor="text1" w:themeTint="80"/>
            </w:tcBorders>
          </w:tcPr>
          <w:p w14:paraId="663F78E9"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35F3C637"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401B3A68" w14:textId="77777777" w:rsidR="008A31DF" w:rsidRPr="00BA2E19" w:rsidRDefault="008A31DF" w:rsidP="00147C41">
            <w:pPr>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METHODS</w:t>
            </w:r>
          </w:p>
        </w:tc>
        <w:tc>
          <w:tcPr>
            <w:tcW w:w="0" w:type="auto"/>
          </w:tcPr>
          <w:p w14:paraId="6F9C79AD"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5</w:t>
            </w:r>
          </w:p>
        </w:tc>
        <w:tc>
          <w:tcPr>
            <w:tcW w:w="0" w:type="auto"/>
          </w:tcPr>
          <w:p w14:paraId="60F4D024"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Protocol and registration</w:t>
            </w:r>
          </w:p>
        </w:tc>
        <w:tc>
          <w:tcPr>
            <w:tcW w:w="1770" w:type="dxa"/>
          </w:tcPr>
          <w:p w14:paraId="2AE1DD4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6</w:t>
            </w:r>
          </w:p>
        </w:tc>
      </w:tr>
      <w:tr w:rsidR="008A31DF" w:rsidRPr="00BA2E19" w14:paraId="67A64AD9"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6407ED64"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1F2B0520"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50705066"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Indicate whether a review protocol exists; state if and where it can be accessed (e.g., a Web address); and if available, provide registration information, including the registration number.</w:t>
            </w:r>
          </w:p>
        </w:tc>
        <w:tc>
          <w:tcPr>
            <w:tcW w:w="1770" w:type="dxa"/>
            <w:tcBorders>
              <w:top w:val="single" w:sz="4" w:space="0" w:color="7F7F7F" w:themeColor="text1" w:themeTint="80"/>
              <w:bottom w:val="single" w:sz="4" w:space="0" w:color="7F7F7F" w:themeColor="text1" w:themeTint="80"/>
            </w:tcBorders>
          </w:tcPr>
          <w:p w14:paraId="7FC94699"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8A31DF" w:rsidRPr="00BA2E19" w14:paraId="05BE50C1"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71925CFE" w14:textId="77777777" w:rsidR="008A31DF" w:rsidRPr="00BA2E19" w:rsidRDefault="008A31DF" w:rsidP="00147C41">
            <w:pPr>
              <w:rPr>
                <w:rFonts w:ascii="Times New Roman" w:hAnsi="Times New Roman" w:cs="Times New Roman"/>
                <w:sz w:val="20"/>
                <w:szCs w:val="20"/>
                <w:lang w:val="en-US"/>
              </w:rPr>
            </w:pPr>
          </w:p>
        </w:tc>
        <w:tc>
          <w:tcPr>
            <w:tcW w:w="0" w:type="auto"/>
          </w:tcPr>
          <w:p w14:paraId="17066746"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6</w:t>
            </w:r>
          </w:p>
        </w:tc>
        <w:tc>
          <w:tcPr>
            <w:tcW w:w="0" w:type="auto"/>
          </w:tcPr>
          <w:p w14:paraId="6BB4AA97"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Eligibility criteria</w:t>
            </w:r>
          </w:p>
        </w:tc>
        <w:tc>
          <w:tcPr>
            <w:tcW w:w="1770" w:type="dxa"/>
          </w:tcPr>
          <w:p w14:paraId="0D014B9C"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figures</w:t>
            </w:r>
          </w:p>
        </w:tc>
      </w:tr>
      <w:tr w:rsidR="008A31DF" w:rsidRPr="00BA2E19" w14:paraId="7EF0E411"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712CAE9D"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5A33A735"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0AA284EF"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Specify characteristics of the sources of evidence used as eligibility criteria (e.g., years considered, language, and publication status</w:t>
            </w:r>
            <w:proofErr w:type="gramStart"/>
            <w:r w:rsidRPr="00BA2E19">
              <w:rPr>
                <w:rFonts w:ascii="Times New Roman" w:hAnsi="Times New Roman" w:cs="Times New Roman"/>
                <w:sz w:val="20"/>
                <w:szCs w:val="20"/>
                <w:lang w:val="en-US"/>
              </w:rPr>
              <w:t>), and</w:t>
            </w:r>
            <w:proofErr w:type="gramEnd"/>
            <w:r w:rsidRPr="00BA2E19">
              <w:rPr>
                <w:rFonts w:ascii="Times New Roman" w:hAnsi="Times New Roman" w:cs="Times New Roman"/>
                <w:sz w:val="20"/>
                <w:szCs w:val="20"/>
                <w:lang w:val="en-US"/>
              </w:rPr>
              <w:t xml:space="preserve"> provide a rationale.</w:t>
            </w:r>
          </w:p>
        </w:tc>
        <w:tc>
          <w:tcPr>
            <w:tcW w:w="1770" w:type="dxa"/>
            <w:tcBorders>
              <w:top w:val="single" w:sz="4" w:space="0" w:color="7F7F7F" w:themeColor="text1" w:themeTint="80"/>
              <w:bottom w:val="single" w:sz="4" w:space="0" w:color="7F7F7F" w:themeColor="text1" w:themeTint="80"/>
            </w:tcBorders>
          </w:tcPr>
          <w:p w14:paraId="17D26EC9"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42B40E72"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7A6A5237" w14:textId="77777777" w:rsidR="008A31DF" w:rsidRPr="00BA2E19" w:rsidRDefault="008A31DF" w:rsidP="00147C41">
            <w:pPr>
              <w:rPr>
                <w:rFonts w:ascii="Times New Roman" w:hAnsi="Times New Roman" w:cs="Times New Roman"/>
                <w:sz w:val="20"/>
                <w:szCs w:val="20"/>
                <w:lang w:val="en-US"/>
              </w:rPr>
            </w:pPr>
          </w:p>
        </w:tc>
        <w:tc>
          <w:tcPr>
            <w:tcW w:w="0" w:type="auto"/>
          </w:tcPr>
          <w:p w14:paraId="5BE0F380"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7</w:t>
            </w:r>
          </w:p>
        </w:tc>
        <w:tc>
          <w:tcPr>
            <w:tcW w:w="0" w:type="auto"/>
          </w:tcPr>
          <w:p w14:paraId="5FEA688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Information sources*</w:t>
            </w:r>
          </w:p>
        </w:tc>
        <w:tc>
          <w:tcPr>
            <w:tcW w:w="1770" w:type="dxa"/>
          </w:tcPr>
          <w:p w14:paraId="3EB862D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6</w:t>
            </w:r>
          </w:p>
        </w:tc>
      </w:tr>
      <w:tr w:rsidR="008A31DF" w:rsidRPr="00BA2E19" w14:paraId="25B77EB5"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109B046F"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2605C1B6"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45E51D1D"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Describe all information sources in the search (e.g., databases with dates of coverage and contact with authors to identify additional sources), as well as the date the most recent search was executed.</w:t>
            </w:r>
          </w:p>
        </w:tc>
        <w:tc>
          <w:tcPr>
            <w:tcW w:w="1770" w:type="dxa"/>
            <w:tcBorders>
              <w:top w:val="single" w:sz="4" w:space="0" w:color="7F7F7F" w:themeColor="text1" w:themeTint="80"/>
              <w:bottom w:val="single" w:sz="4" w:space="0" w:color="7F7F7F" w:themeColor="text1" w:themeTint="80"/>
            </w:tcBorders>
          </w:tcPr>
          <w:p w14:paraId="019AABA5"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284E1B1E"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0B84AE37" w14:textId="77777777" w:rsidR="008A31DF" w:rsidRPr="00BA2E19" w:rsidRDefault="008A31DF" w:rsidP="00147C41">
            <w:pPr>
              <w:rPr>
                <w:rFonts w:ascii="Times New Roman" w:hAnsi="Times New Roman" w:cs="Times New Roman"/>
                <w:sz w:val="20"/>
                <w:szCs w:val="20"/>
                <w:lang w:val="en-US"/>
              </w:rPr>
            </w:pPr>
          </w:p>
        </w:tc>
        <w:tc>
          <w:tcPr>
            <w:tcW w:w="0" w:type="auto"/>
          </w:tcPr>
          <w:p w14:paraId="7C1C2564"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8</w:t>
            </w:r>
          </w:p>
        </w:tc>
        <w:tc>
          <w:tcPr>
            <w:tcW w:w="0" w:type="auto"/>
          </w:tcPr>
          <w:p w14:paraId="5ED378BB"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Search</w:t>
            </w:r>
          </w:p>
        </w:tc>
        <w:tc>
          <w:tcPr>
            <w:tcW w:w="1770" w:type="dxa"/>
          </w:tcPr>
          <w:p w14:paraId="71CB88DB"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Supplementary material</w:t>
            </w:r>
          </w:p>
        </w:tc>
      </w:tr>
      <w:tr w:rsidR="008A31DF" w:rsidRPr="00BA2E19" w14:paraId="47A04C68"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5773148E"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74E87070"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142E654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Present the full electronic search strategy for at least 1 database, including any limits used, such that it could be repeated.</w:t>
            </w:r>
          </w:p>
        </w:tc>
        <w:tc>
          <w:tcPr>
            <w:tcW w:w="1770" w:type="dxa"/>
            <w:tcBorders>
              <w:top w:val="single" w:sz="4" w:space="0" w:color="7F7F7F" w:themeColor="text1" w:themeTint="80"/>
              <w:bottom w:val="single" w:sz="4" w:space="0" w:color="7F7F7F" w:themeColor="text1" w:themeTint="80"/>
            </w:tcBorders>
          </w:tcPr>
          <w:p w14:paraId="52EF7675"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54A7EE10"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6BA00CD1" w14:textId="77777777" w:rsidR="008A31DF" w:rsidRPr="00BA2E19" w:rsidRDefault="008A31DF" w:rsidP="00147C41">
            <w:pPr>
              <w:rPr>
                <w:rFonts w:ascii="Times New Roman" w:hAnsi="Times New Roman" w:cs="Times New Roman"/>
                <w:sz w:val="20"/>
                <w:szCs w:val="20"/>
                <w:lang w:val="en-US"/>
              </w:rPr>
            </w:pPr>
          </w:p>
        </w:tc>
        <w:tc>
          <w:tcPr>
            <w:tcW w:w="0" w:type="auto"/>
          </w:tcPr>
          <w:p w14:paraId="7618A25D"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9</w:t>
            </w:r>
          </w:p>
        </w:tc>
        <w:tc>
          <w:tcPr>
            <w:tcW w:w="0" w:type="auto"/>
          </w:tcPr>
          <w:p w14:paraId="2A19AE1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Selection of sources of evidence†</w:t>
            </w:r>
          </w:p>
        </w:tc>
        <w:tc>
          <w:tcPr>
            <w:tcW w:w="1770" w:type="dxa"/>
          </w:tcPr>
          <w:p w14:paraId="363970C4"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6, table 1</w:t>
            </w:r>
          </w:p>
        </w:tc>
      </w:tr>
      <w:tr w:rsidR="008A31DF" w:rsidRPr="00BA2E19" w14:paraId="2F304AEC"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4964B401"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375A5C30"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208F5E67"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State the process for selecting sources of evidence (i.e., screening and eligibility) included in the scoping review.</w:t>
            </w:r>
          </w:p>
        </w:tc>
        <w:tc>
          <w:tcPr>
            <w:tcW w:w="1770" w:type="dxa"/>
            <w:tcBorders>
              <w:top w:val="single" w:sz="4" w:space="0" w:color="7F7F7F" w:themeColor="text1" w:themeTint="80"/>
              <w:bottom w:val="single" w:sz="4" w:space="0" w:color="7F7F7F" w:themeColor="text1" w:themeTint="80"/>
            </w:tcBorders>
          </w:tcPr>
          <w:p w14:paraId="37255B67"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75AF9CC2"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6AB704AB" w14:textId="77777777" w:rsidR="008A31DF" w:rsidRPr="00BA2E19" w:rsidRDefault="008A31DF" w:rsidP="00147C41">
            <w:pPr>
              <w:rPr>
                <w:rFonts w:ascii="Times New Roman" w:hAnsi="Times New Roman" w:cs="Times New Roman"/>
                <w:sz w:val="20"/>
                <w:szCs w:val="20"/>
                <w:lang w:val="en-US"/>
              </w:rPr>
            </w:pPr>
          </w:p>
        </w:tc>
        <w:tc>
          <w:tcPr>
            <w:tcW w:w="0" w:type="auto"/>
          </w:tcPr>
          <w:p w14:paraId="0A3AF229"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10</w:t>
            </w:r>
          </w:p>
        </w:tc>
        <w:tc>
          <w:tcPr>
            <w:tcW w:w="0" w:type="auto"/>
          </w:tcPr>
          <w:p w14:paraId="1268C0CD"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Data charting process‡</w:t>
            </w:r>
          </w:p>
        </w:tc>
        <w:tc>
          <w:tcPr>
            <w:tcW w:w="1770" w:type="dxa"/>
          </w:tcPr>
          <w:p w14:paraId="57B92AE6"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6, supplementary materials</w:t>
            </w:r>
          </w:p>
        </w:tc>
      </w:tr>
      <w:tr w:rsidR="008A31DF" w:rsidRPr="00BA2E19" w14:paraId="604CFAE8"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6D1DAB32"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263D8C96"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22470DD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tc>
          <w:tcPr>
            <w:tcW w:w="1770" w:type="dxa"/>
            <w:tcBorders>
              <w:top w:val="single" w:sz="4" w:space="0" w:color="7F7F7F" w:themeColor="text1" w:themeTint="80"/>
              <w:bottom w:val="single" w:sz="4" w:space="0" w:color="7F7F7F" w:themeColor="text1" w:themeTint="80"/>
            </w:tcBorders>
          </w:tcPr>
          <w:p w14:paraId="1AEBBA0B"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0906A6C1"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044277FE" w14:textId="77777777" w:rsidR="008A31DF" w:rsidRPr="00BA2E19" w:rsidRDefault="008A31DF" w:rsidP="00147C41">
            <w:pPr>
              <w:rPr>
                <w:rFonts w:ascii="Times New Roman" w:hAnsi="Times New Roman" w:cs="Times New Roman"/>
                <w:sz w:val="20"/>
                <w:szCs w:val="20"/>
                <w:lang w:val="en-US"/>
              </w:rPr>
            </w:pPr>
          </w:p>
        </w:tc>
        <w:tc>
          <w:tcPr>
            <w:tcW w:w="0" w:type="auto"/>
          </w:tcPr>
          <w:p w14:paraId="0501F95C"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11</w:t>
            </w:r>
          </w:p>
        </w:tc>
        <w:tc>
          <w:tcPr>
            <w:tcW w:w="0" w:type="auto"/>
          </w:tcPr>
          <w:p w14:paraId="37C7E6BC"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Data items</w:t>
            </w:r>
          </w:p>
        </w:tc>
        <w:tc>
          <w:tcPr>
            <w:tcW w:w="1770" w:type="dxa"/>
          </w:tcPr>
          <w:p w14:paraId="0AEB8980"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Supplementary material</w:t>
            </w:r>
          </w:p>
        </w:tc>
      </w:tr>
      <w:tr w:rsidR="008A31DF" w:rsidRPr="00BA2E19" w14:paraId="39DD653A"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5F37F6E1"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0106FB7F"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03EADDE1"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List and define all variables for which data were sought and any assumptions and simplifications made.</w:t>
            </w:r>
          </w:p>
        </w:tc>
        <w:tc>
          <w:tcPr>
            <w:tcW w:w="1770" w:type="dxa"/>
            <w:tcBorders>
              <w:top w:val="single" w:sz="4" w:space="0" w:color="7F7F7F" w:themeColor="text1" w:themeTint="80"/>
              <w:bottom w:val="single" w:sz="4" w:space="0" w:color="7F7F7F" w:themeColor="text1" w:themeTint="80"/>
            </w:tcBorders>
          </w:tcPr>
          <w:p w14:paraId="644EB0B1"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3AD67182"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7D81445F" w14:textId="77777777" w:rsidR="008A31DF" w:rsidRPr="00BA2E19" w:rsidRDefault="008A31DF" w:rsidP="00147C41">
            <w:pPr>
              <w:rPr>
                <w:rFonts w:ascii="Times New Roman" w:hAnsi="Times New Roman" w:cs="Times New Roman"/>
                <w:sz w:val="20"/>
                <w:szCs w:val="20"/>
                <w:lang w:val="en-US"/>
              </w:rPr>
            </w:pPr>
          </w:p>
        </w:tc>
        <w:tc>
          <w:tcPr>
            <w:tcW w:w="0" w:type="auto"/>
          </w:tcPr>
          <w:p w14:paraId="6328FCB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12</w:t>
            </w:r>
          </w:p>
        </w:tc>
        <w:tc>
          <w:tcPr>
            <w:tcW w:w="0" w:type="auto"/>
          </w:tcPr>
          <w:p w14:paraId="36735989"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Critical appraisal of individual sources of evidence</w:t>
            </w:r>
          </w:p>
        </w:tc>
        <w:tc>
          <w:tcPr>
            <w:tcW w:w="1770" w:type="dxa"/>
          </w:tcPr>
          <w:p w14:paraId="023EB5F0"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N/A</w:t>
            </w:r>
          </w:p>
        </w:tc>
      </w:tr>
      <w:tr w:rsidR="008A31DF" w:rsidRPr="00BA2E19" w14:paraId="28270A57"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4FCD6058"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14F5F1D4"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3A4B0E09"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If done, provide a rationale for conducting a critical appraisal of included sources of evidence; describe the methods used and how this information was used in any data synthesis (if appropriate).</w:t>
            </w:r>
          </w:p>
        </w:tc>
        <w:tc>
          <w:tcPr>
            <w:tcW w:w="1770" w:type="dxa"/>
            <w:tcBorders>
              <w:top w:val="single" w:sz="4" w:space="0" w:color="7F7F7F" w:themeColor="text1" w:themeTint="80"/>
              <w:bottom w:val="single" w:sz="4" w:space="0" w:color="7F7F7F" w:themeColor="text1" w:themeTint="80"/>
            </w:tcBorders>
          </w:tcPr>
          <w:p w14:paraId="6C6635B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05F22F21"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7CC47E3F" w14:textId="77777777" w:rsidR="008A31DF" w:rsidRPr="00BA2E19" w:rsidRDefault="008A31DF" w:rsidP="00147C41">
            <w:pPr>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RESULTS</w:t>
            </w:r>
          </w:p>
        </w:tc>
        <w:tc>
          <w:tcPr>
            <w:tcW w:w="0" w:type="auto"/>
          </w:tcPr>
          <w:p w14:paraId="192C4481"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14</w:t>
            </w:r>
          </w:p>
        </w:tc>
        <w:tc>
          <w:tcPr>
            <w:tcW w:w="0" w:type="auto"/>
          </w:tcPr>
          <w:p w14:paraId="524CC807"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Selection of sources of evidence</w:t>
            </w:r>
          </w:p>
        </w:tc>
        <w:tc>
          <w:tcPr>
            <w:tcW w:w="1770" w:type="dxa"/>
          </w:tcPr>
          <w:p w14:paraId="66A2931A"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6 – 7, figures</w:t>
            </w:r>
          </w:p>
        </w:tc>
      </w:tr>
      <w:tr w:rsidR="008A31DF" w:rsidRPr="00BA2E19" w14:paraId="2067D98D"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3706C0EF"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1924504B"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2128FAF4"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Give numbers of sources of evidence screened, assessed for eligibility, and included in the review, with reasons for exclusions at each stage, ideally using a flow diagram.</w:t>
            </w:r>
          </w:p>
        </w:tc>
        <w:tc>
          <w:tcPr>
            <w:tcW w:w="1770" w:type="dxa"/>
            <w:tcBorders>
              <w:top w:val="single" w:sz="4" w:space="0" w:color="7F7F7F" w:themeColor="text1" w:themeTint="80"/>
              <w:bottom w:val="single" w:sz="4" w:space="0" w:color="7F7F7F" w:themeColor="text1" w:themeTint="80"/>
            </w:tcBorders>
          </w:tcPr>
          <w:p w14:paraId="3C3034D6"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23523060"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4B11A79A" w14:textId="77777777" w:rsidR="008A31DF" w:rsidRPr="00BA2E19" w:rsidRDefault="008A31DF" w:rsidP="00147C41">
            <w:pPr>
              <w:rPr>
                <w:rFonts w:ascii="Times New Roman" w:hAnsi="Times New Roman" w:cs="Times New Roman"/>
                <w:sz w:val="20"/>
                <w:szCs w:val="20"/>
                <w:lang w:val="en-US"/>
              </w:rPr>
            </w:pPr>
          </w:p>
        </w:tc>
        <w:tc>
          <w:tcPr>
            <w:tcW w:w="0" w:type="auto"/>
          </w:tcPr>
          <w:p w14:paraId="7F578D51"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15</w:t>
            </w:r>
          </w:p>
        </w:tc>
        <w:tc>
          <w:tcPr>
            <w:tcW w:w="0" w:type="auto"/>
          </w:tcPr>
          <w:p w14:paraId="5CD55C7A"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Characteristics of sources of evidence</w:t>
            </w:r>
          </w:p>
        </w:tc>
        <w:tc>
          <w:tcPr>
            <w:tcW w:w="1770" w:type="dxa"/>
          </w:tcPr>
          <w:p w14:paraId="00499E7F"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r w:rsidRPr="00BA2E19">
              <w:rPr>
                <w:rFonts w:ascii="Times New Roman" w:hAnsi="Times New Roman" w:cs="Times New Roman"/>
                <w:sz w:val="20"/>
                <w:szCs w:val="20"/>
                <w:lang w:val="en-US"/>
              </w:rPr>
              <w:t>6 – 7, supplementary material</w:t>
            </w:r>
          </w:p>
        </w:tc>
      </w:tr>
      <w:tr w:rsidR="008A31DF" w:rsidRPr="00BA2E19" w14:paraId="46B802DA"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23169C3C"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357464F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4D532AC8"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For each source of evidence, present characteristics for which data were charted and provide the citations.</w:t>
            </w:r>
          </w:p>
        </w:tc>
        <w:tc>
          <w:tcPr>
            <w:tcW w:w="1770" w:type="dxa"/>
            <w:tcBorders>
              <w:top w:val="single" w:sz="4" w:space="0" w:color="7F7F7F" w:themeColor="text1" w:themeTint="80"/>
              <w:bottom w:val="single" w:sz="4" w:space="0" w:color="7F7F7F" w:themeColor="text1" w:themeTint="80"/>
            </w:tcBorders>
          </w:tcPr>
          <w:p w14:paraId="0A9D1194"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8A31DF" w:rsidRPr="00BA2E19" w14:paraId="6FA2F29F"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1C5245DB" w14:textId="77777777" w:rsidR="008A31DF" w:rsidRPr="00BA2E19" w:rsidRDefault="008A31DF" w:rsidP="00147C41">
            <w:pPr>
              <w:rPr>
                <w:rFonts w:ascii="Times New Roman" w:hAnsi="Times New Roman" w:cs="Times New Roman"/>
                <w:sz w:val="20"/>
                <w:szCs w:val="20"/>
                <w:lang w:val="en-US"/>
              </w:rPr>
            </w:pPr>
          </w:p>
        </w:tc>
        <w:tc>
          <w:tcPr>
            <w:tcW w:w="0" w:type="auto"/>
          </w:tcPr>
          <w:p w14:paraId="1B4EA22D"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Pr>
          <w:p w14:paraId="32B053F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If done, present data on critical appraisal of included sources of evidence (see item 12).</w:t>
            </w:r>
          </w:p>
        </w:tc>
        <w:tc>
          <w:tcPr>
            <w:tcW w:w="1770" w:type="dxa"/>
          </w:tcPr>
          <w:p w14:paraId="3193013B"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8A31DF" w:rsidRPr="00BA2E19" w14:paraId="1745738A"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5942B4D2"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6F1FCE41"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17</w:t>
            </w:r>
          </w:p>
        </w:tc>
        <w:tc>
          <w:tcPr>
            <w:tcW w:w="0" w:type="auto"/>
            <w:tcBorders>
              <w:top w:val="single" w:sz="4" w:space="0" w:color="7F7F7F" w:themeColor="text1" w:themeTint="80"/>
              <w:bottom w:val="single" w:sz="4" w:space="0" w:color="7F7F7F" w:themeColor="text1" w:themeTint="80"/>
            </w:tcBorders>
          </w:tcPr>
          <w:p w14:paraId="32387805"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Results of individual sources of evidence</w:t>
            </w:r>
          </w:p>
        </w:tc>
        <w:tc>
          <w:tcPr>
            <w:tcW w:w="1770" w:type="dxa"/>
            <w:tcBorders>
              <w:top w:val="single" w:sz="4" w:space="0" w:color="7F7F7F" w:themeColor="text1" w:themeTint="80"/>
              <w:bottom w:val="single" w:sz="4" w:space="0" w:color="7F7F7F" w:themeColor="text1" w:themeTint="80"/>
            </w:tcBorders>
          </w:tcPr>
          <w:p w14:paraId="3B611A94"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8 - 13</w:t>
            </w:r>
          </w:p>
        </w:tc>
      </w:tr>
      <w:tr w:rsidR="008A31DF" w:rsidRPr="00BA2E19" w14:paraId="07FA3215"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5E6E2B74" w14:textId="77777777" w:rsidR="008A31DF" w:rsidRPr="00BA2E19" w:rsidRDefault="008A31DF" w:rsidP="00147C41">
            <w:pPr>
              <w:rPr>
                <w:rFonts w:ascii="Times New Roman" w:hAnsi="Times New Roman" w:cs="Times New Roman"/>
                <w:sz w:val="20"/>
                <w:szCs w:val="20"/>
                <w:lang w:val="en-US"/>
              </w:rPr>
            </w:pPr>
          </w:p>
        </w:tc>
        <w:tc>
          <w:tcPr>
            <w:tcW w:w="0" w:type="auto"/>
          </w:tcPr>
          <w:p w14:paraId="4385F56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Pr>
          <w:p w14:paraId="05255335"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 xml:space="preserve">For each included source of evidence, present the relevant data that </w:t>
            </w:r>
            <w:proofErr w:type="gramStart"/>
            <w:r w:rsidRPr="00BA2E19">
              <w:rPr>
                <w:rFonts w:ascii="Times New Roman" w:hAnsi="Times New Roman" w:cs="Times New Roman"/>
                <w:sz w:val="20"/>
                <w:szCs w:val="20"/>
                <w:lang w:val="en-US"/>
              </w:rPr>
              <w:t>were</w:t>
            </w:r>
            <w:proofErr w:type="gramEnd"/>
            <w:r w:rsidRPr="00BA2E19">
              <w:rPr>
                <w:rFonts w:ascii="Times New Roman" w:hAnsi="Times New Roman" w:cs="Times New Roman"/>
                <w:sz w:val="20"/>
                <w:szCs w:val="20"/>
                <w:lang w:val="en-US"/>
              </w:rPr>
              <w:t xml:space="preserve"> charted that </w:t>
            </w:r>
            <w:proofErr w:type="gramStart"/>
            <w:r w:rsidRPr="00BA2E19">
              <w:rPr>
                <w:rFonts w:ascii="Times New Roman" w:hAnsi="Times New Roman" w:cs="Times New Roman"/>
                <w:sz w:val="20"/>
                <w:szCs w:val="20"/>
                <w:lang w:val="en-US"/>
              </w:rPr>
              <w:t>relate</w:t>
            </w:r>
            <w:proofErr w:type="gramEnd"/>
            <w:r w:rsidRPr="00BA2E19">
              <w:rPr>
                <w:rFonts w:ascii="Times New Roman" w:hAnsi="Times New Roman" w:cs="Times New Roman"/>
                <w:sz w:val="20"/>
                <w:szCs w:val="20"/>
                <w:lang w:val="en-US"/>
              </w:rPr>
              <w:t xml:space="preserve"> to the review questions and objectives.</w:t>
            </w:r>
          </w:p>
        </w:tc>
        <w:tc>
          <w:tcPr>
            <w:tcW w:w="1770" w:type="dxa"/>
          </w:tcPr>
          <w:p w14:paraId="03F5CE5B"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745922E9"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24600BE0"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13B4455A"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18</w:t>
            </w:r>
          </w:p>
        </w:tc>
        <w:tc>
          <w:tcPr>
            <w:tcW w:w="0" w:type="auto"/>
            <w:tcBorders>
              <w:top w:val="single" w:sz="4" w:space="0" w:color="7F7F7F" w:themeColor="text1" w:themeTint="80"/>
              <w:bottom w:val="single" w:sz="4" w:space="0" w:color="7F7F7F" w:themeColor="text1" w:themeTint="80"/>
            </w:tcBorders>
          </w:tcPr>
          <w:p w14:paraId="05D55149"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Synthesis of results</w:t>
            </w:r>
          </w:p>
        </w:tc>
        <w:tc>
          <w:tcPr>
            <w:tcW w:w="1770" w:type="dxa"/>
            <w:tcBorders>
              <w:top w:val="single" w:sz="4" w:space="0" w:color="7F7F7F" w:themeColor="text1" w:themeTint="80"/>
              <w:bottom w:val="single" w:sz="4" w:space="0" w:color="7F7F7F" w:themeColor="text1" w:themeTint="80"/>
            </w:tcBorders>
          </w:tcPr>
          <w:p w14:paraId="639C0AD9"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Table 2</w:t>
            </w:r>
          </w:p>
        </w:tc>
      </w:tr>
      <w:tr w:rsidR="008A31DF" w:rsidRPr="00BA2E19" w14:paraId="5301A4AF"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1A9D3D0F" w14:textId="77777777" w:rsidR="008A31DF" w:rsidRPr="00BA2E19" w:rsidRDefault="008A31DF" w:rsidP="00147C41">
            <w:pPr>
              <w:rPr>
                <w:rFonts w:ascii="Times New Roman" w:hAnsi="Times New Roman" w:cs="Times New Roman"/>
                <w:sz w:val="20"/>
                <w:szCs w:val="20"/>
                <w:lang w:val="en-US"/>
              </w:rPr>
            </w:pPr>
          </w:p>
        </w:tc>
        <w:tc>
          <w:tcPr>
            <w:tcW w:w="0" w:type="auto"/>
          </w:tcPr>
          <w:p w14:paraId="1D3C1808"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Pr>
          <w:p w14:paraId="2572AB7F"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Describe the methods of handling and summarizing the data that were charted.</w:t>
            </w:r>
          </w:p>
        </w:tc>
        <w:tc>
          <w:tcPr>
            <w:tcW w:w="1770" w:type="dxa"/>
          </w:tcPr>
          <w:p w14:paraId="3B29F0A4"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7FA7AD2A"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0117B701" w14:textId="77777777" w:rsidR="008A31DF" w:rsidRPr="00BA2E19" w:rsidRDefault="008A31DF" w:rsidP="00147C41">
            <w:pPr>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DISCUSSION</w:t>
            </w:r>
          </w:p>
        </w:tc>
        <w:tc>
          <w:tcPr>
            <w:tcW w:w="0" w:type="auto"/>
            <w:tcBorders>
              <w:top w:val="single" w:sz="4" w:space="0" w:color="7F7F7F" w:themeColor="text1" w:themeTint="80"/>
              <w:bottom w:val="single" w:sz="4" w:space="0" w:color="7F7F7F" w:themeColor="text1" w:themeTint="80"/>
            </w:tcBorders>
          </w:tcPr>
          <w:p w14:paraId="05D44449"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19</w:t>
            </w:r>
          </w:p>
        </w:tc>
        <w:tc>
          <w:tcPr>
            <w:tcW w:w="0" w:type="auto"/>
            <w:tcBorders>
              <w:top w:val="single" w:sz="4" w:space="0" w:color="7F7F7F" w:themeColor="text1" w:themeTint="80"/>
              <w:bottom w:val="single" w:sz="4" w:space="0" w:color="7F7F7F" w:themeColor="text1" w:themeTint="80"/>
            </w:tcBorders>
          </w:tcPr>
          <w:p w14:paraId="3B4C4A5C"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Summary of evidence</w:t>
            </w:r>
          </w:p>
        </w:tc>
        <w:tc>
          <w:tcPr>
            <w:tcW w:w="1770" w:type="dxa"/>
            <w:tcBorders>
              <w:top w:val="single" w:sz="4" w:space="0" w:color="7F7F7F" w:themeColor="text1" w:themeTint="80"/>
              <w:bottom w:val="single" w:sz="4" w:space="0" w:color="7F7F7F" w:themeColor="text1" w:themeTint="80"/>
            </w:tcBorders>
          </w:tcPr>
          <w:p w14:paraId="78CD8657"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r w:rsidRPr="00BA2E19">
              <w:rPr>
                <w:rFonts w:ascii="Times New Roman" w:hAnsi="Times New Roman" w:cs="Times New Roman"/>
                <w:sz w:val="20"/>
                <w:szCs w:val="20"/>
                <w:lang w:val="en-US"/>
              </w:rPr>
              <w:t>13 - 19</w:t>
            </w:r>
          </w:p>
        </w:tc>
      </w:tr>
      <w:tr w:rsidR="008A31DF" w:rsidRPr="00BA2E19" w14:paraId="15832E80"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5EAB244F" w14:textId="77777777" w:rsidR="008A31DF" w:rsidRPr="00BA2E19" w:rsidRDefault="008A31DF" w:rsidP="00147C41">
            <w:pPr>
              <w:rPr>
                <w:rFonts w:ascii="Times New Roman" w:hAnsi="Times New Roman" w:cs="Times New Roman"/>
                <w:sz w:val="20"/>
                <w:szCs w:val="20"/>
                <w:lang w:val="en-US"/>
              </w:rPr>
            </w:pPr>
          </w:p>
        </w:tc>
        <w:tc>
          <w:tcPr>
            <w:tcW w:w="0" w:type="auto"/>
          </w:tcPr>
          <w:p w14:paraId="669CD4DF"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Pr>
          <w:p w14:paraId="299F579D"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Summarize the main results (including an overview of concepts, themes, and types of evidence available), link to the review questions and objectives, and consider the relevance to key groups.</w:t>
            </w:r>
          </w:p>
        </w:tc>
        <w:tc>
          <w:tcPr>
            <w:tcW w:w="1770" w:type="dxa"/>
          </w:tcPr>
          <w:p w14:paraId="60F0EB63"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058C7F4B"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649BAFCD"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43B43A5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20</w:t>
            </w:r>
          </w:p>
        </w:tc>
        <w:tc>
          <w:tcPr>
            <w:tcW w:w="0" w:type="auto"/>
            <w:tcBorders>
              <w:top w:val="single" w:sz="4" w:space="0" w:color="7F7F7F" w:themeColor="text1" w:themeTint="80"/>
              <w:bottom w:val="single" w:sz="4" w:space="0" w:color="7F7F7F" w:themeColor="text1" w:themeTint="80"/>
            </w:tcBorders>
          </w:tcPr>
          <w:p w14:paraId="742FFB64"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Limitations</w:t>
            </w:r>
          </w:p>
        </w:tc>
        <w:tc>
          <w:tcPr>
            <w:tcW w:w="1770" w:type="dxa"/>
            <w:tcBorders>
              <w:top w:val="single" w:sz="4" w:space="0" w:color="7F7F7F" w:themeColor="text1" w:themeTint="80"/>
              <w:bottom w:val="single" w:sz="4" w:space="0" w:color="7F7F7F" w:themeColor="text1" w:themeTint="80"/>
            </w:tcBorders>
          </w:tcPr>
          <w:p w14:paraId="6FCC23F6"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r w:rsidRPr="00BA2E19">
              <w:rPr>
                <w:rFonts w:ascii="Times New Roman" w:hAnsi="Times New Roman" w:cs="Times New Roman"/>
                <w:sz w:val="20"/>
                <w:szCs w:val="20"/>
                <w:lang w:val="en-US"/>
              </w:rPr>
              <w:t xml:space="preserve">20 </w:t>
            </w:r>
          </w:p>
        </w:tc>
      </w:tr>
      <w:tr w:rsidR="008A31DF" w:rsidRPr="00BA2E19" w14:paraId="5C9429E3"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79FC1B83" w14:textId="77777777" w:rsidR="008A31DF" w:rsidRPr="00BA2E19" w:rsidRDefault="008A31DF" w:rsidP="00147C41">
            <w:pPr>
              <w:rPr>
                <w:rFonts w:ascii="Times New Roman" w:hAnsi="Times New Roman" w:cs="Times New Roman"/>
                <w:sz w:val="20"/>
                <w:szCs w:val="20"/>
                <w:lang w:val="en-US"/>
              </w:rPr>
            </w:pPr>
          </w:p>
        </w:tc>
        <w:tc>
          <w:tcPr>
            <w:tcW w:w="0" w:type="auto"/>
          </w:tcPr>
          <w:p w14:paraId="57B8646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Pr>
          <w:p w14:paraId="57F1A2E8"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Discuss the limitations of the scoping review process.</w:t>
            </w:r>
          </w:p>
        </w:tc>
        <w:tc>
          <w:tcPr>
            <w:tcW w:w="1770" w:type="dxa"/>
          </w:tcPr>
          <w:p w14:paraId="6C037B0A"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highlight w:val="yellow"/>
                <w:lang w:val="en-US"/>
              </w:rPr>
            </w:pPr>
          </w:p>
        </w:tc>
      </w:tr>
      <w:tr w:rsidR="008A31DF" w:rsidRPr="00BA2E19" w14:paraId="6CA810AA"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3B17E206" w14:textId="77777777" w:rsidR="008A31DF" w:rsidRPr="00BA2E19" w:rsidRDefault="008A31DF" w:rsidP="00147C41">
            <w:pPr>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1E46E3FD"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21</w:t>
            </w:r>
          </w:p>
        </w:tc>
        <w:tc>
          <w:tcPr>
            <w:tcW w:w="0" w:type="auto"/>
            <w:tcBorders>
              <w:top w:val="single" w:sz="4" w:space="0" w:color="7F7F7F" w:themeColor="text1" w:themeTint="80"/>
              <w:bottom w:val="single" w:sz="4" w:space="0" w:color="7F7F7F" w:themeColor="text1" w:themeTint="80"/>
            </w:tcBorders>
          </w:tcPr>
          <w:p w14:paraId="20A5124A"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Conclusions</w:t>
            </w:r>
          </w:p>
        </w:tc>
        <w:tc>
          <w:tcPr>
            <w:tcW w:w="1770" w:type="dxa"/>
            <w:tcBorders>
              <w:top w:val="single" w:sz="4" w:space="0" w:color="7F7F7F" w:themeColor="text1" w:themeTint="80"/>
              <w:bottom w:val="single" w:sz="4" w:space="0" w:color="7F7F7F" w:themeColor="text1" w:themeTint="80"/>
            </w:tcBorders>
          </w:tcPr>
          <w:p w14:paraId="77BB6F41"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20 - 2</w:t>
            </w:r>
            <w:r>
              <w:rPr>
                <w:rFonts w:ascii="Times New Roman" w:hAnsi="Times New Roman" w:cs="Times New Roman"/>
                <w:sz w:val="20"/>
                <w:szCs w:val="20"/>
                <w:lang w:val="en-US"/>
              </w:rPr>
              <w:t>2</w:t>
            </w:r>
          </w:p>
        </w:tc>
      </w:tr>
      <w:tr w:rsidR="008A31DF" w:rsidRPr="00BA2E19" w14:paraId="597BA440"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069433EF" w14:textId="77777777" w:rsidR="008A31DF" w:rsidRPr="00BA2E19" w:rsidRDefault="008A31DF" w:rsidP="00147C41">
            <w:pPr>
              <w:rPr>
                <w:rFonts w:ascii="Times New Roman" w:hAnsi="Times New Roman" w:cs="Times New Roman"/>
                <w:sz w:val="20"/>
                <w:szCs w:val="20"/>
                <w:lang w:val="en-US"/>
              </w:rPr>
            </w:pPr>
          </w:p>
        </w:tc>
        <w:tc>
          <w:tcPr>
            <w:tcW w:w="0" w:type="auto"/>
          </w:tcPr>
          <w:p w14:paraId="7E991A22"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Pr>
          <w:p w14:paraId="528C810A"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Provide a general interpretation of the results with respect to the review questions and objectives, as well as potential implications and/or next steps.</w:t>
            </w:r>
          </w:p>
        </w:tc>
        <w:tc>
          <w:tcPr>
            <w:tcW w:w="1770" w:type="dxa"/>
          </w:tcPr>
          <w:p w14:paraId="733F2BAE"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r w:rsidR="008A31DF" w:rsidRPr="00BA2E19" w14:paraId="30411657" w14:textId="77777777" w:rsidTr="00147C4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7F7F7F" w:themeColor="text1" w:themeTint="80"/>
            </w:tcBorders>
          </w:tcPr>
          <w:p w14:paraId="775916C5" w14:textId="77777777" w:rsidR="008A31DF" w:rsidRPr="00BA2E19" w:rsidRDefault="008A31DF" w:rsidP="00147C41">
            <w:pPr>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FUNDING</w:t>
            </w:r>
          </w:p>
        </w:tc>
        <w:tc>
          <w:tcPr>
            <w:tcW w:w="0" w:type="auto"/>
            <w:tcBorders>
              <w:top w:val="single" w:sz="4" w:space="0" w:color="7F7F7F" w:themeColor="text1" w:themeTint="80"/>
              <w:bottom w:val="single" w:sz="4" w:space="0" w:color="7F7F7F" w:themeColor="text1" w:themeTint="80"/>
            </w:tcBorders>
          </w:tcPr>
          <w:p w14:paraId="2FCB7682"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c>
          <w:tcPr>
            <w:tcW w:w="0" w:type="auto"/>
            <w:tcBorders>
              <w:top w:val="single" w:sz="4" w:space="0" w:color="7F7F7F" w:themeColor="text1" w:themeTint="80"/>
              <w:bottom w:val="single" w:sz="4" w:space="0" w:color="7F7F7F" w:themeColor="text1" w:themeTint="80"/>
            </w:tcBorders>
          </w:tcPr>
          <w:p w14:paraId="2B8E2548"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Funding</w:t>
            </w:r>
          </w:p>
        </w:tc>
        <w:tc>
          <w:tcPr>
            <w:tcW w:w="1770" w:type="dxa"/>
            <w:tcBorders>
              <w:top w:val="single" w:sz="4" w:space="0" w:color="7F7F7F" w:themeColor="text1" w:themeTint="80"/>
              <w:bottom w:val="single" w:sz="4" w:space="0" w:color="7F7F7F" w:themeColor="text1" w:themeTint="80"/>
            </w:tcBorders>
          </w:tcPr>
          <w:p w14:paraId="0738FCA6"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Separate doc</w:t>
            </w:r>
          </w:p>
        </w:tc>
      </w:tr>
      <w:tr w:rsidR="008A31DF" w:rsidRPr="00BA2E19" w14:paraId="1C9852F4" w14:textId="77777777" w:rsidTr="00147C41">
        <w:tc>
          <w:tcPr>
            <w:cnfStyle w:val="001000000000" w:firstRow="0" w:lastRow="0" w:firstColumn="1" w:lastColumn="0" w:oddVBand="0" w:evenVBand="0" w:oddHBand="0" w:evenHBand="0" w:firstRowFirstColumn="0" w:firstRowLastColumn="0" w:lastRowFirstColumn="0" w:lastRowLastColumn="0"/>
            <w:tcW w:w="0" w:type="auto"/>
          </w:tcPr>
          <w:p w14:paraId="4C02DD9F" w14:textId="77777777" w:rsidR="008A31DF" w:rsidRPr="00BA2E19" w:rsidRDefault="008A31DF" w:rsidP="00147C41">
            <w:pPr>
              <w:rPr>
                <w:rFonts w:ascii="Times New Roman" w:hAnsi="Times New Roman" w:cs="Times New Roman"/>
                <w:sz w:val="20"/>
                <w:szCs w:val="20"/>
                <w:lang w:val="en-US"/>
              </w:rPr>
            </w:pPr>
          </w:p>
        </w:tc>
        <w:tc>
          <w:tcPr>
            <w:tcW w:w="0" w:type="auto"/>
          </w:tcPr>
          <w:p w14:paraId="24FD0AAF"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22</w:t>
            </w:r>
          </w:p>
        </w:tc>
        <w:tc>
          <w:tcPr>
            <w:tcW w:w="0" w:type="auto"/>
          </w:tcPr>
          <w:p w14:paraId="1A8FA0F6"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Describe sources of funding for the included sources of evidence, as well as sources of funding for the scoping review. Describe the role of the funders of the scoping review.</w:t>
            </w:r>
          </w:p>
        </w:tc>
        <w:tc>
          <w:tcPr>
            <w:tcW w:w="1770" w:type="dxa"/>
          </w:tcPr>
          <w:p w14:paraId="131EB87D" w14:textId="77777777" w:rsidR="008A31DF" w:rsidRPr="00BA2E19" w:rsidRDefault="008A31DF"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p>
        </w:tc>
      </w:tr>
    </w:tbl>
    <w:p w14:paraId="1AB30F51" w14:textId="77777777" w:rsidR="008A31DF" w:rsidRPr="00BA2E19" w:rsidRDefault="008A31DF" w:rsidP="008A31DF">
      <w:pPr>
        <w:spacing w:line="360" w:lineRule="auto"/>
        <w:rPr>
          <w:rFonts w:ascii="Times New Roman" w:hAnsi="Times New Roman" w:cs="Times New Roman"/>
          <w:sz w:val="20"/>
          <w:szCs w:val="20"/>
          <w:lang w:val="en-US"/>
        </w:rPr>
      </w:pPr>
      <w:r w:rsidRPr="00BA2E19">
        <w:rPr>
          <w:rFonts w:ascii="Times New Roman" w:hAnsi="Times New Roman" w:cs="Times New Roman"/>
          <w:i/>
          <w:iCs/>
          <w:sz w:val="20"/>
          <w:szCs w:val="20"/>
          <w:lang w:val="en-US"/>
        </w:rPr>
        <w:t>Note.</w:t>
      </w:r>
      <w:r w:rsidRPr="00BA2E19">
        <w:rPr>
          <w:rFonts w:ascii="Times New Roman" w:hAnsi="Times New Roman" w:cs="Times New Roman"/>
          <w:sz w:val="20"/>
          <w:szCs w:val="20"/>
          <w:lang w:val="en-US"/>
        </w:rPr>
        <w:t xml:space="preserve"> JBI = Joanna Briggs Institute; PRISMA-</w:t>
      </w:r>
      <w:proofErr w:type="spellStart"/>
      <w:r w:rsidRPr="00BA2E19">
        <w:rPr>
          <w:rFonts w:ascii="Times New Roman" w:hAnsi="Times New Roman" w:cs="Times New Roman"/>
          <w:sz w:val="20"/>
          <w:szCs w:val="20"/>
          <w:lang w:val="en-US"/>
        </w:rPr>
        <w:t>ScR</w:t>
      </w:r>
      <w:proofErr w:type="spellEnd"/>
      <w:r w:rsidRPr="00BA2E19">
        <w:rPr>
          <w:rFonts w:ascii="Times New Roman" w:hAnsi="Times New Roman" w:cs="Times New Roman"/>
          <w:sz w:val="20"/>
          <w:szCs w:val="20"/>
          <w:lang w:val="en-US"/>
        </w:rPr>
        <w:t xml:space="preserve"> = Preferred Reporting Items for Systematic reviews and Meta-Analyses extension for Scoping Reviews; *Where sources of evidence (see second footnote) are compiled from, such as bibliographic databases, social media platforms, and Web sites;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information sources (see first footnote); ‡The frameworks by Arksey and O’Malley (6) and Levac and colleagues (7) and the JBI guidance (4, 5) refer to the process of data extraction in a scoping review as data charting; §The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625F6480" w14:textId="77777777" w:rsidR="008A31DF" w:rsidRPr="00BA2E19" w:rsidRDefault="008A31DF" w:rsidP="008A31DF">
      <w:pPr>
        <w:spacing w:line="360" w:lineRule="auto"/>
        <w:rPr>
          <w:rFonts w:ascii="Times New Roman" w:hAnsi="Times New Roman" w:cs="Times New Roman"/>
          <w:sz w:val="20"/>
          <w:szCs w:val="20"/>
          <w:lang w:val="en-US"/>
        </w:rPr>
      </w:pPr>
      <w:r w:rsidRPr="00BA2E19">
        <w:rPr>
          <w:rFonts w:ascii="Times New Roman" w:hAnsi="Times New Roman" w:cs="Times New Roman"/>
          <w:i/>
          <w:iCs/>
          <w:sz w:val="20"/>
          <w:szCs w:val="20"/>
          <w:lang w:val="en-US"/>
        </w:rPr>
        <w:t>From</w:t>
      </w:r>
      <w:r w:rsidRPr="00BA2E19">
        <w:rPr>
          <w:rFonts w:ascii="Times New Roman" w:hAnsi="Times New Roman" w:cs="Times New Roman"/>
          <w:sz w:val="20"/>
          <w:szCs w:val="20"/>
          <w:lang w:val="en-US"/>
        </w:rPr>
        <w:t xml:space="preserve">: </w:t>
      </w: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ZOTERO_TEMP </w:instrText>
      </w:r>
      <w:r w:rsidRPr="00BA2E19">
        <w:rPr>
          <w:rFonts w:ascii="Times New Roman" w:hAnsi="Times New Roman" w:cs="Times New Roman"/>
          <w:sz w:val="20"/>
          <w:szCs w:val="20"/>
          <w:lang w:val="en-US"/>
        </w:rPr>
        <w:fldChar w:fldCharType="end"/>
      </w:r>
      <w:r w:rsidRPr="00BA2E19">
        <w:rPr>
          <w:rFonts w:ascii="Times New Roman" w:hAnsi="Times New Roman" w:cs="Times New Roman"/>
          <w:sz w:val="20"/>
          <w:szCs w:val="20"/>
          <w:lang w:val="en-US"/>
        </w:rPr>
        <w:t xml:space="preserve"> </w:t>
      </w: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{"citationID":"S6acV2ov","properties":{"formattedCitation":"(Tricco et al., 2018)","plainCitation":"(Tricco et al., 2018)","dontUpdate":true,"noteIndex":0},"citationItems":[{"id":"wAnnZMUy/4D9ore99","uris":["http://zotero.org/users/9059392/items/QNG9ZHSB"],"itemData":{"id":1026,"type":"article-journal","container-title":"Annals of Internal Medicine","DOI":"10.7326/M18-0850","language":"en","page":"467-473","title":"PRISMA Extension for Scoping Reviews (PRISMA-ScR): Checklist and Explanation","title-short":"PRISMA Extension for Scoping Reviews (PRISMA-ScR)","volume":"196","author":[{"family":"Tricco","given":"Andrea"},{"family":"Lillie","given":"Erin"},{"family":"Zarin","given":"Wasifa"},{"family":"O'Brien","given":"Kelly"},{"family":"Colquhoun","given":"Heather"},{"family":"Levac","given":"Danielle"},{"family":"Moher","given":"David"},{"family":"Peters","given":"Micah"},{"family":"Horsley","given":"Tanya"},{"family":"Weeks","given":"Laura"}],"issued":{"date-parts":[["2018"]]}}}],"schema":"https://github.com/citation-style-language/schema/raw/master/csl-citation.json"} </w:instrText>
      </w:r>
      <w:r w:rsidRPr="00BA2E19">
        <w:rPr>
          <w:rFonts w:ascii="Times New Roman" w:hAnsi="Times New Roman" w:cs="Times New Roman"/>
          <w:sz w:val="20"/>
          <w:szCs w:val="20"/>
          <w:lang w:val="en-US"/>
        </w:rPr>
        <w:fldChar w:fldCharType="separate"/>
      </w:r>
      <w:proofErr w:type="spellStart"/>
      <w:r w:rsidRPr="00BA2E19">
        <w:rPr>
          <w:rFonts w:ascii="Times New Roman" w:hAnsi="Times New Roman" w:cs="Times New Roman"/>
          <w:sz w:val="20"/>
          <w:szCs w:val="20"/>
          <w:lang w:val="en-US"/>
        </w:rPr>
        <w:t>Tricco</w:t>
      </w:r>
      <w:proofErr w:type="spellEnd"/>
      <w:r w:rsidRPr="00BA2E19">
        <w:rPr>
          <w:rFonts w:ascii="Times New Roman" w:hAnsi="Times New Roman" w:cs="Times New Roman"/>
          <w:sz w:val="20"/>
          <w:szCs w:val="20"/>
          <w:lang w:val="en-US"/>
        </w:rPr>
        <w:t xml:space="preserve"> et al. (2018)</w:t>
      </w:r>
      <w:r w:rsidRPr="00BA2E19">
        <w:rPr>
          <w:rFonts w:ascii="Times New Roman" w:hAnsi="Times New Roman" w:cs="Times New Roman"/>
          <w:sz w:val="20"/>
          <w:szCs w:val="20"/>
          <w:lang w:val="en-US"/>
        </w:rPr>
        <w:fldChar w:fldCharType="end"/>
      </w:r>
    </w:p>
    <w:p w14:paraId="009F66AF" w14:textId="77777777" w:rsidR="008A31DF" w:rsidRPr="00BA2E19" w:rsidRDefault="008A31DF" w:rsidP="008A31DF">
      <w:pPr>
        <w:spacing w:line="480" w:lineRule="auto"/>
        <w:ind w:firstLine="720"/>
        <w:rPr>
          <w:rFonts w:ascii="Times New Roman" w:hAnsi="Times New Roman" w:cs="Times New Roman"/>
          <w:b/>
          <w:bCs/>
          <w:sz w:val="20"/>
          <w:szCs w:val="20"/>
          <w:lang w:val="en-US"/>
        </w:rPr>
      </w:pPr>
    </w:p>
    <w:p w14:paraId="7361286C" w14:textId="77777777" w:rsidR="004206FC" w:rsidRPr="00BA2E19" w:rsidRDefault="004206FC">
      <w:pPr>
        <w:spacing w:line="480" w:lineRule="auto"/>
        <w:ind w:firstLine="720"/>
        <w:rPr>
          <w:rFonts w:ascii="Times New Roman" w:hAnsi="Times New Roman" w:cs="Times New Roman"/>
          <w:b/>
          <w:bCs/>
          <w:sz w:val="20"/>
          <w:szCs w:val="20"/>
          <w:lang w:val="en-US"/>
        </w:rPr>
      </w:pPr>
    </w:p>
    <w:p w14:paraId="7217B7B8" w14:textId="77777777" w:rsidR="004206FC" w:rsidRPr="00BA2E19" w:rsidRDefault="004206FC">
      <w:pPr>
        <w:spacing w:line="480" w:lineRule="auto"/>
        <w:ind w:firstLine="720"/>
        <w:rPr>
          <w:rFonts w:ascii="Times New Roman" w:hAnsi="Times New Roman" w:cs="Times New Roman"/>
          <w:b/>
          <w:bCs/>
          <w:sz w:val="20"/>
          <w:szCs w:val="20"/>
          <w:lang w:val="en-US"/>
        </w:rPr>
      </w:pPr>
    </w:p>
    <w:p w14:paraId="1F602836" w14:textId="77777777" w:rsidR="004206FC" w:rsidRPr="00BA2E19" w:rsidRDefault="004206FC">
      <w:pPr>
        <w:spacing w:line="480" w:lineRule="auto"/>
        <w:ind w:firstLine="720"/>
        <w:rPr>
          <w:rFonts w:ascii="Times New Roman" w:hAnsi="Times New Roman" w:cs="Times New Roman"/>
          <w:b/>
          <w:bCs/>
          <w:sz w:val="20"/>
          <w:szCs w:val="20"/>
          <w:lang w:val="en-US"/>
        </w:rPr>
      </w:pPr>
    </w:p>
    <w:p w14:paraId="016E1E62" w14:textId="77777777" w:rsidR="004206FC" w:rsidRPr="00BA2E19" w:rsidRDefault="004206FC">
      <w:pPr>
        <w:spacing w:line="480" w:lineRule="auto"/>
        <w:ind w:firstLine="720"/>
        <w:rPr>
          <w:rFonts w:ascii="Times New Roman" w:hAnsi="Times New Roman" w:cs="Times New Roman"/>
          <w:b/>
          <w:bCs/>
          <w:sz w:val="20"/>
          <w:szCs w:val="20"/>
          <w:lang w:val="en-US"/>
        </w:rPr>
      </w:pPr>
    </w:p>
    <w:p w14:paraId="4C421D80" w14:textId="77777777" w:rsidR="004C1907" w:rsidRPr="00BA2E19" w:rsidRDefault="004C1907">
      <w:pPr>
        <w:spacing w:line="480" w:lineRule="auto"/>
        <w:ind w:firstLine="720"/>
        <w:rPr>
          <w:rFonts w:ascii="Times New Roman" w:hAnsi="Times New Roman" w:cs="Times New Roman"/>
          <w:b/>
          <w:bCs/>
          <w:sz w:val="20"/>
          <w:szCs w:val="20"/>
          <w:lang w:val="en-US"/>
        </w:rPr>
      </w:pPr>
    </w:p>
    <w:p w14:paraId="1F72838E" w14:textId="77777777" w:rsidR="004C1907" w:rsidRPr="00BA2E19" w:rsidRDefault="004C1907">
      <w:pPr>
        <w:spacing w:line="480" w:lineRule="auto"/>
        <w:ind w:firstLine="720"/>
        <w:rPr>
          <w:rFonts w:ascii="Times New Roman" w:hAnsi="Times New Roman" w:cs="Times New Roman"/>
          <w:b/>
          <w:bCs/>
          <w:sz w:val="20"/>
          <w:szCs w:val="20"/>
          <w:lang w:val="en-US"/>
        </w:rPr>
      </w:pPr>
    </w:p>
    <w:p w14:paraId="7A070453" w14:textId="7170498E" w:rsidR="008A31DF" w:rsidRPr="00BA2E19" w:rsidRDefault="008A31DF" w:rsidP="008A31DF">
      <w:pPr>
        <w:pStyle w:val="Normaalweb"/>
        <w:numPr>
          <w:ilvl w:val="0"/>
          <w:numId w:val="4"/>
        </w:numPr>
        <w:spacing w:before="0" w:beforeAutospacing="0" w:after="0" w:afterAutospacing="0" w:line="360" w:lineRule="auto"/>
        <w:textAlignment w:val="baseline"/>
        <w:rPr>
          <w:b/>
          <w:bCs/>
          <w:sz w:val="20"/>
          <w:szCs w:val="20"/>
          <w:lang w:val="en-US"/>
        </w:rPr>
      </w:pPr>
      <w:r w:rsidRPr="00BA2E19">
        <w:rPr>
          <w:b/>
          <w:bCs/>
          <w:sz w:val="20"/>
          <w:szCs w:val="20"/>
          <w:lang w:val="en-US"/>
        </w:rPr>
        <w:lastRenderedPageBreak/>
        <w:t>Boolean Search Strings</w:t>
      </w:r>
    </w:p>
    <w:tbl>
      <w:tblPr>
        <w:tblStyle w:val="PlainTable21"/>
        <w:tblW w:w="9795" w:type="dxa"/>
        <w:tblLook w:val="04A0" w:firstRow="1" w:lastRow="0" w:firstColumn="1" w:lastColumn="0" w:noHBand="0" w:noVBand="1"/>
      </w:tblPr>
      <w:tblGrid>
        <w:gridCol w:w="1145"/>
        <w:gridCol w:w="8650"/>
      </w:tblGrid>
      <w:tr w:rsidR="008A31DF" w:rsidRPr="00BA2E19" w14:paraId="4EC26BFA" w14:textId="77777777" w:rsidTr="00147C41">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0" w:type="auto"/>
          </w:tcPr>
          <w:p w14:paraId="7A3DD36B" w14:textId="77777777" w:rsidR="008A31DF" w:rsidRPr="00BA2E19" w:rsidRDefault="008A31DF" w:rsidP="00147C41">
            <w:pPr>
              <w:spacing w:before="480" w:line="360" w:lineRule="auto"/>
              <w:rPr>
                <w:rFonts w:ascii="Times New Roman" w:eastAsia="Times New Roman" w:hAnsi="Times New Roman" w:cs="Times New Roman"/>
                <w:b w:val="0"/>
                <w:bCs w:val="0"/>
                <w:kern w:val="0"/>
                <w:sz w:val="20"/>
                <w:szCs w:val="20"/>
                <w:lang w:val="en-US" w:eastAsia="en-GB"/>
              </w:rPr>
            </w:pPr>
            <w:r w:rsidRPr="00BA2E19">
              <w:rPr>
                <w:rFonts w:ascii="Times New Roman" w:eastAsia="Times New Roman" w:hAnsi="Times New Roman" w:cs="Times New Roman"/>
                <w:kern w:val="0"/>
                <w:sz w:val="20"/>
                <w:szCs w:val="20"/>
                <w:lang w:val="en-US" w:eastAsia="en-GB"/>
              </w:rPr>
              <w:t>Database</w:t>
            </w:r>
          </w:p>
        </w:tc>
        <w:tc>
          <w:tcPr>
            <w:tcW w:w="0" w:type="auto"/>
          </w:tcPr>
          <w:p w14:paraId="30E4A609" w14:textId="77777777" w:rsidR="008A31DF" w:rsidRPr="00BA2E19" w:rsidRDefault="008A31DF" w:rsidP="00147C41">
            <w:pPr>
              <w:spacing w:before="48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sz w:val="20"/>
                <w:szCs w:val="20"/>
                <w:lang w:val="en-US" w:eastAsia="en-GB"/>
              </w:rPr>
            </w:pPr>
            <w:r w:rsidRPr="00BA2E19">
              <w:rPr>
                <w:rFonts w:ascii="Times New Roman" w:eastAsia="Times New Roman" w:hAnsi="Times New Roman" w:cs="Times New Roman"/>
                <w:kern w:val="0"/>
                <w:sz w:val="20"/>
                <w:szCs w:val="20"/>
                <w:lang w:val="en-US" w:eastAsia="en-GB"/>
              </w:rPr>
              <w:t>Search String</w:t>
            </w:r>
          </w:p>
        </w:tc>
      </w:tr>
      <w:tr w:rsidR="008A31DF" w:rsidRPr="00BA2E19" w14:paraId="6CDB47F7" w14:textId="77777777" w:rsidTr="00147C41">
        <w:trPr>
          <w:trHeight w:val="284"/>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single" w:sz="4" w:space="0" w:color="FFFFFF"/>
            </w:tcBorders>
          </w:tcPr>
          <w:p w14:paraId="13B54551" w14:textId="77777777" w:rsidR="008A31DF" w:rsidRPr="00BA2E19" w:rsidRDefault="008A31DF" w:rsidP="00147C41">
            <w:pPr>
              <w:spacing w:before="480" w:line="360" w:lineRule="auto"/>
              <w:rPr>
                <w:rFonts w:ascii="Times New Roman" w:eastAsia="Times New Roman" w:hAnsi="Times New Roman" w:cs="Times New Roman"/>
                <w:b w:val="0"/>
                <w:bCs w:val="0"/>
                <w:kern w:val="0"/>
                <w:sz w:val="20"/>
                <w:szCs w:val="20"/>
                <w:lang w:val="en-US" w:eastAsia="en-GB"/>
              </w:rPr>
            </w:pPr>
            <w:r w:rsidRPr="00BA2E19">
              <w:rPr>
                <w:rFonts w:ascii="Times New Roman" w:eastAsia="Times New Roman" w:hAnsi="Times New Roman" w:cs="Times New Roman"/>
                <w:kern w:val="0"/>
                <w:sz w:val="20"/>
                <w:szCs w:val="20"/>
                <w:lang w:val="en-US" w:eastAsia="en-GB"/>
              </w:rPr>
              <w:t>Medline</w:t>
            </w:r>
          </w:p>
        </w:tc>
        <w:tc>
          <w:tcPr>
            <w:tcW w:w="0" w:type="auto"/>
            <w:tcBorders>
              <w:top w:val="single" w:sz="4" w:space="0" w:color="7F7F7F" w:themeColor="text1" w:themeTint="80"/>
              <w:bottom w:val="single" w:sz="4" w:space="0" w:color="FFFFFF"/>
            </w:tcBorders>
          </w:tcPr>
          <w:p w14:paraId="2C30F2B1" w14:textId="77777777" w:rsidR="008A31DF" w:rsidRPr="00BA2E19" w:rsidRDefault="008A31DF" w:rsidP="00147C41">
            <w:pPr>
              <w:spacing w:before="48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en-GB"/>
              </w:rPr>
            </w:pPr>
            <w:r w:rsidRPr="00BA2E19">
              <w:rPr>
                <w:rFonts w:ascii="Times New Roman" w:eastAsia="Times New Roman" w:hAnsi="Times New Roman" w:cs="Times New Roman"/>
                <w:kern w:val="0"/>
                <w:sz w:val="20"/>
                <w:szCs w:val="20"/>
                <w:lang w:val="en-US" w:eastAsia="en-GB"/>
              </w:rPr>
              <w:t>(((MH "Autism Spectrum Disorder") OR (MH "Asperger Syndrome") OR (MH "Child Development Disorders, Pervasive") OR (MH "Autistic Disorder") OR (TI "Asperger") OR (AB "Asperger") OR (TI "</w:t>
            </w:r>
            <w:proofErr w:type="spellStart"/>
            <w:r w:rsidRPr="00BA2E19">
              <w:rPr>
                <w:rFonts w:ascii="Times New Roman" w:eastAsia="Times New Roman" w:hAnsi="Times New Roman" w:cs="Times New Roman"/>
                <w:kern w:val="0"/>
                <w:sz w:val="20"/>
                <w:szCs w:val="20"/>
                <w:lang w:val="en-US" w:eastAsia="en-GB"/>
              </w:rPr>
              <w:t>autis</w:t>
            </w:r>
            <w:proofErr w:type="spellEnd"/>
            <w:r w:rsidRPr="00BA2E19">
              <w:rPr>
                <w:rFonts w:ascii="Times New Roman" w:eastAsia="Times New Roman" w:hAnsi="Times New Roman" w:cs="Times New Roman"/>
                <w:kern w:val="0"/>
                <w:sz w:val="20"/>
                <w:szCs w:val="20"/>
                <w:lang w:val="en-US" w:eastAsia="en-GB"/>
              </w:rPr>
              <w:t>*") OR (AB "</w:t>
            </w:r>
            <w:proofErr w:type="spellStart"/>
            <w:r w:rsidRPr="00BA2E19">
              <w:rPr>
                <w:rFonts w:ascii="Times New Roman" w:eastAsia="Times New Roman" w:hAnsi="Times New Roman" w:cs="Times New Roman"/>
                <w:kern w:val="0"/>
                <w:sz w:val="20"/>
                <w:szCs w:val="20"/>
                <w:lang w:val="en-US" w:eastAsia="en-GB"/>
              </w:rPr>
              <w:t>autis</w:t>
            </w:r>
            <w:proofErr w:type="spellEnd"/>
            <w:r w:rsidRPr="00BA2E19">
              <w:rPr>
                <w:rFonts w:ascii="Times New Roman" w:eastAsia="Times New Roman" w:hAnsi="Times New Roman" w:cs="Times New Roman"/>
                <w:kern w:val="0"/>
                <w:sz w:val="20"/>
                <w:szCs w:val="20"/>
                <w:lang w:val="en-US" w:eastAsia="en-GB"/>
              </w:rPr>
              <w:t>*")) AND ((MH "Suicide") OR (TI "</w:t>
            </w:r>
            <w:proofErr w:type="spellStart"/>
            <w:r w:rsidRPr="00BA2E19">
              <w:rPr>
                <w:rFonts w:ascii="Times New Roman" w:eastAsia="Times New Roman" w:hAnsi="Times New Roman" w:cs="Times New Roman"/>
                <w:kern w:val="0"/>
                <w:sz w:val="20"/>
                <w:szCs w:val="20"/>
                <w:lang w:val="en-US" w:eastAsia="en-GB"/>
              </w:rPr>
              <w:t>suicid</w:t>
            </w:r>
            <w:proofErr w:type="spellEnd"/>
            <w:r w:rsidRPr="00BA2E19">
              <w:rPr>
                <w:rFonts w:ascii="Times New Roman" w:eastAsia="Times New Roman" w:hAnsi="Times New Roman" w:cs="Times New Roman"/>
                <w:kern w:val="0"/>
                <w:sz w:val="20"/>
                <w:szCs w:val="20"/>
                <w:lang w:val="en-US" w:eastAsia="en-GB"/>
              </w:rPr>
              <w:t>*") OR (AB "</w:t>
            </w:r>
            <w:proofErr w:type="spellStart"/>
            <w:r w:rsidRPr="00BA2E19">
              <w:rPr>
                <w:rFonts w:ascii="Times New Roman" w:eastAsia="Times New Roman" w:hAnsi="Times New Roman" w:cs="Times New Roman"/>
                <w:kern w:val="0"/>
                <w:sz w:val="20"/>
                <w:szCs w:val="20"/>
                <w:lang w:val="en-US" w:eastAsia="en-GB"/>
              </w:rPr>
              <w:t>suicid</w:t>
            </w:r>
            <w:proofErr w:type="spellEnd"/>
            <w:r w:rsidRPr="00BA2E19">
              <w:rPr>
                <w:rFonts w:ascii="Times New Roman" w:eastAsia="Times New Roman" w:hAnsi="Times New Roman" w:cs="Times New Roman"/>
                <w:kern w:val="0"/>
                <w:sz w:val="20"/>
                <w:szCs w:val="20"/>
                <w:lang w:val="en-US" w:eastAsia="en-GB"/>
              </w:rPr>
              <w:t>*")))</w:t>
            </w:r>
          </w:p>
        </w:tc>
      </w:tr>
      <w:tr w:rsidR="008A31DF" w:rsidRPr="00BA2E19" w14:paraId="1EBE5648" w14:textId="77777777" w:rsidTr="00147C41">
        <w:trPr>
          <w:trHeight w:val="5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bottom w:val="single" w:sz="4" w:space="0" w:color="FFFFFF"/>
            </w:tcBorders>
          </w:tcPr>
          <w:p w14:paraId="3364BC80" w14:textId="77777777" w:rsidR="008A31DF" w:rsidRPr="00BA2E19" w:rsidRDefault="008A31DF" w:rsidP="00147C41">
            <w:pPr>
              <w:spacing w:before="480" w:line="360" w:lineRule="auto"/>
              <w:rPr>
                <w:rFonts w:ascii="Times New Roman" w:eastAsia="Times New Roman" w:hAnsi="Times New Roman" w:cs="Times New Roman"/>
                <w:b w:val="0"/>
                <w:bCs w:val="0"/>
                <w:kern w:val="0"/>
                <w:sz w:val="20"/>
                <w:szCs w:val="20"/>
                <w:lang w:val="en-US" w:eastAsia="en-GB"/>
              </w:rPr>
            </w:pPr>
            <w:proofErr w:type="spellStart"/>
            <w:r w:rsidRPr="00BA2E19">
              <w:rPr>
                <w:rFonts w:ascii="Times New Roman" w:eastAsia="Times New Roman" w:hAnsi="Times New Roman" w:cs="Times New Roman"/>
                <w:kern w:val="0"/>
                <w:sz w:val="20"/>
                <w:szCs w:val="20"/>
                <w:lang w:val="en-US" w:eastAsia="en-GB"/>
              </w:rPr>
              <w:t>PsycInfo</w:t>
            </w:r>
            <w:proofErr w:type="spellEnd"/>
          </w:p>
        </w:tc>
        <w:tc>
          <w:tcPr>
            <w:tcW w:w="0" w:type="auto"/>
            <w:tcBorders>
              <w:top w:val="single" w:sz="4" w:space="0" w:color="FFFFFF"/>
              <w:bottom w:val="single" w:sz="4" w:space="0" w:color="FFFFFF"/>
            </w:tcBorders>
          </w:tcPr>
          <w:p w14:paraId="3AA05863" w14:textId="77777777" w:rsidR="008A31DF" w:rsidRPr="00BA2E19" w:rsidRDefault="008A31DF" w:rsidP="00147C41">
            <w:pPr>
              <w:pStyle w:val="Normaalweb"/>
              <w:spacing w:before="0" w:beforeAutospacing="0" w:after="0" w:afterAutospacing="0" w:line="360" w:lineRule="auto"/>
              <w:textAlignment w:val="baseline"/>
              <w:cnfStyle w:val="000000000000" w:firstRow="0" w:lastRow="0" w:firstColumn="0" w:lastColumn="0" w:oddVBand="0" w:evenVBand="0" w:oddHBand="0" w:evenHBand="0" w:firstRowFirstColumn="0" w:firstRowLastColumn="0" w:lastRowFirstColumn="0" w:lastRowLastColumn="0"/>
              <w:rPr>
                <w:sz w:val="20"/>
                <w:szCs w:val="20"/>
                <w:lang w:val="en-US"/>
              </w:rPr>
            </w:pPr>
          </w:p>
          <w:p w14:paraId="346B984B" w14:textId="77777777" w:rsidR="008A31DF" w:rsidRPr="00BA2E19" w:rsidRDefault="008A31DF" w:rsidP="00147C41">
            <w:pPr>
              <w:pStyle w:val="Normaalweb"/>
              <w:spacing w:before="0" w:beforeAutospacing="0" w:after="0" w:afterAutospacing="0" w:line="360" w:lineRule="auto"/>
              <w:textAlignment w:val="baseline"/>
              <w:cnfStyle w:val="000000000000" w:firstRow="0" w:lastRow="0" w:firstColumn="0" w:lastColumn="0" w:oddVBand="0" w:evenVBand="0" w:oddHBand="0" w:evenHBand="0" w:firstRowFirstColumn="0" w:firstRowLastColumn="0" w:lastRowFirstColumn="0" w:lastRowLastColumn="0"/>
              <w:rPr>
                <w:sz w:val="20"/>
                <w:szCs w:val="20"/>
                <w:lang w:val="en-US"/>
              </w:rPr>
            </w:pPr>
            <w:r w:rsidRPr="00BA2E19">
              <w:rPr>
                <w:sz w:val="20"/>
                <w:szCs w:val="20"/>
                <w:lang w:val="en-US"/>
              </w:rPr>
              <w:t xml:space="preserve">(((SU “Autism Spectrum Disorders”) OR (TI </w:t>
            </w:r>
            <w:r w:rsidRPr="00BA2E19">
              <w:rPr>
                <w:sz w:val="20"/>
                <w:szCs w:val="20"/>
                <w:rtl/>
                <w:lang w:val="en-US"/>
              </w:rPr>
              <w:t>“</w:t>
            </w:r>
            <w:r w:rsidRPr="00BA2E19">
              <w:rPr>
                <w:sz w:val="20"/>
                <w:szCs w:val="20"/>
                <w:lang w:val="en-US"/>
              </w:rPr>
              <w:t xml:space="preserve">Asperger”) OR (AB </w:t>
            </w:r>
            <w:r w:rsidRPr="00BA2E19">
              <w:rPr>
                <w:sz w:val="20"/>
                <w:szCs w:val="20"/>
                <w:rtl/>
                <w:lang w:val="en-US"/>
              </w:rPr>
              <w:t>“</w:t>
            </w:r>
            <w:r w:rsidRPr="00BA2E19">
              <w:rPr>
                <w:sz w:val="20"/>
                <w:szCs w:val="20"/>
                <w:lang w:val="en-US"/>
              </w:rPr>
              <w:t xml:space="preserve">Asperger”) OR (TI </w:t>
            </w:r>
            <w:r w:rsidRPr="00BA2E19">
              <w:rPr>
                <w:sz w:val="20"/>
                <w:szCs w:val="20"/>
                <w:rtl/>
                <w:lang w:val="en-US"/>
              </w:rPr>
              <w:t>“</w:t>
            </w:r>
            <w:proofErr w:type="spellStart"/>
            <w:r w:rsidRPr="00BA2E19">
              <w:rPr>
                <w:sz w:val="20"/>
                <w:szCs w:val="20"/>
                <w:lang w:val="en-US"/>
              </w:rPr>
              <w:t>autis</w:t>
            </w:r>
            <w:proofErr w:type="spellEnd"/>
            <w:r w:rsidRPr="00BA2E19">
              <w:rPr>
                <w:sz w:val="20"/>
                <w:szCs w:val="20"/>
                <w:lang w:val="en-US"/>
              </w:rPr>
              <w:t xml:space="preserve">*”) OR (AB </w:t>
            </w:r>
            <w:r w:rsidRPr="00BA2E19">
              <w:rPr>
                <w:sz w:val="20"/>
                <w:szCs w:val="20"/>
                <w:rtl/>
                <w:lang w:val="en-US"/>
              </w:rPr>
              <w:t>“</w:t>
            </w:r>
            <w:proofErr w:type="spellStart"/>
            <w:r w:rsidRPr="00BA2E19">
              <w:rPr>
                <w:sz w:val="20"/>
                <w:szCs w:val="20"/>
                <w:lang w:val="en-US"/>
              </w:rPr>
              <w:t>autis</w:t>
            </w:r>
            <w:proofErr w:type="spellEnd"/>
            <w:r w:rsidRPr="00BA2E19">
              <w:rPr>
                <w:sz w:val="20"/>
                <w:szCs w:val="20"/>
                <w:lang w:val="en-US"/>
              </w:rPr>
              <w:t xml:space="preserve">*”)) AND ((SU “Suicide”) OR (SU “Suicidology”) OR (SU “Suicidal Behavior”) OR (SU “Attempted Suicide”) OR (SU “Suicidality”) OR (SU “Suicidal ideation”) OR (TI </w:t>
            </w:r>
            <w:proofErr w:type="spellStart"/>
            <w:r w:rsidRPr="00BA2E19">
              <w:rPr>
                <w:sz w:val="20"/>
                <w:szCs w:val="20"/>
                <w:lang w:val="en-US"/>
              </w:rPr>
              <w:t>suicid</w:t>
            </w:r>
            <w:proofErr w:type="spellEnd"/>
            <w:r w:rsidRPr="00BA2E19">
              <w:rPr>
                <w:sz w:val="20"/>
                <w:szCs w:val="20"/>
                <w:lang w:val="en-US"/>
              </w:rPr>
              <w:t xml:space="preserve">*) OR (AB </w:t>
            </w:r>
            <w:proofErr w:type="spellStart"/>
            <w:r w:rsidRPr="00BA2E19">
              <w:rPr>
                <w:sz w:val="20"/>
                <w:szCs w:val="20"/>
                <w:lang w:val="en-US"/>
              </w:rPr>
              <w:t>suicid</w:t>
            </w:r>
            <w:proofErr w:type="spellEnd"/>
            <w:r w:rsidRPr="00BA2E19">
              <w:rPr>
                <w:sz w:val="20"/>
                <w:szCs w:val="20"/>
                <w:lang w:val="en-US"/>
              </w:rPr>
              <w:t>*)))</w:t>
            </w:r>
          </w:p>
        </w:tc>
      </w:tr>
      <w:tr w:rsidR="008A31DF" w:rsidRPr="00BA2E19" w14:paraId="116E0A80" w14:textId="77777777" w:rsidTr="00147C41">
        <w:trPr>
          <w:trHeight w:val="5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bottom w:val="single" w:sz="4" w:space="0" w:color="FFFFFF"/>
            </w:tcBorders>
          </w:tcPr>
          <w:p w14:paraId="0700C441" w14:textId="77777777" w:rsidR="008A31DF" w:rsidRPr="00BA2E19" w:rsidRDefault="008A31DF" w:rsidP="00147C41">
            <w:pPr>
              <w:spacing w:before="480" w:line="360" w:lineRule="auto"/>
              <w:rPr>
                <w:rFonts w:ascii="Times New Roman" w:eastAsia="Times New Roman" w:hAnsi="Times New Roman" w:cs="Times New Roman"/>
                <w:b w:val="0"/>
                <w:bCs w:val="0"/>
                <w:kern w:val="0"/>
                <w:sz w:val="20"/>
                <w:szCs w:val="20"/>
                <w:lang w:val="en-US" w:eastAsia="en-GB"/>
              </w:rPr>
            </w:pPr>
            <w:r w:rsidRPr="00BA2E19">
              <w:rPr>
                <w:rFonts w:ascii="Times New Roman" w:eastAsia="Times New Roman" w:hAnsi="Times New Roman" w:cs="Times New Roman"/>
                <w:kern w:val="0"/>
                <w:sz w:val="20"/>
                <w:szCs w:val="20"/>
                <w:lang w:val="en-US" w:eastAsia="en-GB"/>
              </w:rPr>
              <w:t>Web of Science</w:t>
            </w:r>
          </w:p>
        </w:tc>
        <w:tc>
          <w:tcPr>
            <w:tcW w:w="0" w:type="auto"/>
            <w:tcBorders>
              <w:top w:val="single" w:sz="4" w:space="0" w:color="FFFFFF"/>
              <w:bottom w:val="single" w:sz="4" w:space="0" w:color="FFFFFF"/>
            </w:tcBorders>
          </w:tcPr>
          <w:p w14:paraId="437598A7" w14:textId="77777777" w:rsidR="008A31DF" w:rsidRPr="00BA2E19" w:rsidRDefault="008A31DF" w:rsidP="00147C41">
            <w:pPr>
              <w:spacing w:before="48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en-GB"/>
              </w:rPr>
            </w:pPr>
            <w:r w:rsidRPr="00BA2E19">
              <w:rPr>
                <w:rFonts w:ascii="Times New Roman" w:eastAsia="Times New Roman" w:hAnsi="Times New Roman" w:cs="Times New Roman"/>
                <w:kern w:val="0"/>
                <w:sz w:val="20"/>
                <w:szCs w:val="20"/>
                <w:lang w:val="en-US" w:eastAsia="en-GB"/>
              </w:rPr>
              <w:t>Topic: (("</w:t>
            </w:r>
            <w:proofErr w:type="spellStart"/>
            <w:r w:rsidRPr="00BA2E19">
              <w:rPr>
                <w:rFonts w:ascii="Times New Roman" w:eastAsia="Times New Roman" w:hAnsi="Times New Roman" w:cs="Times New Roman"/>
                <w:kern w:val="0"/>
                <w:sz w:val="20"/>
                <w:szCs w:val="20"/>
                <w:lang w:val="en-US" w:eastAsia="en-GB"/>
              </w:rPr>
              <w:t>asperger</w:t>
            </w:r>
            <w:proofErr w:type="spellEnd"/>
            <w:r w:rsidRPr="00BA2E19">
              <w:rPr>
                <w:rFonts w:ascii="Times New Roman" w:eastAsia="Times New Roman" w:hAnsi="Times New Roman" w:cs="Times New Roman"/>
                <w:kern w:val="0"/>
                <w:sz w:val="20"/>
                <w:szCs w:val="20"/>
                <w:lang w:val="en-US" w:eastAsia="en-GB"/>
              </w:rPr>
              <w:t>*" OR "</w:t>
            </w:r>
            <w:proofErr w:type="spellStart"/>
            <w:r w:rsidRPr="00BA2E19">
              <w:rPr>
                <w:rFonts w:ascii="Times New Roman" w:eastAsia="Times New Roman" w:hAnsi="Times New Roman" w:cs="Times New Roman"/>
                <w:kern w:val="0"/>
                <w:sz w:val="20"/>
                <w:szCs w:val="20"/>
                <w:lang w:val="en-US" w:eastAsia="en-GB"/>
              </w:rPr>
              <w:t>autis</w:t>
            </w:r>
            <w:proofErr w:type="spellEnd"/>
            <w:r w:rsidRPr="00BA2E19">
              <w:rPr>
                <w:rFonts w:ascii="Times New Roman" w:eastAsia="Times New Roman" w:hAnsi="Times New Roman" w:cs="Times New Roman"/>
                <w:kern w:val="0"/>
                <w:sz w:val="20"/>
                <w:szCs w:val="20"/>
                <w:lang w:val="en-US" w:eastAsia="en-GB"/>
              </w:rPr>
              <w:t>*") AND ("</w:t>
            </w:r>
            <w:proofErr w:type="spellStart"/>
            <w:r w:rsidRPr="00BA2E19">
              <w:rPr>
                <w:rFonts w:ascii="Times New Roman" w:eastAsia="Times New Roman" w:hAnsi="Times New Roman" w:cs="Times New Roman"/>
                <w:kern w:val="0"/>
                <w:sz w:val="20"/>
                <w:szCs w:val="20"/>
                <w:lang w:val="en-US" w:eastAsia="en-GB"/>
              </w:rPr>
              <w:t>suicid</w:t>
            </w:r>
            <w:proofErr w:type="spellEnd"/>
            <w:r w:rsidRPr="00BA2E19">
              <w:rPr>
                <w:rFonts w:ascii="Times New Roman" w:eastAsia="Times New Roman" w:hAnsi="Times New Roman" w:cs="Times New Roman"/>
                <w:kern w:val="0"/>
                <w:sz w:val="20"/>
                <w:szCs w:val="20"/>
                <w:lang w:val="en-US" w:eastAsia="en-GB"/>
              </w:rPr>
              <w:t>*"))</w:t>
            </w:r>
          </w:p>
        </w:tc>
      </w:tr>
      <w:tr w:rsidR="008A31DF" w:rsidRPr="00BA2E19" w14:paraId="12E0B03A" w14:textId="77777777" w:rsidTr="00147C41">
        <w:trPr>
          <w:trHeight w:val="5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bottom w:val="single" w:sz="4" w:space="0" w:color="FFFFFF"/>
            </w:tcBorders>
          </w:tcPr>
          <w:p w14:paraId="45957D15" w14:textId="77777777" w:rsidR="008A31DF" w:rsidRPr="00BA2E19" w:rsidRDefault="008A31DF" w:rsidP="00147C41">
            <w:pPr>
              <w:spacing w:before="480" w:line="360" w:lineRule="auto"/>
              <w:rPr>
                <w:rFonts w:ascii="Times New Roman" w:eastAsia="Times New Roman" w:hAnsi="Times New Roman" w:cs="Times New Roman"/>
                <w:b w:val="0"/>
                <w:bCs w:val="0"/>
                <w:kern w:val="0"/>
                <w:sz w:val="20"/>
                <w:szCs w:val="20"/>
                <w:lang w:val="en-US" w:eastAsia="en-GB"/>
              </w:rPr>
            </w:pPr>
            <w:r w:rsidRPr="00BA2E19">
              <w:rPr>
                <w:rFonts w:ascii="Times New Roman" w:eastAsia="Times New Roman" w:hAnsi="Times New Roman" w:cs="Times New Roman"/>
                <w:kern w:val="0"/>
                <w:sz w:val="20"/>
                <w:szCs w:val="20"/>
                <w:lang w:val="en-US" w:eastAsia="en-GB"/>
              </w:rPr>
              <w:t>CINAHL</w:t>
            </w:r>
          </w:p>
        </w:tc>
        <w:tc>
          <w:tcPr>
            <w:tcW w:w="0" w:type="auto"/>
            <w:tcBorders>
              <w:top w:val="single" w:sz="4" w:space="0" w:color="FFFFFF"/>
              <w:bottom w:val="single" w:sz="4" w:space="0" w:color="FFFFFF"/>
            </w:tcBorders>
          </w:tcPr>
          <w:p w14:paraId="12EC6B65" w14:textId="77777777" w:rsidR="008A31DF" w:rsidRPr="00BA2E19" w:rsidRDefault="008A31DF" w:rsidP="00147C41">
            <w:pPr>
              <w:spacing w:before="48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en-GB"/>
              </w:rPr>
            </w:pPr>
            <w:r w:rsidRPr="00BA2E19">
              <w:rPr>
                <w:rFonts w:ascii="Times New Roman" w:eastAsia="Times New Roman" w:hAnsi="Times New Roman" w:cs="Times New Roman"/>
                <w:kern w:val="0"/>
                <w:sz w:val="20"/>
                <w:szCs w:val="20"/>
                <w:lang w:val="en-US" w:eastAsia="en-GB"/>
              </w:rPr>
              <w:t xml:space="preserve">(((MH “Autistic Disorder”) OR (MH “Asperger Syndrome”) OR (MH “Child Development Disorders, Pervasive”) OR (TI </w:t>
            </w:r>
            <w:r w:rsidRPr="00BA2E19">
              <w:rPr>
                <w:rFonts w:ascii="Times New Roman" w:eastAsia="Times New Roman" w:hAnsi="Times New Roman" w:cs="Times New Roman"/>
                <w:kern w:val="0"/>
                <w:sz w:val="20"/>
                <w:szCs w:val="20"/>
                <w:rtl/>
                <w:lang w:val="en-US" w:eastAsia="en-GB"/>
              </w:rPr>
              <w:t>“</w:t>
            </w:r>
            <w:r w:rsidRPr="00BA2E19">
              <w:rPr>
                <w:rFonts w:ascii="Times New Roman" w:eastAsia="Times New Roman" w:hAnsi="Times New Roman" w:cs="Times New Roman"/>
                <w:kern w:val="0"/>
                <w:sz w:val="20"/>
                <w:szCs w:val="20"/>
                <w:lang w:val="en-US" w:eastAsia="en-GB"/>
              </w:rPr>
              <w:t xml:space="preserve">Asperger”) OR (AB </w:t>
            </w:r>
            <w:r w:rsidRPr="00BA2E19">
              <w:rPr>
                <w:rFonts w:ascii="Times New Roman" w:eastAsia="Times New Roman" w:hAnsi="Times New Roman" w:cs="Times New Roman"/>
                <w:kern w:val="0"/>
                <w:sz w:val="20"/>
                <w:szCs w:val="20"/>
                <w:rtl/>
                <w:lang w:val="en-US" w:eastAsia="en-GB"/>
              </w:rPr>
              <w:t>“</w:t>
            </w:r>
            <w:r w:rsidRPr="00BA2E19">
              <w:rPr>
                <w:rFonts w:ascii="Times New Roman" w:eastAsia="Times New Roman" w:hAnsi="Times New Roman" w:cs="Times New Roman"/>
                <w:kern w:val="0"/>
                <w:sz w:val="20"/>
                <w:szCs w:val="20"/>
                <w:lang w:val="en-US" w:eastAsia="en-GB"/>
              </w:rPr>
              <w:t xml:space="preserve">Asperger”) OR (TI </w:t>
            </w:r>
            <w:r w:rsidRPr="00BA2E19">
              <w:rPr>
                <w:rFonts w:ascii="Times New Roman" w:eastAsia="Times New Roman" w:hAnsi="Times New Roman" w:cs="Times New Roman"/>
                <w:kern w:val="0"/>
                <w:sz w:val="20"/>
                <w:szCs w:val="20"/>
                <w:rtl/>
                <w:lang w:val="en-US" w:eastAsia="en-GB"/>
              </w:rPr>
              <w:t>“</w:t>
            </w:r>
            <w:proofErr w:type="spellStart"/>
            <w:r w:rsidRPr="00BA2E19">
              <w:rPr>
                <w:rFonts w:ascii="Times New Roman" w:eastAsia="Times New Roman" w:hAnsi="Times New Roman" w:cs="Times New Roman"/>
                <w:kern w:val="0"/>
                <w:sz w:val="20"/>
                <w:szCs w:val="20"/>
                <w:lang w:val="en-US" w:eastAsia="en-GB"/>
              </w:rPr>
              <w:t>autis</w:t>
            </w:r>
            <w:proofErr w:type="spellEnd"/>
            <w:r w:rsidRPr="00BA2E19">
              <w:rPr>
                <w:rFonts w:ascii="Times New Roman" w:eastAsia="Times New Roman" w:hAnsi="Times New Roman" w:cs="Times New Roman"/>
                <w:kern w:val="0"/>
                <w:sz w:val="20"/>
                <w:szCs w:val="20"/>
                <w:lang w:val="en-US" w:eastAsia="en-GB"/>
              </w:rPr>
              <w:t xml:space="preserve">*”) OR (AB </w:t>
            </w:r>
            <w:r w:rsidRPr="00BA2E19">
              <w:rPr>
                <w:rFonts w:ascii="Times New Roman" w:eastAsia="Times New Roman" w:hAnsi="Times New Roman" w:cs="Times New Roman"/>
                <w:kern w:val="0"/>
                <w:sz w:val="20"/>
                <w:szCs w:val="20"/>
                <w:rtl/>
                <w:lang w:val="en-US" w:eastAsia="en-GB"/>
              </w:rPr>
              <w:t>“</w:t>
            </w:r>
            <w:proofErr w:type="spellStart"/>
            <w:r w:rsidRPr="00BA2E19">
              <w:rPr>
                <w:rFonts w:ascii="Times New Roman" w:eastAsia="Times New Roman" w:hAnsi="Times New Roman" w:cs="Times New Roman"/>
                <w:kern w:val="0"/>
                <w:sz w:val="20"/>
                <w:szCs w:val="20"/>
                <w:lang w:val="en-US" w:eastAsia="en-GB"/>
              </w:rPr>
              <w:t>autis</w:t>
            </w:r>
            <w:proofErr w:type="spellEnd"/>
            <w:r w:rsidRPr="00BA2E19">
              <w:rPr>
                <w:rFonts w:ascii="Times New Roman" w:eastAsia="Times New Roman" w:hAnsi="Times New Roman" w:cs="Times New Roman"/>
                <w:kern w:val="0"/>
                <w:sz w:val="20"/>
                <w:szCs w:val="20"/>
                <w:lang w:val="en-US" w:eastAsia="en-GB"/>
              </w:rPr>
              <w:t>*”)) AND ((MH “Suicide”) OR (MH “Suicide, Attempted”) OR (MH “Suicidal Ideation”) OR (MH “Suicide Risk (Saba CCC)”) OR (TI “</w:t>
            </w:r>
            <w:proofErr w:type="spellStart"/>
            <w:r w:rsidRPr="00BA2E19">
              <w:rPr>
                <w:rFonts w:ascii="Times New Roman" w:eastAsia="Times New Roman" w:hAnsi="Times New Roman" w:cs="Times New Roman"/>
                <w:kern w:val="0"/>
                <w:sz w:val="20"/>
                <w:szCs w:val="20"/>
                <w:lang w:val="en-US" w:eastAsia="en-GB"/>
              </w:rPr>
              <w:t>suicid</w:t>
            </w:r>
            <w:proofErr w:type="spellEnd"/>
            <w:r w:rsidRPr="00BA2E19">
              <w:rPr>
                <w:rFonts w:ascii="Times New Roman" w:eastAsia="Times New Roman" w:hAnsi="Times New Roman" w:cs="Times New Roman"/>
                <w:kern w:val="0"/>
                <w:sz w:val="20"/>
                <w:szCs w:val="20"/>
                <w:lang w:val="en-US" w:eastAsia="en-GB"/>
              </w:rPr>
              <w:t>*”) OR (AB “</w:t>
            </w:r>
            <w:proofErr w:type="spellStart"/>
            <w:r w:rsidRPr="00BA2E19">
              <w:rPr>
                <w:rFonts w:ascii="Times New Roman" w:eastAsia="Times New Roman" w:hAnsi="Times New Roman" w:cs="Times New Roman"/>
                <w:kern w:val="0"/>
                <w:sz w:val="20"/>
                <w:szCs w:val="20"/>
                <w:lang w:val="en-US" w:eastAsia="en-GB"/>
              </w:rPr>
              <w:t>suicid</w:t>
            </w:r>
            <w:proofErr w:type="spellEnd"/>
            <w:r w:rsidRPr="00BA2E19">
              <w:rPr>
                <w:rFonts w:ascii="Times New Roman" w:eastAsia="Times New Roman" w:hAnsi="Times New Roman" w:cs="Times New Roman"/>
                <w:kern w:val="0"/>
                <w:sz w:val="20"/>
                <w:szCs w:val="20"/>
                <w:lang w:val="en-US" w:eastAsia="en-GB"/>
              </w:rPr>
              <w:t>*”)))</w:t>
            </w:r>
          </w:p>
        </w:tc>
      </w:tr>
      <w:tr w:rsidR="008A31DF" w:rsidRPr="00BA2E19" w14:paraId="3EDEB00F" w14:textId="77777777" w:rsidTr="00147C41">
        <w:trPr>
          <w:trHeight w:val="5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FFFFFF"/>
              <w:bottom w:val="single" w:sz="4" w:space="0" w:color="7F7F7F" w:themeColor="text1" w:themeTint="80"/>
            </w:tcBorders>
          </w:tcPr>
          <w:p w14:paraId="50D54CD4" w14:textId="77777777" w:rsidR="008A31DF" w:rsidRPr="00BA2E19" w:rsidRDefault="008A31DF" w:rsidP="00147C41">
            <w:pPr>
              <w:spacing w:before="480" w:line="360" w:lineRule="auto"/>
              <w:rPr>
                <w:rFonts w:ascii="Times New Roman" w:eastAsia="Times New Roman" w:hAnsi="Times New Roman" w:cs="Times New Roman"/>
                <w:b w:val="0"/>
                <w:bCs w:val="0"/>
                <w:kern w:val="0"/>
                <w:sz w:val="20"/>
                <w:szCs w:val="20"/>
                <w:lang w:val="en-US" w:eastAsia="en-GB"/>
              </w:rPr>
            </w:pPr>
            <w:r w:rsidRPr="00BA2E19">
              <w:rPr>
                <w:rFonts w:ascii="Times New Roman" w:eastAsia="Times New Roman" w:hAnsi="Times New Roman" w:cs="Times New Roman"/>
                <w:kern w:val="0"/>
                <w:sz w:val="20"/>
                <w:szCs w:val="20"/>
                <w:lang w:val="en-US" w:eastAsia="en-GB"/>
              </w:rPr>
              <w:t>SCOPUS</w:t>
            </w:r>
          </w:p>
        </w:tc>
        <w:tc>
          <w:tcPr>
            <w:tcW w:w="0" w:type="auto"/>
            <w:tcBorders>
              <w:top w:val="single" w:sz="4" w:space="0" w:color="FFFFFF"/>
              <w:bottom w:val="single" w:sz="4" w:space="0" w:color="7F7F7F" w:themeColor="text1" w:themeTint="80"/>
            </w:tcBorders>
          </w:tcPr>
          <w:p w14:paraId="21F13DDB" w14:textId="77777777" w:rsidR="008A31DF" w:rsidRPr="00BA2E19" w:rsidRDefault="008A31DF" w:rsidP="00147C41">
            <w:pPr>
              <w:spacing w:before="48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val="en-US" w:eastAsia="en-GB"/>
              </w:rPr>
            </w:pPr>
            <w:r w:rsidRPr="00BA2E19">
              <w:rPr>
                <w:rFonts w:ascii="Times New Roman" w:eastAsia="Times New Roman" w:hAnsi="Times New Roman" w:cs="Times New Roman"/>
                <w:kern w:val="0"/>
                <w:sz w:val="20"/>
                <w:szCs w:val="20"/>
                <w:lang w:val="en-US" w:eastAsia="en-GB"/>
              </w:rPr>
              <w:t>((TITLE-ABS-</w:t>
            </w:r>
            <w:proofErr w:type="gramStart"/>
            <w:r w:rsidRPr="00BA2E19">
              <w:rPr>
                <w:rFonts w:ascii="Times New Roman" w:eastAsia="Times New Roman" w:hAnsi="Times New Roman" w:cs="Times New Roman"/>
                <w:kern w:val="0"/>
                <w:sz w:val="20"/>
                <w:szCs w:val="20"/>
                <w:lang w:val="en-US" w:eastAsia="en-GB"/>
              </w:rPr>
              <w:t>KEY(</w:t>
            </w:r>
            <w:proofErr w:type="spellStart"/>
            <w:proofErr w:type="gramEnd"/>
            <w:r w:rsidRPr="00BA2E19">
              <w:rPr>
                <w:rFonts w:ascii="Times New Roman" w:eastAsia="Times New Roman" w:hAnsi="Times New Roman" w:cs="Times New Roman"/>
                <w:kern w:val="0"/>
                <w:sz w:val="20"/>
                <w:szCs w:val="20"/>
                <w:lang w:val="en-US" w:eastAsia="en-GB"/>
              </w:rPr>
              <w:t>asperger</w:t>
            </w:r>
            <w:proofErr w:type="spellEnd"/>
            <w:r w:rsidRPr="00BA2E19">
              <w:rPr>
                <w:rFonts w:ascii="Times New Roman" w:eastAsia="Times New Roman" w:hAnsi="Times New Roman" w:cs="Times New Roman"/>
                <w:kern w:val="0"/>
                <w:sz w:val="20"/>
                <w:szCs w:val="20"/>
                <w:lang w:val="en-US" w:eastAsia="en-GB"/>
              </w:rPr>
              <w:t>*)) OR (TITLE-ABS-KEY("</w:t>
            </w:r>
            <w:proofErr w:type="spellStart"/>
            <w:r w:rsidRPr="00BA2E19">
              <w:rPr>
                <w:rFonts w:ascii="Times New Roman" w:eastAsia="Times New Roman" w:hAnsi="Times New Roman" w:cs="Times New Roman"/>
                <w:kern w:val="0"/>
                <w:sz w:val="20"/>
                <w:szCs w:val="20"/>
                <w:lang w:val="en-US" w:eastAsia="en-GB"/>
              </w:rPr>
              <w:t>autis</w:t>
            </w:r>
            <w:proofErr w:type="spellEnd"/>
            <w:r w:rsidRPr="00BA2E19">
              <w:rPr>
                <w:rFonts w:ascii="Times New Roman" w:eastAsia="Times New Roman" w:hAnsi="Times New Roman" w:cs="Times New Roman"/>
                <w:kern w:val="0"/>
                <w:sz w:val="20"/>
                <w:szCs w:val="20"/>
                <w:lang w:val="en-US" w:eastAsia="en-GB"/>
              </w:rPr>
              <w:t>*"))) AND (TITLE-ABS-</w:t>
            </w:r>
            <w:proofErr w:type="gramStart"/>
            <w:r w:rsidRPr="00BA2E19">
              <w:rPr>
                <w:rFonts w:ascii="Times New Roman" w:eastAsia="Times New Roman" w:hAnsi="Times New Roman" w:cs="Times New Roman"/>
                <w:kern w:val="0"/>
                <w:sz w:val="20"/>
                <w:szCs w:val="20"/>
                <w:lang w:val="en-US" w:eastAsia="en-GB"/>
              </w:rPr>
              <w:t>KEY(</w:t>
            </w:r>
            <w:proofErr w:type="spellStart"/>
            <w:proofErr w:type="gramEnd"/>
            <w:r w:rsidRPr="00BA2E19">
              <w:rPr>
                <w:rFonts w:ascii="Times New Roman" w:eastAsia="Times New Roman" w:hAnsi="Times New Roman" w:cs="Times New Roman"/>
                <w:kern w:val="0"/>
                <w:sz w:val="20"/>
                <w:szCs w:val="20"/>
                <w:lang w:val="en-US" w:eastAsia="en-GB"/>
              </w:rPr>
              <w:t>suicid</w:t>
            </w:r>
            <w:proofErr w:type="spellEnd"/>
            <w:r w:rsidRPr="00BA2E19">
              <w:rPr>
                <w:rFonts w:ascii="Times New Roman" w:eastAsia="Times New Roman" w:hAnsi="Times New Roman" w:cs="Times New Roman"/>
                <w:kern w:val="0"/>
                <w:sz w:val="20"/>
                <w:szCs w:val="20"/>
                <w:lang w:val="en-US" w:eastAsia="en-GB"/>
              </w:rPr>
              <w:t>*))</w:t>
            </w:r>
          </w:p>
        </w:tc>
      </w:tr>
    </w:tbl>
    <w:p w14:paraId="112A6E3A" w14:textId="77777777" w:rsidR="008A31DF" w:rsidRDefault="008A31DF" w:rsidP="008B3BE9">
      <w:pPr>
        <w:spacing w:line="480" w:lineRule="auto"/>
        <w:ind w:firstLine="720"/>
        <w:rPr>
          <w:rFonts w:ascii="Times New Roman" w:hAnsi="Times New Roman" w:cs="Times New Roman"/>
          <w:b/>
          <w:bCs/>
          <w:sz w:val="20"/>
          <w:szCs w:val="20"/>
          <w:lang w:val="en-US"/>
        </w:rPr>
      </w:pPr>
    </w:p>
    <w:p w14:paraId="1CB00541" w14:textId="77777777" w:rsidR="008A31DF" w:rsidRDefault="008A31DF" w:rsidP="008B3BE9">
      <w:pPr>
        <w:spacing w:line="480" w:lineRule="auto"/>
        <w:ind w:firstLine="720"/>
        <w:rPr>
          <w:rFonts w:ascii="Times New Roman" w:hAnsi="Times New Roman" w:cs="Times New Roman"/>
          <w:b/>
          <w:bCs/>
          <w:sz w:val="20"/>
          <w:szCs w:val="20"/>
          <w:lang w:val="en-US"/>
        </w:rPr>
      </w:pPr>
    </w:p>
    <w:p w14:paraId="7F9C9316" w14:textId="77777777" w:rsidR="008A31DF" w:rsidRDefault="008A31DF" w:rsidP="008B3BE9">
      <w:pPr>
        <w:spacing w:line="480" w:lineRule="auto"/>
        <w:ind w:firstLine="720"/>
        <w:rPr>
          <w:rFonts w:ascii="Times New Roman" w:hAnsi="Times New Roman" w:cs="Times New Roman"/>
          <w:b/>
          <w:bCs/>
          <w:sz w:val="20"/>
          <w:szCs w:val="20"/>
          <w:lang w:val="en-US"/>
        </w:rPr>
      </w:pPr>
    </w:p>
    <w:p w14:paraId="549B8171" w14:textId="77777777" w:rsidR="008A31DF" w:rsidRDefault="008A31DF" w:rsidP="008B3BE9">
      <w:pPr>
        <w:spacing w:line="480" w:lineRule="auto"/>
        <w:ind w:firstLine="720"/>
        <w:rPr>
          <w:rFonts w:ascii="Times New Roman" w:hAnsi="Times New Roman" w:cs="Times New Roman"/>
          <w:b/>
          <w:bCs/>
          <w:sz w:val="20"/>
          <w:szCs w:val="20"/>
          <w:lang w:val="en-US"/>
        </w:rPr>
      </w:pPr>
    </w:p>
    <w:p w14:paraId="5DF73720" w14:textId="77777777" w:rsidR="008A31DF" w:rsidRDefault="008A31DF" w:rsidP="008B3BE9">
      <w:pPr>
        <w:spacing w:line="480" w:lineRule="auto"/>
        <w:ind w:firstLine="720"/>
        <w:rPr>
          <w:rFonts w:ascii="Times New Roman" w:hAnsi="Times New Roman" w:cs="Times New Roman"/>
          <w:b/>
          <w:bCs/>
          <w:sz w:val="20"/>
          <w:szCs w:val="20"/>
          <w:lang w:val="en-US"/>
        </w:rPr>
      </w:pPr>
    </w:p>
    <w:p w14:paraId="6510AC00" w14:textId="77777777" w:rsidR="008A31DF" w:rsidRDefault="008A31DF" w:rsidP="008B3BE9">
      <w:pPr>
        <w:spacing w:line="480" w:lineRule="auto"/>
        <w:ind w:firstLine="720"/>
        <w:rPr>
          <w:rFonts w:ascii="Times New Roman" w:hAnsi="Times New Roman" w:cs="Times New Roman"/>
          <w:b/>
          <w:bCs/>
          <w:sz w:val="20"/>
          <w:szCs w:val="20"/>
          <w:lang w:val="en-US"/>
        </w:rPr>
      </w:pPr>
    </w:p>
    <w:p w14:paraId="57DB3FD7" w14:textId="77777777" w:rsidR="008A31DF" w:rsidRDefault="008A31DF" w:rsidP="008B3BE9">
      <w:pPr>
        <w:spacing w:line="480" w:lineRule="auto"/>
        <w:ind w:firstLine="720"/>
        <w:rPr>
          <w:rFonts w:ascii="Times New Roman" w:hAnsi="Times New Roman" w:cs="Times New Roman"/>
          <w:b/>
          <w:bCs/>
          <w:sz w:val="20"/>
          <w:szCs w:val="20"/>
          <w:lang w:val="en-US"/>
        </w:rPr>
      </w:pPr>
    </w:p>
    <w:p w14:paraId="069AE41F" w14:textId="77777777" w:rsidR="008A31DF" w:rsidRDefault="008A31DF" w:rsidP="008B3BE9">
      <w:pPr>
        <w:spacing w:line="480" w:lineRule="auto"/>
        <w:ind w:firstLine="720"/>
        <w:rPr>
          <w:rFonts w:ascii="Times New Roman" w:hAnsi="Times New Roman" w:cs="Times New Roman"/>
          <w:b/>
          <w:bCs/>
          <w:sz w:val="20"/>
          <w:szCs w:val="20"/>
          <w:lang w:val="en-US"/>
        </w:rPr>
      </w:pPr>
    </w:p>
    <w:p w14:paraId="2A5D15FD" w14:textId="77777777" w:rsidR="008A31DF" w:rsidRDefault="008A31DF" w:rsidP="008B3BE9">
      <w:pPr>
        <w:spacing w:line="480" w:lineRule="auto"/>
        <w:ind w:firstLine="720"/>
        <w:rPr>
          <w:rFonts w:ascii="Times New Roman" w:hAnsi="Times New Roman" w:cs="Times New Roman"/>
          <w:b/>
          <w:bCs/>
          <w:sz w:val="20"/>
          <w:szCs w:val="20"/>
          <w:lang w:val="en-US"/>
        </w:rPr>
      </w:pPr>
    </w:p>
    <w:p w14:paraId="28AD9342" w14:textId="77777777" w:rsidR="008A31DF" w:rsidRDefault="008A31DF" w:rsidP="008B3BE9">
      <w:pPr>
        <w:spacing w:line="480" w:lineRule="auto"/>
        <w:ind w:firstLine="720"/>
        <w:rPr>
          <w:rFonts w:ascii="Times New Roman" w:hAnsi="Times New Roman" w:cs="Times New Roman"/>
          <w:b/>
          <w:bCs/>
          <w:sz w:val="20"/>
          <w:szCs w:val="20"/>
          <w:lang w:val="en-US"/>
        </w:rPr>
      </w:pPr>
    </w:p>
    <w:p w14:paraId="0FF9B4E7" w14:textId="77777777" w:rsidR="008A31DF" w:rsidRDefault="008A31DF" w:rsidP="008B3BE9">
      <w:pPr>
        <w:spacing w:line="480" w:lineRule="auto"/>
        <w:ind w:firstLine="720"/>
        <w:rPr>
          <w:rFonts w:ascii="Times New Roman" w:hAnsi="Times New Roman" w:cs="Times New Roman"/>
          <w:b/>
          <w:bCs/>
          <w:sz w:val="20"/>
          <w:szCs w:val="20"/>
          <w:lang w:val="en-US"/>
        </w:rPr>
      </w:pPr>
    </w:p>
    <w:p w14:paraId="31BABB92" w14:textId="77777777" w:rsidR="008A31DF" w:rsidRDefault="008A31DF" w:rsidP="008B3BE9">
      <w:pPr>
        <w:spacing w:line="480" w:lineRule="auto"/>
        <w:ind w:firstLine="720"/>
        <w:rPr>
          <w:rFonts w:ascii="Times New Roman" w:hAnsi="Times New Roman" w:cs="Times New Roman"/>
          <w:b/>
          <w:bCs/>
          <w:sz w:val="20"/>
          <w:szCs w:val="20"/>
          <w:lang w:val="en-US"/>
        </w:rPr>
      </w:pPr>
    </w:p>
    <w:p w14:paraId="53957B39" w14:textId="7EC8C812" w:rsidR="008A31DF" w:rsidRPr="008A31DF" w:rsidRDefault="008A31DF" w:rsidP="008A31DF">
      <w:pPr>
        <w:pStyle w:val="Lijstalinea"/>
        <w:numPr>
          <w:ilvl w:val="0"/>
          <w:numId w:val="4"/>
        </w:numPr>
        <w:spacing w:line="360" w:lineRule="auto"/>
        <w:rPr>
          <w:rFonts w:ascii="Times New Roman" w:hAnsi="Times New Roman" w:cs="Times New Roman"/>
          <w:b/>
          <w:bCs/>
          <w:color w:val="000000" w:themeColor="text1"/>
          <w:sz w:val="20"/>
          <w:szCs w:val="20"/>
          <w:lang w:val="en-US"/>
        </w:rPr>
      </w:pPr>
      <w:r w:rsidRPr="008A31DF">
        <w:rPr>
          <w:rFonts w:ascii="Times New Roman" w:hAnsi="Times New Roman" w:cs="Times New Roman"/>
          <w:b/>
          <w:bCs/>
          <w:color w:val="000000" w:themeColor="text1"/>
          <w:sz w:val="20"/>
          <w:szCs w:val="20"/>
          <w:lang w:val="en-US"/>
        </w:rPr>
        <w:lastRenderedPageBreak/>
        <w:t>Breakdown of Data Charting Categories</w:t>
      </w:r>
    </w:p>
    <w:tbl>
      <w:tblPr>
        <w:tblStyle w:val="PlainTable21"/>
        <w:tblW w:w="9498" w:type="dxa"/>
        <w:tblLook w:val="04A0" w:firstRow="1" w:lastRow="0" w:firstColumn="1" w:lastColumn="0" w:noHBand="0" w:noVBand="1"/>
      </w:tblPr>
      <w:tblGrid>
        <w:gridCol w:w="1843"/>
        <w:gridCol w:w="7655"/>
      </w:tblGrid>
      <w:tr w:rsidR="008A31DF" w:rsidRPr="00BA2E19" w14:paraId="5C365332" w14:textId="77777777" w:rsidTr="00147C4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843" w:type="dxa"/>
            <w:tcBorders>
              <w:top w:val="single" w:sz="2" w:space="0" w:color="000000" w:themeColor="text1"/>
              <w:bottom w:val="single" w:sz="2" w:space="0" w:color="000000" w:themeColor="text1"/>
            </w:tcBorders>
            <w:vAlign w:val="center"/>
          </w:tcPr>
          <w:p w14:paraId="28A52468" w14:textId="77777777" w:rsidR="008A31DF" w:rsidRPr="00BA2E19" w:rsidRDefault="008A31DF" w:rsidP="00147C41">
            <w:pPr>
              <w:spacing w:line="360" w:lineRule="auto"/>
              <w:jc w:val="center"/>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Broad category</w:t>
            </w:r>
          </w:p>
        </w:tc>
        <w:tc>
          <w:tcPr>
            <w:tcW w:w="7655" w:type="dxa"/>
            <w:tcBorders>
              <w:top w:val="single" w:sz="2" w:space="0" w:color="000000" w:themeColor="text1"/>
              <w:bottom w:val="single" w:sz="2" w:space="0" w:color="000000" w:themeColor="text1"/>
            </w:tcBorders>
            <w:vAlign w:val="center"/>
          </w:tcPr>
          <w:p w14:paraId="6272766E" w14:textId="77777777" w:rsidR="008A31DF" w:rsidRPr="00BA2E19" w:rsidRDefault="008A31DF" w:rsidP="00147C41">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b w:val="0"/>
                <w:bCs w:val="0"/>
                <w:sz w:val="20"/>
                <w:szCs w:val="20"/>
                <w:lang w:val="en-US"/>
              </w:rPr>
              <w:t>Specifics Captured</w:t>
            </w:r>
          </w:p>
        </w:tc>
      </w:tr>
      <w:tr w:rsidR="008A31DF" w:rsidRPr="00BA2E19" w14:paraId="2F92AB91" w14:textId="77777777" w:rsidTr="00147C41">
        <w:trPr>
          <w:trHeight w:val="567"/>
        </w:trPr>
        <w:tc>
          <w:tcPr>
            <w:cnfStyle w:val="001000000000" w:firstRow="0" w:lastRow="0" w:firstColumn="1" w:lastColumn="0" w:oddVBand="0" w:evenVBand="0" w:oddHBand="0" w:evenHBand="0" w:firstRowFirstColumn="0" w:firstRowLastColumn="0" w:lastRowFirstColumn="0" w:lastRowLastColumn="0"/>
            <w:tcW w:w="1843" w:type="dxa"/>
            <w:tcBorders>
              <w:top w:val="single" w:sz="2" w:space="0" w:color="000000" w:themeColor="text1"/>
              <w:bottom w:val="nil"/>
            </w:tcBorders>
            <w:vAlign w:val="center"/>
          </w:tcPr>
          <w:p w14:paraId="2B227AF5" w14:textId="77777777" w:rsidR="008A31DF" w:rsidRPr="00BA2E19" w:rsidRDefault="008A31DF" w:rsidP="00147C41">
            <w:pPr>
              <w:spacing w:line="360" w:lineRule="auto"/>
              <w:rPr>
                <w:rFonts w:ascii="Times New Roman" w:hAnsi="Times New Roman" w:cs="Times New Roman"/>
                <w:sz w:val="20"/>
                <w:szCs w:val="20"/>
                <w:lang w:val="en-US"/>
              </w:rPr>
            </w:pPr>
            <w:r w:rsidRPr="00BA2E19">
              <w:rPr>
                <w:rFonts w:ascii="Times New Roman" w:hAnsi="Times New Roman" w:cs="Times New Roman"/>
                <w:b w:val="0"/>
                <w:bCs w:val="0"/>
                <w:color w:val="000000" w:themeColor="text1"/>
                <w:sz w:val="20"/>
                <w:szCs w:val="20"/>
                <w:lang w:val="en-US"/>
              </w:rPr>
              <w:t>Study characteristics</w:t>
            </w:r>
          </w:p>
        </w:tc>
        <w:tc>
          <w:tcPr>
            <w:tcW w:w="7655" w:type="dxa"/>
            <w:tcBorders>
              <w:top w:val="single" w:sz="2" w:space="0" w:color="000000" w:themeColor="text1"/>
              <w:bottom w:val="nil"/>
            </w:tcBorders>
            <w:vAlign w:val="center"/>
          </w:tcPr>
          <w:p w14:paraId="64D3E204" w14:textId="77777777" w:rsidR="008A31DF" w:rsidRPr="00BA2E19" w:rsidRDefault="008A31DF" w:rsidP="00147C4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color w:val="000000" w:themeColor="text1"/>
                <w:sz w:val="20"/>
                <w:szCs w:val="20"/>
                <w:lang w:val="en-US"/>
              </w:rPr>
              <w:t>Author; Publication Year; Country of Origin; Study Design; Comparison Group; Reference to Theory.</w:t>
            </w:r>
          </w:p>
        </w:tc>
      </w:tr>
      <w:tr w:rsidR="008A31DF" w:rsidRPr="00BA2E19" w14:paraId="6FAC27FB" w14:textId="77777777" w:rsidTr="00147C41">
        <w:trPr>
          <w:trHeight w:val="910"/>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vAlign w:val="center"/>
          </w:tcPr>
          <w:p w14:paraId="28CC93AC" w14:textId="77777777" w:rsidR="008A31DF" w:rsidRPr="00BA2E19" w:rsidRDefault="008A31DF" w:rsidP="00147C41">
            <w:pPr>
              <w:spacing w:line="360" w:lineRule="auto"/>
              <w:rPr>
                <w:rFonts w:ascii="Times New Roman" w:hAnsi="Times New Roman" w:cs="Times New Roman"/>
                <w:sz w:val="20"/>
                <w:szCs w:val="20"/>
                <w:lang w:val="en-US"/>
              </w:rPr>
            </w:pPr>
            <w:r w:rsidRPr="00BA2E19">
              <w:rPr>
                <w:rFonts w:ascii="Times New Roman" w:hAnsi="Times New Roman" w:cs="Times New Roman"/>
                <w:b w:val="0"/>
                <w:bCs w:val="0"/>
                <w:color w:val="000000" w:themeColor="text1"/>
                <w:sz w:val="20"/>
                <w:szCs w:val="20"/>
                <w:lang w:val="en-US"/>
              </w:rPr>
              <w:t>Sample characteristics</w:t>
            </w:r>
          </w:p>
        </w:tc>
        <w:tc>
          <w:tcPr>
            <w:tcW w:w="7655" w:type="dxa"/>
            <w:tcBorders>
              <w:top w:val="nil"/>
              <w:bottom w:val="nil"/>
            </w:tcBorders>
            <w:vAlign w:val="center"/>
          </w:tcPr>
          <w:p w14:paraId="4B49F797" w14:textId="77777777" w:rsidR="008A31DF" w:rsidRPr="00BA2E19" w:rsidRDefault="008A31DF" w:rsidP="00147C4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color w:val="000000" w:themeColor="text1"/>
                <w:sz w:val="20"/>
                <w:szCs w:val="20"/>
                <w:lang w:val="en-US"/>
              </w:rPr>
              <w:t>Sample Size; Mean Age; Percentage of Male Participants; Participant Race; Method of Sample Ascertainment; Autism Diagnosis Tool; Measures Employed to Assess Cognitive and Intellectual Ability; Data Source.</w:t>
            </w:r>
          </w:p>
        </w:tc>
      </w:tr>
      <w:tr w:rsidR="008A31DF" w:rsidRPr="00BA2E19" w14:paraId="4CA8E2D7" w14:textId="77777777" w:rsidTr="00147C41">
        <w:trPr>
          <w:trHeight w:val="368"/>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vAlign w:val="center"/>
          </w:tcPr>
          <w:p w14:paraId="3A86B701" w14:textId="77777777" w:rsidR="008A31DF" w:rsidRPr="00BA2E19" w:rsidRDefault="008A31DF" w:rsidP="00147C41">
            <w:pPr>
              <w:spacing w:line="360" w:lineRule="auto"/>
              <w:rPr>
                <w:rFonts w:ascii="Times New Roman" w:hAnsi="Times New Roman" w:cs="Times New Roman"/>
                <w:sz w:val="20"/>
                <w:szCs w:val="20"/>
                <w:lang w:val="en-US"/>
              </w:rPr>
            </w:pPr>
            <w:r w:rsidRPr="00BA2E19">
              <w:rPr>
                <w:rFonts w:ascii="Times New Roman" w:hAnsi="Times New Roman" w:cs="Times New Roman"/>
                <w:b w:val="0"/>
                <w:bCs w:val="0"/>
                <w:color w:val="000000" w:themeColor="text1"/>
                <w:sz w:val="20"/>
                <w:szCs w:val="20"/>
                <w:lang w:val="en-US"/>
              </w:rPr>
              <w:t>Suicidality results</w:t>
            </w:r>
          </w:p>
        </w:tc>
        <w:tc>
          <w:tcPr>
            <w:tcW w:w="7655" w:type="dxa"/>
            <w:tcBorders>
              <w:top w:val="nil"/>
              <w:bottom w:val="nil"/>
            </w:tcBorders>
            <w:vAlign w:val="center"/>
          </w:tcPr>
          <w:p w14:paraId="5D276DB7" w14:textId="77777777" w:rsidR="008A31DF" w:rsidRPr="00BA2E19" w:rsidRDefault="008A31DF" w:rsidP="00147C4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lang w:val="en-US"/>
              </w:rPr>
            </w:pPr>
            <w:r w:rsidRPr="00BA2E19">
              <w:rPr>
                <w:rFonts w:ascii="Times New Roman" w:hAnsi="Times New Roman" w:cs="Times New Roman"/>
                <w:color w:val="000000" w:themeColor="text1"/>
                <w:sz w:val="20"/>
                <w:szCs w:val="20"/>
                <w:lang w:val="en-US"/>
              </w:rPr>
              <w:t>Primary Standardized Measure Employed; Prevalence Figures Coded According to Their Study-specific Operationalization.</w:t>
            </w:r>
          </w:p>
        </w:tc>
      </w:tr>
      <w:tr w:rsidR="008A31DF" w:rsidRPr="00BA2E19" w14:paraId="478A61BB" w14:textId="77777777" w:rsidTr="00147C41">
        <w:trPr>
          <w:trHeight w:val="913"/>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vAlign w:val="center"/>
          </w:tcPr>
          <w:p w14:paraId="06133863" w14:textId="77777777" w:rsidR="008A31DF" w:rsidRPr="00BA2E19" w:rsidRDefault="008A31DF" w:rsidP="00147C41">
            <w:pPr>
              <w:spacing w:line="360" w:lineRule="auto"/>
              <w:rPr>
                <w:rFonts w:ascii="Times New Roman" w:hAnsi="Times New Roman" w:cs="Times New Roman"/>
                <w:sz w:val="20"/>
                <w:szCs w:val="20"/>
                <w:lang w:val="en-US"/>
              </w:rPr>
            </w:pPr>
            <w:r w:rsidRPr="00BA2E19">
              <w:rPr>
                <w:rFonts w:ascii="Times New Roman" w:hAnsi="Times New Roman" w:cs="Times New Roman"/>
                <w:b w:val="0"/>
                <w:bCs w:val="0"/>
                <w:color w:val="000000" w:themeColor="text1"/>
                <w:sz w:val="20"/>
                <w:szCs w:val="20"/>
                <w:lang w:val="en-US"/>
              </w:rPr>
              <w:t>Thwarted belongingness</w:t>
            </w:r>
          </w:p>
        </w:tc>
        <w:tc>
          <w:tcPr>
            <w:tcW w:w="7655" w:type="dxa"/>
            <w:tcBorders>
              <w:top w:val="nil"/>
              <w:bottom w:val="nil"/>
            </w:tcBorders>
            <w:vAlign w:val="center"/>
          </w:tcPr>
          <w:p w14:paraId="2A66DF1F" w14:textId="77777777" w:rsidR="008A31DF" w:rsidRPr="00BA2E19" w:rsidRDefault="008A31DF" w:rsidP="00147C4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lang w:val="en-US"/>
              </w:rPr>
            </w:pPr>
            <w:r w:rsidRPr="00BA2E19">
              <w:rPr>
                <w:rFonts w:ascii="Times New Roman" w:hAnsi="Times New Roman" w:cs="Times New Roman"/>
                <w:color w:val="000000" w:themeColor="text1"/>
                <w:sz w:val="20"/>
                <w:szCs w:val="20"/>
                <w:lang w:val="en-US"/>
              </w:rPr>
              <w:t>Indicators and features related to the need for connectedness not being met. I</w:t>
            </w:r>
            <w:r w:rsidRPr="00BA2E19">
              <w:rPr>
                <w:rFonts w:ascii="Times New Roman" w:hAnsi="Times New Roman" w:cs="Times New Roman"/>
                <w:color w:val="0D0D0D"/>
                <w:sz w:val="20"/>
                <w:szCs w:val="20"/>
                <w:shd w:val="clear" w:color="auto" w:fill="FFFFFF"/>
                <w:lang w:val="en-US"/>
              </w:rPr>
              <w:t xml:space="preserve">ncludes, but is not limited to, factors such as loneliness, inter-personal conflicts, and general dissatisfaction with social </w:t>
            </w:r>
            <w:proofErr w:type="gramStart"/>
            <w:r w:rsidRPr="00BA2E19">
              <w:rPr>
                <w:rFonts w:ascii="Times New Roman" w:hAnsi="Times New Roman" w:cs="Times New Roman"/>
                <w:color w:val="0D0D0D"/>
                <w:sz w:val="20"/>
                <w:szCs w:val="20"/>
                <w:shd w:val="clear" w:color="auto" w:fill="FFFFFF"/>
                <w:lang w:val="en-US"/>
              </w:rPr>
              <w:t>relationships.</w:t>
            </w:r>
            <w:r w:rsidRPr="00BA2E19">
              <w:rPr>
                <w:rFonts w:ascii="Times New Roman" w:hAnsi="Times New Roman" w:cs="Times New Roman"/>
                <w:color w:val="0D0D0D"/>
                <w:sz w:val="20"/>
                <w:szCs w:val="20"/>
                <w:shd w:val="clear" w:color="auto" w:fill="FFFFFF"/>
                <w:vertAlign w:val="superscript"/>
                <w:lang w:val="en-US"/>
              </w:rPr>
              <w:t>*</w:t>
            </w:r>
            <w:proofErr w:type="gramEnd"/>
          </w:p>
        </w:tc>
      </w:tr>
      <w:tr w:rsidR="008A31DF" w:rsidRPr="00BA2E19" w14:paraId="542CBE83" w14:textId="77777777" w:rsidTr="00147C41">
        <w:trPr>
          <w:trHeight w:val="868"/>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vAlign w:val="center"/>
          </w:tcPr>
          <w:p w14:paraId="22D428FD" w14:textId="77777777" w:rsidR="008A31DF" w:rsidRPr="00BA2E19" w:rsidRDefault="008A31DF" w:rsidP="00147C41">
            <w:pPr>
              <w:spacing w:line="360" w:lineRule="auto"/>
              <w:rPr>
                <w:rFonts w:ascii="Times New Roman" w:hAnsi="Times New Roman" w:cs="Times New Roman"/>
                <w:sz w:val="20"/>
                <w:szCs w:val="20"/>
                <w:lang w:val="en-US"/>
              </w:rPr>
            </w:pPr>
            <w:r w:rsidRPr="00BA2E19">
              <w:rPr>
                <w:rFonts w:ascii="Times New Roman" w:hAnsi="Times New Roman" w:cs="Times New Roman"/>
                <w:b w:val="0"/>
                <w:bCs w:val="0"/>
                <w:color w:val="000000" w:themeColor="text1"/>
                <w:sz w:val="20"/>
                <w:szCs w:val="20"/>
                <w:lang w:val="en-US"/>
              </w:rPr>
              <w:t>Perceived burdensomeness</w:t>
            </w:r>
          </w:p>
        </w:tc>
        <w:tc>
          <w:tcPr>
            <w:tcW w:w="7655" w:type="dxa"/>
            <w:tcBorders>
              <w:top w:val="nil"/>
              <w:bottom w:val="nil"/>
            </w:tcBorders>
            <w:vAlign w:val="center"/>
          </w:tcPr>
          <w:p w14:paraId="40353486" w14:textId="77777777" w:rsidR="008A31DF" w:rsidRPr="00BA2E19" w:rsidRDefault="008A31DF" w:rsidP="00147C4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lang w:val="en-US"/>
              </w:rPr>
            </w:pPr>
            <w:r w:rsidRPr="00BA2E19">
              <w:rPr>
                <w:rFonts w:ascii="Times New Roman" w:hAnsi="Times New Roman" w:cs="Times New Roman"/>
                <w:color w:val="000000" w:themeColor="text1"/>
                <w:sz w:val="20"/>
                <w:szCs w:val="20"/>
                <w:lang w:val="en-US"/>
              </w:rPr>
              <w:t>Indicators and features related to the need for social competence not being met. I</w:t>
            </w:r>
            <w:r w:rsidRPr="00BA2E19">
              <w:rPr>
                <w:rFonts w:ascii="Times New Roman" w:hAnsi="Times New Roman" w:cs="Times New Roman"/>
                <w:color w:val="0D0D0D"/>
                <w:sz w:val="20"/>
                <w:szCs w:val="20"/>
                <w:shd w:val="clear" w:color="auto" w:fill="FFFFFF"/>
                <w:lang w:val="en-US"/>
              </w:rPr>
              <w:t xml:space="preserve">ncludes, but is not limited to, factors such as chronic unemployment, lack of independence, low self-esteem, and feelings of </w:t>
            </w:r>
            <w:proofErr w:type="gramStart"/>
            <w:r w:rsidRPr="00BA2E19">
              <w:rPr>
                <w:rFonts w:ascii="Times New Roman" w:hAnsi="Times New Roman" w:cs="Times New Roman"/>
                <w:color w:val="0D0D0D"/>
                <w:sz w:val="20"/>
                <w:szCs w:val="20"/>
                <w:shd w:val="clear" w:color="auto" w:fill="FFFFFF"/>
                <w:lang w:val="en-US"/>
              </w:rPr>
              <w:t>failure.</w:t>
            </w:r>
            <w:r w:rsidRPr="00BA2E19">
              <w:rPr>
                <w:rFonts w:ascii="Times New Roman" w:hAnsi="Times New Roman" w:cs="Times New Roman"/>
                <w:color w:val="0D0D0D"/>
                <w:sz w:val="20"/>
                <w:szCs w:val="20"/>
                <w:shd w:val="clear" w:color="auto" w:fill="FFFFFF"/>
                <w:vertAlign w:val="superscript"/>
                <w:lang w:val="en-US"/>
              </w:rPr>
              <w:t>*</w:t>
            </w:r>
            <w:proofErr w:type="gramEnd"/>
          </w:p>
        </w:tc>
      </w:tr>
      <w:tr w:rsidR="008A31DF" w:rsidRPr="00BA2E19" w14:paraId="4E8C9A0F" w14:textId="77777777" w:rsidTr="00147C41">
        <w:trPr>
          <w:trHeight w:val="567"/>
        </w:trPr>
        <w:tc>
          <w:tcPr>
            <w:cnfStyle w:val="001000000000" w:firstRow="0" w:lastRow="0" w:firstColumn="1" w:lastColumn="0" w:oddVBand="0" w:evenVBand="0" w:oddHBand="0" w:evenHBand="0" w:firstRowFirstColumn="0" w:firstRowLastColumn="0" w:lastRowFirstColumn="0" w:lastRowLastColumn="0"/>
            <w:tcW w:w="1843" w:type="dxa"/>
            <w:tcBorders>
              <w:top w:val="nil"/>
              <w:bottom w:val="nil"/>
            </w:tcBorders>
            <w:vAlign w:val="center"/>
          </w:tcPr>
          <w:p w14:paraId="53958C84" w14:textId="77777777" w:rsidR="008A31DF" w:rsidRPr="00BA2E19" w:rsidRDefault="008A31DF" w:rsidP="00147C41">
            <w:pPr>
              <w:spacing w:line="360" w:lineRule="auto"/>
              <w:rPr>
                <w:rFonts w:ascii="Times New Roman" w:hAnsi="Times New Roman" w:cs="Times New Roman"/>
                <w:sz w:val="20"/>
                <w:szCs w:val="20"/>
                <w:lang w:val="en-US"/>
              </w:rPr>
            </w:pPr>
            <w:r w:rsidRPr="00BA2E19">
              <w:rPr>
                <w:rFonts w:ascii="Times New Roman" w:hAnsi="Times New Roman" w:cs="Times New Roman"/>
                <w:b w:val="0"/>
                <w:bCs w:val="0"/>
                <w:color w:val="000000" w:themeColor="text1"/>
                <w:sz w:val="20"/>
                <w:szCs w:val="20"/>
                <w:lang w:val="en-US"/>
              </w:rPr>
              <w:t>Suicidal capability</w:t>
            </w:r>
          </w:p>
        </w:tc>
        <w:tc>
          <w:tcPr>
            <w:tcW w:w="7655" w:type="dxa"/>
            <w:tcBorders>
              <w:top w:val="nil"/>
              <w:bottom w:val="nil"/>
            </w:tcBorders>
            <w:vAlign w:val="center"/>
          </w:tcPr>
          <w:p w14:paraId="2B3C977F" w14:textId="77777777" w:rsidR="008A31DF" w:rsidRPr="00BA2E19" w:rsidRDefault="008A31DF" w:rsidP="00147C4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vertAlign w:val="superscript"/>
                <w:lang w:val="en-US"/>
              </w:rPr>
            </w:pPr>
            <w:r w:rsidRPr="00BA2E19">
              <w:rPr>
                <w:rFonts w:ascii="Times New Roman" w:hAnsi="Times New Roman" w:cs="Times New Roman"/>
                <w:color w:val="000000" w:themeColor="text1"/>
                <w:sz w:val="20"/>
                <w:szCs w:val="20"/>
                <w:lang w:val="en-US"/>
              </w:rPr>
              <w:t>Indicators and features related to suicidal capability. I</w:t>
            </w:r>
            <w:r w:rsidRPr="00BA2E19">
              <w:rPr>
                <w:rFonts w:ascii="Times New Roman" w:hAnsi="Times New Roman" w:cs="Times New Roman"/>
                <w:color w:val="0D0D0D"/>
                <w:sz w:val="20"/>
                <w:szCs w:val="20"/>
                <w:shd w:val="clear" w:color="auto" w:fill="FFFFFF"/>
                <w:lang w:val="en-US"/>
              </w:rPr>
              <w:t xml:space="preserve">ncludes, but is not limited to, factors such as NSSI, reduced fear of death, previous attempts, and exposure to painful or provocative life </w:t>
            </w:r>
            <w:proofErr w:type="gramStart"/>
            <w:r w:rsidRPr="00BA2E19">
              <w:rPr>
                <w:rFonts w:ascii="Times New Roman" w:hAnsi="Times New Roman" w:cs="Times New Roman"/>
                <w:color w:val="0D0D0D"/>
                <w:sz w:val="20"/>
                <w:szCs w:val="20"/>
                <w:shd w:val="clear" w:color="auto" w:fill="FFFFFF"/>
                <w:lang w:val="en-US"/>
              </w:rPr>
              <w:t>events.</w:t>
            </w:r>
            <w:r w:rsidRPr="00BA2E19">
              <w:rPr>
                <w:rFonts w:ascii="Times New Roman" w:hAnsi="Times New Roman" w:cs="Times New Roman"/>
                <w:color w:val="0D0D0D"/>
                <w:sz w:val="20"/>
                <w:szCs w:val="20"/>
                <w:shd w:val="clear" w:color="auto" w:fill="FFFFFF"/>
                <w:vertAlign w:val="superscript"/>
                <w:lang w:val="en-US"/>
              </w:rPr>
              <w:t>*</w:t>
            </w:r>
            <w:proofErr w:type="gramEnd"/>
          </w:p>
        </w:tc>
      </w:tr>
      <w:tr w:rsidR="008A31DF" w:rsidRPr="00BA2E19" w14:paraId="4BB43DFF" w14:textId="77777777" w:rsidTr="00147C41">
        <w:trPr>
          <w:trHeight w:val="567"/>
        </w:trPr>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2" w:space="0" w:color="000000" w:themeColor="text1"/>
            </w:tcBorders>
            <w:vAlign w:val="center"/>
          </w:tcPr>
          <w:p w14:paraId="02FF10C3" w14:textId="77777777" w:rsidR="008A31DF" w:rsidRPr="00BA2E19" w:rsidRDefault="008A31DF" w:rsidP="00147C41">
            <w:pPr>
              <w:spacing w:line="360" w:lineRule="auto"/>
              <w:rPr>
                <w:rFonts w:ascii="Times New Roman" w:hAnsi="Times New Roman" w:cs="Times New Roman"/>
                <w:sz w:val="20"/>
                <w:szCs w:val="20"/>
                <w:lang w:val="en-US"/>
              </w:rPr>
            </w:pPr>
            <w:r w:rsidRPr="006C1A6D">
              <w:rPr>
                <w:rFonts w:ascii="Times New Roman" w:hAnsi="Times New Roman" w:cs="Times New Roman"/>
                <w:b w:val="0"/>
                <w:bCs w:val="0"/>
                <w:color w:val="000000" w:themeColor="text1"/>
                <w:sz w:val="20"/>
                <w:szCs w:val="20"/>
                <w:lang w:val="en-US"/>
              </w:rPr>
              <w:t>Exploratory findings beyond the core ITS framework</w:t>
            </w:r>
          </w:p>
        </w:tc>
        <w:tc>
          <w:tcPr>
            <w:tcW w:w="7655" w:type="dxa"/>
            <w:tcBorders>
              <w:top w:val="nil"/>
              <w:bottom w:val="single" w:sz="2" w:space="0" w:color="000000" w:themeColor="text1"/>
            </w:tcBorders>
            <w:vAlign w:val="center"/>
          </w:tcPr>
          <w:p w14:paraId="0E32BE1E" w14:textId="77777777" w:rsidR="008A31DF" w:rsidRPr="00BA2E19" w:rsidRDefault="008A31DF" w:rsidP="00147C4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 xml:space="preserve">Any additional risk/protective factors for suicidality. </w:t>
            </w:r>
          </w:p>
        </w:tc>
      </w:tr>
    </w:tbl>
    <w:p w14:paraId="6C0EC34E" w14:textId="7BAACEEC" w:rsidR="00324CD8" w:rsidRDefault="008A31DF" w:rsidP="00324CD8">
      <w:pPr>
        <w:spacing w:line="480" w:lineRule="auto"/>
        <w:rPr>
          <w:rFonts w:ascii="Times New Roman" w:hAnsi="Times New Roman" w:cs="Times New Roman"/>
          <w:color w:val="0D0D0D"/>
          <w:sz w:val="20"/>
          <w:szCs w:val="20"/>
          <w:shd w:val="clear" w:color="auto" w:fill="FFFFFF"/>
          <w:lang w:val="en-US"/>
        </w:rPr>
        <w:sectPr w:rsidR="00324CD8" w:rsidSect="008A31DF">
          <w:headerReference w:type="even" r:id="rId12"/>
          <w:headerReference w:type="default" r:id="rId13"/>
          <w:footerReference w:type="default" r:id="rId14"/>
          <w:pgSz w:w="11906" w:h="16838"/>
          <w:pgMar w:top="1417" w:right="1417" w:bottom="1417" w:left="1417" w:header="708" w:footer="708" w:gutter="0"/>
          <w:cols w:space="708"/>
          <w:docGrid w:linePitch="326"/>
        </w:sectPr>
      </w:pPr>
      <w:r w:rsidRPr="00BA2E19">
        <w:rPr>
          <w:rFonts w:ascii="Times New Roman" w:hAnsi="Times New Roman" w:cs="Times New Roman"/>
          <w:sz w:val="20"/>
          <w:szCs w:val="20"/>
          <w:vertAlign w:val="superscript"/>
          <w:lang w:val="en-US"/>
        </w:rPr>
        <w:t>*</w:t>
      </w:r>
      <w:r w:rsidRPr="00BA2E19">
        <w:rPr>
          <w:rFonts w:ascii="Times New Roman" w:hAnsi="Times New Roman" w:cs="Times New Roman"/>
          <w:color w:val="0D0D0D"/>
          <w:sz w:val="20"/>
          <w:szCs w:val="20"/>
          <w:shd w:val="clear" w:color="auto" w:fill="FFFFFF"/>
          <w:lang w:val="en-US"/>
        </w:rPr>
        <w:t xml:space="preserve"> Aspects should undergo statistical testing in relation to suicidality or be linked e.g., via descriptive analysis, examination of related variables, qualitative research, or case profilin</w:t>
      </w:r>
      <w:r w:rsidR="00324CD8">
        <w:rPr>
          <w:rFonts w:ascii="Times New Roman" w:hAnsi="Times New Roman" w:cs="Times New Roman"/>
          <w:color w:val="0D0D0D"/>
          <w:sz w:val="20"/>
          <w:szCs w:val="20"/>
          <w:shd w:val="clear" w:color="auto" w:fill="FFFFFF"/>
          <w:lang w:val="en-US"/>
        </w:rPr>
        <w:t>g</w:t>
      </w:r>
    </w:p>
    <w:p w14:paraId="35068AC5" w14:textId="720929A2" w:rsidR="00324CD8" w:rsidRPr="00324CD8" w:rsidRDefault="00576413" w:rsidP="00324CD8">
      <w:pPr>
        <w:spacing w:line="480"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lastRenderedPageBreak/>
        <w:t>4</w:t>
      </w:r>
      <w:r w:rsidR="00324CD8" w:rsidRPr="00324CD8">
        <w:rPr>
          <w:rFonts w:ascii="Times New Roman" w:hAnsi="Times New Roman" w:cs="Times New Roman"/>
          <w:b/>
          <w:bCs/>
          <w:sz w:val="20"/>
          <w:szCs w:val="20"/>
          <w:lang w:val="en-US"/>
        </w:rPr>
        <w:t>.</w:t>
      </w:r>
      <w:r w:rsidR="00324CD8">
        <w:rPr>
          <w:rFonts w:ascii="Times New Roman" w:hAnsi="Times New Roman" w:cs="Times New Roman"/>
          <w:b/>
          <w:bCs/>
          <w:sz w:val="20"/>
          <w:szCs w:val="20"/>
          <w:lang w:val="en-US"/>
        </w:rPr>
        <w:t xml:space="preserve"> Exploratory</w:t>
      </w:r>
      <w:r>
        <w:rPr>
          <w:rFonts w:ascii="Times New Roman" w:hAnsi="Times New Roman" w:cs="Times New Roman"/>
          <w:b/>
          <w:bCs/>
          <w:sz w:val="20"/>
          <w:szCs w:val="20"/>
          <w:lang w:val="en-US"/>
        </w:rPr>
        <w:t xml:space="preserve"> </w:t>
      </w:r>
      <w:r w:rsidR="00324CD8" w:rsidRPr="00324CD8">
        <w:rPr>
          <w:rFonts w:ascii="Times New Roman" w:hAnsi="Times New Roman" w:cs="Times New Roman"/>
          <w:b/>
          <w:bCs/>
          <w:sz w:val="20"/>
          <w:szCs w:val="20"/>
          <w:lang w:val="en-US"/>
        </w:rPr>
        <w:t>Findings: Constructs Beyond the Core ITS Framework</w:t>
      </w:r>
    </w:p>
    <w:p w14:paraId="57068154" w14:textId="77777777" w:rsidR="00324CD8" w:rsidRPr="00BA2E19" w:rsidRDefault="00324CD8" w:rsidP="00324CD8">
      <w:pPr>
        <w:spacing w:line="480" w:lineRule="auto"/>
        <w:rPr>
          <w:rFonts w:ascii="Times New Roman" w:hAnsi="Times New Roman" w:cs="Times New Roman"/>
          <w:b/>
          <w:bCs/>
          <w:i/>
          <w:iCs/>
          <w:sz w:val="20"/>
          <w:szCs w:val="20"/>
          <w:lang w:val="en-US"/>
        </w:rPr>
      </w:pPr>
      <w:r w:rsidRPr="00BA2E19">
        <w:rPr>
          <w:rFonts w:ascii="Times New Roman" w:hAnsi="Times New Roman" w:cs="Times New Roman"/>
          <w:b/>
          <w:bCs/>
          <w:i/>
          <w:iCs/>
          <w:sz w:val="20"/>
          <w:szCs w:val="20"/>
          <w:lang w:val="en-US"/>
        </w:rPr>
        <w:t>Neurophysiological and biological markers</w:t>
      </w:r>
    </w:p>
    <w:p w14:paraId="2F9C6495" w14:textId="77777777" w:rsidR="00324CD8" w:rsidRPr="00BA2E19" w:rsidRDefault="00324CD8" w:rsidP="00324CD8">
      <w:pPr>
        <w:spacing w:line="480" w:lineRule="auto"/>
        <w:ind w:firstLine="720"/>
        <w:rPr>
          <w:rFonts w:ascii="Times New Roman" w:hAnsi="Times New Roman" w:cs="Times New Roman"/>
          <w:sz w:val="20"/>
          <w:szCs w:val="20"/>
          <w:lang w:val="en-US"/>
        </w:rPr>
      </w:pPr>
      <w:r w:rsidRPr="00BA2E19">
        <w:rPr>
          <w:rFonts w:ascii="Times New Roman" w:hAnsi="Times New Roman" w:cs="Times New Roman"/>
          <w:sz w:val="20"/>
          <w:szCs w:val="20"/>
          <w:lang w:val="en-US"/>
        </w:rPr>
        <w:t xml:space="preserve">Neurophysiological markers related to suicide in autistic adults were identified by Moxon-Emre et al. (2022) and Ota et al. (2020). Moreover, </w:t>
      </w:r>
      <w:proofErr w:type="spellStart"/>
      <w:r w:rsidRPr="00BA2E19">
        <w:rPr>
          <w:rFonts w:ascii="Times New Roman" w:hAnsi="Times New Roman" w:cs="Times New Roman"/>
          <w:sz w:val="20"/>
          <w:szCs w:val="20"/>
          <w:lang w:val="en-US"/>
        </w:rPr>
        <w:t>Cremone</w:t>
      </w:r>
      <w:proofErr w:type="spellEnd"/>
      <w:r w:rsidRPr="00BA2E19">
        <w:rPr>
          <w:rFonts w:ascii="Times New Roman" w:hAnsi="Times New Roman" w:cs="Times New Roman"/>
          <w:sz w:val="20"/>
          <w:szCs w:val="20"/>
          <w:lang w:val="en-US"/>
        </w:rPr>
        <w:t xml:space="preserve"> et al. (2023) reported that levels of inflammation marker IL-6 and homocysteine (HCY) were significantly associated with increased mood symptoms and suicidality in autistic adults.</w:t>
      </w:r>
    </w:p>
    <w:p w14:paraId="1DCB85A4" w14:textId="77777777" w:rsidR="00324CD8" w:rsidRPr="00BA2E19" w:rsidRDefault="00324CD8" w:rsidP="00324CD8">
      <w:pPr>
        <w:spacing w:line="480" w:lineRule="auto"/>
        <w:rPr>
          <w:rFonts w:ascii="Times New Roman" w:hAnsi="Times New Roman" w:cs="Times New Roman"/>
          <w:sz w:val="20"/>
          <w:szCs w:val="20"/>
          <w:lang w:val="en-US"/>
        </w:rPr>
      </w:pPr>
      <w:r w:rsidRPr="00BA2E19">
        <w:rPr>
          <w:rFonts w:ascii="Times New Roman" w:hAnsi="Times New Roman" w:cs="Times New Roman"/>
          <w:b/>
          <w:bCs/>
          <w:i/>
          <w:iCs/>
          <w:sz w:val="20"/>
          <w:szCs w:val="20"/>
          <w:lang w:val="en-US"/>
        </w:rPr>
        <w:t>Autism-related characteristics</w:t>
      </w:r>
    </w:p>
    <w:p w14:paraId="23D2B26E" w14:textId="6A5F0C2E" w:rsidR="00324CD8" w:rsidRPr="00BA2E19" w:rsidRDefault="00324CD8" w:rsidP="00324CD8">
      <w:pPr>
        <w:spacing w:line="480" w:lineRule="auto"/>
        <w:ind w:firstLine="720"/>
        <w:rPr>
          <w:rFonts w:ascii="Times New Roman" w:hAnsi="Times New Roman" w:cs="Times New Roman"/>
          <w:sz w:val="20"/>
          <w:szCs w:val="20"/>
          <w:lang w:val="en-US"/>
        </w:rPr>
      </w:pPr>
      <w:r w:rsidRPr="00BA2E19">
        <w:rPr>
          <w:rFonts w:ascii="Times New Roman" w:hAnsi="Times New Roman" w:cs="Times New Roman"/>
          <w:sz w:val="20"/>
          <w:szCs w:val="20"/>
          <w:lang w:val="en-US"/>
        </w:rPr>
        <w:t>Several autism-related characteristics have been positively correlated with suicidality, including restricted interests (</w:t>
      </w:r>
      <w:proofErr w:type="spellStart"/>
      <w:r w:rsidRPr="00BA2E19">
        <w:rPr>
          <w:rFonts w:ascii="Times New Roman" w:hAnsi="Times New Roman" w:cs="Times New Roman"/>
          <w:sz w:val="20"/>
          <w:szCs w:val="20"/>
          <w:lang w:val="en-US"/>
        </w:rPr>
        <w:t>Dell'Osso</w:t>
      </w:r>
      <w:proofErr w:type="spellEnd"/>
      <w:r w:rsidRPr="00BA2E19">
        <w:rPr>
          <w:rFonts w:ascii="Times New Roman" w:hAnsi="Times New Roman" w:cs="Times New Roman"/>
          <w:sz w:val="20"/>
          <w:szCs w:val="20"/>
          <w:lang w:val="en-US"/>
        </w:rPr>
        <w:t xml:space="preserve"> et al., 2019), intolerance of uncertainty, feelings of defeat and entrapment (Graham et al., 2023), and camouflaging (Camm-Crosbie et al., 2019; Cassidy et al., 2018; Graham et al., 2023; Wilson et al., 2025; Kirby et al., 202</w:t>
      </w:r>
      <w:r w:rsidR="000D7195">
        <w:rPr>
          <w:rFonts w:ascii="Times New Roman" w:hAnsi="Times New Roman" w:cs="Times New Roman"/>
          <w:sz w:val="20"/>
          <w:szCs w:val="20"/>
          <w:lang w:val="en-US"/>
        </w:rPr>
        <w:t>6</w:t>
      </w:r>
      <w:r w:rsidRPr="00BA2E19">
        <w:rPr>
          <w:rFonts w:ascii="Times New Roman" w:hAnsi="Times New Roman" w:cs="Times New Roman"/>
          <w:sz w:val="20"/>
          <w:szCs w:val="20"/>
          <w:lang w:val="en-US"/>
        </w:rPr>
        <w:t xml:space="preserve">). Difficulties with emotion regulation represent a particularly well-evidenced pathway: </w:t>
      </w:r>
      <w:proofErr w:type="spellStart"/>
      <w:r w:rsidRPr="00BA2E19">
        <w:rPr>
          <w:rFonts w:ascii="Times New Roman" w:hAnsi="Times New Roman" w:cs="Times New Roman"/>
          <w:sz w:val="20"/>
          <w:szCs w:val="20"/>
          <w:lang w:val="en-US"/>
        </w:rPr>
        <w:t>Fayena</w:t>
      </w:r>
      <w:proofErr w:type="spellEnd"/>
      <w:r w:rsidRPr="00BA2E19">
        <w:rPr>
          <w:rFonts w:ascii="Times New Roman" w:hAnsi="Times New Roman" w:cs="Times New Roman"/>
          <w:sz w:val="20"/>
          <w:szCs w:val="20"/>
          <w:lang w:val="en-US"/>
        </w:rPr>
        <w:t xml:space="preserve"> et al. (2025) found that lack of emotional clarity and limited access to regulation strategies fully mediated the association between autism and suicidal ideation, with impulsivity during distress further lowering the threshold for suicidal behavior. Compounding this, alexithymia and poor interoception were found to impede help-seeking, with autistic adults frequently failing to recognize the severity of their own distress until it became acute (Wilson et al., 2025). More broadly, Moseley et al. (2025a) found that sensory difficulties, meltdowns, burnout, and rigid cognitive patterns such as worst-case scenario reasoning and dichotomous thinking were frequently cited by autistic individuals as direct contributors to suicidal crises.</w:t>
      </w:r>
    </w:p>
    <w:p w14:paraId="6513F53C" w14:textId="77777777" w:rsidR="00324CD8" w:rsidRPr="00BA2E19" w:rsidRDefault="00324CD8" w:rsidP="00324CD8">
      <w:pPr>
        <w:spacing w:line="480" w:lineRule="auto"/>
        <w:rPr>
          <w:rFonts w:ascii="Times New Roman" w:hAnsi="Times New Roman" w:cs="Times New Roman"/>
          <w:b/>
          <w:bCs/>
          <w:i/>
          <w:iCs/>
          <w:sz w:val="20"/>
          <w:szCs w:val="20"/>
          <w:lang w:val="en-US"/>
        </w:rPr>
      </w:pPr>
      <w:r w:rsidRPr="00BA2E19">
        <w:rPr>
          <w:rFonts w:ascii="Times New Roman" w:hAnsi="Times New Roman" w:cs="Times New Roman"/>
          <w:b/>
          <w:bCs/>
          <w:i/>
          <w:iCs/>
          <w:sz w:val="20"/>
          <w:szCs w:val="20"/>
          <w:lang w:val="en-US"/>
        </w:rPr>
        <w:t>Sex and gender differences</w:t>
      </w:r>
    </w:p>
    <w:p w14:paraId="49B3DF61" w14:textId="77777777" w:rsidR="00324CD8" w:rsidRPr="00BA2E19" w:rsidRDefault="00324CD8" w:rsidP="00324CD8">
      <w:pPr>
        <w:spacing w:line="480" w:lineRule="auto"/>
        <w:ind w:firstLine="709"/>
        <w:rPr>
          <w:rFonts w:ascii="Times New Roman" w:hAnsi="Times New Roman" w:cs="Times New Roman"/>
          <w:sz w:val="20"/>
          <w:szCs w:val="20"/>
          <w:lang w:val="en-US"/>
        </w:rPr>
      </w:pPr>
      <w:r w:rsidRPr="00BA2E19">
        <w:rPr>
          <w:rFonts w:ascii="Times New Roman" w:hAnsi="Times New Roman" w:cs="Times New Roman"/>
          <w:sz w:val="20"/>
          <w:szCs w:val="20"/>
          <w:lang w:val="en-US"/>
        </w:rPr>
        <w:t>The majority of studies examining sex differences did not find significant variation between males and females (</w:t>
      </w:r>
      <w:proofErr w:type="spellStart"/>
      <w:r w:rsidRPr="00BA2E19">
        <w:rPr>
          <w:rFonts w:ascii="Times New Roman" w:hAnsi="Times New Roman" w:cs="Times New Roman"/>
          <w:sz w:val="20"/>
          <w:szCs w:val="20"/>
          <w:lang w:val="en-US"/>
        </w:rPr>
        <w:t>Arwert</w:t>
      </w:r>
      <w:proofErr w:type="spellEnd"/>
      <w:r w:rsidRPr="00BA2E19">
        <w:rPr>
          <w:rFonts w:ascii="Times New Roman" w:hAnsi="Times New Roman" w:cs="Times New Roman"/>
          <w:sz w:val="20"/>
          <w:szCs w:val="20"/>
          <w:lang w:val="en-US"/>
        </w:rPr>
        <w:t xml:space="preserve"> &amp; </w:t>
      </w:r>
      <w:proofErr w:type="spellStart"/>
      <w:r w:rsidRPr="00BA2E19">
        <w:rPr>
          <w:rFonts w:ascii="Times New Roman" w:hAnsi="Times New Roman" w:cs="Times New Roman"/>
          <w:sz w:val="20"/>
          <w:szCs w:val="20"/>
          <w:lang w:val="en-US"/>
        </w:rPr>
        <w:t>Sizoo</w:t>
      </w:r>
      <w:proofErr w:type="spellEnd"/>
      <w:r w:rsidRPr="00BA2E19">
        <w:rPr>
          <w:rFonts w:ascii="Times New Roman" w:hAnsi="Times New Roman" w:cs="Times New Roman"/>
          <w:sz w:val="20"/>
          <w:szCs w:val="20"/>
          <w:lang w:val="en-US"/>
        </w:rPr>
        <w:t xml:space="preserve">, 2020; Cassidy et al., 2014; Costa et al., 2020; </w:t>
      </w:r>
      <w:proofErr w:type="spellStart"/>
      <w:r w:rsidRPr="00BA2E19">
        <w:rPr>
          <w:rFonts w:ascii="Times New Roman" w:hAnsi="Times New Roman" w:cs="Times New Roman"/>
          <w:sz w:val="20"/>
          <w:szCs w:val="20"/>
          <w:lang w:val="en-US"/>
        </w:rPr>
        <w:t>Dell'Osso</w:t>
      </w:r>
      <w:proofErr w:type="spellEnd"/>
      <w:r w:rsidRPr="00BA2E19">
        <w:rPr>
          <w:rFonts w:ascii="Times New Roman" w:hAnsi="Times New Roman" w:cs="Times New Roman"/>
          <w:sz w:val="20"/>
          <w:szCs w:val="20"/>
          <w:lang w:val="en-US"/>
        </w:rPr>
        <w:t xml:space="preserve"> et al., 2019; </w:t>
      </w:r>
      <w:proofErr w:type="spellStart"/>
      <w:r w:rsidRPr="00BA2E19">
        <w:rPr>
          <w:rFonts w:ascii="Times New Roman" w:hAnsi="Times New Roman" w:cs="Times New Roman"/>
          <w:sz w:val="20"/>
          <w:szCs w:val="20"/>
          <w:lang w:val="en-US"/>
        </w:rPr>
        <w:t>Fayena</w:t>
      </w:r>
      <w:proofErr w:type="spellEnd"/>
      <w:r w:rsidRPr="00BA2E19">
        <w:rPr>
          <w:rFonts w:ascii="Times New Roman" w:hAnsi="Times New Roman" w:cs="Times New Roman"/>
          <w:sz w:val="20"/>
          <w:szCs w:val="20"/>
          <w:lang w:val="en-US"/>
        </w:rPr>
        <w:t xml:space="preserve"> et al., 2025; Graham et al., 2023; Hedley et al., 2021, 2025; Hedley, </w:t>
      </w:r>
      <w:proofErr w:type="spellStart"/>
      <w:r w:rsidRPr="00BA2E19">
        <w:rPr>
          <w:rFonts w:ascii="Times New Roman" w:hAnsi="Times New Roman" w:cs="Times New Roman"/>
          <w:sz w:val="20"/>
          <w:szCs w:val="20"/>
          <w:lang w:val="en-US"/>
        </w:rPr>
        <w:t>Uljarević</w:t>
      </w:r>
      <w:proofErr w:type="spellEnd"/>
      <w:r w:rsidRPr="00BA2E19">
        <w:rPr>
          <w:rFonts w:ascii="Times New Roman" w:hAnsi="Times New Roman" w:cs="Times New Roman"/>
          <w:sz w:val="20"/>
          <w:szCs w:val="20"/>
          <w:lang w:val="en-US"/>
        </w:rPr>
        <w:t xml:space="preserve">, Wilmot, et al., 2018; </w:t>
      </w:r>
      <w:proofErr w:type="spellStart"/>
      <w:r w:rsidRPr="00BA2E19">
        <w:rPr>
          <w:rFonts w:ascii="Times New Roman" w:hAnsi="Times New Roman" w:cs="Times New Roman"/>
          <w:sz w:val="20"/>
          <w:szCs w:val="20"/>
          <w:lang w:val="en-US"/>
        </w:rPr>
        <w:t>Hooijer</w:t>
      </w:r>
      <w:proofErr w:type="spellEnd"/>
      <w:r w:rsidRPr="00BA2E19">
        <w:rPr>
          <w:rFonts w:ascii="Times New Roman" w:hAnsi="Times New Roman" w:cs="Times New Roman"/>
          <w:sz w:val="20"/>
          <w:szCs w:val="20"/>
          <w:lang w:val="en-US"/>
        </w:rPr>
        <w:t xml:space="preserve"> &amp; </w:t>
      </w:r>
      <w:proofErr w:type="spellStart"/>
      <w:r w:rsidRPr="00BA2E19">
        <w:rPr>
          <w:rFonts w:ascii="Times New Roman" w:hAnsi="Times New Roman" w:cs="Times New Roman"/>
          <w:sz w:val="20"/>
          <w:szCs w:val="20"/>
          <w:lang w:val="en-US"/>
        </w:rPr>
        <w:t>Sizoo</w:t>
      </w:r>
      <w:proofErr w:type="spellEnd"/>
      <w:r w:rsidRPr="00BA2E19">
        <w:rPr>
          <w:rFonts w:ascii="Times New Roman" w:hAnsi="Times New Roman" w:cs="Times New Roman"/>
          <w:sz w:val="20"/>
          <w:szCs w:val="20"/>
          <w:lang w:val="en-US"/>
        </w:rPr>
        <w:t>, 2020; Kirby et al., 2019; Moseley et al., 2020; Pelton et al., 2020</w:t>
      </w:r>
      <w:r>
        <w:rPr>
          <w:rFonts w:ascii="Times New Roman" w:hAnsi="Times New Roman" w:cs="Times New Roman"/>
          <w:sz w:val="20"/>
          <w:szCs w:val="20"/>
          <w:lang w:val="en-US"/>
        </w:rPr>
        <w:t>a</w:t>
      </w:r>
      <w:r w:rsidRPr="00BA2E19">
        <w:rPr>
          <w:rFonts w:ascii="Times New Roman" w:hAnsi="Times New Roman" w:cs="Times New Roman"/>
          <w:sz w:val="20"/>
          <w:szCs w:val="20"/>
          <w:lang w:val="en-US"/>
        </w:rPr>
        <w:t xml:space="preserve">, 2023; Raja et al., 2011; Takara &amp; Kondo, 2014; van </w:t>
      </w:r>
      <w:proofErr w:type="spellStart"/>
      <w:r w:rsidRPr="00BA2E19">
        <w:rPr>
          <w:rFonts w:ascii="Times New Roman" w:hAnsi="Times New Roman" w:cs="Times New Roman"/>
          <w:sz w:val="20"/>
          <w:szCs w:val="20"/>
          <w:lang w:val="en-US"/>
        </w:rPr>
        <w:t>Bentum</w:t>
      </w:r>
      <w:proofErr w:type="spellEnd"/>
      <w:r w:rsidRPr="00BA2E19">
        <w:rPr>
          <w:rFonts w:ascii="Times New Roman" w:hAnsi="Times New Roman" w:cs="Times New Roman"/>
          <w:sz w:val="20"/>
          <w:szCs w:val="20"/>
          <w:lang w:val="en-US"/>
        </w:rPr>
        <w:t xml:space="preserve"> et al., 2024), although Weiner et al. (2023) found that emotion dysregulation was associated with suicidality in autistic males but not females. More recent studies have nonetheless identified meaningful differences: autistic women reported higher rates of suicidal ideation, self-harm, and suicidal self-harm than autistic men, with these differences persisting after controlling for depression (Roper et al., 2025), and cisgender women and transgender/gender-divergent participants reported higher lifetime suicidal thoughts and behaviors than cisgender men (Moseley et al., 2025a). Moseley et al. (2025b) found that different stressors predicted </w:t>
      </w:r>
      <w:r w:rsidRPr="00BA2E19">
        <w:rPr>
          <w:rFonts w:ascii="Times New Roman" w:hAnsi="Times New Roman" w:cs="Times New Roman"/>
          <w:sz w:val="20"/>
          <w:szCs w:val="20"/>
          <w:lang w:val="en-US"/>
        </w:rPr>
        <w:lastRenderedPageBreak/>
        <w:t>suicidality in autistic men and women, chronic interpersonal loss for men, acute physical danger for women, and treatment- and health-related stressors for both, despite no overall sex differences in suicidality levels.</w:t>
      </w:r>
    </w:p>
    <w:p w14:paraId="148D6B40" w14:textId="77777777" w:rsidR="00324CD8" w:rsidRPr="00BA2E19" w:rsidRDefault="00324CD8" w:rsidP="00324CD8">
      <w:pPr>
        <w:spacing w:line="480" w:lineRule="auto"/>
        <w:rPr>
          <w:rFonts w:ascii="Times New Roman" w:hAnsi="Times New Roman" w:cs="Times New Roman"/>
          <w:b/>
          <w:bCs/>
          <w:i/>
          <w:iCs/>
          <w:color w:val="000000" w:themeColor="text1"/>
          <w:sz w:val="20"/>
          <w:szCs w:val="20"/>
          <w:lang w:val="en-US"/>
        </w:rPr>
      </w:pPr>
      <w:r w:rsidRPr="00BA2E19">
        <w:rPr>
          <w:rFonts w:ascii="Times New Roman" w:hAnsi="Times New Roman" w:cs="Times New Roman"/>
          <w:b/>
          <w:bCs/>
          <w:i/>
          <w:iCs/>
          <w:color w:val="000000" w:themeColor="text1"/>
          <w:sz w:val="20"/>
          <w:szCs w:val="20"/>
          <w:lang w:val="en-US"/>
        </w:rPr>
        <w:t>Age</w:t>
      </w:r>
    </w:p>
    <w:p w14:paraId="10583604" w14:textId="77777777" w:rsidR="00324CD8" w:rsidRPr="00BA2E19" w:rsidRDefault="00324CD8" w:rsidP="00324CD8">
      <w:pPr>
        <w:spacing w:line="480" w:lineRule="auto"/>
        <w:ind w:firstLine="72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 xml:space="preserve">The relationship between age and suicidality in autistic individuals was examined in several studies. Kato et al. (2013) and Kirby et al. (2019) found that suicides occurred at a significantly younger age in autistic compared to non-autistic individuals. Costa et al. (2020) and Hand et al. (2020) reported that younger age was associated with higher rates of suicidality among autistic adults, while </w:t>
      </w:r>
      <w:proofErr w:type="spellStart"/>
      <w:r w:rsidRPr="00BA2E19">
        <w:rPr>
          <w:rFonts w:ascii="Times New Roman" w:hAnsi="Times New Roman" w:cs="Times New Roman"/>
          <w:color w:val="000000" w:themeColor="text1"/>
          <w:sz w:val="20"/>
          <w:szCs w:val="20"/>
          <w:lang w:val="en-US"/>
        </w:rPr>
        <w:t>Dell'Osso</w:t>
      </w:r>
      <w:proofErr w:type="spellEnd"/>
      <w:r w:rsidRPr="00BA2E19">
        <w:rPr>
          <w:rFonts w:ascii="Times New Roman" w:hAnsi="Times New Roman" w:cs="Times New Roman"/>
          <w:color w:val="000000" w:themeColor="text1"/>
          <w:sz w:val="20"/>
          <w:szCs w:val="20"/>
          <w:lang w:val="en-US"/>
        </w:rPr>
        <w:t xml:space="preserve"> et al. (2019), </w:t>
      </w:r>
      <w:proofErr w:type="spellStart"/>
      <w:r w:rsidRPr="00BA2E19">
        <w:rPr>
          <w:rFonts w:ascii="Times New Roman" w:hAnsi="Times New Roman" w:cs="Times New Roman"/>
          <w:color w:val="000000" w:themeColor="text1"/>
          <w:sz w:val="20"/>
          <w:szCs w:val="20"/>
          <w:lang w:val="en-US"/>
        </w:rPr>
        <w:t>Hooijer</w:t>
      </w:r>
      <w:proofErr w:type="spellEnd"/>
      <w:r w:rsidRPr="00BA2E19">
        <w:rPr>
          <w:rFonts w:ascii="Times New Roman" w:hAnsi="Times New Roman" w:cs="Times New Roman"/>
          <w:color w:val="000000" w:themeColor="text1"/>
          <w:sz w:val="20"/>
          <w:szCs w:val="20"/>
          <w:lang w:val="en-US"/>
        </w:rPr>
        <w:t xml:space="preserve"> and </w:t>
      </w:r>
      <w:proofErr w:type="spellStart"/>
      <w:r w:rsidRPr="00BA2E19">
        <w:rPr>
          <w:rFonts w:ascii="Times New Roman" w:hAnsi="Times New Roman" w:cs="Times New Roman"/>
          <w:color w:val="000000" w:themeColor="text1"/>
          <w:sz w:val="20"/>
          <w:szCs w:val="20"/>
          <w:lang w:val="en-US"/>
        </w:rPr>
        <w:t>Sizoo</w:t>
      </w:r>
      <w:proofErr w:type="spellEnd"/>
      <w:r w:rsidRPr="00BA2E19">
        <w:rPr>
          <w:rFonts w:ascii="Times New Roman" w:hAnsi="Times New Roman" w:cs="Times New Roman"/>
          <w:color w:val="000000" w:themeColor="text1"/>
          <w:sz w:val="20"/>
          <w:szCs w:val="20"/>
          <w:lang w:val="en-US"/>
        </w:rPr>
        <w:t xml:space="preserve"> (2020), and van </w:t>
      </w:r>
      <w:proofErr w:type="spellStart"/>
      <w:r w:rsidRPr="00BA2E19">
        <w:rPr>
          <w:rFonts w:ascii="Times New Roman" w:hAnsi="Times New Roman" w:cs="Times New Roman"/>
          <w:color w:val="000000" w:themeColor="text1"/>
          <w:sz w:val="20"/>
          <w:szCs w:val="20"/>
          <w:lang w:val="en-US"/>
        </w:rPr>
        <w:t>Bentum</w:t>
      </w:r>
      <w:proofErr w:type="spellEnd"/>
      <w:r w:rsidRPr="00BA2E19">
        <w:rPr>
          <w:rFonts w:ascii="Times New Roman" w:hAnsi="Times New Roman" w:cs="Times New Roman"/>
          <w:color w:val="000000" w:themeColor="text1"/>
          <w:sz w:val="20"/>
          <w:szCs w:val="20"/>
          <w:lang w:val="en-US"/>
        </w:rPr>
        <w:t xml:space="preserve"> et al. (2024) found no such association. Extending these findings across the lifespan, Roper et al. (2025) observed elevated rates of both lifetime and recent self-harm and suicidal self-harm among autistic adults aged over 65 compared to those in midlife, suggesting that suicide risk may persist or re-emerge in later adulthood.</w:t>
      </w:r>
    </w:p>
    <w:p w14:paraId="231D0109" w14:textId="77777777" w:rsidR="00324CD8" w:rsidRPr="00BA2E19" w:rsidRDefault="00324CD8" w:rsidP="00324CD8">
      <w:pPr>
        <w:spacing w:line="480" w:lineRule="auto"/>
        <w:rPr>
          <w:rFonts w:ascii="Times New Roman" w:hAnsi="Times New Roman" w:cs="Times New Roman"/>
          <w:b/>
          <w:bCs/>
          <w:i/>
          <w:iCs/>
          <w:sz w:val="20"/>
          <w:szCs w:val="20"/>
          <w:lang w:val="en-US"/>
        </w:rPr>
      </w:pPr>
      <w:r w:rsidRPr="00BA2E19">
        <w:rPr>
          <w:rFonts w:ascii="Times New Roman" w:hAnsi="Times New Roman" w:cs="Times New Roman"/>
          <w:b/>
          <w:bCs/>
          <w:i/>
          <w:iCs/>
          <w:sz w:val="20"/>
          <w:szCs w:val="20"/>
          <w:lang w:val="en-US"/>
        </w:rPr>
        <w:t>Comorbid neurodevelopmental and psychiatric conditions</w:t>
      </w:r>
    </w:p>
    <w:p w14:paraId="2ABD77FC" w14:textId="77777777" w:rsidR="00324CD8" w:rsidRPr="00BA2E19" w:rsidRDefault="00324CD8" w:rsidP="00324CD8">
      <w:pPr>
        <w:spacing w:line="480" w:lineRule="auto"/>
        <w:ind w:firstLine="720"/>
        <w:rPr>
          <w:rFonts w:ascii="Times New Roman" w:hAnsi="Times New Roman" w:cs="Times New Roman"/>
          <w:sz w:val="20"/>
          <w:szCs w:val="20"/>
          <w:lang w:val="en-US"/>
        </w:rPr>
      </w:pPr>
      <w:r w:rsidRPr="00BA2E19">
        <w:rPr>
          <w:rFonts w:ascii="Times New Roman" w:hAnsi="Times New Roman" w:cs="Times New Roman"/>
          <w:sz w:val="20"/>
          <w:szCs w:val="20"/>
          <w:lang w:val="en-US"/>
        </w:rPr>
        <w:t xml:space="preserve">Approximately 45% of studies reported significant correlations between suicidality and comorbid neurodevelopmental and psychiatric conditions in autistic individuals (e.g., Camm-Crosbie et al., 2019; Cassidy et al., 2018; Hand et al., 2020; Hedley et al., 2017; </w:t>
      </w:r>
      <w:proofErr w:type="spellStart"/>
      <w:r w:rsidRPr="00BA2E19">
        <w:rPr>
          <w:rFonts w:ascii="Times New Roman" w:hAnsi="Times New Roman" w:cs="Times New Roman"/>
          <w:sz w:val="20"/>
          <w:szCs w:val="20"/>
          <w:lang w:val="en-US"/>
        </w:rPr>
        <w:t>Hirvikoski</w:t>
      </w:r>
      <w:proofErr w:type="spellEnd"/>
      <w:r w:rsidRPr="00BA2E19">
        <w:rPr>
          <w:rFonts w:ascii="Times New Roman" w:hAnsi="Times New Roman" w:cs="Times New Roman"/>
          <w:sz w:val="20"/>
          <w:szCs w:val="20"/>
          <w:lang w:val="en-US"/>
        </w:rPr>
        <w:t xml:space="preserve"> et al., 2020; </w:t>
      </w:r>
      <w:proofErr w:type="spellStart"/>
      <w:r w:rsidRPr="00BA2E19">
        <w:rPr>
          <w:rFonts w:ascii="Times New Roman" w:hAnsi="Times New Roman" w:cs="Times New Roman"/>
          <w:sz w:val="20"/>
          <w:szCs w:val="20"/>
          <w:lang w:val="en-US"/>
        </w:rPr>
        <w:t>Kõlves</w:t>
      </w:r>
      <w:proofErr w:type="spellEnd"/>
      <w:r w:rsidRPr="00BA2E19">
        <w:rPr>
          <w:rFonts w:ascii="Times New Roman" w:hAnsi="Times New Roman" w:cs="Times New Roman"/>
          <w:sz w:val="20"/>
          <w:szCs w:val="20"/>
          <w:lang w:val="en-US"/>
        </w:rPr>
        <w:t xml:space="preserve"> et al., 2021; Moseley et al., 2023; Moxon-Emre et al., 2022; Raja et al., 2011; Rydén et al., 2008; Takara &amp; Kondo, 2014; Tsai et al., 2023; van </w:t>
      </w:r>
      <w:proofErr w:type="spellStart"/>
      <w:r w:rsidRPr="00BA2E19">
        <w:rPr>
          <w:rFonts w:ascii="Times New Roman" w:hAnsi="Times New Roman" w:cs="Times New Roman"/>
          <w:sz w:val="20"/>
          <w:szCs w:val="20"/>
          <w:lang w:val="en-US"/>
        </w:rPr>
        <w:t>Bentum</w:t>
      </w:r>
      <w:proofErr w:type="spellEnd"/>
      <w:r w:rsidRPr="00BA2E19">
        <w:rPr>
          <w:rFonts w:ascii="Times New Roman" w:hAnsi="Times New Roman" w:cs="Times New Roman"/>
          <w:sz w:val="20"/>
          <w:szCs w:val="20"/>
          <w:lang w:val="en-US"/>
        </w:rPr>
        <w:t xml:space="preserve"> et al., 2024). The </w:t>
      </w:r>
      <w:proofErr w:type="gramStart"/>
      <w:r w:rsidRPr="00BA2E19">
        <w:rPr>
          <w:rFonts w:ascii="Times New Roman" w:hAnsi="Times New Roman" w:cs="Times New Roman"/>
          <w:sz w:val="20"/>
          <w:szCs w:val="20"/>
          <w:lang w:val="en-US"/>
        </w:rPr>
        <w:t>most commonly reported</w:t>
      </w:r>
      <w:proofErr w:type="gramEnd"/>
      <w:r w:rsidRPr="00BA2E19">
        <w:rPr>
          <w:rFonts w:ascii="Times New Roman" w:hAnsi="Times New Roman" w:cs="Times New Roman"/>
          <w:sz w:val="20"/>
          <w:szCs w:val="20"/>
          <w:lang w:val="en-US"/>
        </w:rPr>
        <w:t xml:space="preserve"> conditions included ADHD, intellectual disability, anxiety, and depression, with qualitative data from Moseley et al. (2025a) further indicating that ADHD, depression, PTSD, OCD, psychosis, and physical health conditions such as chronic pain and fatigue were experienced as threatening participants’ sense of self and making life increasingly difficult to endure. Cassidy et al. (2018), </w:t>
      </w:r>
      <w:proofErr w:type="spellStart"/>
      <w:r w:rsidRPr="00BA2E19">
        <w:rPr>
          <w:rFonts w:ascii="Times New Roman" w:hAnsi="Times New Roman" w:cs="Times New Roman"/>
          <w:sz w:val="20"/>
          <w:szCs w:val="20"/>
          <w:lang w:val="en-US"/>
        </w:rPr>
        <w:t>Hirvikoski</w:t>
      </w:r>
      <w:proofErr w:type="spellEnd"/>
      <w:r w:rsidRPr="00BA2E19">
        <w:rPr>
          <w:rFonts w:ascii="Times New Roman" w:hAnsi="Times New Roman" w:cs="Times New Roman"/>
          <w:sz w:val="20"/>
          <w:szCs w:val="20"/>
          <w:lang w:val="en-US"/>
        </w:rPr>
        <w:t xml:space="preserve"> et al. (2020), and Moseley et al. (2023) found that comorbid ADHD was associated with higher suicide risk and poorer mental health outcomes. Regarding intellectual disability, two studies found a heightened risk of suicidal ideation and attempts in autistic individuals with intellectual disability (Cervantes et al., 2023; Hand et al., 2020), while </w:t>
      </w:r>
      <w:proofErr w:type="spellStart"/>
      <w:r w:rsidRPr="00BA2E19">
        <w:rPr>
          <w:rFonts w:ascii="Times New Roman" w:hAnsi="Times New Roman" w:cs="Times New Roman"/>
          <w:sz w:val="20"/>
          <w:szCs w:val="20"/>
          <w:lang w:val="en-US"/>
        </w:rPr>
        <w:t>Hirvikoski</w:t>
      </w:r>
      <w:proofErr w:type="spellEnd"/>
      <w:r w:rsidRPr="00BA2E19">
        <w:rPr>
          <w:rFonts w:ascii="Times New Roman" w:hAnsi="Times New Roman" w:cs="Times New Roman"/>
          <w:sz w:val="20"/>
          <w:szCs w:val="20"/>
          <w:lang w:val="en-US"/>
        </w:rPr>
        <w:t xml:space="preserve"> et al. (2020) found the highest risk of attempted and completed suicide among those without intellectual disability. Four studies reported a significant association between comorbid anxiety and suicidality (Hedley et al., 2017; Raja et al., 2011; </w:t>
      </w:r>
      <w:proofErr w:type="spellStart"/>
      <w:r w:rsidRPr="00BA2E19">
        <w:rPr>
          <w:rFonts w:ascii="Times New Roman" w:hAnsi="Times New Roman" w:cs="Times New Roman"/>
          <w:sz w:val="20"/>
          <w:szCs w:val="20"/>
          <w:lang w:val="en-US"/>
        </w:rPr>
        <w:t>Shtayermman</w:t>
      </w:r>
      <w:proofErr w:type="spellEnd"/>
      <w:r w:rsidRPr="00BA2E19">
        <w:rPr>
          <w:rFonts w:ascii="Times New Roman" w:hAnsi="Times New Roman" w:cs="Times New Roman"/>
          <w:sz w:val="20"/>
          <w:szCs w:val="20"/>
          <w:lang w:val="en-US"/>
        </w:rPr>
        <w:t xml:space="preserve">, 2022; </w:t>
      </w:r>
      <w:proofErr w:type="spellStart"/>
      <w:r w:rsidRPr="00BA2E19">
        <w:rPr>
          <w:rFonts w:ascii="Times New Roman" w:hAnsi="Times New Roman" w:cs="Times New Roman"/>
          <w:sz w:val="20"/>
          <w:szCs w:val="20"/>
          <w:lang w:val="en-US"/>
        </w:rPr>
        <w:t>Shtayermman</w:t>
      </w:r>
      <w:proofErr w:type="spellEnd"/>
      <w:r w:rsidRPr="00BA2E19">
        <w:rPr>
          <w:rFonts w:ascii="Times New Roman" w:hAnsi="Times New Roman" w:cs="Times New Roman"/>
          <w:sz w:val="20"/>
          <w:szCs w:val="20"/>
          <w:lang w:val="en-US"/>
        </w:rPr>
        <w:t xml:space="preserve"> &amp; Fletcher, 2022), although Moseley et al. (2022b) reported no such association.</w:t>
      </w:r>
    </w:p>
    <w:p w14:paraId="41B0BD7D" w14:textId="77777777" w:rsidR="00324CD8" w:rsidRPr="00BA2E19" w:rsidRDefault="00324CD8" w:rsidP="00324CD8">
      <w:pPr>
        <w:spacing w:line="480" w:lineRule="auto"/>
        <w:rPr>
          <w:i/>
          <w:iCs/>
          <w:sz w:val="20"/>
          <w:szCs w:val="20"/>
          <w:lang w:val="en-US"/>
        </w:rPr>
      </w:pPr>
      <w:r w:rsidRPr="00BA2E19">
        <w:rPr>
          <w:rFonts w:ascii="Times New Roman" w:eastAsia="Times New Roman" w:hAnsi="Times New Roman" w:cs="Times New Roman"/>
          <w:b/>
          <w:bCs/>
          <w:i/>
          <w:iCs/>
          <w:sz w:val="20"/>
          <w:szCs w:val="20"/>
          <w:lang w:val="en-US"/>
        </w:rPr>
        <w:t>Depression</w:t>
      </w:r>
    </w:p>
    <w:p w14:paraId="34622E11" w14:textId="77777777" w:rsidR="00324CD8" w:rsidRPr="00BA2E19" w:rsidRDefault="00324CD8" w:rsidP="00324CD8">
      <w:pPr>
        <w:spacing w:line="480" w:lineRule="auto"/>
        <w:ind w:firstLine="709"/>
        <w:rPr>
          <w:sz w:val="20"/>
          <w:szCs w:val="20"/>
          <w:lang w:val="en-US"/>
        </w:rPr>
      </w:pPr>
      <w:r w:rsidRPr="00BA2E19">
        <w:rPr>
          <w:rFonts w:ascii="Times New Roman" w:eastAsia="Times New Roman" w:hAnsi="Times New Roman" w:cs="Times New Roman"/>
          <w:sz w:val="20"/>
          <w:szCs w:val="20"/>
          <w:lang w:val="en-US"/>
        </w:rPr>
        <w:t xml:space="preserve">Depression was reported or measured in 69% of the included studies, of which 60% of these </w:t>
      </w:r>
      <w:proofErr w:type="gramStart"/>
      <w:r w:rsidRPr="00BA2E19">
        <w:rPr>
          <w:rFonts w:ascii="Times New Roman" w:eastAsia="Times New Roman" w:hAnsi="Times New Roman" w:cs="Times New Roman"/>
          <w:sz w:val="20"/>
          <w:szCs w:val="20"/>
          <w:lang w:val="en-US"/>
        </w:rPr>
        <w:t>controlled for</w:t>
      </w:r>
      <w:proofErr w:type="gramEnd"/>
      <w:r w:rsidRPr="00BA2E19">
        <w:rPr>
          <w:rFonts w:ascii="Times New Roman" w:eastAsia="Times New Roman" w:hAnsi="Times New Roman" w:cs="Times New Roman"/>
          <w:sz w:val="20"/>
          <w:szCs w:val="20"/>
          <w:lang w:val="en-US"/>
        </w:rPr>
        <w:t xml:space="preserve"> depression. Fifteen studies reported a significant association between depression and suicidal thoughts and </w:t>
      </w:r>
      <w:r w:rsidRPr="00BA2E19">
        <w:rPr>
          <w:rFonts w:ascii="Times New Roman" w:eastAsia="Times New Roman" w:hAnsi="Times New Roman" w:cs="Times New Roman"/>
          <w:sz w:val="20"/>
          <w:szCs w:val="20"/>
          <w:lang w:val="en-US"/>
        </w:rPr>
        <w:lastRenderedPageBreak/>
        <w:t>behavior (</w:t>
      </w:r>
      <w:proofErr w:type="spellStart"/>
      <w:r w:rsidRPr="00BA2E19">
        <w:rPr>
          <w:rFonts w:ascii="Times New Roman" w:eastAsia="Times New Roman" w:hAnsi="Times New Roman" w:cs="Times New Roman"/>
          <w:sz w:val="20"/>
          <w:szCs w:val="20"/>
          <w:lang w:val="en-US"/>
        </w:rPr>
        <w:t>Arwert</w:t>
      </w:r>
      <w:proofErr w:type="spellEnd"/>
      <w:r w:rsidRPr="00BA2E19">
        <w:rPr>
          <w:rFonts w:ascii="Times New Roman" w:eastAsia="Times New Roman" w:hAnsi="Times New Roman" w:cs="Times New Roman"/>
          <w:sz w:val="20"/>
          <w:szCs w:val="20"/>
          <w:lang w:val="en-US"/>
        </w:rPr>
        <w:t xml:space="preserve"> &amp; </w:t>
      </w:r>
      <w:proofErr w:type="spellStart"/>
      <w:r w:rsidRPr="00BA2E19">
        <w:rPr>
          <w:rFonts w:ascii="Times New Roman" w:eastAsia="Times New Roman" w:hAnsi="Times New Roman" w:cs="Times New Roman"/>
          <w:sz w:val="20"/>
          <w:szCs w:val="20"/>
          <w:lang w:val="en-US"/>
        </w:rPr>
        <w:t>Sizoo</w:t>
      </w:r>
      <w:proofErr w:type="spellEnd"/>
      <w:r w:rsidRPr="00BA2E19">
        <w:rPr>
          <w:rFonts w:ascii="Times New Roman" w:eastAsia="Times New Roman" w:hAnsi="Times New Roman" w:cs="Times New Roman"/>
          <w:sz w:val="20"/>
          <w:szCs w:val="20"/>
          <w:lang w:val="en-US"/>
        </w:rPr>
        <w:t xml:space="preserve">, 2020; Cassidy et al., 2014, 2018; Cervantes et al., 2023; Costa et al., 2020; </w:t>
      </w:r>
      <w:proofErr w:type="spellStart"/>
      <w:r w:rsidRPr="00BA2E19">
        <w:rPr>
          <w:rFonts w:ascii="Times New Roman" w:eastAsia="Times New Roman" w:hAnsi="Times New Roman" w:cs="Times New Roman"/>
          <w:sz w:val="20"/>
          <w:szCs w:val="20"/>
          <w:lang w:val="en-US"/>
        </w:rPr>
        <w:t>Dell’Osso</w:t>
      </w:r>
      <w:proofErr w:type="spellEnd"/>
      <w:r w:rsidRPr="00BA2E19">
        <w:rPr>
          <w:rFonts w:ascii="Times New Roman" w:eastAsia="Times New Roman" w:hAnsi="Times New Roman" w:cs="Times New Roman"/>
          <w:sz w:val="20"/>
          <w:szCs w:val="20"/>
          <w:lang w:val="en-US"/>
        </w:rPr>
        <w:t xml:space="preserve"> et al., 2019; Graham et al., 2023; Hedley et al., 2017; </w:t>
      </w:r>
      <w:proofErr w:type="spellStart"/>
      <w:r w:rsidRPr="00BA2E19">
        <w:rPr>
          <w:rFonts w:ascii="Times New Roman" w:eastAsia="Times New Roman" w:hAnsi="Times New Roman" w:cs="Times New Roman"/>
          <w:sz w:val="20"/>
          <w:szCs w:val="20"/>
          <w:lang w:val="en-US"/>
        </w:rPr>
        <w:t>Hooijer</w:t>
      </w:r>
      <w:proofErr w:type="spellEnd"/>
      <w:r w:rsidRPr="00BA2E19">
        <w:rPr>
          <w:rFonts w:ascii="Times New Roman" w:eastAsia="Times New Roman" w:hAnsi="Times New Roman" w:cs="Times New Roman"/>
          <w:sz w:val="20"/>
          <w:szCs w:val="20"/>
          <w:lang w:val="en-US"/>
        </w:rPr>
        <w:t xml:space="preserve"> &amp; </w:t>
      </w:r>
      <w:proofErr w:type="spellStart"/>
      <w:r w:rsidRPr="00BA2E19">
        <w:rPr>
          <w:rFonts w:ascii="Times New Roman" w:eastAsia="Times New Roman" w:hAnsi="Times New Roman" w:cs="Times New Roman"/>
          <w:sz w:val="20"/>
          <w:szCs w:val="20"/>
          <w:lang w:val="en-US"/>
        </w:rPr>
        <w:t>Sizoo</w:t>
      </w:r>
      <w:proofErr w:type="spellEnd"/>
      <w:r w:rsidRPr="00BA2E19">
        <w:rPr>
          <w:rFonts w:ascii="Times New Roman" w:eastAsia="Times New Roman" w:hAnsi="Times New Roman" w:cs="Times New Roman"/>
          <w:sz w:val="20"/>
          <w:szCs w:val="20"/>
          <w:lang w:val="en-US"/>
        </w:rPr>
        <w:t xml:space="preserve">, 2020; Jackson et al., 2018; Moseley et al., 2022a, 2022b, 2023; </w:t>
      </w:r>
      <w:proofErr w:type="spellStart"/>
      <w:r w:rsidRPr="00BA2E19">
        <w:rPr>
          <w:rFonts w:ascii="Times New Roman" w:eastAsia="Times New Roman" w:hAnsi="Times New Roman" w:cs="Times New Roman"/>
          <w:sz w:val="20"/>
          <w:szCs w:val="20"/>
          <w:lang w:val="en-US"/>
        </w:rPr>
        <w:t>Shtayermman</w:t>
      </w:r>
      <w:proofErr w:type="spellEnd"/>
      <w:r w:rsidRPr="00BA2E19">
        <w:rPr>
          <w:rFonts w:ascii="Times New Roman" w:eastAsia="Times New Roman" w:hAnsi="Times New Roman" w:cs="Times New Roman"/>
          <w:sz w:val="20"/>
          <w:szCs w:val="20"/>
          <w:lang w:val="en-US"/>
        </w:rPr>
        <w:t>, 2007, 2008, 2022). Similarly, Hedley et al. (2025) found in a two-year longitudinal study that depression significantly and positively predicted self-harm at follow-up. Cassidy et al. (2014) found that, compared to autistic people without depression, those with ASD and depression were more likely to report suicidal ideation and suicide plans or attempts.</w:t>
      </w:r>
    </w:p>
    <w:p w14:paraId="358E0ADB" w14:textId="77777777" w:rsidR="00324CD8" w:rsidRPr="00BA2E19" w:rsidRDefault="00324CD8" w:rsidP="00324CD8">
      <w:pPr>
        <w:spacing w:line="480" w:lineRule="auto"/>
        <w:ind w:firstLine="709"/>
        <w:rPr>
          <w:sz w:val="20"/>
          <w:szCs w:val="20"/>
          <w:lang w:val="en-US"/>
        </w:rPr>
      </w:pPr>
      <w:r w:rsidRPr="00BA2E19">
        <w:rPr>
          <w:rFonts w:ascii="Times New Roman" w:eastAsia="Times New Roman" w:hAnsi="Times New Roman" w:cs="Times New Roman"/>
          <w:sz w:val="20"/>
          <w:szCs w:val="20"/>
          <w:lang w:val="en-US"/>
        </w:rPr>
        <w:t xml:space="preserve">However, Moseley et al. (2022b) found that, although depression initially emerged as a significant factor in suicide attempts, its significance diminished after accounting for ITS constructs, specifically burdensomeness, reduced fear of death, and mental rehearsal. Moseley et al. (2022a) reported that depression influenced habituation to non-suicidal self-injury and acquired capability, suggesting a higher tendency for individuals with depression to develop the capacity for self-injury. Dow et al. (2021) found that individuals with a lifetime history of depression had higher rates of thwarted belongingness and perceived burdensomeness. In contrast, two studies did not find a statistically significant association between comorbid depression and suicide risk (Hedley et al., 2021; </w:t>
      </w:r>
      <w:proofErr w:type="spellStart"/>
      <w:r w:rsidRPr="00BA2E19">
        <w:rPr>
          <w:rFonts w:ascii="Times New Roman" w:eastAsia="Times New Roman" w:hAnsi="Times New Roman" w:cs="Times New Roman"/>
          <w:sz w:val="20"/>
          <w:szCs w:val="20"/>
          <w:lang w:val="en-US"/>
        </w:rPr>
        <w:t>Shtayermman</w:t>
      </w:r>
      <w:proofErr w:type="spellEnd"/>
      <w:r w:rsidRPr="00BA2E19">
        <w:rPr>
          <w:rFonts w:ascii="Times New Roman" w:eastAsia="Times New Roman" w:hAnsi="Times New Roman" w:cs="Times New Roman"/>
          <w:sz w:val="20"/>
          <w:szCs w:val="20"/>
          <w:lang w:val="en-US"/>
        </w:rPr>
        <w:t xml:space="preserve"> &amp; Fletcher, 2022).</w:t>
      </w:r>
    </w:p>
    <w:p w14:paraId="254354BE" w14:textId="77777777" w:rsidR="00324CD8" w:rsidRPr="00BA2E19" w:rsidRDefault="00324CD8" w:rsidP="00324CD8">
      <w:pPr>
        <w:spacing w:line="480" w:lineRule="auto"/>
        <w:rPr>
          <w:rFonts w:ascii="Times New Roman" w:hAnsi="Times New Roman" w:cs="Times New Roman"/>
          <w:b/>
          <w:bCs/>
          <w:i/>
          <w:iCs/>
          <w:sz w:val="20"/>
          <w:szCs w:val="20"/>
          <w:lang w:val="en-US"/>
        </w:rPr>
      </w:pPr>
      <w:r w:rsidRPr="00BA2E19">
        <w:rPr>
          <w:rFonts w:ascii="Times New Roman" w:hAnsi="Times New Roman" w:cs="Times New Roman"/>
          <w:b/>
          <w:bCs/>
          <w:i/>
          <w:iCs/>
          <w:sz w:val="20"/>
          <w:szCs w:val="20"/>
          <w:lang w:val="en-US"/>
        </w:rPr>
        <w:t>Rumination</w:t>
      </w:r>
    </w:p>
    <w:p w14:paraId="2316C70E" w14:textId="77777777" w:rsidR="00324CD8" w:rsidRPr="00BA2E19" w:rsidRDefault="00324CD8" w:rsidP="00324CD8">
      <w:pPr>
        <w:spacing w:line="480" w:lineRule="auto"/>
        <w:ind w:firstLine="709"/>
        <w:rPr>
          <w:rFonts w:ascii="Times New Roman" w:hAnsi="Times New Roman" w:cs="Times New Roman"/>
          <w:sz w:val="20"/>
          <w:szCs w:val="20"/>
          <w:lang w:val="en-US"/>
        </w:rPr>
      </w:pPr>
      <w:r w:rsidRPr="00BA2E19">
        <w:rPr>
          <w:rFonts w:ascii="Times New Roman" w:hAnsi="Times New Roman" w:cs="Times New Roman"/>
          <w:sz w:val="20"/>
          <w:szCs w:val="20"/>
          <w:lang w:val="en-US"/>
        </w:rPr>
        <w:t xml:space="preserve">Multiple studies examined the correlation between rumination and suicidality, with </w:t>
      </w:r>
      <w:proofErr w:type="spellStart"/>
      <w:r w:rsidRPr="00BA2E19">
        <w:rPr>
          <w:rFonts w:ascii="Times New Roman" w:hAnsi="Times New Roman" w:cs="Times New Roman"/>
          <w:sz w:val="20"/>
          <w:szCs w:val="20"/>
          <w:lang w:val="en-US"/>
        </w:rPr>
        <w:t>Arwert</w:t>
      </w:r>
      <w:proofErr w:type="spellEnd"/>
      <w:r w:rsidRPr="00BA2E19">
        <w:rPr>
          <w:rFonts w:ascii="Times New Roman" w:hAnsi="Times New Roman" w:cs="Times New Roman"/>
          <w:sz w:val="20"/>
          <w:szCs w:val="20"/>
          <w:lang w:val="en-US"/>
        </w:rPr>
        <w:t xml:space="preserve"> and </w:t>
      </w:r>
      <w:proofErr w:type="spellStart"/>
      <w:r w:rsidRPr="00BA2E19">
        <w:rPr>
          <w:rFonts w:ascii="Times New Roman" w:hAnsi="Times New Roman" w:cs="Times New Roman"/>
          <w:sz w:val="20"/>
          <w:szCs w:val="20"/>
          <w:lang w:val="en-US"/>
        </w:rPr>
        <w:t>Sizoo</w:t>
      </w:r>
      <w:proofErr w:type="spellEnd"/>
      <w:r w:rsidRPr="00BA2E19">
        <w:rPr>
          <w:rFonts w:ascii="Times New Roman" w:hAnsi="Times New Roman" w:cs="Times New Roman"/>
          <w:sz w:val="20"/>
          <w:szCs w:val="20"/>
          <w:lang w:val="en-US"/>
        </w:rPr>
        <w:t xml:space="preserve"> (2020) and </w:t>
      </w:r>
      <w:proofErr w:type="spellStart"/>
      <w:r w:rsidRPr="00BA2E19">
        <w:rPr>
          <w:rFonts w:ascii="Times New Roman" w:hAnsi="Times New Roman" w:cs="Times New Roman"/>
          <w:sz w:val="20"/>
          <w:szCs w:val="20"/>
          <w:lang w:val="en-US"/>
        </w:rPr>
        <w:t>Dell’Osso</w:t>
      </w:r>
      <w:proofErr w:type="spellEnd"/>
      <w:r w:rsidRPr="00BA2E19">
        <w:rPr>
          <w:rFonts w:ascii="Times New Roman" w:hAnsi="Times New Roman" w:cs="Times New Roman"/>
          <w:sz w:val="20"/>
          <w:szCs w:val="20"/>
          <w:lang w:val="en-US"/>
        </w:rPr>
        <w:t xml:space="preserve"> et al. (2019) both reporting a significant relationship between these constructs. Furthermore, </w:t>
      </w:r>
      <w:proofErr w:type="spellStart"/>
      <w:r w:rsidRPr="00BA2E19">
        <w:rPr>
          <w:rFonts w:ascii="Times New Roman" w:hAnsi="Times New Roman" w:cs="Times New Roman"/>
          <w:sz w:val="20"/>
          <w:szCs w:val="20"/>
          <w:lang w:val="en-US"/>
        </w:rPr>
        <w:t>Jachyra</w:t>
      </w:r>
      <w:proofErr w:type="spellEnd"/>
      <w:r w:rsidRPr="00BA2E19">
        <w:rPr>
          <w:rFonts w:ascii="Times New Roman" w:hAnsi="Times New Roman" w:cs="Times New Roman"/>
          <w:sz w:val="20"/>
          <w:szCs w:val="20"/>
          <w:lang w:val="en-US"/>
        </w:rPr>
        <w:t xml:space="preserve"> et al. (2022) highlighted challenges faced by autistic individuals in managing recurring suicidal ideation, with consequent emotional distress and fatigue.</w:t>
      </w:r>
    </w:p>
    <w:p w14:paraId="3BDF293F" w14:textId="77777777" w:rsidR="00324CD8" w:rsidRPr="00BA2E19" w:rsidRDefault="00324CD8" w:rsidP="00324CD8">
      <w:pPr>
        <w:spacing w:line="480" w:lineRule="auto"/>
        <w:rPr>
          <w:rFonts w:ascii="Times New Roman" w:hAnsi="Times New Roman" w:cs="Times New Roman"/>
          <w:b/>
          <w:bCs/>
          <w:i/>
          <w:iCs/>
          <w:sz w:val="20"/>
          <w:szCs w:val="20"/>
          <w:lang w:val="en-US"/>
        </w:rPr>
      </w:pPr>
      <w:r w:rsidRPr="00BA2E19">
        <w:rPr>
          <w:rFonts w:ascii="Times New Roman" w:hAnsi="Times New Roman" w:cs="Times New Roman"/>
          <w:b/>
          <w:bCs/>
          <w:i/>
          <w:iCs/>
          <w:sz w:val="20"/>
          <w:szCs w:val="20"/>
          <w:lang w:val="en-US"/>
        </w:rPr>
        <w:t>Autistic Trait Severity</w:t>
      </w:r>
    </w:p>
    <w:p w14:paraId="67881474" w14:textId="0EC2E9B8" w:rsidR="002D5C1F" w:rsidRDefault="00324CD8" w:rsidP="006D37F3">
      <w:pPr>
        <w:spacing w:line="480" w:lineRule="auto"/>
        <w:ind w:firstLine="720"/>
        <w:rPr>
          <w:rFonts w:ascii="Times New Roman" w:hAnsi="Times New Roman" w:cs="Times New Roman"/>
          <w:sz w:val="20"/>
          <w:szCs w:val="20"/>
          <w:lang w:val="en-US"/>
        </w:rPr>
      </w:pPr>
      <w:r w:rsidRPr="00BA2E19">
        <w:rPr>
          <w:rFonts w:ascii="Times New Roman" w:hAnsi="Times New Roman" w:cs="Times New Roman"/>
          <w:sz w:val="20"/>
          <w:szCs w:val="20"/>
          <w:lang w:val="en-US"/>
        </w:rPr>
        <w:t xml:space="preserve">Several studies have reported a positive correlation between greater autistic trait severity, as measured by instruments such as the Autism Spectrum Quotient (AQ), and increased mental health challenges or suicidality (Cassidy et al., 2014, 2018; Costa et al., 2020; </w:t>
      </w:r>
      <w:proofErr w:type="spellStart"/>
      <w:r w:rsidRPr="00BA2E19">
        <w:rPr>
          <w:rFonts w:ascii="Times New Roman" w:hAnsi="Times New Roman" w:cs="Times New Roman"/>
          <w:sz w:val="20"/>
          <w:szCs w:val="20"/>
          <w:lang w:val="en-US"/>
        </w:rPr>
        <w:t>Dell'Osso</w:t>
      </w:r>
      <w:proofErr w:type="spellEnd"/>
      <w:r w:rsidRPr="00BA2E19">
        <w:rPr>
          <w:rFonts w:ascii="Times New Roman" w:hAnsi="Times New Roman" w:cs="Times New Roman"/>
          <w:sz w:val="20"/>
          <w:szCs w:val="20"/>
          <w:lang w:val="en-US"/>
        </w:rPr>
        <w:t xml:space="preserve"> et al., 2019; Hedley, </w:t>
      </w:r>
      <w:proofErr w:type="spellStart"/>
      <w:r w:rsidRPr="00BA2E19">
        <w:rPr>
          <w:rFonts w:ascii="Times New Roman" w:hAnsi="Times New Roman" w:cs="Times New Roman"/>
          <w:sz w:val="20"/>
          <w:szCs w:val="20"/>
          <w:lang w:val="en-US"/>
        </w:rPr>
        <w:t>Uljarević</w:t>
      </w:r>
      <w:proofErr w:type="spellEnd"/>
      <w:r w:rsidRPr="00BA2E19">
        <w:rPr>
          <w:rFonts w:ascii="Times New Roman" w:hAnsi="Times New Roman" w:cs="Times New Roman"/>
          <w:sz w:val="20"/>
          <w:szCs w:val="20"/>
          <w:lang w:val="en-US"/>
        </w:rPr>
        <w:t xml:space="preserve">, Foley, et al., 2018; Jackson et al., 2018; Paquette-Smith et al., 2014; van </w:t>
      </w:r>
      <w:proofErr w:type="spellStart"/>
      <w:r w:rsidRPr="00BA2E19">
        <w:rPr>
          <w:rFonts w:ascii="Times New Roman" w:hAnsi="Times New Roman" w:cs="Times New Roman"/>
          <w:sz w:val="20"/>
          <w:szCs w:val="20"/>
          <w:lang w:val="en-US"/>
        </w:rPr>
        <w:t>Bentum</w:t>
      </w:r>
      <w:proofErr w:type="spellEnd"/>
      <w:r w:rsidRPr="00BA2E19">
        <w:rPr>
          <w:rFonts w:ascii="Times New Roman" w:hAnsi="Times New Roman" w:cs="Times New Roman"/>
          <w:sz w:val="20"/>
          <w:szCs w:val="20"/>
          <w:lang w:val="en-US"/>
        </w:rPr>
        <w:t xml:space="preserve"> et al., 2024). Greater trait severity was associated with higher depression, lower social support satisfaction, and increased loneliness (Hedley et al., 2018), with suicide risk escalating further among those who also displayed elevated alexithymia (Costa et al., 2020). One study reported a contrasting negative association, though this was based on a very small sample (</w:t>
      </w:r>
      <w:proofErr w:type="spellStart"/>
      <w:r w:rsidRPr="00BA2E19">
        <w:rPr>
          <w:rFonts w:ascii="Times New Roman" w:hAnsi="Times New Roman" w:cs="Times New Roman"/>
          <w:sz w:val="20"/>
          <w:szCs w:val="20"/>
          <w:lang w:val="en-US"/>
        </w:rPr>
        <w:t>Shtayermman</w:t>
      </w:r>
      <w:proofErr w:type="spellEnd"/>
      <w:r w:rsidRPr="00BA2E19">
        <w:rPr>
          <w:rFonts w:ascii="Times New Roman" w:hAnsi="Times New Roman" w:cs="Times New Roman"/>
          <w:sz w:val="20"/>
          <w:szCs w:val="20"/>
          <w:lang w:val="en-US"/>
        </w:rPr>
        <w:t>, 2007). Adding longitudinal evidence, Hedley et al. (2025) found that autistic traits independently predicted self-harm at two-year follow-up over and above depression, a novel finding within autistic sample</w:t>
      </w:r>
      <w:r w:rsidR="006D37F3">
        <w:rPr>
          <w:rFonts w:ascii="Times New Roman" w:hAnsi="Times New Roman" w:cs="Times New Roman"/>
          <w:sz w:val="20"/>
          <w:szCs w:val="20"/>
          <w:lang w:val="en-US"/>
        </w:rPr>
        <w:t>s.</w:t>
      </w:r>
    </w:p>
    <w:p w14:paraId="425B6787" w14:textId="77777777" w:rsidR="00576413" w:rsidRDefault="00576413" w:rsidP="006D37F3">
      <w:pPr>
        <w:spacing w:line="480" w:lineRule="auto"/>
        <w:ind w:firstLine="720"/>
        <w:rPr>
          <w:rFonts w:ascii="Times New Roman" w:hAnsi="Times New Roman" w:cs="Times New Roman"/>
          <w:sz w:val="20"/>
          <w:szCs w:val="20"/>
          <w:lang w:val="en-US"/>
        </w:rPr>
        <w:sectPr w:rsidR="00576413">
          <w:headerReference w:type="even" r:id="rId15"/>
          <w:headerReference w:type="default" r:id="rId16"/>
          <w:footerReference w:type="default" r:id="rId17"/>
          <w:pgSz w:w="11906" w:h="16838"/>
          <w:pgMar w:top="1417" w:right="1417" w:bottom="1417" w:left="1417" w:header="708" w:footer="708" w:gutter="0"/>
          <w:cols w:space="708"/>
          <w:docGrid w:linePitch="326"/>
        </w:sectPr>
      </w:pPr>
    </w:p>
    <w:p w14:paraId="479F8F2B" w14:textId="77777777" w:rsidR="00576413" w:rsidRPr="00324CD8" w:rsidRDefault="00576413" w:rsidP="00576413">
      <w:pPr>
        <w:spacing w:after="200"/>
        <w:rPr>
          <w:rFonts w:ascii="Times New Roman" w:eastAsia="Calibri" w:hAnsi="Times New Roman" w:cs="Times New Roman"/>
          <w:b/>
          <w:bCs/>
          <w:color w:val="000000"/>
          <w:sz w:val="20"/>
          <w:szCs w:val="20"/>
          <w:lang w:val="en-US"/>
        </w:rPr>
      </w:pPr>
      <w:r>
        <w:rPr>
          <w:rFonts w:ascii="Times New Roman" w:eastAsia="Calibri" w:hAnsi="Times New Roman" w:cs="Times New Roman"/>
          <w:b/>
          <w:bCs/>
          <w:color w:val="000000"/>
          <w:sz w:val="20"/>
          <w:szCs w:val="20"/>
          <w:lang w:val="en-US"/>
        </w:rPr>
        <w:lastRenderedPageBreak/>
        <w:t>5</w:t>
      </w:r>
      <w:r w:rsidRPr="00324CD8">
        <w:rPr>
          <w:rFonts w:ascii="Times New Roman" w:eastAsia="Calibri" w:hAnsi="Times New Roman" w:cs="Times New Roman"/>
          <w:b/>
          <w:bCs/>
          <w:color w:val="000000"/>
          <w:sz w:val="20"/>
          <w:szCs w:val="20"/>
          <w:lang w:val="en-US"/>
        </w:rPr>
        <w:t>. Table: Characteristics of Included Studies and Their Respective Autistic Participants</w:t>
      </w:r>
    </w:p>
    <w:tbl>
      <w:tblPr>
        <w:tblStyle w:val="Rastertabel1licht"/>
        <w:tblpPr w:leftFromText="180" w:rightFromText="180" w:vertAnchor="page" w:horzAnchor="margin" w:tblpXSpec="right" w:tblpY="2584"/>
        <w:tblW w:w="14737" w:type="dxa"/>
        <w:tblLayout w:type="fixed"/>
        <w:tblLook w:val="04A0" w:firstRow="1" w:lastRow="0" w:firstColumn="1" w:lastColumn="0" w:noHBand="0" w:noVBand="1"/>
      </w:tblPr>
      <w:tblGrid>
        <w:gridCol w:w="2547"/>
        <w:gridCol w:w="855"/>
        <w:gridCol w:w="1418"/>
        <w:gridCol w:w="1276"/>
        <w:gridCol w:w="1984"/>
        <w:gridCol w:w="1134"/>
        <w:gridCol w:w="3822"/>
        <w:gridCol w:w="1701"/>
      </w:tblGrid>
      <w:tr w:rsidR="00576413" w:rsidRPr="00BA2E19" w14:paraId="2EEBBE62" w14:textId="77777777" w:rsidTr="00147C41">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nil"/>
              <w:bottom w:val="single" w:sz="4" w:space="0" w:color="auto"/>
              <w:right w:val="nil"/>
            </w:tcBorders>
          </w:tcPr>
          <w:p w14:paraId="4F443864"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eastAsia="Calibri" w:hAnsi="Times New Roman" w:cs="Times New Roman"/>
                <w:kern w:val="0"/>
                <w:sz w:val="20"/>
                <w:szCs w:val="20"/>
                <w:lang w:val="en-US"/>
              </w:rPr>
              <w:t>Author(s) and Study ID</w:t>
            </w:r>
          </w:p>
        </w:tc>
        <w:tc>
          <w:tcPr>
            <w:tcW w:w="855" w:type="dxa"/>
            <w:tcBorders>
              <w:top w:val="single" w:sz="4" w:space="0" w:color="auto"/>
              <w:left w:val="nil"/>
              <w:bottom w:val="single" w:sz="4" w:space="0" w:color="auto"/>
              <w:right w:val="nil"/>
            </w:tcBorders>
          </w:tcPr>
          <w:p w14:paraId="07343105" w14:textId="77777777" w:rsidR="00576413" w:rsidRPr="00BA2E19" w:rsidRDefault="00576413" w:rsidP="00147C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kern w:val="0"/>
                <w:sz w:val="20"/>
                <w:szCs w:val="20"/>
                <w:lang w:val="en-US"/>
              </w:rPr>
              <w:t>Year</w:t>
            </w:r>
          </w:p>
        </w:tc>
        <w:tc>
          <w:tcPr>
            <w:tcW w:w="1418" w:type="dxa"/>
            <w:tcBorders>
              <w:top w:val="single" w:sz="4" w:space="0" w:color="auto"/>
              <w:left w:val="nil"/>
              <w:bottom w:val="single" w:sz="4" w:space="0" w:color="auto"/>
              <w:right w:val="nil"/>
            </w:tcBorders>
          </w:tcPr>
          <w:p w14:paraId="78493460" w14:textId="77777777" w:rsidR="00576413" w:rsidRPr="00BA2E19" w:rsidRDefault="00576413" w:rsidP="00147C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kern w:val="0"/>
                <w:sz w:val="20"/>
                <w:szCs w:val="20"/>
                <w:lang w:val="en-US"/>
              </w:rPr>
              <w:t>Country</w:t>
            </w:r>
          </w:p>
        </w:tc>
        <w:tc>
          <w:tcPr>
            <w:tcW w:w="1276" w:type="dxa"/>
            <w:tcBorders>
              <w:top w:val="single" w:sz="4" w:space="0" w:color="auto"/>
              <w:left w:val="nil"/>
              <w:bottom w:val="single" w:sz="4" w:space="0" w:color="auto"/>
              <w:right w:val="nil"/>
            </w:tcBorders>
          </w:tcPr>
          <w:p w14:paraId="2B6B437B" w14:textId="77777777" w:rsidR="00576413" w:rsidRPr="00BA2E19" w:rsidRDefault="00576413" w:rsidP="00147C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vertAlign w:val="superscript"/>
                <w:lang w:val="en-US"/>
              </w:rPr>
            </w:pPr>
            <w:r w:rsidRPr="00BA2E19">
              <w:rPr>
                <w:rFonts w:ascii="Times New Roman" w:eastAsia="Calibri" w:hAnsi="Times New Roman" w:cs="Times New Roman"/>
                <w:kern w:val="0"/>
                <w:sz w:val="20"/>
                <w:szCs w:val="20"/>
                <w:lang w:val="en-US"/>
              </w:rPr>
              <w:t>N</w:t>
            </w:r>
          </w:p>
        </w:tc>
        <w:tc>
          <w:tcPr>
            <w:tcW w:w="1984" w:type="dxa"/>
            <w:tcBorders>
              <w:top w:val="single" w:sz="4" w:space="0" w:color="auto"/>
              <w:left w:val="nil"/>
              <w:bottom w:val="single" w:sz="4" w:space="0" w:color="auto"/>
              <w:right w:val="nil"/>
            </w:tcBorders>
          </w:tcPr>
          <w:p w14:paraId="4D08A238" w14:textId="77777777" w:rsidR="00576413" w:rsidRPr="00BA2E19" w:rsidRDefault="00576413" w:rsidP="00147C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kern w:val="0"/>
                <w:sz w:val="20"/>
                <w:szCs w:val="20"/>
                <w:lang w:val="en-US"/>
              </w:rPr>
              <w:t>Mean age (</w:t>
            </w:r>
            <w:proofErr w:type="spellStart"/>
            <w:r w:rsidRPr="00BA2E19">
              <w:rPr>
                <w:rFonts w:ascii="Times New Roman" w:eastAsia="Calibri" w:hAnsi="Times New Roman" w:cs="Times New Roman"/>
                <w:kern w:val="0"/>
                <w:sz w:val="20"/>
                <w:szCs w:val="20"/>
                <w:lang w:val="en-US"/>
              </w:rPr>
              <w:t>sd</w:t>
            </w:r>
            <w:proofErr w:type="spellEnd"/>
            <w:r w:rsidRPr="00BA2E19">
              <w:rPr>
                <w:rFonts w:ascii="Times New Roman" w:eastAsia="Calibri" w:hAnsi="Times New Roman" w:cs="Times New Roman"/>
                <w:kern w:val="0"/>
                <w:sz w:val="20"/>
                <w:szCs w:val="20"/>
                <w:lang w:val="en-US"/>
              </w:rPr>
              <w:t xml:space="preserve">) </w:t>
            </w:r>
          </w:p>
        </w:tc>
        <w:tc>
          <w:tcPr>
            <w:tcW w:w="1134" w:type="dxa"/>
            <w:tcBorders>
              <w:top w:val="single" w:sz="4" w:space="0" w:color="auto"/>
              <w:left w:val="nil"/>
              <w:bottom w:val="single" w:sz="4" w:space="0" w:color="auto"/>
              <w:right w:val="nil"/>
            </w:tcBorders>
          </w:tcPr>
          <w:p w14:paraId="5F4424B2" w14:textId="77777777" w:rsidR="00576413" w:rsidRPr="00BA2E19" w:rsidRDefault="00576413" w:rsidP="00147C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kern w:val="0"/>
                <w:sz w:val="20"/>
                <w:szCs w:val="20"/>
                <w:lang w:val="en-US"/>
              </w:rPr>
              <w:t>% Male</w:t>
            </w:r>
          </w:p>
        </w:tc>
        <w:tc>
          <w:tcPr>
            <w:tcW w:w="3822" w:type="dxa"/>
            <w:tcBorders>
              <w:top w:val="single" w:sz="4" w:space="0" w:color="auto"/>
              <w:left w:val="nil"/>
              <w:bottom w:val="single" w:sz="4" w:space="0" w:color="auto"/>
              <w:right w:val="nil"/>
            </w:tcBorders>
          </w:tcPr>
          <w:p w14:paraId="54409F26" w14:textId="77777777" w:rsidR="00576413" w:rsidRPr="00BA2E19" w:rsidRDefault="00576413" w:rsidP="00147C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kern w:val="0"/>
                <w:sz w:val="20"/>
                <w:szCs w:val="20"/>
                <w:lang w:val="en-US"/>
              </w:rPr>
              <w:t>ASD diagnosis</w:t>
            </w:r>
          </w:p>
        </w:tc>
        <w:tc>
          <w:tcPr>
            <w:tcW w:w="1701" w:type="dxa"/>
            <w:tcBorders>
              <w:top w:val="single" w:sz="4" w:space="0" w:color="auto"/>
              <w:left w:val="nil"/>
              <w:bottom w:val="single" w:sz="4" w:space="0" w:color="auto"/>
              <w:right w:val="nil"/>
            </w:tcBorders>
          </w:tcPr>
          <w:p w14:paraId="4E265084" w14:textId="77777777" w:rsidR="00576413" w:rsidRPr="00BA2E19" w:rsidRDefault="00576413" w:rsidP="00147C41">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kern w:val="0"/>
                <w:sz w:val="20"/>
                <w:szCs w:val="20"/>
                <w:lang w:val="en-US"/>
              </w:rPr>
              <w:t>Data source</w:t>
            </w:r>
          </w:p>
        </w:tc>
      </w:tr>
      <w:tr w:rsidR="00576413" w:rsidRPr="00BA2E19" w14:paraId="3FFBDCAB"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nil"/>
              <w:bottom w:val="nil"/>
              <w:right w:val="nil"/>
            </w:tcBorders>
          </w:tcPr>
          <w:p w14:paraId="24F374B1"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{"citationID":"a2pai9qrqj4","properties":{"formattedCitation":"(Arwert &amp; Sizoo, 2020)","plainCitation":"(Arwert &amp; Sizoo, 2020)","dontUpdate":true,"noteIndex":0},"citationItems":[{"id":"wAnnZMUy/eAtJripd","uris":["http://zotero.org/users/9059392/items/9WJZGLNE"],"itemData":{"id":1162,"type":"article-journal","abstract":"Rumination and low self-esteem are associated with suicidality, and with autism spectrum disorders (ASD). However, rumination and self-esteem in relation to suicidality in adults with ASD have not been examined. This cross-sectional study (n = 75; 46 males and 29 females) investigates the relation of rumination and self-esteem to the absence/presence of suicidal ideation (SUIC+/−), history of attempted suicide (HAS), and severity of suicidality. Multivariate analysis of variance showed that self-esteem was significantly associated with SUIC+/−, whereas rumination was significantly associated with HAS. Multiple regression analysis showed that rumination and self-esteem were independently associated with severity of suicidality, but these lose their significant contribution, when statistically controlling for depression. The prevalence of suicidal ideation was 66.6%; gender was not a significant factor.","container-title":"Journal of Autism and Developmental Disorders","DOI":"10.1007/s10803-020-04372-z","ISSN":"1573-3432","issue":"10","journalAbbreviation":"J Autism Dev Disord","language":"en","page":"3598-3605","source":"Springer Link","title":"Self-reported Suicidality in Male and Female Adults with Autism Spectrum Disorders: Rumination and Self-esteem","title-short":"Self-reported Suicidality in Male and Female Adults with Autism Spectrum Disorders","volume":"50","author":[{"family":"Arwert","given":"Titia G."},{"family":"Sizoo","given":"Bram B."}],"issued":{"date-parts":[["2020",10,1]]}}}],"schema":"https://github.com/citation-style-language/schema/raw/master/csl-citation.json"} </w:instrText>
            </w:r>
            <w:r w:rsidRPr="00BA2E19">
              <w:rPr>
                <w:rFonts w:ascii="Times New Roman" w:hAnsi="Times New Roman" w:cs="Times New Roman"/>
                <w:sz w:val="20"/>
                <w:szCs w:val="20"/>
                <w:lang w:val="en-US"/>
              </w:rPr>
              <w:fldChar w:fldCharType="separate"/>
            </w:r>
            <w:proofErr w:type="spellStart"/>
            <w:r w:rsidRPr="00BA2E19">
              <w:rPr>
                <w:rFonts w:ascii="Times New Roman" w:hAnsi="Times New Roman" w:cs="Times New Roman"/>
                <w:kern w:val="0"/>
                <w:sz w:val="20"/>
                <w:szCs w:val="20"/>
                <w:lang w:val="en-US"/>
              </w:rPr>
              <w:t>Arwert</w:t>
            </w:r>
            <w:proofErr w:type="spellEnd"/>
            <w:r w:rsidRPr="00BA2E19">
              <w:rPr>
                <w:rFonts w:ascii="Times New Roman" w:hAnsi="Times New Roman" w:cs="Times New Roman"/>
                <w:kern w:val="0"/>
                <w:sz w:val="20"/>
                <w:szCs w:val="20"/>
                <w:lang w:val="en-US"/>
              </w:rPr>
              <w:t xml:space="preserve"> &amp; </w:t>
            </w:r>
            <w:proofErr w:type="spellStart"/>
            <w:r w:rsidRPr="00BA2E19">
              <w:rPr>
                <w:rFonts w:ascii="Times New Roman" w:hAnsi="Times New Roman" w:cs="Times New Roman"/>
                <w:kern w:val="0"/>
                <w:sz w:val="20"/>
                <w:szCs w:val="20"/>
                <w:lang w:val="en-US"/>
              </w:rPr>
              <w:t>Sizoo</w:t>
            </w:r>
            <w:proofErr w:type="spellEnd"/>
            <w:r w:rsidRPr="00BA2E19">
              <w:rPr>
                <w:rFonts w:ascii="Times New Roman" w:hAnsi="Times New Roman" w:cs="Times New Roman"/>
                <w:sz w:val="20"/>
                <w:szCs w:val="20"/>
                <w:lang w:val="en-US"/>
              </w:rPr>
              <w:fldChar w:fldCharType="end"/>
            </w:r>
          </w:p>
        </w:tc>
        <w:tc>
          <w:tcPr>
            <w:tcW w:w="855" w:type="dxa"/>
            <w:tcBorders>
              <w:top w:val="single" w:sz="4" w:space="0" w:color="auto"/>
              <w:left w:val="nil"/>
              <w:bottom w:val="nil"/>
              <w:right w:val="nil"/>
            </w:tcBorders>
          </w:tcPr>
          <w:p w14:paraId="2AD081E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2020</w:t>
            </w:r>
          </w:p>
        </w:tc>
        <w:tc>
          <w:tcPr>
            <w:tcW w:w="1418" w:type="dxa"/>
            <w:tcBorders>
              <w:top w:val="single" w:sz="4" w:space="0" w:color="auto"/>
              <w:left w:val="nil"/>
              <w:bottom w:val="nil"/>
              <w:right w:val="nil"/>
            </w:tcBorders>
          </w:tcPr>
          <w:p w14:paraId="1C13EEA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Netherlands</w:t>
            </w:r>
          </w:p>
        </w:tc>
        <w:tc>
          <w:tcPr>
            <w:tcW w:w="1276" w:type="dxa"/>
            <w:tcBorders>
              <w:top w:val="single" w:sz="4" w:space="0" w:color="auto"/>
              <w:left w:val="nil"/>
              <w:bottom w:val="nil"/>
              <w:right w:val="nil"/>
            </w:tcBorders>
          </w:tcPr>
          <w:p w14:paraId="43B6786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75</w:t>
            </w:r>
          </w:p>
        </w:tc>
        <w:tc>
          <w:tcPr>
            <w:tcW w:w="1984" w:type="dxa"/>
            <w:tcBorders>
              <w:top w:val="single" w:sz="4" w:space="0" w:color="auto"/>
              <w:left w:val="nil"/>
              <w:bottom w:val="nil"/>
              <w:right w:val="nil"/>
            </w:tcBorders>
          </w:tcPr>
          <w:p w14:paraId="4A368A3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35.9 (13.0)</w:t>
            </w:r>
          </w:p>
        </w:tc>
        <w:tc>
          <w:tcPr>
            <w:tcW w:w="1134" w:type="dxa"/>
            <w:tcBorders>
              <w:top w:val="single" w:sz="4" w:space="0" w:color="auto"/>
              <w:left w:val="nil"/>
              <w:bottom w:val="nil"/>
              <w:right w:val="nil"/>
            </w:tcBorders>
          </w:tcPr>
          <w:p w14:paraId="29616F0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61</w:t>
            </w:r>
          </w:p>
        </w:tc>
        <w:tc>
          <w:tcPr>
            <w:tcW w:w="3822" w:type="dxa"/>
            <w:tcBorders>
              <w:top w:val="single" w:sz="4" w:space="0" w:color="auto"/>
              <w:left w:val="nil"/>
              <w:bottom w:val="nil"/>
              <w:right w:val="nil"/>
            </w:tcBorders>
          </w:tcPr>
          <w:p w14:paraId="19ECE32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 xml:space="preserve">National guidelines </w:t>
            </w:r>
          </w:p>
        </w:tc>
        <w:tc>
          <w:tcPr>
            <w:tcW w:w="1701" w:type="dxa"/>
            <w:tcBorders>
              <w:top w:val="single" w:sz="4" w:space="0" w:color="auto"/>
              <w:left w:val="nil"/>
              <w:bottom w:val="nil"/>
              <w:right w:val="nil"/>
            </w:tcBorders>
          </w:tcPr>
          <w:p w14:paraId="2FD2AB2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42B752D1"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3C4D5121"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{"citationID":"ansrbq9g2f","properties":{"formattedCitation":"(Barcelos et al., 2021)","plainCitation":"(Barcelos et al., 2021)","dontUpdate":true,"noteIndex":0},"citationItems":[{"id":"wAnnZMUy/4JvYXH0v","uris":["http://zotero.org/users/9059392/items/U88IW678"],"itemData":{"id":1337,"type":"article-journal","abstract":"Mental health problems and suicide are more frequent in autistic adults than general population. Dog ownership can improve human well-being. This study aimed to generate a framework of well-being outcomes for dog-related activities in autistic adults and compare it to the framework generated for a general adult population. Thirty-six autistic dog owners (18–74 years old, 18 males) from diverse UK regions were interviewed and transcripts thematically analysed. 16.7% reported that their dogs prevented them from taking their own lives, mainly due to the dog's affection and the need to care for the animal. Close dog-owner interactions (e.g., cuddling, walking, dog's presence) were the most frequent activities improving emotions/moods and life functioning, whereas routine-like activities (e.g., feeding the animal) particularly enhanced life functioning. Well-being worsening was mainly linked to dog behaviour problems, dog poor health/death and obligations to the dog. Despite some negatives associated with ownership, having a dog could improve the well-being of many autistic adults and assist suicide prevention strategies in this high-risk group. The framework was consistent with that generated previously, indicating its robustness and the potential opportunity to focus on dog-related activities rather than the vague concept of “ownership” when considering the impact of ownership on well-being.","container-title":"Scientific Reports","DOI":"10.1038/s41598-021-02504-8","ISSN":"2045-2322","issue":"1","journalAbbreviation":"Sci Rep","language":"en","license":"2021 The Author(s)","note":"number: 1\npublisher: Nature Publishing Group","page":"23655","source":"www.nature.com","title":"Understanding the impact of dog ownership on autistic adults: implications for mental health and suicide prevention","title-short":"Understanding the impact of dog ownership on autistic adults","volume":"11","author":[{"family":"Barcelos","given":"Ana Maria"},{"family":"Kargas","given":"Niko"},{"family":"Packham","given":"Chris"},{"family":"Mills","given":"Daniel S."}],"issued":{"date-parts":[["2021",12,8]]}}}],"schema":"https://github.com/citation-style-language/schema/raw/master/csl-citation.json"}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szCs w:val="20"/>
                <w:lang w:val="en-US"/>
              </w:rPr>
              <w:t>Barcelos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7D2E43F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2021</w:t>
            </w:r>
          </w:p>
        </w:tc>
        <w:tc>
          <w:tcPr>
            <w:tcW w:w="1418" w:type="dxa"/>
            <w:tcBorders>
              <w:top w:val="nil"/>
              <w:left w:val="nil"/>
              <w:bottom w:val="nil"/>
              <w:right w:val="nil"/>
            </w:tcBorders>
          </w:tcPr>
          <w:p w14:paraId="72F33B6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vertAlign w:val="subscript"/>
                <w:lang w:val="en-US"/>
              </w:rPr>
            </w:pPr>
            <w:r w:rsidRPr="00BA2E19">
              <w:rPr>
                <w:rFonts w:ascii="Times New Roman" w:eastAsia="Calibri" w:hAnsi="Times New Roman" w:cs="Times New Roman"/>
                <w:color w:val="000000"/>
                <w:kern w:val="0"/>
                <w:sz w:val="20"/>
                <w:szCs w:val="20"/>
                <w:lang w:val="en-US"/>
              </w:rPr>
              <w:t>UK</w:t>
            </w:r>
          </w:p>
        </w:tc>
        <w:tc>
          <w:tcPr>
            <w:tcW w:w="1276" w:type="dxa"/>
            <w:tcBorders>
              <w:top w:val="nil"/>
              <w:left w:val="nil"/>
              <w:bottom w:val="nil"/>
              <w:right w:val="nil"/>
            </w:tcBorders>
          </w:tcPr>
          <w:p w14:paraId="783B511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36</w:t>
            </w:r>
          </w:p>
        </w:tc>
        <w:tc>
          <w:tcPr>
            <w:tcW w:w="1984" w:type="dxa"/>
            <w:tcBorders>
              <w:top w:val="nil"/>
              <w:left w:val="nil"/>
              <w:bottom w:val="nil"/>
              <w:right w:val="nil"/>
            </w:tcBorders>
          </w:tcPr>
          <w:p w14:paraId="16A385E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 xml:space="preserve">Median range: 25–34 </w:t>
            </w:r>
          </w:p>
        </w:tc>
        <w:tc>
          <w:tcPr>
            <w:tcW w:w="1134" w:type="dxa"/>
            <w:tcBorders>
              <w:top w:val="nil"/>
              <w:left w:val="nil"/>
              <w:bottom w:val="nil"/>
              <w:right w:val="nil"/>
            </w:tcBorders>
          </w:tcPr>
          <w:p w14:paraId="1A54A39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50</w:t>
            </w:r>
          </w:p>
        </w:tc>
        <w:tc>
          <w:tcPr>
            <w:tcW w:w="3822" w:type="dxa"/>
            <w:tcBorders>
              <w:top w:val="nil"/>
              <w:left w:val="nil"/>
              <w:bottom w:val="nil"/>
              <w:right w:val="nil"/>
            </w:tcBorders>
          </w:tcPr>
          <w:p w14:paraId="3C14CC4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Formal diagnosis, NOS</w:t>
            </w:r>
          </w:p>
        </w:tc>
        <w:tc>
          <w:tcPr>
            <w:tcW w:w="1701" w:type="dxa"/>
            <w:tcBorders>
              <w:top w:val="nil"/>
              <w:left w:val="nil"/>
              <w:bottom w:val="nil"/>
              <w:right w:val="nil"/>
            </w:tcBorders>
          </w:tcPr>
          <w:p w14:paraId="04EE3D6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75F85E9C"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0DF0FC10"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{"citationID":"aemrhj6t7b","properties":{"formattedCitation":"(Camm-Crosbie et al., 2019)","plainCitation":"(Camm-Crosbie et al., 2019)","dontUpdate":true,"noteIndex":0},"citationItems":[{"id":"wAnnZMUy/ZockiMTe","uris":["http://zotero.org/users/9059392/items/QDR89R5W"],"itemData":{"id":1339,"type":"article-journal","abstract":"Autistic people are at high risk of mental health problems, self-injury and suicidality. However, no studies have explored autistic peoples' experiences of treatment and support for these difficulties. In partnership with a steering group of autistic adults, an online survey was developed to explore these individuals' experiences of treatment and support for mental health problems, self-injury and suicidality for the first time. A total of 200 autistic adults (122 females, 77 males and 1 unreported) aged 18-67 (mean = 38.9 years, standard deviation = 11.5), without co-occurring intellectual disability, completed the online survey. Thematic analysis of open-ended questions resulted in an overarching theme that individually tailored treatment and support was both beneficial and desirable, which consisted of three underlying themes: (1) difficulties in accessing treatment and support; (2) lack of understanding and knowledge of autistic people with co-occurring mental health difficulties and (3) appropriate treatment and support, or lack of, impacted autistic people's well-being and likelihood of seeing suicide as their future. Findings demonstrate an urgent need for autism treatment pathways in mental health services.","container-title":"Autism: The International Journal of Research and Practice","DOI":"10.1177/1362361318816053","ISSN":"1461-7005","issue":"6","journalAbbreviation":"Autism","language":"eng","note":"PMID: 30497279\nPMCID: PMC6625034","page":"1431-1441","source":"PubMed","title":"'People like me don't get support': Autistic adults' experiences of support and treatment for mental health difficulties, self-injury and suicidality","title-short":"'People like me don't get support'","volume":"23","author":[{"family":"Camm-Crosbie","given":"Louise"},{"family":"Bradley","given":"Louise"},{"family":"Shaw","given":"Rebecca"},{"family":"Baron-Cohen","given":"Simon"},{"family":"Cassidy","given":"Sarah"}],"issued":{"date-parts":[["2019",8]]}}}],"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szCs w:val="20"/>
                <w:lang w:val="en-US"/>
              </w:rPr>
              <w:t>Camm-Crosbie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7102A70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2019</w:t>
            </w:r>
          </w:p>
        </w:tc>
        <w:tc>
          <w:tcPr>
            <w:tcW w:w="1418" w:type="dxa"/>
            <w:tcBorders>
              <w:top w:val="nil"/>
              <w:left w:val="nil"/>
              <w:bottom w:val="nil"/>
              <w:right w:val="nil"/>
            </w:tcBorders>
          </w:tcPr>
          <w:p w14:paraId="0DCDF69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UK</w:t>
            </w:r>
          </w:p>
        </w:tc>
        <w:tc>
          <w:tcPr>
            <w:tcW w:w="1276" w:type="dxa"/>
            <w:tcBorders>
              <w:top w:val="nil"/>
              <w:left w:val="nil"/>
              <w:bottom w:val="nil"/>
              <w:right w:val="nil"/>
            </w:tcBorders>
          </w:tcPr>
          <w:p w14:paraId="3179798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200</w:t>
            </w:r>
          </w:p>
        </w:tc>
        <w:tc>
          <w:tcPr>
            <w:tcW w:w="1984" w:type="dxa"/>
            <w:tcBorders>
              <w:top w:val="nil"/>
              <w:left w:val="nil"/>
              <w:bottom w:val="nil"/>
              <w:right w:val="nil"/>
            </w:tcBorders>
          </w:tcPr>
          <w:p w14:paraId="1C385A9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38.9 (11.5)</w:t>
            </w:r>
          </w:p>
        </w:tc>
        <w:tc>
          <w:tcPr>
            <w:tcW w:w="1134" w:type="dxa"/>
            <w:tcBorders>
              <w:top w:val="nil"/>
              <w:left w:val="nil"/>
              <w:bottom w:val="nil"/>
              <w:right w:val="nil"/>
            </w:tcBorders>
          </w:tcPr>
          <w:p w14:paraId="38F7C97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38.5</w:t>
            </w:r>
          </w:p>
        </w:tc>
        <w:tc>
          <w:tcPr>
            <w:tcW w:w="3822" w:type="dxa"/>
            <w:tcBorders>
              <w:top w:val="nil"/>
              <w:left w:val="nil"/>
              <w:bottom w:val="nil"/>
              <w:right w:val="nil"/>
            </w:tcBorders>
          </w:tcPr>
          <w:p w14:paraId="14F9A59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Self-report</w:t>
            </w:r>
          </w:p>
        </w:tc>
        <w:tc>
          <w:tcPr>
            <w:tcW w:w="1701" w:type="dxa"/>
            <w:tcBorders>
              <w:top w:val="nil"/>
              <w:left w:val="nil"/>
              <w:bottom w:val="nil"/>
              <w:right w:val="nil"/>
            </w:tcBorders>
          </w:tcPr>
          <w:p w14:paraId="4851676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5769C83E"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54528D78"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{"citationID":"a2njn9nb7om","properties":{"formattedCitation":"(Cassidy et al., 2014)","plainCitation":"(Cassidy et al., 2014)","dontUpdate":true,"noteIndex":0},"citationItems":[{"id":"wAnnZMUy/UFVAuRLd","uris":["http://zotero.org/users/9059392/items/SX4UPXMI"],"itemData":{"id":1260,"type":"article-journal","abstract":"Background Asperger’s syndrome in adulthood is frequently associated with depression, but few studies have explored the lifetime experience of self-reported suicidal ideation and suicide plans or attempts in this clinical group. We aimed to assess this prevalence in a clinical cohort of patients in the UK.","container-title":"The Lancet Psychiatry","DOI":"10.1016/S2215-0366(14)70248-2","ISSN":"22150366","issue":"2","journalAbbreviation":"The Lancet Psychiatry","language":"en","page":"142-147","source":"DOI.org (Crossref)","title":"Suicidal ideation and suicide plans or attempts in adults with Asperger's syndrome attending a specialist diagnostic clinic: a clinical cohort study","title-short":"Suicidal ideation and suicide plans or attempts in adults with Asperger's syndrome attending a specialist diagnostic clinic","volume":"1","author":[{"family":"Cassidy","given":"Sarah"},{"family":"Bradley","given":"Paul"},{"family":"Robinson","given":"Janine"},{"family":"Allison","given":"Carrie"},{"family":"McHugh","given":"Meghan"},{"family":"Baron-Cohen","given":"Simon"}],"issued":{"date-parts":[["2014",7]]}}}],"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szCs w:val="20"/>
                <w:lang w:val="en-US"/>
              </w:rPr>
              <w:t>Cassidy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7E0A05B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2014</w:t>
            </w:r>
          </w:p>
        </w:tc>
        <w:tc>
          <w:tcPr>
            <w:tcW w:w="1418" w:type="dxa"/>
            <w:tcBorders>
              <w:top w:val="nil"/>
              <w:left w:val="nil"/>
              <w:bottom w:val="nil"/>
              <w:right w:val="nil"/>
            </w:tcBorders>
          </w:tcPr>
          <w:p w14:paraId="618B18F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UK</w:t>
            </w:r>
          </w:p>
        </w:tc>
        <w:tc>
          <w:tcPr>
            <w:tcW w:w="1276" w:type="dxa"/>
            <w:tcBorders>
              <w:top w:val="nil"/>
              <w:left w:val="nil"/>
              <w:bottom w:val="nil"/>
              <w:right w:val="nil"/>
            </w:tcBorders>
          </w:tcPr>
          <w:p w14:paraId="304AD9D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374</w:t>
            </w:r>
          </w:p>
        </w:tc>
        <w:tc>
          <w:tcPr>
            <w:tcW w:w="1984" w:type="dxa"/>
            <w:tcBorders>
              <w:top w:val="nil"/>
              <w:left w:val="nil"/>
              <w:bottom w:val="nil"/>
              <w:right w:val="nil"/>
            </w:tcBorders>
          </w:tcPr>
          <w:p w14:paraId="4294A3F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31.5 (10.9)</w:t>
            </w:r>
          </w:p>
        </w:tc>
        <w:tc>
          <w:tcPr>
            <w:tcW w:w="1134" w:type="dxa"/>
            <w:tcBorders>
              <w:top w:val="nil"/>
              <w:left w:val="nil"/>
              <w:bottom w:val="nil"/>
              <w:right w:val="nil"/>
            </w:tcBorders>
          </w:tcPr>
          <w:p w14:paraId="5B63FD4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68.4</w:t>
            </w:r>
          </w:p>
        </w:tc>
        <w:tc>
          <w:tcPr>
            <w:tcW w:w="3822" w:type="dxa"/>
            <w:tcBorders>
              <w:top w:val="nil"/>
              <w:left w:val="nil"/>
              <w:bottom w:val="nil"/>
              <w:right w:val="nil"/>
            </w:tcBorders>
          </w:tcPr>
          <w:p w14:paraId="25F9250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131413"/>
                <w:kern w:val="0"/>
                <w:sz w:val="20"/>
                <w:szCs w:val="20"/>
                <w:lang w:val="en-US"/>
              </w:rPr>
            </w:pPr>
            <w:r w:rsidRPr="00BA2E19">
              <w:rPr>
                <w:rFonts w:ascii="Times New Roman" w:eastAsia="Calibri" w:hAnsi="Times New Roman" w:cs="Times New Roman"/>
                <w:color w:val="000000"/>
                <w:kern w:val="0"/>
                <w:sz w:val="20"/>
                <w:szCs w:val="20"/>
                <w:lang w:val="en-US"/>
              </w:rPr>
              <w:t xml:space="preserve">AAA </w:t>
            </w:r>
          </w:p>
        </w:tc>
        <w:tc>
          <w:tcPr>
            <w:tcW w:w="1701" w:type="dxa"/>
            <w:tcBorders>
              <w:top w:val="nil"/>
              <w:left w:val="nil"/>
              <w:bottom w:val="nil"/>
              <w:right w:val="nil"/>
            </w:tcBorders>
          </w:tcPr>
          <w:p w14:paraId="620E3DE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65DD809A"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1033DFFF"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{"citationID":"a29fm3fb247","properties":{"formattedCitation":"(Cassidy et al., 2018)","plainCitation":"(Cassidy et al., 2018)","dontUpdate":true,"noteIndex":0},"citationItems":[{"id":"wAnnZMUy/1Ow6UEMo","uris":["http://zotero.org/users/9059392/items/5X2N3IGJ"],"itemData":{"id":410,"type":"article-journal","abstract":"Research has shown high rates of suicidality in autism spectrum conditions (ASC), but there is lack of research into why this is the case. Many common experiences of autistic adults, such as depression or unemployment, overlap with known risk markers for suicide in the general population. However, it is unknown whether there are risk markers unique to ASC that require new tailored suicide prevention strategies.","container-title":"Molecular Autism","DOI":"10.1186/s13229-018-0226-4","ISSN":"2040-2392","issue":"1","journalAbbreviation":"Molecular Autism","page":"42","source":"BioMed Central","title":"Risk markers for suicidality in autistic adults","volume":"9","author":[{"family":"Cassidy","given":"Sarah"},{"family":"Bradley","given":"Louise"},{"family":"Shaw","given":"Rebecca"},{"family":"Baron-Cohen","given":"Simon"}],"issued":{"date-parts":[["2018",7,31]]}}}],"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szCs w:val="20"/>
                <w:lang w:val="en-US"/>
              </w:rPr>
              <w:t>Cassidy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3124FB9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2018</w:t>
            </w:r>
          </w:p>
        </w:tc>
        <w:tc>
          <w:tcPr>
            <w:tcW w:w="1418" w:type="dxa"/>
            <w:tcBorders>
              <w:top w:val="nil"/>
              <w:left w:val="nil"/>
              <w:bottom w:val="nil"/>
              <w:right w:val="nil"/>
            </w:tcBorders>
          </w:tcPr>
          <w:p w14:paraId="72D40A3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UK</w:t>
            </w:r>
          </w:p>
        </w:tc>
        <w:tc>
          <w:tcPr>
            <w:tcW w:w="1276" w:type="dxa"/>
            <w:tcBorders>
              <w:top w:val="nil"/>
              <w:left w:val="nil"/>
              <w:bottom w:val="nil"/>
              <w:right w:val="nil"/>
            </w:tcBorders>
          </w:tcPr>
          <w:p w14:paraId="4B99F68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164</w:t>
            </w:r>
          </w:p>
        </w:tc>
        <w:tc>
          <w:tcPr>
            <w:tcW w:w="1984" w:type="dxa"/>
            <w:tcBorders>
              <w:top w:val="nil"/>
              <w:left w:val="nil"/>
              <w:bottom w:val="nil"/>
              <w:right w:val="nil"/>
            </w:tcBorders>
          </w:tcPr>
          <w:p w14:paraId="6C93FC7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 xml:space="preserve">Males: 41.5 (11.7), </w:t>
            </w:r>
          </w:p>
          <w:p w14:paraId="0448AC5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 xml:space="preserve">Females: 38.9 (10.5) </w:t>
            </w:r>
          </w:p>
        </w:tc>
        <w:tc>
          <w:tcPr>
            <w:tcW w:w="1134" w:type="dxa"/>
            <w:tcBorders>
              <w:top w:val="nil"/>
              <w:left w:val="nil"/>
              <w:bottom w:val="nil"/>
              <w:right w:val="nil"/>
            </w:tcBorders>
          </w:tcPr>
          <w:p w14:paraId="730809B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39.6</w:t>
            </w:r>
          </w:p>
        </w:tc>
        <w:tc>
          <w:tcPr>
            <w:tcW w:w="3822" w:type="dxa"/>
            <w:tcBorders>
              <w:top w:val="nil"/>
              <w:left w:val="nil"/>
              <w:bottom w:val="nil"/>
              <w:right w:val="nil"/>
            </w:tcBorders>
          </w:tcPr>
          <w:p w14:paraId="1669FE0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131413"/>
                <w:kern w:val="0"/>
                <w:sz w:val="20"/>
                <w:szCs w:val="20"/>
                <w:lang w:val="en-US"/>
              </w:rPr>
              <w:t>Self-report</w:t>
            </w:r>
          </w:p>
        </w:tc>
        <w:tc>
          <w:tcPr>
            <w:tcW w:w="1701" w:type="dxa"/>
            <w:tcBorders>
              <w:top w:val="nil"/>
              <w:left w:val="nil"/>
              <w:bottom w:val="nil"/>
              <w:right w:val="nil"/>
            </w:tcBorders>
          </w:tcPr>
          <w:p w14:paraId="7B43749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5ABFFADB"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7D9B7E91"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{"citationID":"a2nhrltki21","properties":{"formattedCitation":"(Cervantes et al., 2023)","plainCitation":"(Cervantes et al., 2023)","dontUpdate":true,"noteIndex":0},"citationItems":[{"id":"wAnnZMUy/EVN9NBZy","uris":["http://zotero.org/users/9059392/items/7VY6TDNZ"],"itemData":{"id":1348,"type":"article-journal","abstract":"Youth suicide is a major problem in the United States and globally, but little is known about suicide risk in autistic youth and youth with intellectual disability specifically. Using data from the National Emergency Department Sample, which is the largest database of emergency department visits in the United States, we found that emergency department visits with a suicidal ideation or intentional self-inflicted injury diagnosis were more common in autistic youth and youth with intellectual disability than in youth without these diagnoses (i.e. the comparison group). This was true when examining both suicidal ideation diagnoses and intentional self-inflicted injury diagnoses at emergency department visits. In addition, the number of emergency department visits with a suicidal ideation or intentional self-inflicted injury diagnosis increased more from 2006 to 2014 in autistic youth and youth with intellectual disability compared with the comparison group. We also found both similarities and differences when examining factors, such as age, sex, and co-occurring mental health conditions, related to emergency department visits with a suicidal ideation or intentional self-inflicted injury diagnosis across groups that may be helpful for understanding suicide risk. It is urgent that we improve our understanding, assessment, and treatment of suicidality and self-harm in these groups through more research and clinical efforts.","container-title":"Autism: The International Journal of Research and Practice","DOI":"10.1177/13623613221091316","ISSN":"1461-7005","issue":"1","journalAbbreviation":"Autism","language":"eng","note":"PMID: 35608134\nPMCID: PMC9684352","page":"226-243","source":"PubMed","title":"Suicidal ideation and intentional self-inflicted injury in autism spectrum disorder and intellectual disability: An examination of trends in youth emergency department visits in the United States from 2006 to 2014","title-short":"Suicidal ideation and intentional self-inflicted injury in autism spectrum disorder and intellectual disability","volume":"27","author":[{"family":"Cervantes","given":"Paige E."},{"family":"Brown","given":"Derek S."},{"family":"Horwitz","given":"Sarah M."}],"issued":{"date-parts":[["2023",1]]}}}],"schema":"https://github.com/citation-style-language/schema/raw/master/csl-citation.json"}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szCs w:val="20"/>
                <w:lang w:val="en-US"/>
              </w:rPr>
              <w:t>Cervantes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51536CB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2023</w:t>
            </w:r>
          </w:p>
        </w:tc>
        <w:tc>
          <w:tcPr>
            <w:tcW w:w="1418" w:type="dxa"/>
            <w:tcBorders>
              <w:top w:val="nil"/>
              <w:left w:val="nil"/>
              <w:bottom w:val="nil"/>
              <w:right w:val="nil"/>
            </w:tcBorders>
          </w:tcPr>
          <w:p w14:paraId="087ECC5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US</w:t>
            </w:r>
          </w:p>
        </w:tc>
        <w:tc>
          <w:tcPr>
            <w:tcW w:w="1276" w:type="dxa"/>
            <w:tcBorders>
              <w:top w:val="nil"/>
              <w:left w:val="nil"/>
              <w:bottom w:val="nil"/>
              <w:right w:val="nil"/>
            </w:tcBorders>
          </w:tcPr>
          <w:p w14:paraId="037255B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N/A</w:t>
            </w:r>
          </w:p>
        </w:tc>
        <w:tc>
          <w:tcPr>
            <w:tcW w:w="1984" w:type="dxa"/>
            <w:tcBorders>
              <w:top w:val="nil"/>
              <w:left w:val="nil"/>
              <w:bottom w:val="nil"/>
              <w:right w:val="nil"/>
            </w:tcBorders>
          </w:tcPr>
          <w:p w14:paraId="544E153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Range: 17 - 25</w:t>
            </w:r>
          </w:p>
        </w:tc>
        <w:tc>
          <w:tcPr>
            <w:tcW w:w="1134" w:type="dxa"/>
            <w:tcBorders>
              <w:top w:val="nil"/>
              <w:left w:val="nil"/>
              <w:bottom w:val="nil"/>
              <w:right w:val="nil"/>
            </w:tcBorders>
          </w:tcPr>
          <w:p w14:paraId="52915F8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N/A</w:t>
            </w:r>
          </w:p>
        </w:tc>
        <w:tc>
          <w:tcPr>
            <w:tcW w:w="3822" w:type="dxa"/>
            <w:tcBorders>
              <w:top w:val="nil"/>
              <w:left w:val="nil"/>
              <w:bottom w:val="nil"/>
              <w:right w:val="nil"/>
            </w:tcBorders>
          </w:tcPr>
          <w:p w14:paraId="2E0AE23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ICD-9</w:t>
            </w:r>
          </w:p>
        </w:tc>
        <w:tc>
          <w:tcPr>
            <w:tcW w:w="1701" w:type="dxa"/>
            <w:tcBorders>
              <w:top w:val="nil"/>
              <w:left w:val="nil"/>
              <w:bottom w:val="nil"/>
              <w:right w:val="nil"/>
            </w:tcBorders>
          </w:tcPr>
          <w:p w14:paraId="72950A7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Database</w:t>
            </w:r>
          </w:p>
        </w:tc>
      </w:tr>
      <w:tr w:rsidR="00576413" w:rsidRPr="00BA2E19" w14:paraId="60DE6D8B"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12078C3D"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{"citationID":"a5bmb9kcoa","properties":{"formattedCitation":"(Costa et al., 2020)","plainCitation":"(Costa et al., 2020)","dontUpdate":true,"noteIndex":0},"citationItems":[{"id":"wAnnZMUy/DvnzFa9p","uris":["http://zotero.org/users/9059392/items/YD5XPAH7"],"itemData":{"id":1350,"type":"article-journal","abstract":"People with autism spectrum disorder (ASD) have an increased risk of suicidality. However, the risk factors remain under-investigated. This study explored factors that increase suicidality risk in ASD. Through an online survey, 150 adults with ASD were compared to 189 control adults. Autistic traits, depressive symptomatology, alexithymia, and antidepressant intake were assessed on their contribution predicting suicidality. Among people with ASD, 63% scored above the cutoff for high suicidality risk. Increased autistic traits, depressive symptomatology, and antidepressant intake significantly predicted suicidality. Furthermore, among those with high levels of autistic traits, the risk of suicidality was increased if they also had high levels of alexithymia. These results highlight the importance of considering depression, antidepressants, and alexithymia to prevent suicidality in ASD.","container-title":"Journal of Autism and Developmental Disorders","DOI":"10.1007/s10803-020-04433-3","ISSN":"1573-3432","issue":"10","journalAbbreviation":"J Autism Dev Disord","language":"eng","note":"PMID: 32172508","page":"3585-3597","source":"PubMed","title":"Suicidality in Adults with Autism Spectrum Disorder: The Role of Depressive Symptomatology, Alexithymia, and Antidepressants","title-short":"Suicidality in Adults with Autism Spectrum Disorder","volume":"50","author":[{"family":"Costa","given":"Andreia P."},{"family":"Loor","given":"Cathia"},{"family":"Steffgen","given":"Georges"}],"issued":{"date-parts":[["2020",10]]}}}],"schema":"https://github.com/citation-style-language/schema/raw/master/csl-citation.json"}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sz w:val="20"/>
                <w:szCs w:val="20"/>
                <w:lang w:val="en-US"/>
              </w:rPr>
              <w:t>Costa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469BAA1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2020</w:t>
            </w:r>
          </w:p>
        </w:tc>
        <w:tc>
          <w:tcPr>
            <w:tcW w:w="1418" w:type="dxa"/>
            <w:tcBorders>
              <w:top w:val="nil"/>
              <w:left w:val="nil"/>
              <w:bottom w:val="nil"/>
              <w:right w:val="nil"/>
            </w:tcBorders>
          </w:tcPr>
          <w:p w14:paraId="5CDA364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vertAlign w:val="superscript"/>
                <w:lang w:val="en-US"/>
              </w:rPr>
            </w:pPr>
            <w:r w:rsidRPr="00BA2E19">
              <w:rPr>
                <w:rFonts w:ascii="Times New Roman" w:eastAsia="Calibri" w:hAnsi="Times New Roman" w:cs="Times New Roman"/>
                <w:color w:val="000000"/>
                <w:kern w:val="0"/>
                <w:sz w:val="20"/>
                <w:szCs w:val="20"/>
                <w:lang w:val="en-US"/>
              </w:rPr>
              <w:t>Luxembourg</w:t>
            </w:r>
          </w:p>
        </w:tc>
        <w:tc>
          <w:tcPr>
            <w:tcW w:w="1276" w:type="dxa"/>
            <w:tcBorders>
              <w:top w:val="nil"/>
              <w:left w:val="nil"/>
              <w:bottom w:val="nil"/>
              <w:right w:val="nil"/>
            </w:tcBorders>
          </w:tcPr>
          <w:p w14:paraId="3A6266B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150</w:t>
            </w:r>
          </w:p>
        </w:tc>
        <w:tc>
          <w:tcPr>
            <w:tcW w:w="1984" w:type="dxa"/>
            <w:tcBorders>
              <w:top w:val="nil"/>
              <w:left w:val="nil"/>
              <w:bottom w:val="nil"/>
              <w:right w:val="nil"/>
            </w:tcBorders>
          </w:tcPr>
          <w:p w14:paraId="6C0C4C0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33.7 (11.8)</w:t>
            </w:r>
          </w:p>
        </w:tc>
        <w:tc>
          <w:tcPr>
            <w:tcW w:w="1134" w:type="dxa"/>
            <w:tcBorders>
              <w:top w:val="nil"/>
              <w:left w:val="nil"/>
              <w:bottom w:val="nil"/>
              <w:right w:val="nil"/>
            </w:tcBorders>
          </w:tcPr>
          <w:p w14:paraId="2ECDB3E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32.7</w:t>
            </w:r>
          </w:p>
        </w:tc>
        <w:tc>
          <w:tcPr>
            <w:tcW w:w="3822" w:type="dxa"/>
            <w:tcBorders>
              <w:top w:val="nil"/>
              <w:left w:val="nil"/>
              <w:bottom w:val="nil"/>
              <w:right w:val="nil"/>
            </w:tcBorders>
          </w:tcPr>
          <w:p w14:paraId="247BC5C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Self-report</w:t>
            </w:r>
          </w:p>
        </w:tc>
        <w:tc>
          <w:tcPr>
            <w:tcW w:w="1701" w:type="dxa"/>
            <w:tcBorders>
              <w:top w:val="nil"/>
              <w:left w:val="nil"/>
              <w:bottom w:val="nil"/>
              <w:right w:val="nil"/>
            </w:tcBorders>
          </w:tcPr>
          <w:p w14:paraId="3B5FAF8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0B328C2A"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501D459C"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{"citationID":"a2364o42eed","properties":{"formattedCitation":"(Cremone et al., 2023)","plainCitation":"(Cremone et al., 2023)","dontUpdate":true,"noteIndex":0},"citationItems":[{"id":"wAnnZMUy/MB8m245o","uris":["http://zotero.org/users/9059392/items/QPQEC2UJ"],"itemData":{"id":1981,"type":"article-journal","abstract":"Involving 1 million people a year, suicide represents one of the major topics of psychiatric research. Despite the focus in recent years on neurobiological underpinnings, understanding and predicting suicide remains a challenge. Many sociodemographical risk factors and prognostic markers have been proposed but they have poor predictive accuracy. Biomarkers can provide essential information acting as predictive indicators, providing proof of treatment response and proposing potential targets while offering more assurance than psychological measures. In this framework, the aim of this study is to open the way in this field and evaluate the correlation between blood levels of serotonin, brain derived neurotrophic factor, tryptophan and its metabolites, IL-6 and homocysteine levels and suicidality. Blood samples were taken from 24 adults with autism, their first-degree relatives, and 24 controls. Biochemical parameters were measured with enzyme-linked immunosorbent assays. Suicidality was measured through selected items of the MOODS-SR. Here we confirm the link between suicidality and autism and provide more evidence regarding the association of suicidality with increased homocysteine (0.278) and IL-6 (0.487) levels and decreased tryptophan (−0.132) and kynurenic acid (−0.253) ones. Our results suggest a possible transnosographic association between these biochemical parameters and increased suicide risk.","container-title":"Biomedicines","DOI":"10.3390/biomedicines11061600","ISSN":"2227-9059","issue":"6","language":"en","license":"http://creativecommons.org/licenses/by/3.0/","note":"number: 6\npublisher: Multidisciplinary Digital Publishing Institute","page":"1600","source":"www.mdpi.com","title":"Unlocking the Secrets: Exploring the Biochemical Correlates of Suicidal Thoughts and Behaviors in Adults with Autism Spectrum Conditions","title-short":"Unlocking the Secrets","volume":"11","author":[{"family":"Cremone","given":"Ivan Mirko"},{"family":"Nardi","given":"Benedetta"},{"family":"Amatori","given":"Giulia"},{"family":"Palego","given":"Lionella"},{"family":"Baroni","given":"Dario"},{"family":"Casagrande","given":"Danila"},{"family":"Massimetti","given":"Enrico"},{"family":"Betti","given":"Laura"},{"family":"Giannaccini","given":"Gino"},{"family":"Dell'Osso","given":"Liliana"},{"family":"Carpita","given":"Barbara"}],"issued":{"date-parts":[["2023",6]]}}}],"schema":"https://github.com/citation-style-language/schema/raw/master/csl-citation.json"} </w:instrText>
            </w:r>
            <w:r w:rsidRPr="00BA2E19">
              <w:rPr>
                <w:rFonts w:ascii="Times New Roman" w:hAnsi="Times New Roman" w:cs="Times New Roman"/>
                <w:sz w:val="20"/>
                <w:szCs w:val="20"/>
                <w:lang w:val="en-US"/>
              </w:rPr>
              <w:fldChar w:fldCharType="separate"/>
            </w:r>
            <w:proofErr w:type="spellStart"/>
            <w:r w:rsidRPr="00BA2E19">
              <w:rPr>
                <w:rFonts w:ascii="Times New Roman" w:hAnsi="Times New Roman" w:cs="Times New Roman"/>
                <w:kern w:val="0"/>
                <w:sz w:val="20"/>
                <w:szCs w:val="20"/>
                <w:lang w:val="en-US"/>
              </w:rPr>
              <w:t>Cremone</w:t>
            </w:r>
            <w:proofErr w:type="spellEnd"/>
            <w:r w:rsidRPr="00BA2E19">
              <w:rPr>
                <w:rFonts w:ascii="Times New Roman" w:hAnsi="Times New Roman" w:cs="Times New Roman"/>
                <w:kern w:val="0"/>
                <w:sz w:val="20"/>
                <w:szCs w:val="20"/>
                <w:lang w:val="en-US"/>
              </w:rPr>
              <w:t xml:space="preserve">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0E0462E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2023</w:t>
            </w:r>
          </w:p>
        </w:tc>
        <w:tc>
          <w:tcPr>
            <w:tcW w:w="1418" w:type="dxa"/>
            <w:tcBorders>
              <w:top w:val="nil"/>
              <w:left w:val="nil"/>
              <w:bottom w:val="nil"/>
              <w:right w:val="nil"/>
            </w:tcBorders>
          </w:tcPr>
          <w:p w14:paraId="595289E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Italy</w:t>
            </w:r>
          </w:p>
        </w:tc>
        <w:tc>
          <w:tcPr>
            <w:tcW w:w="1276" w:type="dxa"/>
            <w:tcBorders>
              <w:top w:val="nil"/>
              <w:left w:val="nil"/>
              <w:bottom w:val="nil"/>
              <w:right w:val="nil"/>
            </w:tcBorders>
          </w:tcPr>
          <w:p w14:paraId="4E819B9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24</w:t>
            </w:r>
          </w:p>
        </w:tc>
        <w:tc>
          <w:tcPr>
            <w:tcW w:w="1984" w:type="dxa"/>
            <w:tcBorders>
              <w:top w:val="nil"/>
              <w:left w:val="nil"/>
              <w:bottom w:val="nil"/>
              <w:right w:val="nil"/>
            </w:tcBorders>
          </w:tcPr>
          <w:p w14:paraId="5D3BCC6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27.8 (7.0)</w:t>
            </w:r>
          </w:p>
        </w:tc>
        <w:tc>
          <w:tcPr>
            <w:tcW w:w="1134" w:type="dxa"/>
            <w:tcBorders>
              <w:top w:val="nil"/>
              <w:left w:val="nil"/>
              <w:bottom w:val="nil"/>
              <w:right w:val="nil"/>
            </w:tcBorders>
          </w:tcPr>
          <w:p w14:paraId="5A1E24C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70.8</w:t>
            </w:r>
          </w:p>
        </w:tc>
        <w:tc>
          <w:tcPr>
            <w:tcW w:w="3822" w:type="dxa"/>
            <w:tcBorders>
              <w:top w:val="nil"/>
              <w:left w:val="nil"/>
              <w:bottom w:val="nil"/>
              <w:right w:val="nil"/>
            </w:tcBorders>
          </w:tcPr>
          <w:p w14:paraId="51759C1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 xml:space="preserve">SCID-5 </w:t>
            </w:r>
          </w:p>
        </w:tc>
        <w:tc>
          <w:tcPr>
            <w:tcW w:w="1701" w:type="dxa"/>
            <w:tcBorders>
              <w:top w:val="nil"/>
              <w:left w:val="nil"/>
              <w:bottom w:val="nil"/>
              <w:right w:val="nil"/>
            </w:tcBorders>
          </w:tcPr>
          <w:p w14:paraId="27F2083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Self, clinician</w:t>
            </w:r>
          </w:p>
        </w:tc>
      </w:tr>
      <w:tr w:rsidR="00576413" w:rsidRPr="00BA2E19" w14:paraId="516244F0"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2D37DABC"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eastAsia="Calibri" w:hAnsi="Times New Roman" w:cs="Times New Roman"/>
                <w:color w:val="000000" w:themeColor="text1"/>
                <w:kern w:val="0"/>
                <w:sz w:val="20"/>
                <w:szCs w:val="20"/>
                <w:lang w:val="en-US"/>
              </w:rPr>
              <w:fldChar w:fldCharType="begin"/>
            </w:r>
            <w:r w:rsidRPr="00BA2E19">
              <w:rPr>
                <w:rFonts w:ascii="Times New Roman" w:eastAsia="Calibri" w:hAnsi="Times New Roman" w:cs="Times New Roman"/>
                <w:color w:val="000000" w:themeColor="text1"/>
                <w:kern w:val="0"/>
                <w:sz w:val="20"/>
                <w:szCs w:val="20"/>
                <w:lang w:val="en-US"/>
              </w:rPr>
              <w:instrText xml:space="preserve"> ADDIN ZOTERO_ITEM CSL_CITATION {"citationID":"ant86kiif9","properties":{"formattedCitation":"\\uldash{(Fayena et al., 2025)}","plainCitation":"(Fayena et al., 2025)","dontUpdate":true,"noteIndex":0},"citationItems":[{"id":1116,"uris":["http://zotero.org/users/14279951/items/AE344X34"],"itemData":{"id":1116,"type":"article-journal","abstract":"Autism is characterized by high rates of psychiatric co-occurring conditions, including suicidality. Autistic adults report higher suicidal ideation and behavior compared to non-autistic adults. However, the mechanisms underlying these differences are still unclear. Research in non-autistic adults highlighted the role of emotion regulation difficulties in various psychopathologies, including suicidality. The current study examined the role of emotion regulation as a mediator between autism and suicidal ideation.","container-title":"Journal of Autism and Developmental Disorders","DOI":"10.1007/s10803-025-07056-8","ISSN":"1573-3432","journalAbbreviation":"J Autism Dev Disord","language":"en","source":"Springer Link","title":"Suicidal Ideation Among Autistic and Non-autistic Adults: The Role of Emotion Regulation Difficulties","title-short":"Suicidal Ideation Among Autistic and Non-autistic Adults","URL":"https://doi.org/10.1007/s10803-025-07056-8","author":[{"family":"Fayena","given":"Eldar"},{"family":"Horesh","given":"Danny"},{"family":"Haruvi-Lamdan","given":"Nirit"},{"family":"Golan","given":"Ofer"}],"accessed":{"date-parts":[["2026",1,23]]},"issued":{"date-parts":[["2025",9,30]]}}}],"schema":"https://github.com/citation-style-language/schema/raw/master/csl-citation.json"} </w:instrText>
            </w:r>
            <w:r w:rsidRPr="00BA2E19">
              <w:rPr>
                <w:rFonts w:ascii="Times New Roman" w:eastAsia="Calibri" w:hAnsi="Times New Roman" w:cs="Times New Roman"/>
                <w:color w:val="000000" w:themeColor="text1"/>
                <w:kern w:val="0"/>
                <w:sz w:val="20"/>
                <w:szCs w:val="20"/>
                <w:lang w:val="en-US"/>
              </w:rPr>
              <w:fldChar w:fldCharType="separate"/>
            </w:r>
            <w:proofErr w:type="spellStart"/>
            <w:r w:rsidRPr="00BA2E19">
              <w:rPr>
                <w:rFonts w:ascii="Times New Roman" w:eastAsia="Calibri" w:hAnsi="Times New Roman" w:cs="Times New Roman"/>
                <w:color w:val="000000" w:themeColor="text1"/>
                <w:kern w:val="0"/>
                <w:sz w:val="20"/>
                <w:szCs w:val="20"/>
                <w:lang w:val="en-US"/>
              </w:rPr>
              <w:t>Fayena</w:t>
            </w:r>
            <w:proofErr w:type="spellEnd"/>
            <w:r w:rsidRPr="00BA2E19">
              <w:rPr>
                <w:rFonts w:ascii="Times New Roman" w:eastAsia="Calibri" w:hAnsi="Times New Roman" w:cs="Times New Roman"/>
                <w:color w:val="000000" w:themeColor="text1"/>
                <w:kern w:val="0"/>
                <w:sz w:val="20"/>
                <w:szCs w:val="20"/>
                <w:lang w:val="en-US"/>
              </w:rPr>
              <w:t xml:space="preserve"> et al.</w:t>
            </w:r>
            <w:r w:rsidRPr="00BA2E19">
              <w:rPr>
                <w:rFonts w:ascii="Times New Roman" w:eastAsia="Calibri" w:hAnsi="Times New Roman" w:cs="Times New Roman"/>
                <w:color w:val="000000" w:themeColor="text1"/>
                <w:kern w:val="0"/>
                <w:sz w:val="20"/>
                <w:szCs w:val="20"/>
                <w:lang w:val="en-US"/>
              </w:rPr>
              <w:fldChar w:fldCharType="end"/>
            </w:r>
          </w:p>
        </w:tc>
        <w:tc>
          <w:tcPr>
            <w:tcW w:w="855" w:type="dxa"/>
            <w:tcBorders>
              <w:top w:val="nil"/>
              <w:left w:val="nil"/>
              <w:bottom w:val="nil"/>
              <w:right w:val="nil"/>
            </w:tcBorders>
          </w:tcPr>
          <w:p w14:paraId="52CF2FF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2025</w:t>
            </w:r>
          </w:p>
        </w:tc>
        <w:tc>
          <w:tcPr>
            <w:tcW w:w="1418" w:type="dxa"/>
            <w:tcBorders>
              <w:top w:val="nil"/>
              <w:left w:val="nil"/>
              <w:bottom w:val="nil"/>
              <w:right w:val="nil"/>
            </w:tcBorders>
          </w:tcPr>
          <w:p w14:paraId="7170167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Israel</w:t>
            </w:r>
          </w:p>
        </w:tc>
        <w:tc>
          <w:tcPr>
            <w:tcW w:w="1276" w:type="dxa"/>
            <w:tcBorders>
              <w:top w:val="nil"/>
              <w:left w:val="nil"/>
              <w:bottom w:val="nil"/>
              <w:right w:val="nil"/>
            </w:tcBorders>
          </w:tcPr>
          <w:p w14:paraId="741B614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51</w:t>
            </w:r>
          </w:p>
        </w:tc>
        <w:tc>
          <w:tcPr>
            <w:tcW w:w="1984" w:type="dxa"/>
            <w:tcBorders>
              <w:top w:val="nil"/>
              <w:left w:val="nil"/>
              <w:bottom w:val="nil"/>
              <w:right w:val="nil"/>
            </w:tcBorders>
          </w:tcPr>
          <w:p w14:paraId="596F862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24.31 (5.42)</w:t>
            </w:r>
          </w:p>
        </w:tc>
        <w:tc>
          <w:tcPr>
            <w:tcW w:w="1134" w:type="dxa"/>
            <w:tcBorders>
              <w:top w:val="nil"/>
              <w:left w:val="nil"/>
              <w:bottom w:val="nil"/>
              <w:right w:val="nil"/>
            </w:tcBorders>
          </w:tcPr>
          <w:p w14:paraId="267B852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70.6</w:t>
            </w:r>
          </w:p>
        </w:tc>
        <w:tc>
          <w:tcPr>
            <w:tcW w:w="3822" w:type="dxa"/>
            <w:tcBorders>
              <w:top w:val="nil"/>
              <w:left w:val="nil"/>
              <w:bottom w:val="nil"/>
              <w:right w:val="nil"/>
            </w:tcBorders>
          </w:tcPr>
          <w:p w14:paraId="6BAF047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Clinical diagnosis, verified</w:t>
            </w:r>
          </w:p>
        </w:tc>
        <w:tc>
          <w:tcPr>
            <w:tcW w:w="1701" w:type="dxa"/>
            <w:tcBorders>
              <w:top w:val="nil"/>
              <w:left w:val="nil"/>
              <w:bottom w:val="nil"/>
              <w:right w:val="nil"/>
            </w:tcBorders>
          </w:tcPr>
          <w:p w14:paraId="344B8CB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5F1ACA5A"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1FB79B6"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{"citationID":"ad6k3r6omr","properties":{"formattedCitation":"(Dell\\uc0\\u8217{}Osso et al., 2019)","plainCitation":"(Dell’Osso et al., 2019)","dontUpdate":true,"noteIndex":0},"citationItems":[{"id":"wAnnZMUy/H9Xi62gq","uris":["http://zotero.org/users/9059392/items/NIYFXCTM"],"itemData":{"id":1436,"type":"article-journal","abstract":"Background: Autism spectrum is a psychopathological dimension which encompasses a wide range of clinical presentations: from subthreshold forms and autistic traits (AT), that can be found in the general population, to full-blown autism spectrum disorder (ASD). Many studies reported high rates of comorbidity between both ASD and AT and mood disorders, as well as a high prevalence of suicidal ideation among patients with ASD/AT. The aim of this study was to investigate the presence of mood symptoms and suicidal ideation and behaviors in patients with full-blown ASD and in subjects with AT, as well in a healthy control (HC) group, with a speciﬁc focus on which of the autistic features may be predictive of suicidal ideation and behaviors.\nMethods: We recruited 262 adult subjects: 34 with ASD without intellectual impairment or language disability (ASD group), 68 fulﬁlling only one symptom criterion for ASD according to DSM-5 but who do not meet criteria for a full-blown diagnosis of ASD (AT group), and 160 HC. All subjects were assessed with the Structured Clinical Interview for DSM-5 (SCID-5); in addition, they were asked to ﬁll two questionnaires: The Mood Spectrum, Selfreport (MOODS-SR) and the Adult Autism Subthreshold Spectrum (AdAS Spectrum).\nResults: ASD subjects reported signiﬁcantly higher AdAS Spectrum and MOODS-SR total scores, as well as higher MOODS-SR depressive component total scores, when compared with AT and HC subjects. AT subjects scored signiﬁcantly higher than the HC group. No signiﬁcant differences were reported between ASD and AT subjects for the suicidality score according to MOODS-SR, despite both groups scored signiﬁcantly higher than the HC group. The strongest predictor of suicidality score were MOODS-SR depressive component score and AdAS Spectrum Restricted interests and rumination domain score.\nConclusions: Our results highlight a correlation between autism and mood spectrum, as well as between suicidality and both ASD and AT. Subthreshold forms of ASD should be accurately investigated due to their relationship with suicidal thoughts and behaviors.","container-title":"Comprehensive Psychiatry","DOI":"10.1016/j.comppsych.2019.03.004","ISSN":"0010440X","journalAbbreviation":"Comprehensive Psychiatry","language":"en","page":"34-38","source":"DOI.org (Crossref)","title":"Mood symptoms and suicidality across the autism spectrum","volume":"91","author":[{"family":"Dell'Osso","given":"Liliana"},{"family":"Carpita","given":"B."},{"family":"Muti","given":"D."},{"family":"Morelli","given":"V."},{"family":"Salarpi","given":"G."},{"family":"Salerni","given":"A."},{"family":"Scotto","given":"J."},{"family":"Massimetti","given":"G."},{"family":"Gesi","given":"C."},{"family":"Ballerio","given":"M."},{"family":"Signorelli","given":"M.S."},{"family":"Luciano","given":"M."},{"family":"Politi","given":"P."},{"family":"Aguglia","given":"E."},{"family":"Carmassi","given":"C."},{"family":"Maj","given":"M."}],"issued":{"date-parts":[["2019",5]]}}}],"schema":"https://github.com/citation-style-language/schema/raw/master/csl-citation.json"} </w:instrText>
            </w:r>
            <w:r w:rsidRPr="00BA2E19">
              <w:rPr>
                <w:rFonts w:ascii="Times New Roman" w:hAnsi="Times New Roman" w:cs="Times New Roman"/>
                <w:sz w:val="20"/>
                <w:szCs w:val="20"/>
                <w:lang w:val="en-US"/>
              </w:rPr>
              <w:fldChar w:fldCharType="separate"/>
            </w:r>
            <w:proofErr w:type="spellStart"/>
            <w:r w:rsidRPr="00BA2E19">
              <w:rPr>
                <w:rFonts w:ascii="Times New Roman" w:hAnsi="Times New Roman" w:cs="Times New Roman"/>
                <w:kern w:val="0"/>
                <w:sz w:val="20"/>
                <w:lang w:val="en-US"/>
              </w:rPr>
              <w:t>Dell’Osso</w:t>
            </w:r>
            <w:proofErr w:type="spellEnd"/>
            <w:r w:rsidRPr="00BA2E19">
              <w:rPr>
                <w:rFonts w:ascii="Times New Roman" w:hAnsi="Times New Roman" w:cs="Times New Roman"/>
                <w:kern w:val="0"/>
                <w:sz w:val="20"/>
                <w:lang w:val="en-US"/>
              </w:rPr>
              <w:t xml:space="preserve">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677922B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2019</w:t>
            </w:r>
          </w:p>
        </w:tc>
        <w:tc>
          <w:tcPr>
            <w:tcW w:w="1418" w:type="dxa"/>
            <w:tcBorders>
              <w:top w:val="nil"/>
              <w:left w:val="nil"/>
              <w:bottom w:val="nil"/>
              <w:right w:val="nil"/>
            </w:tcBorders>
          </w:tcPr>
          <w:p w14:paraId="2D36B4E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Italy</w:t>
            </w:r>
          </w:p>
        </w:tc>
        <w:tc>
          <w:tcPr>
            <w:tcW w:w="1276" w:type="dxa"/>
            <w:tcBorders>
              <w:top w:val="nil"/>
              <w:left w:val="nil"/>
              <w:bottom w:val="nil"/>
              <w:right w:val="nil"/>
            </w:tcBorders>
          </w:tcPr>
          <w:p w14:paraId="26C5FE1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34</w:t>
            </w:r>
          </w:p>
        </w:tc>
        <w:tc>
          <w:tcPr>
            <w:tcW w:w="1984" w:type="dxa"/>
            <w:tcBorders>
              <w:top w:val="nil"/>
              <w:left w:val="nil"/>
              <w:bottom w:val="nil"/>
              <w:right w:val="nil"/>
            </w:tcBorders>
          </w:tcPr>
          <w:p w14:paraId="14B2B1B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29.8 (12.1)</w:t>
            </w:r>
          </w:p>
        </w:tc>
        <w:tc>
          <w:tcPr>
            <w:tcW w:w="1134" w:type="dxa"/>
            <w:tcBorders>
              <w:top w:val="nil"/>
              <w:left w:val="nil"/>
              <w:bottom w:val="nil"/>
              <w:right w:val="nil"/>
            </w:tcBorders>
          </w:tcPr>
          <w:p w14:paraId="2657C99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52.9</w:t>
            </w:r>
          </w:p>
        </w:tc>
        <w:tc>
          <w:tcPr>
            <w:tcW w:w="3822" w:type="dxa"/>
            <w:tcBorders>
              <w:top w:val="nil"/>
              <w:left w:val="nil"/>
              <w:bottom w:val="nil"/>
              <w:right w:val="nil"/>
            </w:tcBorders>
          </w:tcPr>
          <w:p w14:paraId="10DE5E9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 xml:space="preserve">DSM-5 </w:t>
            </w:r>
          </w:p>
        </w:tc>
        <w:tc>
          <w:tcPr>
            <w:tcW w:w="1701" w:type="dxa"/>
            <w:tcBorders>
              <w:top w:val="nil"/>
              <w:left w:val="nil"/>
              <w:bottom w:val="nil"/>
              <w:right w:val="nil"/>
            </w:tcBorders>
          </w:tcPr>
          <w:p w14:paraId="3DE0409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Self, clinician</w:t>
            </w:r>
          </w:p>
        </w:tc>
      </w:tr>
      <w:tr w:rsidR="00576413" w:rsidRPr="00BA2E19" w14:paraId="709FFCD2"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21D1D54F"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{"citationID":"a21uflqou19","properties":{"formattedCitation":"(Dow et al., 2021)","plainCitation":"(Dow et al., 2021)","dontUpdate":true,"noteIndex":0},"citationItems":[{"id":"wAnnZMUy/5pj9IfUm","uris":["http://zotero.org/users/9059392/items/HEPSVICT"],"itemData":{"id":1355,"type":"article-journal","abstract":"The present study examines occurrence of depression, anxiety, and suicidality in adults with autism spectrum disorder (ASD), relationships between social difficulties and mental health, and application of the Interpersonal Theory of Suicide in this population. Ninety-eight adults with ASD completed an online survey. Data were analyzed using bivariate correlations, independent samples t-tests, and simple mediational analyses. A substantial proportion reported a lifetime history of anxiety (63%), depression (55%), and suicide attempts (19%), as well as recent suicidal ideation (12%). Social difficulty was associated with higher psychiatric concerns. Thwarted belongingness and perceived burdensomeness were associated with social dissatisfaction, current suicidal ideation, and history of depression. Results suggest the need for widespread screening and intervention services for co-occurring psychiatric conditions in this population.","container-title":"Archives of Suicide Research: Official Journal of the International Academy for Suicide Research","DOI":"10.1080/13811118.2019.1678537","ISSN":"1543-6136","issue":"2","journalAbbreviation":"Arch Suicide Res","language":"eng","note":"PMID: 31656121","page":"297-314","source":"PubMed","title":"Anxiety, Depression, and the Interpersonal Theory of Suicide in a Community Sample of Adults with Autism Spectrum Disorder","volume":"25","author":[{"family":"Dow","given":"Deanna"},{"family":"Morgan","given":"Lindee"},{"family":"Hooker","given":"Jessica L."},{"family":"Michaels","given":"Matthew S."},{"family":"Joiner","given":"Thomas E."},{"family":"Woods","given":"Juliann"},{"family":"Wetherby","given":"Amy M."}],"issued":{"date-parts":[["2021"]]}}}],"schema":"https://github.com/citation-style-language/schema/raw/master/csl-citation.json"}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szCs w:val="20"/>
                <w:lang w:val="en-US"/>
              </w:rPr>
              <w:t>Dow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09F0FFC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2021</w:t>
            </w:r>
          </w:p>
        </w:tc>
        <w:tc>
          <w:tcPr>
            <w:tcW w:w="1418" w:type="dxa"/>
            <w:tcBorders>
              <w:top w:val="nil"/>
              <w:left w:val="nil"/>
              <w:bottom w:val="nil"/>
              <w:right w:val="nil"/>
            </w:tcBorders>
          </w:tcPr>
          <w:p w14:paraId="7D916B7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vertAlign w:val="subscript"/>
                <w:lang w:val="en-US"/>
              </w:rPr>
            </w:pPr>
            <w:r w:rsidRPr="00BA2E19">
              <w:rPr>
                <w:rFonts w:ascii="Times New Roman" w:eastAsia="Calibri" w:hAnsi="Times New Roman" w:cs="Times New Roman"/>
                <w:color w:val="000000"/>
                <w:kern w:val="0"/>
                <w:sz w:val="20"/>
                <w:szCs w:val="20"/>
                <w:lang w:val="en-US"/>
              </w:rPr>
              <w:t>US</w:t>
            </w:r>
          </w:p>
        </w:tc>
        <w:tc>
          <w:tcPr>
            <w:tcW w:w="1276" w:type="dxa"/>
            <w:tcBorders>
              <w:top w:val="nil"/>
              <w:left w:val="nil"/>
              <w:bottom w:val="nil"/>
              <w:right w:val="nil"/>
            </w:tcBorders>
          </w:tcPr>
          <w:p w14:paraId="4ED42C2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98</w:t>
            </w:r>
          </w:p>
        </w:tc>
        <w:tc>
          <w:tcPr>
            <w:tcW w:w="1984" w:type="dxa"/>
            <w:tcBorders>
              <w:top w:val="nil"/>
              <w:left w:val="nil"/>
              <w:bottom w:val="nil"/>
              <w:right w:val="nil"/>
            </w:tcBorders>
          </w:tcPr>
          <w:p w14:paraId="3CAE233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28.2 (10.9)</w:t>
            </w:r>
          </w:p>
        </w:tc>
        <w:tc>
          <w:tcPr>
            <w:tcW w:w="1134" w:type="dxa"/>
            <w:tcBorders>
              <w:top w:val="nil"/>
              <w:left w:val="nil"/>
              <w:bottom w:val="nil"/>
              <w:right w:val="nil"/>
            </w:tcBorders>
          </w:tcPr>
          <w:p w14:paraId="7F8AC3E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68.4</w:t>
            </w:r>
          </w:p>
        </w:tc>
        <w:tc>
          <w:tcPr>
            <w:tcW w:w="3822" w:type="dxa"/>
            <w:tcBorders>
              <w:top w:val="nil"/>
              <w:left w:val="nil"/>
              <w:bottom w:val="nil"/>
              <w:right w:val="nil"/>
            </w:tcBorders>
          </w:tcPr>
          <w:p w14:paraId="098A98F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Documented ASD diagnosis, NOS</w:t>
            </w:r>
          </w:p>
        </w:tc>
        <w:tc>
          <w:tcPr>
            <w:tcW w:w="1701" w:type="dxa"/>
            <w:tcBorders>
              <w:top w:val="nil"/>
              <w:left w:val="nil"/>
              <w:bottom w:val="nil"/>
              <w:right w:val="nil"/>
            </w:tcBorders>
          </w:tcPr>
          <w:p w14:paraId="2519FA3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2163796B"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4B2E805"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{"citationID":"a1bu2tqcgdf","properties":{"formattedCitation":"(Graham et al., 2023)","plainCitation":"(Graham et al., 2023)","dontUpdate":true,"noteIndex":0},"citationItems":[{"id":"wAnnZMUy/OPygV2O1","uris":["http://zotero.org/users/9059392/items/VA2VU6PG"],"itemData":{"id":1988,"type":"article-journal","abstract":"Background: Autistic people are at considerably greater risk of suicidality than non-autistic people, and the reasons behind this are not fully understood. Current suicide theories may be useful to help further our understanding of the mechanisms behind autistic suicidality. We aimed to test the key predictors of suicidal ideation—defeat and entrapment—as described in the integrated motivational–volitional (IMV) model of suicide behavior, in an autistic group. We also looked to extend the IMV model by including autism-related constructs of camouflaging and intolerance of uncertainty (IU).\nMethods: We recruited 374 autistic adults from the community (female 42.5%; 18–63 years of age), who completed a cross-sectional online survey between August 2020 and January 2021. We collected data on lifetime suicidality, depression symptoms, defeat, entrapment, camouflaging, and IU.\nResults: We found that entrapment significantly mediated the relationship between defeat and suicidal ideation. Camouflaging and IU were not found to moderate this pathway but were found to be significantly associated with suicidal ideation.\nConclusions: We found that entrapment mediates the relationship between defeat and suicidality in autistic adults. This is consistent with the predictions in the motivational phase of the IMV model of suicidal behavior, suggesting that this model is useful for understanding autistic suicidality. We did not find evidence that camouflaging and IU act as moderators within the mediated model. Nevertheless, there is some evidence that camouflaging and IU are worthwhile constructs to be aware of for future work researching autistic suicidality.","container-title":"Autism in Adulthood","DOI":"10.1089/aut.2023.0039","ISSN":"2573-9581","note":"publisher: Mary Ann Liebert, Inc., publishers","source":"liebertpub.com (Atypon)","title":"Why Are Autistic People More Likely to Experience Suicidal Thoughts? Applying the Integrated Motivational–Volitional Model with Autistic Adults","title-short":"Why Are Autistic People More Likely to Experience Suicidal Thoughts?","URL":"https://www.liebertpub.com/doi/abs/10.1089/aut.2023.0039","author":[{"family":"Graham","given":"Jessica"},{"family":"Rodgers","given":"Jacqui"},{"family":"Cassidy","given":"Sarah"}],"accessed":{"date-parts":[["2024",4,6]]},"issued":{"date-parts":[["2023",8,28]]}}}],"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szCs w:val="20"/>
                <w:lang w:val="en-US"/>
              </w:rPr>
              <w:t>Graham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1E7BD8A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2023</w:t>
            </w:r>
          </w:p>
        </w:tc>
        <w:tc>
          <w:tcPr>
            <w:tcW w:w="1418" w:type="dxa"/>
            <w:tcBorders>
              <w:top w:val="nil"/>
              <w:left w:val="nil"/>
              <w:bottom w:val="nil"/>
              <w:right w:val="nil"/>
            </w:tcBorders>
          </w:tcPr>
          <w:p w14:paraId="1033CB3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UK</w:t>
            </w:r>
          </w:p>
        </w:tc>
        <w:tc>
          <w:tcPr>
            <w:tcW w:w="1276" w:type="dxa"/>
            <w:tcBorders>
              <w:top w:val="nil"/>
              <w:left w:val="nil"/>
              <w:bottom w:val="nil"/>
              <w:right w:val="nil"/>
            </w:tcBorders>
          </w:tcPr>
          <w:p w14:paraId="2E081EE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374</w:t>
            </w:r>
          </w:p>
        </w:tc>
        <w:tc>
          <w:tcPr>
            <w:tcW w:w="1984" w:type="dxa"/>
            <w:tcBorders>
              <w:top w:val="nil"/>
              <w:left w:val="nil"/>
              <w:bottom w:val="nil"/>
              <w:right w:val="nil"/>
            </w:tcBorders>
          </w:tcPr>
          <w:p w14:paraId="08964B8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32.1 (11.5)</w:t>
            </w:r>
          </w:p>
        </w:tc>
        <w:tc>
          <w:tcPr>
            <w:tcW w:w="1134" w:type="dxa"/>
            <w:tcBorders>
              <w:top w:val="nil"/>
              <w:left w:val="nil"/>
              <w:bottom w:val="nil"/>
              <w:right w:val="nil"/>
            </w:tcBorders>
          </w:tcPr>
          <w:p w14:paraId="08DD2C9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vertAlign w:val="superscript"/>
                <w:lang w:val="en-US"/>
              </w:rPr>
            </w:pPr>
            <w:r w:rsidRPr="00BA2E19">
              <w:rPr>
                <w:rFonts w:ascii="Times New Roman" w:eastAsia="Calibri" w:hAnsi="Times New Roman" w:cs="Times New Roman"/>
                <w:color w:val="000000"/>
                <w:kern w:val="0"/>
                <w:sz w:val="20"/>
                <w:szCs w:val="20"/>
                <w:lang w:val="en-US"/>
              </w:rPr>
              <w:t>31.3</w:t>
            </w:r>
          </w:p>
        </w:tc>
        <w:tc>
          <w:tcPr>
            <w:tcW w:w="3822" w:type="dxa"/>
            <w:tcBorders>
              <w:top w:val="nil"/>
              <w:left w:val="nil"/>
              <w:bottom w:val="nil"/>
              <w:right w:val="nil"/>
            </w:tcBorders>
          </w:tcPr>
          <w:p w14:paraId="2803E0C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Self-report</w:t>
            </w:r>
          </w:p>
        </w:tc>
        <w:tc>
          <w:tcPr>
            <w:tcW w:w="1701" w:type="dxa"/>
            <w:tcBorders>
              <w:top w:val="nil"/>
              <w:left w:val="nil"/>
              <w:bottom w:val="nil"/>
              <w:right w:val="nil"/>
            </w:tcBorders>
          </w:tcPr>
          <w:p w14:paraId="37D27F1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36204322"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0035B758"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{"citationID":"a2pa4valgf","properties":{"formattedCitation":"(Hand et al., 2020)","plainCitation":"(Hand et al., 2020)","dontUpdate":true,"noteIndex":0},"citationItems":[{"id":"wAnnZMUy/oXcSQso7","uris":["http://zotero.org/users/9059392/items/GHAJYV5D"],"itemData":{"id":1359,"type":"article-journal","abstract":"Suicidality is significantly more common in autistic adults than the general population, yet the factors that increase risk for suicidality among autistic adults remain largely unknown. We identified characteristics associated with suicidal ideation and suicide attempts/self-inflicted injury in a U.S. national sample of Medicare-enrolled autistic adults. We conducted a case-control study of autistic adults aged 18-59 years (n = 21,792). Younger age, white race, depression disorders, and psychiatric healthcare utilization were associated with increased odds of suicidal ideation and suicide attempts. Co-occurring intellectual disability was associated with significantly greater odds of a suicide attempt, but lower odds of suicidal ideation. Findings underscore the need for improved methods to identify ideation prior to attempt among adults with autism and intellectual disability.","container-title":"Journal of Autism and Developmental Disorders","DOI":"10.1007/s10803-019-04345-x","ISSN":"1573-3432","issue":"10","journalAbbreviation":"J Autism Dev Disord","language":"eng","note":"PMID: 31858322","page":"3489-3495","source":"PubMed","title":"Suicidal Ideation and Self-inflicted Injury in Medicare Enrolled Autistic Adults With and Without Co-occurring Intellectual Disability","volume":"50","author":[{"family":"Hand","given":"Brittany N."},{"family":"Benevides","given":"Teal W."},{"family":"Carretta","given":"Henry J."}],"issued":{"date-parts":[["2020",10]]}}}],"schema":"https://github.com/citation-style-language/schema/raw/master/csl-citation.json"}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szCs w:val="20"/>
                <w:lang w:val="en-US"/>
              </w:rPr>
              <w:t>Hand et al.</w:t>
            </w:r>
            <w:r w:rsidRPr="00BA2E19">
              <w:rPr>
                <w:rFonts w:ascii="Times New Roman" w:hAnsi="Times New Roman" w:cs="Times New Roman"/>
                <w:sz w:val="20"/>
                <w:szCs w:val="20"/>
                <w:lang w:val="en-US"/>
              </w:rPr>
              <w:fldChar w:fldCharType="end"/>
            </w:r>
            <w:r w:rsidRPr="00BA2E19">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27C76AA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2020</w:t>
            </w:r>
          </w:p>
        </w:tc>
        <w:tc>
          <w:tcPr>
            <w:tcW w:w="1418" w:type="dxa"/>
            <w:tcBorders>
              <w:top w:val="nil"/>
              <w:left w:val="nil"/>
              <w:bottom w:val="nil"/>
              <w:right w:val="nil"/>
            </w:tcBorders>
          </w:tcPr>
          <w:p w14:paraId="2853980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US</w:t>
            </w:r>
          </w:p>
        </w:tc>
        <w:tc>
          <w:tcPr>
            <w:tcW w:w="1276" w:type="dxa"/>
            <w:tcBorders>
              <w:top w:val="nil"/>
              <w:left w:val="nil"/>
              <w:bottom w:val="nil"/>
              <w:right w:val="nil"/>
            </w:tcBorders>
          </w:tcPr>
          <w:p w14:paraId="29FB58F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21 792</w:t>
            </w:r>
          </w:p>
        </w:tc>
        <w:tc>
          <w:tcPr>
            <w:tcW w:w="1984" w:type="dxa"/>
            <w:tcBorders>
              <w:top w:val="nil"/>
              <w:left w:val="nil"/>
              <w:bottom w:val="nil"/>
              <w:right w:val="nil"/>
            </w:tcBorders>
          </w:tcPr>
          <w:p w14:paraId="2A901C0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Median (IQR): 35 (26, 46)</w:t>
            </w:r>
          </w:p>
        </w:tc>
        <w:tc>
          <w:tcPr>
            <w:tcW w:w="1134" w:type="dxa"/>
            <w:tcBorders>
              <w:top w:val="nil"/>
              <w:left w:val="nil"/>
              <w:bottom w:val="nil"/>
              <w:right w:val="nil"/>
            </w:tcBorders>
          </w:tcPr>
          <w:p w14:paraId="7590D3E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74.5</w:t>
            </w:r>
          </w:p>
        </w:tc>
        <w:tc>
          <w:tcPr>
            <w:tcW w:w="3822" w:type="dxa"/>
            <w:tcBorders>
              <w:top w:val="nil"/>
              <w:left w:val="nil"/>
              <w:bottom w:val="nil"/>
              <w:right w:val="nil"/>
            </w:tcBorders>
          </w:tcPr>
          <w:p w14:paraId="501EDD3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 xml:space="preserve">ICD-9 </w:t>
            </w:r>
          </w:p>
        </w:tc>
        <w:tc>
          <w:tcPr>
            <w:tcW w:w="1701" w:type="dxa"/>
            <w:tcBorders>
              <w:top w:val="nil"/>
              <w:left w:val="nil"/>
              <w:bottom w:val="nil"/>
              <w:right w:val="nil"/>
            </w:tcBorders>
          </w:tcPr>
          <w:p w14:paraId="4B19C17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kern w:val="0"/>
                <w:sz w:val="20"/>
                <w:szCs w:val="20"/>
                <w:lang w:val="en-US"/>
              </w:rPr>
            </w:pPr>
            <w:r w:rsidRPr="00BA2E19">
              <w:rPr>
                <w:rFonts w:ascii="Times New Roman" w:eastAsia="Calibri" w:hAnsi="Times New Roman" w:cs="Times New Roman"/>
                <w:color w:val="000000"/>
                <w:kern w:val="0"/>
                <w:sz w:val="20"/>
                <w:szCs w:val="20"/>
                <w:lang w:val="en-US"/>
              </w:rPr>
              <w:t>Database</w:t>
            </w:r>
          </w:p>
        </w:tc>
      </w:tr>
      <w:tr w:rsidR="00576413" w:rsidRPr="00BA2E19" w14:paraId="55F49322"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0EBC32B7" w14:textId="77777777" w:rsidR="00576413" w:rsidRPr="00BA2E19" w:rsidRDefault="00576413" w:rsidP="00147C41">
            <w:pPr>
              <w:rPr>
                <w:rFonts w:ascii="Times New Roman" w:eastAsia="Calibri" w:hAnsi="Times New Roman" w:cs="Times New Roman"/>
                <w:kern w:val="0"/>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{"citationID":"a1618do0j2","properties":{"formattedCitation":"(Hedley et al., 2017)","plainCitation":"(Hedley et al., 2017)","dontUpdate":true,"noteIndex":0},"citationItems":[{"id":"wAnnZMUy/sRbaGuk6","uris":["http://zotero.org/users/9059392/items/AQMQ6D7R"],"itemData":{"id":292,"type":"article-journal","abstract":"Adults with autism spectrum disorder (ASD) are at increased risk of suicide compared to the general population. Research has yet to identify the mechanisms underlying this increased risk. This study examined perceived social support as a potential protective factor for depressive symptoms and suicidal ideation in 76 adults with ASD. Twentyive percent of participants were in the clinical range for depression, and 20% reported recent suicidal ideation. Social support in the form of appraisal and belonging was not associated with depression or ideation; however the perceived availability of tangible (material) support indirectly acted on ideation through depression. The indings suggest that tangible support, but not appraisal or belonging, may act as an indirect protective factor against suicidality in ASD.","container-title":"Journal of Autism and Developmental Disorders","DOI":"10.1007/s10803-017-3274-2","ISSN":"0162-3257, 1573-3432","journalAbbreviation":"J Autism Dev Disord","language":"en","page":"3669-3677","source":"DOI.org (Crossref)","title":"Brief Report: Social Support, Depression and Suicidal Ideation in Adults with Autism Spectrum Disorder","title-short":"Brief Report","volume":"47","author":[{"family":"Hedley","given":"Darren"},{"family":"Uljarević","given":"Mirko"},{"family":"Wilmot","given":"Mathilda"},{"family":"Richdale","given":"Amanda"},{"family":"Dissanayake","given":"Cheryl"}],"issued":{"date-parts":[["2017"]]}}}],"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szCs w:val="20"/>
                <w:lang w:val="en-US"/>
              </w:rPr>
              <w:t>Hedley et al.</w:t>
            </w:r>
            <w:r w:rsidRPr="00BA2E19">
              <w:rPr>
                <w:rFonts w:ascii="Times New Roman" w:hAnsi="Times New Roman" w:cs="Times New Roman"/>
                <w:sz w:val="20"/>
                <w:szCs w:val="20"/>
                <w:lang w:val="en-US"/>
              </w:rPr>
              <w:fldChar w:fldCharType="end"/>
            </w:r>
            <w:r>
              <w:rPr>
                <w:rFonts w:ascii="Times New Roman" w:eastAsia="Calibri" w:hAnsi="Times New Roman" w:cs="Times New Roman"/>
                <w:kern w:val="0"/>
                <w:sz w:val="20"/>
                <w:szCs w:val="20"/>
                <w:lang w:val="en-US"/>
              </w:rPr>
              <w:t xml:space="preserve"> </w:t>
            </w:r>
          </w:p>
        </w:tc>
        <w:tc>
          <w:tcPr>
            <w:tcW w:w="855" w:type="dxa"/>
            <w:tcBorders>
              <w:top w:val="nil"/>
              <w:left w:val="nil"/>
              <w:bottom w:val="nil"/>
              <w:right w:val="nil"/>
            </w:tcBorders>
          </w:tcPr>
          <w:p w14:paraId="64F2554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hAnsi="Times New Roman" w:cs="Times New Roman"/>
                <w:sz w:val="20"/>
                <w:szCs w:val="20"/>
                <w:lang w:val="en-US"/>
              </w:rPr>
              <w:t>2017a</w:t>
            </w:r>
          </w:p>
        </w:tc>
        <w:tc>
          <w:tcPr>
            <w:tcW w:w="1418" w:type="dxa"/>
            <w:tcBorders>
              <w:top w:val="nil"/>
              <w:left w:val="nil"/>
              <w:bottom w:val="nil"/>
              <w:right w:val="nil"/>
            </w:tcBorders>
          </w:tcPr>
          <w:p w14:paraId="3FBE1A2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Australia</w:t>
            </w:r>
          </w:p>
        </w:tc>
        <w:tc>
          <w:tcPr>
            <w:tcW w:w="1276" w:type="dxa"/>
            <w:tcBorders>
              <w:top w:val="nil"/>
              <w:left w:val="nil"/>
              <w:bottom w:val="nil"/>
              <w:right w:val="nil"/>
            </w:tcBorders>
          </w:tcPr>
          <w:p w14:paraId="7AFDF4B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76</w:t>
            </w:r>
          </w:p>
        </w:tc>
        <w:tc>
          <w:tcPr>
            <w:tcW w:w="1984" w:type="dxa"/>
            <w:tcBorders>
              <w:top w:val="nil"/>
              <w:left w:val="nil"/>
              <w:bottom w:val="nil"/>
              <w:right w:val="nil"/>
            </w:tcBorders>
          </w:tcPr>
          <w:p w14:paraId="7BA2640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25.15 (7.7)</w:t>
            </w:r>
          </w:p>
        </w:tc>
        <w:tc>
          <w:tcPr>
            <w:tcW w:w="1134" w:type="dxa"/>
            <w:tcBorders>
              <w:top w:val="nil"/>
              <w:left w:val="nil"/>
              <w:bottom w:val="nil"/>
              <w:right w:val="nil"/>
            </w:tcBorders>
          </w:tcPr>
          <w:p w14:paraId="1FE34B8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90.8</w:t>
            </w:r>
          </w:p>
        </w:tc>
        <w:tc>
          <w:tcPr>
            <w:tcW w:w="3822" w:type="dxa"/>
            <w:tcBorders>
              <w:top w:val="nil"/>
              <w:left w:val="nil"/>
              <w:bottom w:val="nil"/>
              <w:right w:val="nil"/>
            </w:tcBorders>
          </w:tcPr>
          <w:p w14:paraId="6DD4AFA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Confirmed GP diagnosis</w:t>
            </w:r>
          </w:p>
        </w:tc>
        <w:tc>
          <w:tcPr>
            <w:tcW w:w="1701" w:type="dxa"/>
            <w:tcBorders>
              <w:top w:val="nil"/>
              <w:left w:val="nil"/>
              <w:bottom w:val="nil"/>
              <w:right w:val="nil"/>
            </w:tcBorders>
          </w:tcPr>
          <w:p w14:paraId="1362F24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5CFAEA83"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22BD724B" w14:textId="77777777" w:rsidR="00576413" w:rsidRPr="00BA2E19" w:rsidRDefault="00576413" w:rsidP="00147C41">
            <w:pPr>
              <w:rPr>
                <w:rFonts w:ascii="Times New Roman" w:hAnsi="Times New Roman" w:cs="Times New Roman"/>
                <w:sz w:val="20"/>
                <w:szCs w:val="20"/>
                <w:lang w:val="en-US"/>
              </w:rPr>
            </w:pPr>
            <w:r w:rsidRPr="00BA2E19">
              <w:rPr>
                <w:rFonts w:ascii="Times New Roman" w:hAnsi="Times New Roman" w:cs="Times New Roman"/>
                <w:sz w:val="20"/>
                <w:szCs w:val="20"/>
                <w:lang w:val="en-US"/>
              </w:rPr>
              <w:t>Hedley et al.</w:t>
            </w:r>
          </w:p>
        </w:tc>
        <w:tc>
          <w:tcPr>
            <w:tcW w:w="855" w:type="dxa"/>
            <w:tcBorders>
              <w:top w:val="nil"/>
              <w:left w:val="nil"/>
              <w:bottom w:val="nil"/>
              <w:right w:val="nil"/>
            </w:tcBorders>
          </w:tcPr>
          <w:p w14:paraId="58D6732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2018a</w:t>
            </w:r>
          </w:p>
        </w:tc>
        <w:tc>
          <w:tcPr>
            <w:tcW w:w="1418" w:type="dxa"/>
            <w:tcBorders>
              <w:top w:val="nil"/>
              <w:left w:val="nil"/>
              <w:bottom w:val="nil"/>
              <w:right w:val="nil"/>
            </w:tcBorders>
          </w:tcPr>
          <w:p w14:paraId="360C52B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Australia</w:t>
            </w:r>
          </w:p>
        </w:tc>
        <w:tc>
          <w:tcPr>
            <w:tcW w:w="1276" w:type="dxa"/>
            <w:tcBorders>
              <w:top w:val="nil"/>
              <w:left w:val="nil"/>
              <w:bottom w:val="nil"/>
              <w:right w:val="nil"/>
            </w:tcBorders>
          </w:tcPr>
          <w:p w14:paraId="11CE357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71</w:t>
            </w:r>
          </w:p>
        </w:tc>
        <w:tc>
          <w:tcPr>
            <w:tcW w:w="1984" w:type="dxa"/>
            <w:tcBorders>
              <w:top w:val="nil"/>
              <w:left w:val="nil"/>
              <w:bottom w:val="nil"/>
              <w:right w:val="nil"/>
            </w:tcBorders>
          </w:tcPr>
          <w:p w14:paraId="2EE6AB5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26.14 (8.20)</w:t>
            </w:r>
          </w:p>
        </w:tc>
        <w:tc>
          <w:tcPr>
            <w:tcW w:w="1134" w:type="dxa"/>
            <w:tcBorders>
              <w:top w:val="nil"/>
              <w:left w:val="nil"/>
              <w:bottom w:val="nil"/>
              <w:right w:val="nil"/>
            </w:tcBorders>
          </w:tcPr>
          <w:p w14:paraId="6247110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88.7</w:t>
            </w:r>
          </w:p>
        </w:tc>
        <w:tc>
          <w:tcPr>
            <w:tcW w:w="3822" w:type="dxa"/>
            <w:tcBorders>
              <w:top w:val="nil"/>
              <w:left w:val="nil"/>
              <w:bottom w:val="nil"/>
              <w:right w:val="nil"/>
            </w:tcBorders>
          </w:tcPr>
          <w:p w14:paraId="5B6501C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Clinical diagnosis; AQ-Short ≥65</w:t>
            </w:r>
          </w:p>
        </w:tc>
        <w:tc>
          <w:tcPr>
            <w:tcW w:w="1701" w:type="dxa"/>
            <w:tcBorders>
              <w:top w:val="nil"/>
              <w:left w:val="nil"/>
              <w:bottom w:val="nil"/>
              <w:right w:val="nil"/>
            </w:tcBorders>
          </w:tcPr>
          <w:p w14:paraId="4D01E6A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2B1340D4"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single" w:sz="4" w:space="0" w:color="auto"/>
              <w:right w:val="nil"/>
            </w:tcBorders>
          </w:tcPr>
          <w:p w14:paraId="21038CDE" w14:textId="77777777" w:rsidR="00576413" w:rsidRPr="00BA2E19" w:rsidRDefault="00576413" w:rsidP="00147C41">
            <w:pPr>
              <w:rPr>
                <w:rFonts w:ascii="Times New Roman" w:hAnsi="Times New Roman" w:cs="Times New Roman"/>
                <w:sz w:val="20"/>
                <w:szCs w:val="20"/>
                <w:lang w:val="en-US"/>
              </w:rPr>
            </w:pPr>
            <w:r w:rsidRPr="00BA2E19">
              <w:rPr>
                <w:rFonts w:ascii="Times New Roman" w:hAnsi="Times New Roman" w:cs="Times New Roman"/>
                <w:sz w:val="20"/>
                <w:szCs w:val="20"/>
                <w:lang w:val="en-US"/>
              </w:rPr>
              <w:fldChar w:fldCharType="begin"/>
            </w:r>
            <w:r w:rsidRPr="00BA2E19">
              <w:rPr>
                <w:rFonts w:ascii="Times New Roman" w:hAnsi="Times New Roman" w:cs="Times New Roman"/>
                <w:sz w:val="20"/>
                <w:szCs w:val="20"/>
                <w:lang w:val="en-US"/>
              </w:rPr>
              <w:instrText xml:space="preserve"> ADDIN ZOTERO_ITEM CSL_CITATION {"citationID":"a27oukt1jum","properties":{"formattedCitation":"(Hedley, Uljarevi\\uc0\\u263{}, Foley, et al., 2018)","plainCitation":"(Hedley, Uljarević, Foley, et al., 2018)","dontUpdate":true,"noteIndex":0},"citationItems":[{"id":"wAnnZMUy/AYLjLTNH","uris":["http://zotero.org/users/9059392/items/P44K4WJH"],"itemData":{"id":1361,"type":"article-journal","abstract":"BACKGROUND: People with Autism Spectrum Disorder (ASD) are at significantly increased risk of suicidal thoughts and behavior. Given that social difficulties in ASD often lead to social isolation, which can in turn increase the risk for depression, this study examined loneliness and social support as potential risk and protective factors associated with depression and suicidal ideation.\nMETHOD: The sample comprised 185 people (92 females) with ASD aged 14 to 80 years who were participating in a national survey.\nRESULTS: Forty-nine percent of participants returned scores in the clinical range for depression and 36% reported recent suicidal ideation. Females, comprising almost 50% of the sample, returned higher depression scores than males, however no differences were identified between males and females in terms of suicidal ideation. Regression analyses revealed that loneliness, satisfaction with social support, and ASD traits predicted depression scores. Satisfaction with social support predicted suicidal ideation, however, it was no longer a significant predictor after the effects of depression were taken into account. Path analysis showed that ASD trait severity was independently related to depression, that the effect of number of social supports on depression was mediated by loneliness and satisfaction with social support, and that effects of loneliness and satisfaction with social support on suicidal ideation were mediated by depression. The pattern of relationships was nearly identical for males and females.\nCONCLUSIONS: This study supports a model whereby loneliness and social support operate respectively as protective and risk factors for depression and suicidal ideation in ASD.","container-title":"Depression and Anxiety","DOI":"10.1002/da.22759","ISSN":"1520-6394","issue":"7","journalAbbreviation":"Depress Anxiety","language":"eng","note":"PMID: 29659141","page":"648-657","source":"PubMed","title":"Risk and protective factors underlying depression and suicidal ideation in Autism Spectrum Disorder","volume":"35","author":[{"family":"Hedley","given":"Darren"},{"family":"Uljarević","given":"Mirko"},{"family":"Foley","given":"Kitty-Rose"},{"family":"Richdale","given":"Amanda"},{"family":"Trollor","given":"Julian"}],"issued":{"date-parts":[["2018",7]]}}}],"schema":"https://github.com/citation-style-language/schema/raw/master/csl-citation.json"} </w:instrText>
            </w:r>
            <w:r w:rsidRPr="00BA2E19">
              <w:rPr>
                <w:rFonts w:ascii="Times New Roman" w:hAnsi="Times New Roman" w:cs="Times New Roman"/>
                <w:sz w:val="20"/>
                <w:szCs w:val="20"/>
                <w:lang w:val="en-US"/>
              </w:rPr>
              <w:fldChar w:fldCharType="separate"/>
            </w:r>
            <w:r w:rsidRPr="00BA2E19">
              <w:rPr>
                <w:rFonts w:ascii="Times New Roman" w:hAnsi="Times New Roman" w:cs="Times New Roman"/>
                <w:kern w:val="0"/>
                <w:sz w:val="20"/>
                <w:lang w:val="en-US"/>
              </w:rPr>
              <w:t>Hedley et al.</w:t>
            </w:r>
            <w:r w:rsidRPr="00BA2E19">
              <w:rPr>
                <w:rFonts w:ascii="Times New Roman" w:hAnsi="Times New Roman" w:cs="Times New Roman"/>
                <w:sz w:val="20"/>
                <w:szCs w:val="20"/>
                <w:lang w:val="en-US"/>
              </w:rPr>
              <w:fldChar w:fldCharType="end"/>
            </w:r>
          </w:p>
        </w:tc>
        <w:tc>
          <w:tcPr>
            <w:tcW w:w="855" w:type="dxa"/>
            <w:tcBorders>
              <w:top w:val="nil"/>
              <w:left w:val="nil"/>
              <w:bottom w:val="single" w:sz="4" w:space="0" w:color="auto"/>
              <w:right w:val="nil"/>
            </w:tcBorders>
          </w:tcPr>
          <w:p w14:paraId="203FDBF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BA2E19">
              <w:rPr>
                <w:rFonts w:ascii="Times New Roman" w:hAnsi="Times New Roman" w:cs="Times New Roman"/>
                <w:sz w:val="20"/>
                <w:szCs w:val="20"/>
                <w:lang w:val="en-US"/>
              </w:rPr>
              <w:t>2018b</w:t>
            </w:r>
          </w:p>
        </w:tc>
        <w:tc>
          <w:tcPr>
            <w:tcW w:w="1418" w:type="dxa"/>
            <w:tcBorders>
              <w:top w:val="nil"/>
              <w:left w:val="nil"/>
              <w:bottom w:val="single" w:sz="4" w:space="0" w:color="auto"/>
              <w:right w:val="nil"/>
            </w:tcBorders>
          </w:tcPr>
          <w:p w14:paraId="4CE773B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Australia</w:t>
            </w:r>
          </w:p>
        </w:tc>
        <w:tc>
          <w:tcPr>
            <w:tcW w:w="1276" w:type="dxa"/>
            <w:tcBorders>
              <w:top w:val="nil"/>
              <w:left w:val="nil"/>
              <w:bottom w:val="single" w:sz="4" w:space="0" w:color="auto"/>
              <w:right w:val="nil"/>
            </w:tcBorders>
          </w:tcPr>
          <w:p w14:paraId="664F288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185</w:t>
            </w:r>
          </w:p>
        </w:tc>
        <w:tc>
          <w:tcPr>
            <w:tcW w:w="1984" w:type="dxa"/>
            <w:tcBorders>
              <w:top w:val="nil"/>
              <w:left w:val="nil"/>
              <w:bottom w:val="single" w:sz="4" w:space="0" w:color="auto"/>
              <w:right w:val="nil"/>
            </w:tcBorders>
          </w:tcPr>
          <w:p w14:paraId="05D2458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37.11 (15.4)</w:t>
            </w:r>
          </w:p>
        </w:tc>
        <w:tc>
          <w:tcPr>
            <w:tcW w:w="1134" w:type="dxa"/>
            <w:tcBorders>
              <w:top w:val="nil"/>
              <w:left w:val="nil"/>
              <w:bottom w:val="single" w:sz="4" w:space="0" w:color="auto"/>
              <w:right w:val="nil"/>
            </w:tcBorders>
          </w:tcPr>
          <w:p w14:paraId="6EC1B29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50.3</w:t>
            </w:r>
          </w:p>
        </w:tc>
        <w:tc>
          <w:tcPr>
            <w:tcW w:w="3822" w:type="dxa"/>
            <w:tcBorders>
              <w:top w:val="nil"/>
              <w:left w:val="nil"/>
              <w:bottom w:val="single" w:sz="4" w:space="0" w:color="auto"/>
              <w:right w:val="nil"/>
            </w:tcBorders>
          </w:tcPr>
          <w:p w14:paraId="17EC47CF" w14:textId="77777777" w:rsidR="00576413" w:rsidRPr="009C0F71"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nl-NL"/>
              </w:rPr>
            </w:pPr>
            <w:proofErr w:type="spellStart"/>
            <w:r w:rsidRPr="009C0F71">
              <w:rPr>
                <w:rFonts w:ascii="Times New Roman" w:eastAsia="Calibri" w:hAnsi="Times New Roman" w:cs="Times New Roman"/>
                <w:color w:val="000000"/>
                <w:kern w:val="0"/>
                <w:sz w:val="20"/>
                <w:szCs w:val="20"/>
                <w:lang w:val="nl-NL"/>
              </w:rPr>
              <w:t>Clinical</w:t>
            </w:r>
            <w:proofErr w:type="spellEnd"/>
            <w:r w:rsidRPr="009C0F71">
              <w:rPr>
                <w:rFonts w:ascii="Times New Roman" w:eastAsia="Calibri" w:hAnsi="Times New Roman" w:cs="Times New Roman"/>
                <w:color w:val="000000"/>
                <w:kern w:val="0"/>
                <w:sz w:val="20"/>
                <w:szCs w:val="20"/>
                <w:lang w:val="nl-NL"/>
              </w:rPr>
              <w:t xml:space="preserve"> diagnosis, </w:t>
            </w:r>
            <w:proofErr w:type="spellStart"/>
            <w:r w:rsidRPr="009C0F71">
              <w:rPr>
                <w:rFonts w:ascii="Times New Roman" w:eastAsia="Calibri" w:hAnsi="Times New Roman" w:cs="Times New Roman"/>
                <w:color w:val="000000"/>
                <w:kern w:val="0"/>
                <w:sz w:val="20"/>
                <w:szCs w:val="20"/>
                <w:lang w:val="nl-NL"/>
              </w:rPr>
              <w:t>Excluding</w:t>
            </w:r>
            <w:proofErr w:type="spellEnd"/>
            <w:r w:rsidRPr="009C0F71">
              <w:rPr>
                <w:rFonts w:ascii="Times New Roman" w:eastAsia="Calibri" w:hAnsi="Times New Roman" w:cs="Times New Roman"/>
                <w:color w:val="000000"/>
                <w:kern w:val="0"/>
                <w:sz w:val="20"/>
                <w:szCs w:val="20"/>
                <w:lang w:val="nl-NL"/>
              </w:rPr>
              <w:t xml:space="preserve"> </w:t>
            </w:r>
            <w:proofErr w:type="spellStart"/>
            <w:r w:rsidRPr="009C0F71">
              <w:rPr>
                <w:rFonts w:ascii="Times New Roman" w:eastAsia="Calibri" w:hAnsi="Times New Roman" w:cs="Times New Roman"/>
                <w:color w:val="000000"/>
                <w:kern w:val="0"/>
                <w:sz w:val="20"/>
                <w:szCs w:val="20"/>
                <w:lang w:val="nl-NL"/>
              </w:rPr>
              <w:t>self</w:t>
            </w:r>
            <w:proofErr w:type="spellEnd"/>
            <w:r w:rsidRPr="009C0F71">
              <w:rPr>
                <w:rFonts w:ascii="Times New Roman" w:eastAsia="Calibri" w:hAnsi="Times New Roman" w:cs="Times New Roman"/>
                <w:color w:val="000000"/>
                <w:kern w:val="0"/>
                <w:sz w:val="20"/>
                <w:szCs w:val="20"/>
                <w:lang w:val="nl-NL"/>
              </w:rPr>
              <w:t>-diagnosis</w:t>
            </w:r>
          </w:p>
        </w:tc>
        <w:tc>
          <w:tcPr>
            <w:tcW w:w="1701" w:type="dxa"/>
            <w:tcBorders>
              <w:top w:val="nil"/>
              <w:left w:val="nil"/>
              <w:bottom w:val="single" w:sz="4" w:space="0" w:color="auto"/>
              <w:right w:val="nil"/>
            </w:tcBorders>
          </w:tcPr>
          <w:p w14:paraId="5E8B8FA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kern w:val="0"/>
                <w:sz w:val="20"/>
                <w:szCs w:val="20"/>
                <w:lang w:val="en-US"/>
              </w:rPr>
            </w:pPr>
            <w:r w:rsidRPr="00BA2E19">
              <w:rPr>
                <w:rFonts w:ascii="Times New Roman" w:eastAsia="Calibri" w:hAnsi="Times New Roman" w:cs="Times New Roman"/>
                <w:color w:val="000000"/>
                <w:kern w:val="0"/>
                <w:sz w:val="20"/>
                <w:szCs w:val="20"/>
                <w:lang w:val="en-US"/>
              </w:rPr>
              <w:t>Self</w:t>
            </w:r>
          </w:p>
        </w:tc>
      </w:tr>
      <w:tr w:rsidR="00576413" w:rsidRPr="00BA2E19" w14:paraId="6BA924C6"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nil"/>
              <w:bottom w:val="single" w:sz="4" w:space="0" w:color="auto"/>
              <w:right w:val="nil"/>
            </w:tcBorders>
          </w:tcPr>
          <w:p w14:paraId="1CAAD737"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lastRenderedPageBreak/>
              <w:t>Table (continued)</w:t>
            </w:r>
          </w:p>
        </w:tc>
        <w:tc>
          <w:tcPr>
            <w:tcW w:w="855" w:type="dxa"/>
            <w:tcBorders>
              <w:top w:val="single" w:sz="4" w:space="0" w:color="auto"/>
              <w:left w:val="nil"/>
              <w:bottom w:val="single" w:sz="4" w:space="0" w:color="auto"/>
              <w:right w:val="nil"/>
            </w:tcBorders>
          </w:tcPr>
          <w:p w14:paraId="610F166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418" w:type="dxa"/>
            <w:tcBorders>
              <w:top w:val="single" w:sz="4" w:space="0" w:color="auto"/>
              <w:left w:val="nil"/>
              <w:bottom w:val="single" w:sz="4" w:space="0" w:color="auto"/>
              <w:right w:val="nil"/>
            </w:tcBorders>
          </w:tcPr>
          <w:p w14:paraId="1ADC04F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276" w:type="dxa"/>
            <w:tcBorders>
              <w:top w:val="single" w:sz="4" w:space="0" w:color="auto"/>
              <w:left w:val="nil"/>
              <w:bottom w:val="single" w:sz="4" w:space="0" w:color="auto"/>
              <w:right w:val="nil"/>
            </w:tcBorders>
          </w:tcPr>
          <w:p w14:paraId="05B7B93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984" w:type="dxa"/>
            <w:tcBorders>
              <w:top w:val="single" w:sz="4" w:space="0" w:color="auto"/>
              <w:left w:val="nil"/>
              <w:bottom w:val="single" w:sz="4" w:space="0" w:color="auto"/>
              <w:right w:val="nil"/>
            </w:tcBorders>
          </w:tcPr>
          <w:p w14:paraId="74488CD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134" w:type="dxa"/>
            <w:tcBorders>
              <w:top w:val="single" w:sz="4" w:space="0" w:color="auto"/>
              <w:left w:val="nil"/>
              <w:bottom w:val="single" w:sz="4" w:space="0" w:color="auto"/>
              <w:right w:val="nil"/>
            </w:tcBorders>
          </w:tcPr>
          <w:p w14:paraId="1E50714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3822" w:type="dxa"/>
            <w:tcBorders>
              <w:top w:val="single" w:sz="4" w:space="0" w:color="auto"/>
              <w:left w:val="nil"/>
              <w:bottom w:val="single" w:sz="4" w:space="0" w:color="auto"/>
              <w:right w:val="nil"/>
            </w:tcBorders>
          </w:tcPr>
          <w:p w14:paraId="0F172BE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701" w:type="dxa"/>
            <w:tcBorders>
              <w:top w:val="single" w:sz="4" w:space="0" w:color="auto"/>
              <w:left w:val="nil"/>
              <w:bottom w:val="single" w:sz="4" w:space="0" w:color="auto"/>
              <w:right w:val="nil"/>
            </w:tcBorders>
          </w:tcPr>
          <w:p w14:paraId="06FB243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r>
      <w:tr w:rsidR="00576413" w:rsidRPr="00BA2E19" w14:paraId="088E5588"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nil"/>
              <w:bottom w:val="nil"/>
              <w:right w:val="nil"/>
            </w:tcBorders>
          </w:tcPr>
          <w:p w14:paraId="52F4B51E"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{"citationID":"a1sj3afg4pa","properties":{"formattedCitation":"(Hedley et al., 2021)","plainCitation":"(Hedley et al., 2021)","dontUpdate":true,"noteIndex":0},"citationItems":[{"id":"wAnnZMUy/4G8AAqGn","uris":["http://zotero.org/users/9059392/items/WD25JDUA"],"itemData":{"id":1365,"type":"article-journal","abstract":"The COVID-19 pandemic has had a significant impact on the mental health and wellbeing of the world's population, with particularly negative effects on vulnerable populations, including autistic people. Although some consensus regarding specific impact on aspects of wellbeing and mental health in autism is starting to emerge, it is unclear whether the pandemic has increased suicide risk. The goals of this study were to examine (a) potential associations between COVID-19 impact and depression, personal wellbeing, and suicide risk factors in Australian autistic adults and (b) age and gender effects. The COVID-19 Impact Scale (CIS), Personal Wellbeing Index, Patient Health Questionnaire, and the Suicide Behavior Questionnaire, Revised (SBQ-R), were administered to 111 autistic adults aged 20 to 71 years during the second wave of the COVID-19 pandemic in Australia. COVID-19 impact showed small associations with poorer personal wellbeing (r = -0.224, p = 0.023, [-0.409, -0.016]) and higher depressive symptoms (r = 0.268, p = 0.006, [0.056, 0.445]) and was not associated with the SBQ-R suicide risk score (r = 0.081, p = 0.418, [-0.118, 0.264). No significant effects were identified for age. Although model results were similar for women and men, the strength of the associations between personal wellbeing and depression (z = -2.16, p = 0.015), and depression and SBQ-R suicide risk (z = 1.961, p = 0.025), were stronger in women than in men. Qualitative analysis of an open response question from the CIS suggested that the pandemic had both positive and negative impacts on participants. The COVID-19 pandemic has had a large impact on the mental health and wellbeing of the world's population, particularly vulnerable populations such as autistic people. It is not known if these impacts on mental health and wellbeing have increased suicide risk. Our findings suggest that the impact of the COVID-19 pandemic may be associated with poorer wellbeing and higher depression, but is not associated with suicide risk. Overall, autistic people reported both positive and negative impacts of the pandemic on their lives.","container-title":"Autism Research: Official Journal of the International Society for Autism Research","DOI":"10.1002/aur.2614","ISSN":"1939-3806","issue":"12","journalAbbreviation":"Autism Res","language":"eng","note":"PMID: 34545706\nPMCID: PMC8646719","page":"2663-2676","source":"PubMed","title":"The association between COVID-19, personal wellbeing, depression, and suicide risk factors in Australian autistic adults","volume":"14","author":[{"family":"Hedley","given":"Darren"},{"family":"Hayward","given":"Susan M."},{"family":"Denney","given":"Kathleen"},{"family":"Uljarević","given":"Mirko"},{"family":"Bury","given":"Simon"},{"family":"Sahin","given":"Ensu"},{"family":"Brown","given":"Claire M."},{"family":"Clapperton","given":"Angela"},{"family":"Dissanayake","given":"Cheryl"},{"family":"Robinson","given":"Jo"},{"family":"Trollor","given":"Julian"},{"family":"Stokes","given":"Mark A."}],"issued":{"date-parts":[["2021",12]]}}}],"schema":"https://github.com/citation-style-language/schema/raw/master/csl-citation.json"}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Hedley et al.</w:t>
            </w:r>
            <w:r w:rsidRPr="00BA2E19">
              <w:rPr>
                <w:rFonts w:ascii="Times New Roman" w:hAnsi="Times New Roman" w:cs="Times New Roman"/>
                <w:color w:val="000000" w:themeColor="text1"/>
                <w:sz w:val="20"/>
                <w:szCs w:val="20"/>
                <w:lang w:val="en-US"/>
              </w:rPr>
              <w:fldChar w:fldCharType="end"/>
            </w:r>
          </w:p>
        </w:tc>
        <w:tc>
          <w:tcPr>
            <w:tcW w:w="855" w:type="dxa"/>
            <w:tcBorders>
              <w:top w:val="single" w:sz="4" w:space="0" w:color="auto"/>
              <w:left w:val="nil"/>
              <w:bottom w:val="nil"/>
              <w:right w:val="nil"/>
            </w:tcBorders>
          </w:tcPr>
          <w:p w14:paraId="10D51D0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2021</w:t>
            </w:r>
          </w:p>
        </w:tc>
        <w:tc>
          <w:tcPr>
            <w:tcW w:w="1418" w:type="dxa"/>
            <w:tcBorders>
              <w:top w:val="single" w:sz="4" w:space="0" w:color="auto"/>
              <w:left w:val="nil"/>
              <w:bottom w:val="nil"/>
              <w:right w:val="nil"/>
            </w:tcBorders>
          </w:tcPr>
          <w:p w14:paraId="5AC7B3A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Australia</w:t>
            </w:r>
          </w:p>
        </w:tc>
        <w:tc>
          <w:tcPr>
            <w:tcW w:w="1276" w:type="dxa"/>
            <w:tcBorders>
              <w:top w:val="single" w:sz="4" w:space="0" w:color="auto"/>
              <w:left w:val="nil"/>
              <w:bottom w:val="nil"/>
              <w:right w:val="nil"/>
            </w:tcBorders>
          </w:tcPr>
          <w:p w14:paraId="3A437E7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111</w:t>
            </w:r>
          </w:p>
        </w:tc>
        <w:tc>
          <w:tcPr>
            <w:tcW w:w="1984" w:type="dxa"/>
            <w:tcBorders>
              <w:top w:val="single" w:sz="4" w:space="0" w:color="auto"/>
              <w:left w:val="nil"/>
              <w:bottom w:val="nil"/>
              <w:right w:val="nil"/>
            </w:tcBorders>
          </w:tcPr>
          <w:p w14:paraId="4A572D3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42.45 (13.0)</w:t>
            </w:r>
          </w:p>
        </w:tc>
        <w:tc>
          <w:tcPr>
            <w:tcW w:w="1134" w:type="dxa"/>
            <w:tcBorders>
              <w:top w:val="single" w:sz="4" w:space="0" w:color="auto"/>
              <w:left w:val="nil"/>
              <w:bottom w:val="nil"/>
              <w:right w:val="nil"/>
            </w:tcBorders>
          </w:tcPr>
          <w:p w14:paraId="0D6E613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32.4</w:t>
            </w:r>
          </w:p>
        </w:tc>
        <w:tc>
          <w:tcPr>
            <w:tcW w:w="3822" w:type="dxa"/>
            <w:tcBorders>
              <w:top w:val="single" w:sz="4" w:space="0" w:color="auto"/>
              <w:left w:val="nil"/>
              <w:bottom w:val="nil"/>
              <w:right w:val="nil"/>
            </w:tcBorders>
          </w:tcPr>
          <w:p w14:paraId="5E9514D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Documented ASD diagnosis, NOS</w:t>
            </w:r>
          </w:p>
        </w:tc>
        <w:tc>
          <w:tcPr>
            <w:tcW w:w="1701" w:type="dxa"/>
            <w:tcBorders>
              <w:top w:val="single" w:sz="4" w:space="0" w:color="auto"/>
              <w:left w:val="nil"/>
              <w:bottom w:val="nil"/>
              <w:right w:val="nil"/>
            </w:tcBorders>
          </w:tcPr>
          <w:p w14:paraId="184E228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53828031"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5773EB64"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kern w:val="0"/>
                <w:sz w:val="20"/>
                <w:szCs w:val="20"/>
                <w:lang w:val="en-US"/>
              </w:rPr>
              <w:fldChar w:fldCharType="begin"/>
            </w:r>
            <w:r w:rsidRPr="00BA2E19">
              <w:rPr>
                <w:rFonts w:ascii="Times New Roman" w:hAnsi="Times New Roman" w:cs="Times New Roman"/>
                <w:color w:val="000000" w:themeColor="text1"/>
                <w:kern w:val="0"/>
                <w:sz w:val="20"/>
                <w:szCs w:val="20"/>
                <w:lang w:val="en-US"/>
              </w:rPr>
              <w:instrText xml:space="preserve"> ADDIN ZOTERO_ITEM CSL_CITATION {"citationID":"a20uj8tfp5r","properties":{"formattedCitation":"\\uldash{(Hedley et al., 2025)}","plainCitation":"(Hedley et al., 2025)","dontUpdate":true,"noteIndex":0},"citationItems":[{"id":1118,"uris":["http://zotero.org/users/14279951/items/CQDP3JEN"],"itemData":{"id":1118,"type":"article-journal","abstract":"Autistic people have a significantly increased risk of death by suicide relative to the general population. In non-autistic samples, psychological wellbeing has been shown to moderate the relationship between depression and suicidal thoughts and behavior. Thoughts of self-harm may provide a useful indicator of suicidal risk. In this longitudinal study we examined (a) the potential role for psychological wellbeing to moderate the relationship between depressive symptoms and thoughts of self-harm and (b) the contribution of autistic traits to thoughts of self-harm.","container-title":"Journal of Autism and Developmental Disorders","DOI":"10.1007/s10803-024-06489-x","ISSN":"1573-3432","issue":"11","journalAbbreviation":"J Autism Dev Disord","language":"en","page":"3928-3940","source":"Springer Link","title":"Examination of the Potential Moderating Role of Psychological Wellbeing in the Relationship Between Depression and Thoughts of Self-Harm in Autistic Adolescents and Adults: A Two-Year Longitudinal Study","title-short":"Examination of the Potential Moderating Role of Psychological Wellbeing in the Relationship Between Depression and Thoughts of Self-Harm in Autistic Adolescents and Adults","volume":"55","author":[{"family":"Hedley","given":"Darren"},{"family":"Uljarević","given":"Mirko"},{"family":"Bury","given":"Simon M."},{"family":"Haschek","given":"Alexandra"},{"family":"Richdale","given":"Amanda L."},{"family":"Trollor","given":"Julian N."},{"family":"Stokes","given":"Mark A."}],"issued":{"date-parts":[["2025",11,1]]}}}],"schema":"https://github.com/citation-style-language/schema/raw/master/csl-citation.json"} </w:instrText>
            </w:r>
            <w:r w:rsidRPr="00BA2E19">
              <w:rPr>
                <w:rFonts w:ascii="Times New Roman" w:hAnsi="Times New Roman" w:cs="Times New Roman"/>
                <w:color w:val="000000" w:themeColor="text1"/>
                <w:kern w:val="0"/>
                <w:sz w:val="20"/>
                <w:szCs w:val="20"/>
                <w:lang w:val="en-US"/>
              </w:rPr>
              <w:fldChar w:fldCharType="separate"/>
            </w:r>
            <w:r w:rsidRPr="00BA2E19">
              <w:rPr>
                <w:rFonts w:ascii="Times New Roman" w:hAnsi="Times New Roman" w:cs="Times New Roman"/>
                <w:color w:val="000000" w:themeColor="text1"/>
                <w:kern w:val="0"/>
                <w:sz w:val="20"/>
                <w:szCs w:val="20"/>
                <w:lang w:val="en-US"/>
              </w:rPr>
              <w:t>Hedley et al.</w:t>
            </w:r>
            <w:r w:rsidRPr="00BA2E19">
              <w:rPr>
                <w:rFonts w:ascii="Times New Roman" w:hAnsi="Times New Roman" w:cs="Times New Roman"/>
                <w:color w:val="000000" w:themeColor="text1"/>
                <w:kern w:val="0"/>
                <w:sz w:val="20"/>
                <w:szCs w:val="20"/>
                <w:lang w:val="en-US"/>
              </w:rPr>
              <w:fldChar w:fldCharType="end"/>
            </w:r>
          </w:p>
        </w:tc>
        <w:tc>
          <w:tcPr>
            <w:tcW w:w="855" w:type="dxa"/>
            <w:tcBorders>
              <w:top w:val="nil"/>
              <w:left w:val="nil"/>
              <w:bottom w:val="nil"/>
              <w:right w:val="nil"/>
            </w:tcBorders>
          </w:tcPr>
          <w:p w14:paraId="151A42E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2025</w:t>
            </w:r>
          </w:p>
        </w:tc>
        <w:tc>
          <w:tcPr>
            <w:tcW w:w="1418" w:type="dxa"/>
            <w:tcBorders>
              <w:top w:val="nil"/>
              <w:left w:val="nil"/>
              <w:bottom w:val="nil"/>
              <w:right w:val="nil"/>
            </w:tcBorders>
          </w:tcPr>
          <w:p w14:paraId="2B848CA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Australia</w:t>
            </w:r>
          </w:p>
        </w:tc>
        <w:tc>
          <w:tcPr>
            <w:tcW w:w="1276" w:type="dxa"/>
            <w:tcBorders>
              <w:top w:val="nil"/>
              <w:left w:val="nil"/>
              <w:bottom w:val="nil"/>
              <w:right w:val="nil"/>
            </w:tcBorders>
          </w:tcPr>
          <w:p w14:paraId="1713BCA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528 (T1), 209 (T2)</w:t>
            </w:r>
          </w:p>
        </w:tc>
        <w:tc>
          <w:tcPr>
            <w:tcW w:w="1984" w:type="dxa"/>
            <w:tcBorders>
              <w:top w:val="nil"/>
              <w:left w:val="nil"/>
              <w:bottom w:val="nil"/>
              <w:right w:val="nil"/>
            </w:tcBorders>
          </w:tcPr>
          <w:p w14:paraId="6B38328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T1: 36.97 (14.01)</w:t>
            </w:r>
          </w:p>
          <w:p w14:paraId="65F7F85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T2: 34.20 (15.38)</w:t>
            </w:r>
          </w:p>
        </w:tc>
        <w:tc>
          <w:tcPr>
            <w:tcW w:w="1134" w:type="dxa"/>
            <w:tcBorders>
              <w:top w:val="nil"/>
              <w:left w:val="nil"/>
              <w:bottom w:val="nil"/>
              <w:right w:val="nil"/>
            </w:tcBorders>
          </w:tcPr>
          <w:p w14:paraId="74FE95D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T1: 38.1%</w:t>
            </w:r>
          </w:p>
          <w:p w14:paraId="65C7457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T2: 47.4%</w:t>
            </w:r>
          </w:p>
        </w:tc>
        <w:tc>
          <w:tcPr>
            <w:tcW w:w="3822" w:type="dxa"/>
            <w:tcBorders>
              <w:top w:val="nil"/>
              <w:left w:val="nil"/>
              <w:bottom w:val="nil"/>
              <w:right w:val="nil"/>
            </w:tcBorders>
          </w:tcPr>
          <w:p w14:paraId="28C03FC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Self-report</w:t>
            </w:r>
          </w:p>
        </w:tc>
        <w:tc>
          <w:tcPr>
            <w:tcW w:w="1701" w:type="dxa"/>
            <w:tcBorders>
              <w:top w:val="nil"/>
              <w:left w:val="nil"/>
              <w:bottom w:val="nil"/>
              <w:right w:val="nil"/>
            </w:tcBorders>
          </w:tcPr>
          <w:p w14:paraId="725C219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6CBBEE15"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507CB0E4"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kern w:val="0"/>
                <w:sz w:val="20"/>
                <w:szCs w:val="20"/>
                <w:lang w:val="en-US"/>
              </w:rPr>
              <w:fldChar w:fldCharType="begin"/>
            </w:r>
            <w:r w:rsidRPr="00BA2E19">
              <w:rPr>
                <w:rFonts w:ascii="Times New Roman" w:hAnsi="Times New Roman" w:cs="Times New Roman"/>
                <w:color w:val="000000" w:themeColor="text1"/>
                <w:kern w:val="0"/>
                <w:sz w:val="20"/>
                <w:szCs w:val="20"/>
                <w:lang w:val="en-US"/>
              </w:rPr>
              <w:instrText xml:space="preserve"> ADDIN ZOTERO_ITEM CSL_CITATION {"citationID":"a27clhej6c4","properties":{"formattedCitation":"\\uldash{(Huntjens et al., 2024)}","plainCitation":"(Huntjens et al., 2024)","dontUpdate":true,"noteIndex":0},"citationItems":[{"id":1132,"uris":["http://zotero.org/users/14279951/items/LGYQZAT2"],"itemData":{"id":1132,"type":"article-journal","abstract":"Backgrounds. Many autistic people in mental health are suicidal. This study evaluated the effectiveness of dialectical behavior therapy (DBT) v. treatment as usual (TAU) in reducing suicidal ideation and suicide attempts.\nMethods. At six Dutch mental health centers, 123 outpatients (18–65 years) with DSM-5 diagnosed autism spectrum disorder (ASD) and suicidal behavior were randomly assigned to the DBT intervention group (n = 63) or TAU control group (n = 60). Assessments were conducted at baseline, post-treatment at 6 months and 12-month follow-up. The primary outcomes were severity of suicidal ideation and frequency of suicide attempts. The severity of depression and social anxiety were secondary outcomes.\nResults. At end-of-treatment, DBT significantly reduced both suicidal ideation (z = −2.24; p = 0.025; b = −4.41; S.E. = 197.0) and suicide attempts (z = −3.15; p = 0.002; IRR = 0.046; S.E. = 0.045) compared to TAU, but lost statistical significance at the 12-month follow-up. Depression severity significantly decreased with DBT (z = −1.99; p = 0.046: b = −2.74; S.E. = 1.37) remaining so at 12 months (z = −2.46; p = 0.014; b = −3.37; S.E. = 1.37). No effects were observed on social anxiety. Severe adverse events included two suicides in the TAU condition.\nConclusions. DBT is an acceptable, safe, and short-term effective intervention to reduce suicidal ideation and suicide attempts in autistic adults with suicidal behavior.","container-title":"Psychological Medicine","DOI":"10.1017/S0033291724000825","ISSN":"0033-2917, 1469-8978","issue":"10","journalAbbreviation":"Psychol. Med.","language":"en","page":"2707-2718","source":"DOI.org (Crossref)","title":"The effectiveness and safety of dialectical behavior therapy for suicidal ideation and behavior in autistic adults: a pragmatic randomized controlled trial","title-short":"The effectiveness and safety of dialectical behavior therapy for suicidal ideation and behavior in autistic adults","volume":"54","author":[{"family":"Huntjens","given":"Anne"},{"family":"Van Den Bosch","given":"L. M. C. (Wies)"},{"family":"Sizoo","given":"Bram"},{"family":"Kerkhof","given":"Ad"},{"family":"Smit","given":"Filip"},{"family":"Van Der Gaag","given":"Mark"}],"issued":{"date-parts":[["2024",7]]}}}],"schema":"https://github.com/citation-style-language/schema/raw/master/csl-citation.json"} </w:instrText>
            </w:r>
            <w:r w:rsidRPr="00BA2E19">
              <w:rPr>
                <w:rFonts w:ascii="Times New Roman" w:hAnsi="Times New Roman" w:cs="Times New Roman"/>
                <w:color w:val="000000" w:themeColor="text1"/>
                <w:kern w:val="0"/>
                <w:sz w:val="20"/>
                <w:szCs w:val="20"/>
                <w:lang w:val="en-US"/>
              </w:rPr>
              <w:fldChar w:fldCharType="separate"/>
            </w:r>
            <w:proofErr w:type="spellStart"/>
            <w:r w:rsidRPr="00BA2E19">
              <w:rPr>
                <w:rFonts w:ascii="Times New Roman" w:hAnsi="Times New Roman" w:cs="Times New Roman"/>
                <w:color w:val="000000" w:themeColor="text1"/>
                <w:kern w:val="0"/>
                <w:sz w:val="20"/>
                <w:szCs w:val="20"/>
                <w:lang w:val="en-US"/>
              </w:rPr>
              <w:t>Huntjens</w:t>
            </w:r>
            <w:proofErr w:type="spellEnd"/>
            <w:r w:rsidRPr="00BA2E19">
              <w:rPr>
                <w:rFonts w:ascii="Times New Roman" w:hAnsi="Times New Roman" w:cs="Times New Roman"/>
                <w:color w:val="000000" w:themeColor="text1"/>
                <w:kern w:val="0"/>
                <w:sz w:val="20"/>
                <w:szCs w:val="20"/>
                <w:lang w:val="en-US"/>
              </w:rPr>
              <w:t xml:space="preserve"> et al.</w:t>
            </w:r>
            <w:r w:rsidRPr="00BA2E19">
              <w:rPr>
                <w:rFonts w:ascii="Times New Roman" w:hAnsi="Times New Roman" w:cs="Times New Roman"/>
                <w:color w:val="000000" w:themeColor="text1"/>
                <w:kern w:val="0"/>
                <w:sz w:val="20"/>
                <w:szCs w:val="20"/>
                <w:lang w:val="en-US"/>
              </w:rPr>
              <w:fldChar w:fldCharType="end"/>
            </w:r>
          </w:p>
        </w:tc>
        <w:tc>
          <w:tcPr>
            <w:tcW w:w="855" w:type="dxa"/>
            <w:tcBorders>
              <w:top w:val="nil"/>
              <w:left w:val="nil"/>
              <w:bottom w:val="nil"/>
              <w:right w:val="nil"/>
            </w:tcBorders>
          </w:tcPr>
          <w:p w14:paraId="5A9AF38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2024</w:t>
            </w:r>
          </w:p>
        </w:tc>
        <w:tc>
          <w:tcPr>
            <w:tcW w:w="1418" w:type="dxa"/>
            <w:tcBorders>
              <w:top w:val="nil"/>
              <w:left w:val="nil"/>
              <w:bottom w:val="nil"/>
              <w:right w:val="nil"/>
            </w:tcBorders>
          </w:tcPr>
          <w:p w14:paraId="057DF7B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Netherlands</w:t>
            </w:r>
          </w:p>
        </w:tc>
        <w:tc>
          <w:tcPr>
            <w:tcW w:w="1276" w:type="dxa"/>
            <w:tcBorders>
              <w:top w:val="nil"/>
              <w:left w:val="nil"/>
              <w:bottom w:val="nil"/>
              <w:right w:val="nil"/>
            </w:tcBorders>
          </w:tcPr>
          <w:p w14:paraId="4C95B1C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123</w:t>
            </w:r>
          </w:p>
        </w:tc>
        <w:tc>
          <w:tcPr>
            <w:tcW w:w="1984" w:type="dxa"/>
            <w:tcBorders>
              <w:top w:val="nil"/>
              <w:left w:val="nil"/>
              <w:bottom w:val="nil"/>
              <w:right w:val="nil"/>
            </w:tcBorders>
          </w:tcPr>
          <w:p w14:paraId="25D1E7E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37.4 (11.3)</w:t>
            </w:r>
          </w:p>
        </w:tc>
        <w:tc>
          <w:tcPr>
            <w:tcW w:w="1134" w:type="dxa"/>
            <w:tcBorders>
              <w:top w:val="nil"/>
              <w:left w:val="nil"/>
              <w:bottom w:val="nil"/>
              <w:right w:val="nil"/>
            </w:tcBorders>
          </w:tcPr>
          <w:p w14:paraId="00BA3CC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52</w:t>
            </w:r>
          </w:p>
        </w:tc>
        <w:tc>
          <w:tcPr>
            <w:tcW w:w="3822" w:type="dxa"/>
            <w:tcBorders>
              <w:top w:val="nil"/>
              <w:left w:val="nil"/>
              <w:bottom w:val="nil"/>
              <w:right w:val="nil"/>
            </w:tcBorders>
          </w:tcPr>
          <w:p w14:paraId="03BA1FB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DSM-5</w:t>
            </w:r>
          </w:p>
        </w:tc>
        <w:tc>
          <w:tcPr>
            <w:tcW w:w="1701" w:type="dxa"/>
            <w:tcBorders>
              <w:top w:val="nil"/>
              <w:left w:val="nil"/>
              <w:bottom w:val="nil"/>
              <w:right w:val="nil"/>
            </w:tcBorders>
          </w:tcPr>
          <w:p w14:paraId="165F9AA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 clinician</w:t>
            </w:r>
          </w:p>
        </w:tc>
      </w:tr>
      <w:tr w:rsidR="00576413" w:rsidRPr="00BA2E19" w14:paraId="613D0F28"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00A9832A"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{"citationID":"a2nr1gfb7eh","properties":{"formattedCitation":"(Hirvikoski et al., 2020)","plainCitation":"(Hirvikoski et al., 2020)","dontUpdate":true,"noteIndex":0},"citationItems":[{"id":"wAnnZMUy/N2wZaZlm","uris":["http://zotero.org/users/9059392/items/DAX6RNHT"],"itemData":{"id":1270,"type":"article-journal","abstract":"BackgroundStudies on the individual gender-specific risk and familial co-aggregation of suicidal behaviour in autism spectrum disorder (ASD) are lacking.MethodsWe conducted a matched case-cohort study applying conditional logistic regression models on 54 168 individuals recorded in 1987–2013 with ASD in Swedish national registers: ASD without ID n = 43 570 (out of which n = 19035, 43.69% with ADHD); ASD + ID n = 10 598 (out of which n = 2894 individuals, 27.31% with ADHD), and 270 840 controls, as well as 347 155 relatives of individuals with ASD and 1 735 775 control relatives.ResultsThe risk for suicidal behaviours [reported as odds ratio OR (95% confidence interval CI)] was most increased in the ASD without ID group with comorbid ADHD [suicide attempt 7.25 (6.79–7.73); most severe attempts i.e. requiring inpatient stay 12.37 (11.33–13.52); suicide 13.09 (8.54–20.08)]. The risk was also increased in ASD + ID group [all suicide attempts 2.60 (2.31–2.92); inpatient only 3.45 (2.96–4.02); suicide 2.31 (1.16–4.57)]. Females with ASD without ID had generally higher risk for suicidal behaviours than males, while both genders had highest risk in the case of comorbid ADHD [females, suicide attempts 10.27 (9.27–11.37); inpatient only 13.42 (11.87–15.18); suicide 14.26 (6.03–33.72); males, suicide attempts 5.55 (5.10–6.05); inpatient only 11.33 (9.98–12.86); suicide 12.72 (7.77–20.82)]. Adjustment for psychiatric comorbidity attenuated the risk estimates. In comparison to controls, relatives of individuals with ASD also had an increased risk of suicidal behaviour.ConclusionsClinicians treating patients with ASD should be vigilant for suicidal behaviour and consider treatment of psychiatric comorbidity.","container-title":"Psychological Medicine","DOI":"10.1017/S0033291719001405","ISSN":"0033-2917, 1469-8978","issue":"9","language":"en","note":"publisher: Cambridge University Press","page":"1463-1474","source":"Cambridge University Press","title":"Individual risk and familial liability for suicide attempt and suicide in autism: a population-based study","title-short":"Individual risk and familial liability for suicide attempt and suicide in autism","volume":"50","author":[{"family":"Hirvikoski","given":"Tatja"},{"family":"Boman","given":"M."},{"family":"Chen","given":"Q."},{"family":"D'Onofrio","given":"B. M."},{"family":"Mittendorfer-Rutz","given":"E."},{"family":"Lichtenstein","given":"P."},{"family":"Bölte","given":"S."},{"family":"Larsson","given":"H."}],"issued":{"date-parts":[["2020",7]]}}}],"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proofErr w:type="spellStart"/>
            <w:r w:rsidRPr="00BA2E19">
              <w:rPr>
                <w:rFonts w:ascii="Times New Roman" w:hAnsi="Times New Roman" w:cs="Times New Roman"/>
                <w:color w:val="000000" w:themeColor="text1"/>
                <w:kern w:val="0"/>
                <w:sz w:val="20"/>
                <w:szCs w:val="20"/>
                <w:lang w:val="en-US"/>
              </w:rPr>
              <w:t>Hirvikoski</w:t>
            </w:r>
            <w:proofErr w:type="spellEnd"/>
            <w:r w:rsidRPr="00BA2E19">
              <w:rPr>
                <w:rFonts w:ascii="Times New Roman" w:hAnsi="Times New Roman" w:cs="Times New Roman"/>
                <w:color w:val="000000" w:themeColor="text1"/>
                <w:kern w:val="0"/>
                <w:sz w:val="20"/>
                <w:szCs w:val="20"/>
                <w:lang w:val="en-US"/>
              </w:rPr>
              <w:t xml:space="preserve"> et al.</w:t>
            </w:r>
            <w:r w:rsidRPr="00BA2E19">
              <w:rPr>
                <w:rFonts w:ascii="Times New Roman" w:hAnsi="Times New Roman" w:cs="Times New Roman"/>
                <w:color w:val="000000" w:themeColor="text1"/>
                <w:sz w:val="20"/>
                <w:szCs w:val="20"/>
                <w:lang w:val="en-US"/>
              </w:rPr>
              <w:fldChar w:fldCharType="end"/>
            </w:r>
          </w:p>
        </w:tc>
        <w:tc>
          <w:tcPr>
            <w:tcW w:w="855" w:type="dxa"/>
            <w:tcBorders>
              <w:top w:val="nil"/>
              <w:left w:val="nil"/>
              <w:bottom w:val="nil"/>
              <w:right w:val="nil"/>
            </w:tcBorders>
          </w:tcPr>
          <w:p w14:paraId="02199EB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2020</w:t>
            </w:r>
          </w:p>
        </w:tc>
        <w:tc>
          <w:tcPr>
            <w:tcW w:w="1418" w:type="dxa"/>
            <w:tcBorders>
              <w:top w:val="nil"/>
              <w:left w:val="nil"/>
              <w:bottom w:val="nil"/>
              <w:right w:val="nil"/>
            </w:tcBorders>
          </w:tcPr>
          <w:p w14:paraId="2BEB0F7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Sweden</w:t>
            </w:r>
          </w:p>
        </w:tc>
        <w:tc>
          <w:tcPr>
            <w:tcW w:w="1276" w:type="dxa"/>
            <w:tcBorders>
              <w:top w:val="nil"/>
              <w:left w:val="nil"/>
              <w:bottom w:val="nil"/>
              <w:right w:val="nil"/>
            </w:tcBorders>
          </w:tcPr>
          <w:p w14:paraId="73BC97D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54 168</w:t>
            </w:r>
          </w:p>
        </w:tc>
        <w:tc>
          <w:tcPr>
            <w:tcW w:w="1984" w:type="dxa"/>
            <w:tcBorders>
              <w:top w:val="nil"/>
              <w:left w:val="nil"/>
              <w:bottom w:val="nil"/>
              <w:right w:val="nil"/>
            </w:tcBorders>
          </w:tcPr>
          <w:p w14:paraId="251AC5C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vertAlign w:val="superscript"/>
                <w:lang w:val="en-US"/>
              </w:rPr>
            </w:pPr>
            <w:r w:rsidRPr="00BA2E19">
              <w:rPr>
                <w:rFonts w:ascii="Times New Roman" w:eastAsia="Calibri" w:hAnsi="Times New Roman" w:cs="Times New Roman"/>
                <w:color w:val="000000" w:themeColor="text1"/>
                <w:kern w:val="0"/>
                <w:sz w:val="20"/>
                <w:szCs w:val="20"/>
                <w:lang w:val="en-US"/>
              </w:rPr>
              <w:t>24.13 (</w:t>
            </w:r>
            <w:proofErr w:type="gramStart"/>
            <w:r w:rsidRPr="00BA2E19">
              <w:rPr>
                <w:rFonts w:ascii="Times New Roman" w:eastAsia="Calibri" w:hAnsi="Times New Roman" w:cs="Times New Roman"/>
                <w:color w:val="000000" w:themeColor="text1"/>
                <w:kern w:val="0"/>
                <w:sz w:val="20"/>
                <w:szCs w:val="20"/>
                <w:lang w:val="en-US"/>
              </w:rPr>
              <w:t>11.0)</w:t>
            </w:r>
            <w:r w:rsidRPr="00BA2E19">
              <w:rPr>
                <w:rFonts w:ascii="Times New Roman" w:eastAsia="Calibri" w:hAnsi="Times New Roman" w:cs="Times New Roman"/>
                <w:color w:val="000000" w:themeColor="text1"/>
                <w:kern w:val="0"/>
                <w:sz w:val="20"/>
                <w:szCs w:val="20"/>
                <w:vertAlign w:val="superscript"/>
                <w:lang w:val="en-US"/>
              </w:rPr>
              <w:t>a</w:t>
            </w:r>
            <w:proofErr w:type="gramEnd"/>
          </w:p>
          <w:p w14:paraId="0F212B7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134" w:type="dxa"/>
            <w:tcBorders>
              <w:top w:val="nil"/>
              <w:left w:val="nil"/>
              <w:bottom w:val="nil"/>
              <w:right w:val="nil"/>
            </w:tcBorders>
          </w:tcPr>
          <w:p w14:paraId="068E6B5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No ID: 68.0</w:t>
            </w:r>
          </w:p>
          <w:p w14:paraId="20B80DD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ID: 66.4</w:t>
            </w:r>
          </w:p>
        </w:tc>
        <w:tc>
          <w:tcPr>
            <w:tcW w:w="3822" w:type="dxa"/>
            <w:tcBorders>
              <w:top w:val="nil"/>
              <w:left w:val="nil"/>
              <w:bottom w:val="nil"/>
              <w:right w:val="nil"/>
            </w:tcBorders>
          </w:tcPr>
          <w:p w14:paraId="4FF8D8C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Record review, ICD-9 to ICD-10 conversion</w:t>
            </w:r>
          </w:p>
        </w:tc>
        <w:tc>
          <w:tcPr>
            <w:tcW w:w="1701" w:type="dxa"/>
            <w:tcBorders>
              <w:top w:val="nil"/>
              <w:left w:val="nil"/>
              <w:bottom w:val="nil"/>
              <w:right w:val="nil"/>
            </w:tcBorders>
          </w:tcPr>
          <w:p w14:paraId="18A085E3"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Database</w:t>
            </w:r>
          </w:p>
        </w:tc>
      </w:tr>
      <w:tr w:rsidR="00576413" w:rsidRPr="00BA2E19" w14:paraId="469915D0"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7E7B6C7C"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{"citationID":"akngatgh3q","properties":{"formattedCitation":"(Hooijer &amp; Sizoo, 2020)","plainCitation":"(Hooijer &amp; Sizoo, 2020)","dontUpdate":true,"noteIndex":0},"citationItems":[{"id":"wAnnZMUy/B9VgwpuW","uris":["http://zotero.org/users/9059392/items/X9X3C8NH"],"itemData":{"id":1369,"type":"article-journal","abstract":"Persons with autism spectrum disorders (ASDs) are suggested to have an increased risk for suicide ideation and suicide attempts, but this topic is largely understudied. Research indicates that temperament and character traits are associated with suicidal behavior in persons without ASD, with higher scores for novelty seeking (NS), harm avoidance (HA), and self-transcedence (ST), and lower scores for self-directedness (SD) and cooperativeness (CO). Usually persons with ASD have temperament and character profiles with high HA, and low NS, reward dependence (RD), SD, and CO. The aim is to investigate whether there is a relationship between temperament and character traits and suicide ideation and attempts in adults with ASD. Seventy-four adults with ASD participated by completing self-report measures on suicide thoughts and behavior, depression, and temperament. Independent sample t-tests were conducted to compare scores between attempters versus nonattempters and between ideators versus nonideators. Regression analysis was performed to explore the predictive value of temperament and character. T-tests showed lower NS and SD, and higher HA for ideators versus nonideators, but not for attempters versus nonattempters. Regression models showed no significant relation between suicide ideation and NS, SD, HA after the latter were controlled for the significant influence of depression. Temperament and character can probably not be used for predicting suicide ideation and attempts, based on results from the current sample. Clinicians must take note of the high prevalence and risk of depression among persons with ASD, which may be under-reported. Autism Res 2020, 13: 104-111. © 2019 International Society for Autism Research, Wiley Periodicals, Inc. LAY SUMMARY: The aim of the current study was to uncover risk factors for suicide ideation and attempts in adults with autism, since this urgent topic is largely understudied. We initially investigated whether temperament and character could be risk factors, but found no association. However, we did find that depression might be a high predictor for suicide ideation, which could remain under-reported in adults with autism, due to impaired communication and problems with expressing emotions and thoughts.","container-title":"Autism Research: Official Journal of the International Society for Autism Research","DOI":"10.1002/aur.2221","ISSN":"1939-3806","issue":"1","journalAbbreviation":"Autism Res","language":"eng","note":"PMID: 31622053","page":"104-111","source":"PubMed","title":"Temperament and character as risk factor for suicide ideation and attempts in adults with autism spectrum disorders","volume":"13","author":[{"family":"Hooijer","given":"Annelie A. T."},{"family":"Sizoo","given":"Bram B."}],"issued":{"date-parts":[["2020",1]]}}}],"schema":"https://github.com/citation-style-language/schema/raw/master/csl-citation.json"}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proofErr w:type="spellStart"/>
            <w:r w:rsidRPr="00BA2E19">
              <w:rPr>
                <w:rFonts w:ascii="Times New Roman" w:hAnsi="Times New Roman" w:cs="Times New Roman"/>
                <w:color w:val="000000" w:themeColor="text1"/>
                <w:sz w:val="20"/>
                <w:szCs w:val="20"/>
                <w:lang w:val="en-US"/>
              </w:rPr>
              <w:t>Hooijer</w:t>
            </w:r>
            <w:proofErr w:type="spellEnd"/>
            <w:r w:rsidRPr="00BA2E19">
              <w:rPr>
                <w:rFonts w:ascii="Times New Roman" w:hAnsi="Times New Roman" w:cs="Times New Roman"/>
                <w:color w:val="000000" w:themeColor="text1"/>
                <w:sz w:val="20"/>
                <w:szCs w:val="20"/>
                <w:lang w:val="en-US"/>
              </w:rPr>
              <w:t xml:space="preserve"> &amp; </w:t>
            </w:r>
            <w:proofErr w:type="spellStart"/>
            <w:r w:rsidRPr="00BA2E19">
              <w:rPr>
                <w:rFonts w:ascii="Times New Roman" w:hAnsi="Times New Roman" w:cs="Times New Roman"/>
                <w:color w:val="000000" w:themeColor="text1"/>
                <w:sz w:val="20"/>
                <w:szCs w:val="20"/>
                <w:lang w:val="en-US"/>
              </w:rPr>
              <w:t>Sizoo</w:t>
            </w:r>
            <w:proofErr w:type="spellEnd"/>
            <w:r w:rsidRPr="00BA2E19">
              <w:rPr>
                <w:rFonts w:ascii="Times New Roman" w:hAnsi="Times New Roman" w:cs="Times New Roman"/>
                <w:color w:val="000000" w:themeColor="text1"/>
                <w:sz w:val="20"/>
                <w:szCs w:val="20"/>
                <w:lang w:val="en-US"/>
              </w:rPr>
              <w:t xml:space="preserve">, </w:t>
            </w:r>
            <w:r w:rsidRPr="00BA2E19">
              <w:rPr>
                <w:rFonts w:ascii="Times New Roman" w:hAnsi="Times New Roman" w:cs="Times New Roman"/>
                <w:color w:val="000000" w:themeColor="text1"/>
                <w:sz w:val="20"/>
                <w:szCs w:val="20"/>
                <w:lang w:val="en-US"/>
              </w:rPr>
              <w:fldChar w:fldCharType="end"/>
            </w:r>
          </w:p>
        </w:tc>
        <w:tc>
          <w:tcPr>
            <w:tcW w:w="855" w:type="dxa"/>
            <w:tcBorders>
              <w:top w:val="nil"/>
              <w:left w:val="nil"/>
              <w:bottom w:val="nil"/>
              <w:right w:val="nil"/>
            </w:tcBorders>
          </w:tcPr>
          <w:p w14:paraId="5FFDD40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2020</w:t>
            </w:r>
          </w:p>
        </w:tc>
        <w:tc>
          <w:tcPr>
            <w:tcW w:w="1418" w:type="dxa"/>
            <w:tcBorders>
              <w:top w:val="nil"/>
              <w:left w:val="nil"/>
              <w:bottom w:val="nil"/>
              <w:right w:val="nil"/>
            </w:tcBorders>
          </w:tcPr>
          <w:p w14:paraId="27BBB12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Netherlands</w:t>
            </w:r>
          </w:p>
        </w:tc>
        <w:tc>
          <w:tcPr>
            <w:tcW w:w="1276" w:type="dxa"/>
            <w:tcBorders>
              <w:top w:val="nil"/>
              <w:left w:val="nil"/>
              <w:bottom w:val="nil"/>
              <w:right w:val="nil"/>
            </w:tcBorders>
          </w:tcPr>
          <w:p w14:paraId="6687661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74</w:t>
            </w:r>
          </w:p>
        </w:tc>
        <w:tc>
          <w:tcPr>
            <w:tcW w:w="1984" w:type="dxa"/>
            <w:tcBorders>
              <w:top w:val="nil"/>
              <w:left w:val="nil"/>
              <w:bottom w:val="nil"/>
              <w:right w:val="nil"/>
            </w:tcBorders>
          </w:tcPr>
          <w:p w14:paraId="7363E95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Median (IQR):</w:t>
            </w:r>
            <w:r>
              <w:rPr>
                <w:rFonts w:ascii="Times New Roman" w:eastAsia="Calibri" w:hAnsi="Times New Roman" w:cs="Times New Roman"/>
                <w:color w:val="000000" w:themeColor="text1"/>
                <w:kern w:val="0"/>
                <w:sz w:val="20"/>
                <w:szCs w:val="20"/>
                <w:lang w:val="en-US"/>
              </w:rPr>
              <w:t xml:space="preserve"> </w:t>
            </w:r>
            <w:r w:rsidRPr="00BA2E19">
              <w:rPr>
                <w:rFonts w:ascii="Times New Roman" w:eastAsia="Calibri" w:hAnsi="Times New Roman" w:cs="Times New Roman"/>
                <w:color w:val="000000" w:themeColor="text1"/>
                <w:kern w:val="0"/>
                <w:sz w:val="20"/>
                <w:szCs w:val="20"/>
                <w:lang w:val="en-US"/>
              </w:rPr>
              <w:t>28.5 (23–42.3)</w:t>
            </w:r>
          </w:p>
        </w:tc>
        <w:tc>
          <w:tcPr>
            <w:tcW w:w="1134" w:type="dxa"/>
            <w:tcBorders>
              <w:top w:val="nil"/>
              <w:left w:val="nil"/>
              <w:bottom w:val="nil"/>
              <w:right w:val="nil"/>
            </w:tcBorders>
          </w:tcPr>
          <w:p w14:paraId="5AFC049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60.8</w:t>
            </w:r>
          </w:p>
        </w:tc>
        <w:tc>
          <w:tcPr>
            <w:tcW w:w="3822" w:type="dxa"/>
            <w:tcBorders>
              <w:top w:val="nil"/>
              <w:left w:val="nil"/>
              <w:bottom w:val="nil"/>
              <w:right w:val="nil"/>
            </w:tcBorders>
          </w:tcPr>
          <w:p w14:paraId="114958C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DSM-IV, ADI-R adaptation</w:t>
            </w:r>
          </w:p>
        </w:tc>
        <w:tc>
          <w:tcPr>
            <w:tcW w:w="1701" w:type="dxa"/>
            <w:tcBorders>
              <w:top w:val="nil"/>
              <w:left w:val="nil"/>
              <w:bottom w:val="nil"/>
              <w:right w:val="nil"/>
            </w:tcBorders>
          </w:tcPr>
          <w:p w14:paraId="45E03D36"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6235F27B"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79E69431"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{"citationID":"ae4g0g06p0","properties":{"formattedCitation":"(Jachyra et al., 2022)","plainCitation":"(Jachyra et al., 2022)","dontUpdate":true,"noteIndex":0},"citationItems":[{"id":"wAnnZMUy/XJT3H2cw","uris":["http://zotero.org/users/9059392/items/BZ3G55IJ"],"itemData":{"id":1372,"type":"article-journal","abstract":"Despite increasing attention on suicidality in autistic people, we know little about suicidal presentations when autistic individuals present to hospital emergency departments (ED). We conducted an exploratory retrospective chart review of suicidal thoughts and behaviours (STB) of autistic adults who presented to a psychiatric ED. The analysis included 16 charts over a 10-week period. Findings highlight that reported STB were not always the presenting issue. Life transitions and interpersonal conflicts were common antecedents, and active rumination about STB was distressing and fatiguing. Findings imply that ED visits serve as important opportunities for suicidal risk reduction for autistic individuals, through implementation of strategies for identification of STB such as active screening, and the provision of suicide resources tailored to autistic people.","container-title":"Journal of Autism and Developmental Disorders","DOI":"10.1007/s10803-021-05102-9","ISSN":"1573-3432","issue":"5","journalAbbreviation":"J Autism Dev Disord","language":"eng","note":"PMID: 34128145\nPMCID: PMC9021086","page":"2367-2375","source":"PubMed","title":"Suicidal Thoughts and Behaviours Among Autistic Adults Presenting to the Psychiatric Emergency Department: An Exploratory Chart Review","title-short":"Suicidal Thoughts and Behaviours Among Autistic Adults Presenting to the Psychiatric Emergency Department","volume":"52","author":[{"family":"Jachyra","given":"Patrick"},{"family":"Lai","given":"Meng-Chuan"},{"family":"Zaheer","given":"Juveria"},{"family":"Fernandes","given":"Natasha"},{"family":"Dale","given":"Michelle"},{"family":"Sawyer","given":"Amanda"},{"family":"Lunsky","given":"Yona"}],"issued":{"date-parts":[["2022",5]]}}}],"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proofErr w:type="spellStart"/>
            <w:r w:rsidRPr="00BA2E19">
              <w:rPr>
                <w:rFonts w:ascii="Times New Roman" w:hAnsi="Times New Roman" w:cs="Times New Roman"/>
                <w:color w:val="000000" w:themeColor="text1"/>
                <w:kern w:val="0"/>
                <w:sz w:val="20"/>
                <w:szCs w:val="20"/>
                <w:lang w:val="en-US"/>
              </w:rPr>
              <w:t>Jachyra</w:t>
            </w:r>
            <w:proofErr w:type="spellEnd"/>
            <w:r w:rsidRPr="00BA2E19">
              <w:rPr>
                <w:rFonts w:ascii="Times New Roman" w:hAnsi="Times New Roman" w:cs="Times New Roman"/>
                <w:color w:val="000000" w:themeColor="text1"/>
                <w:kern w:val="0"/>
                <w:sz w:val="20"/>
                <w:szCs w:val="20"/>
                <w:lang w:val="en-US"/>
              </w:rPr>
              <w:t xml:space="preserve">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1DD00E8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2022</w:t>
            </w:r>
          </w:p>
        </w:tc>
        <w:tc>
          <w:tcPr>
            <w:tcW w:w="1418" w:type="dxa"/>
            <w:tcBorders>
              <w:top w:val="nil"/>
              <w:left w:val="nil"/>
              <w:bottom w:val="nil"/>
              <w:right w:val="nil"/>
            </w:tcBorders>
          </w:tcPr>
          <w:p w14:paraId="51C9BB6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Canada</w:t>
            </w:r>
          </w:p>
        </w:tc>
        <w:tc>
          <w:tcPr>
            <w:tcW w:w="1276" w:type="dxa"/>
            <w:tcBorders>
              <w:top w:val="nil"/>
              <w:left w:val="nil"/>
              <w:bottom w:val="nil"/>
              <w:right w:val="nil"/>
            </w:tcBorders>
          </w:tcPr>
          <w:p w14:paraId="4326B23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16</w:t>
            </w:r>
          </w:p>
        </w:tc>
        <w:tc>
          <w:tcPr>
            <w:tcW w:w="1984" w:type="dxa"/>
            <w:tcBorders>
              <w:top w:val="nil"/>
              <w:left w:val="nil"/>
              <w:bottom w:val="nil"/>
              <w:right w:val="nil"/>
            </w:tcBorders>
          </w:tcPr>
          <w:p w14:paraId="3E8F950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22.5 (range 17 - 31)</w:t>
            </w:r>
          </w:p>
        </w:tc>
        <w:tc>
          <w:tcPr>
            <w:tcW w:w="1134" w:type="dxa"/>
            <w:tcBorders>
              <w:top w:val="nil"/>
              <w:left w:val="nil"/>
              <w:bottom w:val="nil"/>
              <w:right w:val="nil"/>
            </w:tcBorders>
          </w:tcPr>
          <w:p w14:paraId="2554744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62.5</w:t>
            </w:r>
          </w:p>
        </w:tc>
        <w:tc>
          <w:tcPr>
            <w:tcW w:w="3822" w:type="dxa"/>
            <w:tcBorders>
              <w:top w:val="nil"/>
              <w:left w:val="nil"/>
              <w:bottom w:val="nil"/>
              <w:right w:val="nil"/>
            </w:tcBorders>
          </w:tcPr>
          <w:p w14:paraId="33FE6A2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DSM-5</w:t>
            </w:r>
          </w:p>
        </w:tc>
        <w:tc>
          <w:tcPr>
            <w:tcW w:w="1701" w:type="dxa"/>
            <w:tcBorders>
              <w:top w:val="nil"/>
              <w:left w:val="nil"/>
              <w:bottom w:val="nil"/>
              <w:right w:val="nil"/>
            </w:tcBorders>
          </w:tcPr>
          <w:p w14:paraId="423ABB73"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Chart review</w:t>
            </w:r>
          </w:p>
        </w:tc>
      </w:tr>
      <w:tr w:rsidR="00576413" w:rsidRPr="00BA2E19" w14:paraId="26BF1AC7"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AA4525E"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{"citationID":"a5jqc2hu72","properties":{"formattedCitation":"(Jackson et al., 2018)","plainCitation":"(Jackson et al., 2018)","dontUpdate":true,"noteIndex":0},"citationItems":[{"id":"wAnnZMUy/DJHOGV58","uris":["http://zotero.org/users/9059392/items/DQNKMBYC"],"itemData":{"id":1428,"type":"article-journal","abstract":"Increasing numbers of individuals with autism spectrum disorder (ASD) are enrolling in post-secondary academic institutions. However, research indicates that post-secondary students with ASD are struggling more than their typically developing peers, with high rates of loneliness, anxiety, depression, and an increased incidence of dropping-out before completion of their degrees. The current study utilized an online survey to gain insight into the self-reported academic, social, and mental health experiences of post-secondary students with ASD. Participants reported high levels of academic comfort, but struggled with issues of isolation/loneliness and high levels of stress, anxiety, and depression. Of greatest concern, were the nearly three-quarters of participants who reported lifetime suicidal behaviors. Further analysis on collected data and implications of findings are discussed.","container-title":"Journal of Autism and Developmental Disorders","DOI":"10.1007/s10803-017-3315-x","ISSN":"1573-3432","journalAbbreviation":"J Autism Dev Disord","language":"en","page":"643-650","source":"Springer Link","title":"Brief Report: Self-Reported Academic, Social, and Mental Health Experiences of Post-Secondary Students with Autism Spectrum Disorder","title-short":"Brief Report","volume":"48","author":[{"family":"Jackson","given":"Scott L. J."},{"family":"Hart","given":"Logan"},{"family":"Brown","given":"Jane Thierfeld"},{"family":"Volkmar","given":"Fred R."}],"issued":{"date-parts":[["2018",3,1]]}}}],"schema":"https://github.com/citation-style-language/schema/raw/master/csl-citation.json"}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Jackson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1CF8B96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2018</w:t>
            </w:r>
          </w:p>
        </w:tc>
        <w:tc>
          <w:tcPr>
            <w:tcW w:w="1418" w:type="dxa"/>
            <w:tcBorders>
              <w:top w:val="nil"/>
              <w:left w:val="nil"/>
              <w:bottom w:val="nil"/>
              <w:right w:val="nil"/>
            </w:tcBorders>
          </w:tcPr>
          <w:p w14:paraId="0CECF19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US</w:t>
            </w:r>
          </w:p>
        </w:tc>
        <w:tc>
          <w:tcPr>
            <w:tcW w:w="1276" w:type="dxa"/>
            <w:tcBorders>
              <w:top w:val="nil"/>
              <w:left w:val="nil"/>
              <w:bottom w:val="nil"/>
              <w:right w:val="nil"/>
            </w:tcBorders>
          </w:tcPr>
          <w:p w14:paraId="78FE0E6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56</w:t>
            </w:r>
          </w:p>
        </w:tc>
        <w:tc>
          <w:tcPr>
            <w:tcW w:w="1984" w:type="dxa"/>
            <w:tcBorders>
              <w:top w:val="nil"/>
              <w:left w:val="nil"/>
              <w:bottom w:val="nil"/>
              <w:right w:val="nil"/>
            </w:tcBorders>
          </w:tcPr>
          <w:p w14:paraId="457B03E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22.98 (6.0)</w:t>
            </w:r>
          </w:p>
        </w:tc>
        <w:tc>
          <w:tcPr>
            <w:tcW w:w="1134" w:type="dxa"/>
            <w:tcBorders>
              <w:top w:val="nil"/>
              <w:left w:val="nil"/>
              <w:bottom w:val="nil"/>
              <w:right w:val="nil"/>
            </w:tcBorders>
          </w:tcPr>
          <w:p w14:paraId="1B52364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46.4</w:t>
            </w:r>
          </w:p>
        </w:tc>
        <w:tc>
          <w:tcPr>
            <w:tcW w:w="3822" w:type="dxa"/>
            <w:tcBorders>
              <w:top w:val="nil"/>
              <w:left w:val="nil"/>
              <w:bottom w:val="nil"/>
              <w:right w:val="nil"/>
            </w:tcBorders>
          </w:tcPr>
          <w:p w14:paraId="3BF9D8F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Institutional information sharing, self-report</w:t>
            </w:r>
          </w:p>
        </w:tc>
        <w:tc>
          <w:tcPr>
            <w:tcW w:w="1701" w:type="dxa"/>
            <w:tcBorders>
              <w:top w:val="nil"/>
              <w:left w:val="nil"/>
              <w:bottom w:val="nil"/>
              <w:right w:val="nil"/>
            </w:tcBorders>
          </w:tcPr>
          <w:p w14:paraId="7B05C0B7"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07902881"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0C730629"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{"citationID":"a1nljiqnvm","properties":{"formattedCitation":"(Kato et al., 2013)","plainCitation":"(Kato et al., 2013)","dontUpdate":true,"noteIndex":0},"citationItems":[{"id":"wAnnZMUy/XpXkM3kB","uris":["http://zotero.org/users/9059392/items/9QGJNZIF"],"itemData":{"id":1375,"type":"article-journal","abstract":"OBJECTIVE: The objective of this study was to investigate the frequency and clinical features of suicide attempts in adults with autism spectrum disorders (ASDs).\nMETHODS: We enrolled 587 consecutive patients aged 18 or over who attempted suicide and were hospitalized for inpatient treatment. Psychiatric diagnoses, suicide attempt frequency and clinical features were compared between ASD and non-ASD patients.\nRESULTS: Forty-three (7.3%) of the 587 subjects who attempted suicide had ASDs. The incidence of patients with mood disorders was significantly lower (Fisher's Exact Test, P=.043) and that of those with an adjustment disorder was significantly higher (Fisher's Exact Test, P&lt;.001) in the ASD group than in the non-ASD group. The average length of stay at both the hospital and intensive care unit in the ASD group was longer than that in the non-ASD group (z=-2.031, P=.042; z=-2.322, P=.020, respectively).\nCONCLUSIONS: ASDs should always be a consideration when dealing with suicide attempts in adults at the emergency room.","container-title":"General Hospital Psychiatry","DOI":"10.1016/j.genhosppsych.2012.09.006","ISSN":"1873-7714","issue":"1","journalAbbreviation":"Gen Hosp Psychiatry","language":"eng","note":"PMID: 23141028","page":"50-53","source":"PubMed","title":"Clinical features of suicide attempts in adults with autism spectrum disorders","volume":"35","author":[{"family":"Kato","given":"Koji"},{"family":"Mikami","given":"Katsunaka"},{"family":"Akama","given":"Fumiaki"},{"family":"Yamada","given":"Keigo"},{"family":"Maehara","given":"Mizuki"},{"family":"Kimoto","given":"Keitaro"},{"family":"Kimoto","given":"Kousuke"},{"family":"Sato","given":"Reiko"},{"family":"Takahashi","given":"Yuki"},{"family":"Fukushima","given":"Ryoko"},{"family":"Ichimura","given":"Atsushi"},{"family":"Matsumoto","given":"Hideo"}],"issued":{"date-parts":[["2013"]]}}}],"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Kato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33BFF96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2013</w:t>
            </w:r>
          </w:p>
        </w:tc>
        <w:tc>
          <w:tcPr>
            <w:tcW w:w="1418" w:type="dxa"/>
            <w:tcBorders>
              <w:top w:val="nil"/>
              <w:left w:val="nil"/>
              <w:bottom w:val="nil"/>
              <w:right w:val="nil"/>
            </w:tcBorders>
          </w:tcPr>
          <w:p w14:paraId="66CFF28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Japan</w:t>
            </w:r>
          </w:p>
        </w:tc>
        <w:tc>
          <w:tcPr>
            <w:tcW w:w="1276" w:type="dxa"/>
            <w:tcBorders>
              <w:top w:val="nil"/>
              <w:left w:val="nil"/>
              <w:bottom w:val="nil"/>
              <w:right w:val="nil"/>
            </w:tcBorders>
          </w:tcPr>
          <w:p w14:paraId="5299216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43</w:t>
            </w:r>
          </w:p>
        </w:tc>
        <w:tc>
          <w:tcPr>
            <w:tcW w:w="1984" w:type="dxa"/>
            <w:tcBorders>
              <w:top w:val="nil"/>
              <w:left w:val="nil"/>
              <w:bottom w:val="nil"/>
              <w:right w:val="nil"/>
            </w:tcBorders>
          </w:tcPr>
          <w:p w14:paraId="57A2606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33.7 (12.6)</w:t>
            </w:r>
          </w:p>
        </w:tc>
        <w:tc>
          <w:tcPr>
            <w:tcW w:w="1134" w:type="dxa"/>
            <w:tcBorders>
              <w:top w:val="nil"/>
              <w:left w:val="nil"/>
              <w:bottom w:val="nil"/>
              <w:right w:val="nil"/>
            </w:tcBorders>
          </w:tcPr>
          <w:p w14:paraId="0B58306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81.4</w:t>
            </w:r>
          </w:p>
        </w:tc>
        <w:tc>
          <w:tcPr>
            <w:tcW w:w="3822" w:type="dxa"/>
            <w:tcBorders>
              <w:top w:val="nil"/>
              <w:left w:val="nil"/>
              <w:bottom w:val="nil"/>
              <w:right w:val="nil"/>
            </w:tcBorders>
          </w:tcPr>
          <w:p w14:paraId="5146682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DSM-IV, AQ-J</w:t>
            </w:r>
          </w:p>
        </w:tc>
        <w:tc>
          <w:tcPr>
            <w:tcW w:w="1701" w:type="dxa"/>
            <w:tcBorders>
              <w:top w:val="nil"/>
              <w:left w:val="nil"/>
              <w:bottom w:val="nil"/>
              <w:right w:val="nil"/>
            </w:tcBorders>
          </w:tcPr>
          <w:p w14:paraId="1515FCCE"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Clinician</w:t>
            </w:r>
          </w:p>
        </w:tc>
      </w:tr>
      <w:tr w:rsidR="00576413" w:rsidRPr="00BA2E19" w14:paraId="57B14265"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06EA325"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{"citationID":"arih09uu02","properties":{"formattedCitation":"(Kirby et al., 2019)","plainCitation":"(Kirby et al., 2019)","dontUpdate":true,"noteIndex":0},"citationItems":[{"id":"wAnnZMUy/LgMbzmdl","uris":["http://zotero.org/users/9059392/items/N5WXSBYM"],"itemData":{"id":1377,"type":"article-journal","abstract":"SCIENTIFIC SUMMARY: Growing concern about suicide risk among individuals with autism spectrum disorder (ASD) necessitates population-based research to determine rates in representative samples and to inform appropriate prevention efforts. This study used existing surveillance data in Utah to determine incidence of suicide among individuals with ASD over a 20-year period, and to characterize those who died. Between 1998 and 2017, 49 individuals with ASD died by suicide. Suicide cumulative incidence rates did not significantly differ between 1998 and 2012 across the ASD and non-ASD populations. Between 2013 and 2017, the cumulative incidence of suicide in the ASD population was 0.17%, which was significantly higher than in the non-ASD population (0.11%; P &lt; 0.05). During this period, this difference was driven by suicide among females with ASD; suicide risk in females with ASD was over three times higher than in females without ASD (relative risk (RR): 3.42; P &lt; 0.01). Among the individuals with ASD who died by suicide, average age at death and manner of death did not differ significantly between males and females. Ages at death by suicide ranged from 14 to 70 years (M[SD] = 32.41[15.98]). Individuals with ASD were significantly less likely to use firearms as a method of suicide (adjusted odds ratio: 0.33; P &lt; 0.001). Study results expand understanding of suicide risk in ASD and point to the need for additional population-based research into suicide attempts and ideation, as well as exploration of additional risk factors. Findings also suggest a need for further study of female suicide risk in ASD. Autism Research 2019, 12: 658-666. © 2019 The Authors. Autism Research published by International Society for Autism Research published by Wiley Periodicals, Inc.\nLAY SUMMARY: This study examined suicide risk among individuals with autism spectrum disorder (ASD) in Utah over a 20-year period. Risk of suicide death in individuals with ASD was found to have increased over time and to be greater than in individuals without ASD between 2013 and 2017. Females with ASD were over three times as likely to die from suicide as females without ASD. Young people with ASD were at over twice the risk of suicide than young people without ASD. Individuals with ASD were less likely than others to die from firearm-related suicides.","container-title":"Autism Research: Official Journal of the International Society for Autism Research","DOI":"10.1002/aur.2076","ISSN":"1939-3806","issue":"4","journalAbbreviation":"Autism Res","language":"eng","note":"PMID: 30663277\nPMCID: PMC6457664","page":"658-666","source":"PubMed","title":"A 20-year study of suicide death in a statewide autism population","volume":"12","author":[{"family":"Kirby","given":"Anne V."},{"family":"Bakian","given":"Amanda V."},{"family":"Zhang","given":"Yue"},{"family":"Bilder","given":"Deborah A."},{"family":"Keeshin","given":"Brooks R."},{"family":"Coon","given":"Hilary"}],"issued":{"date-parts":[["2019",4]]}}}],"schema":"https://github.com/citation-style-language/schema/raw/master/csl-citation.json"}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Kirby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6F75AAD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2019</w:t>
            </w:r>
          </w:p>
        </w:tc>
        <w:tc>
          <w:tcPr>
            <w:tcW w:w="1418" w:type="dxa"/>
            <w:tcBorders>
              <w:top w:val="nil"/>
              <w:left w:val="nil"/>
              <w:bottom w:val="nil"/>
              <w:right w:val="nil"/>
            </w:tcBorders>
          </w:tcPr>
          <w:p w14:paraId="1026EEB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US</w:t>
            </w:r>
          </w:p>
        </w:tc>
        <w:tc>
          <w:tcPr>
            <w:tcW w:w="1276" w:type="dxa"/>
            <w:tcBorders>
              <w:top w:val="nil"/>
              <w:left w:val="nil"/>
              <w:bottom w:val="nil"/>
              <w:right w:val="nil"/>
            </w:tcBorders>
          </w:tcPr>
          <w:p w14:paraId="40A1A83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49</w:t>
            </w:r>
          </w:p>
        </w:tc>
        <w:tc>
          <w:tcPr>
            <w:tcW w:w="1984" w:type="dxa"/>
            <w:tcBorders>
              <w:top w:val="nil"/>
              <w:left w:val="nil"/>
              <w:bottom w:val="nil"/>
              <w:right w:val="nil"/>
            </w:tcBorders>
          </w:tcPr>
          <w:p w14:paraId="14BE505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32.41 (16.0)</w:t>
            </w:r>
          </w:p>
        </w:tc>
        <w:tc>
          <w:tcPr>
            <w:tcW w:w="1134" w:type="dxa"/>
            <w:tcBorders>
              <w:top w:val="nil"/>
              <w:left w:val="nil"/>
              <w:bottom w:val="nil"/>
              <w:right w:val="nil"/>
            </w:tcBorders>
          </w:tcPr>
          <w:p w14:paraId="641D131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86</w:t>
            </w:r>
          </w:p>
        </w:tc>
        <w:tc>
          <w:tcPr>
            <w:tcW w:w="3822" w:type="dxa"/>
            <w:tcBorders>
              <w:top w:val="nil"/>
              <w:left w:val="nil"/>
              <w:bottom w:val="nil"/>
              <w:right w:val="nil"/>
            </w:tcBorders>
          </w:tcPr>
          <w:p w14:paraId="4A71378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ICD-9, ICD-10</w:t>
            </w:r>
          </w:p>
        </w:tc>
        <w:tc>
          <w:tcPr>
            <w:tcW w:w="1701" w:type="dxa"/>
            <w:tcBorders>
              <w:top w:val="nil"/>
              <w:left w:val="nil"/>
              <w:bottom w:val="nil"/>
              <w:right w:val="nil"/>
            </w:tcBorders>
          </w:tcPr>
          <w:p w14:paraId="746B693D"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Database</w:t>
            </w:r>
          </w:p>
        </w:tc>
      </w:tr>
      <w:tr w:rsidR="00576413" w:rsidRPr="00BA2E19" w14:paraId="2B6AB640"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64CF2A2"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Kirby et al.</w:t>
            </w:r>
          </w:p>
        </w:tc>
        <w:tc>
          <w:tcPr>
            <w:tcW w:w="855" w:type="dxa"/>
            <w:tcBorders>
              <w:top w:val="nil"/>
              <w:left w:val="nil"/>
              <w:bottom w:val="nil"/>
              <w:right w:val="nil"/>
            </w:tcBorders>
          </w:tcPr>
          <w:p w14:paraId="110517C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2026</w:t>
            </w:r>
          </w:p>
        </w:tc>
        <w:tc>
          <w:tcPr>
            <w:tcW w:w="1418" w:type="dxa"/>
            <w:tcBorders>
              <w:top w:val="nil"/>
              <w:left w:val="nil"/>
              <w:bottom w:val="nil"/>
              <w:right w:val="nil"/>
            </w:tcBorders>
          </w:tcPr>
          <w:p w14:paraId="0B6F035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US</w:t>
            </w:r>
          </w:p>
        </w:tc>
        <w:tc>
          <w:tcPr>
            <w:tcW w:w="1276" w:type="dxa"/>
            <w:tcBorders>
              <w:top w:val="nil"/>
              <w:left w:val="nil"/>
              <w:bottom w:val="nil"/>
              <w:right w:val="nil"/>
            </w:tcBorders>
          </w:tcPr>
          <w:p w14:paraId="3CE001B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w:t>
            </w:r>
            <w:r>
              <w:rPr>
                <w:rFonts w:ascii="Times New Roman" w:eastAsia="Calibri" w:hAnsi="Times New Roman" w:cs="Times New Roman"/>
                <w:color w:val="000000" w:themeColor="text1"/>
                <w:kern w:val="0"/>
                <w:sz w:val="20"/>
                <w:szCs w:val="20"/>
                <w:lang w:val="en-US"/>
              </w:rPr>
              <w:t>6</w:t>
            </w:r>
            <w:r>
              <w:rPr>
                <w:rFonts w:ascii="Times New Roman" w:eastAsia="Calibri" w:hAnsi="Times New Roman" w:cs="Times New Roman"/>
                <w:color w:val="000000" w:themeColor="text1"/>
                <w:kern w:val="0"/>
                <w:sz w:val="20"/>
                <w:szCs w:val="20"/>
                <w:vertAlign w:val="superscript"/>
                <w:lang w:val="en-US"/>
              </w:rPr>
              <w:t>b</w:t>
            </w:r>
          </w:p>
        </w:tc>
        <w:tc>
          <w:tcPr>
            <w:tcW w:w="1984" w:type="dxa"/>
            <w:tcBorders>
              <w:top w:val="nil"/>
              <w:left w:val="nil"/>
              <w:bottom w:val="nil"/>
              <w:right w:val="nil"/>
            </w:tcBorders>
          </w:tcPr>
          <w:p w14:paraId="78AE8C8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Range 19–62</w:t>
            </w:r>
          </w:p>
        </w:tc>
        <w:tc>
          <w:tcPr>
            <w:tcW w:w="1134" w:type="dxa"/>
            <w:tcBorders>
              <w:top w:val="nil"/>
              <w:left w:val="nil"/>
              <w:bottom w:val="nil"/>
              <w:right w:val="nil"/>
            </w:tcBorders>
          </w:tcPr>
          <w:p w14:paraId="5B5279C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Not reported</w:t>
            </w:r>
          </w:p>
        </w:tc>
        <w:tc>
          <w:tcPr>
            <w:tcW w:w="3822" w:type="dxa"/>
            <w:tcBorders>
              <w:top w:val="nil"/>
              <w:left w:val="nil"/>
              <w:bottom w:val="nil"/>
              <w:right w:val="nil"/>
            </w:tcBorders>
          </w:tcPr>
          <w:p w14:paraId="061693A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Participant report</w:t>
            </w:r>
          </w:p>
        </w:tc>
        <w:tc>
          <w:tcPr>
            <w:tcW w:w="1701" w:type="dxa"/>
            <w:tcBorders>
              <w:top w:val="nil"/>
              <w:left w:val="nil"/>
              <w:bottom w:val="nil"/>
              <w:right w:val="nil"/>
            </w:tcBorders>
          </w:tcPr>
          <w:p w14:paraId="2B2AFE4E"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 clinician, parent-report</w:t>
            </w:r>
          </w:p>
        </w:tc>
      </w:tr>
      <w:tr w:rsidR="00576413" w:rsidRPr="00BA2E19" w14:paraId="05E27C61"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37DE8CC4"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{"citationID":"ah7eabvesj","properties":{"formattedCitation":"(K\\uc0\\u245{}lves et al., 2021)","plainCitation":"(Kõlves et al., 2021)","dontUpdate":true,"noteIndex":0},"citationItems":[{"id":"wAnnZMUy/3D5O9LBc","uris":["http://zotero.org/users/9059392/items/JWJ598UP"],"itemData":{"id":1380,"type":"article-journal","abstract":"IMPORTANCE: There is limited evidence supporting an association of autism spectrum disorder (ASD) with suicidality and the risk factors for suicide attempt and suicide among people with ASD. Existing research highlights the need for national cohort studies.\nOBJECTIVES: To analyze whether people with ASD have higher rates of suicide attempt and suicide compared with people without ASD using national register data, identify potential risk factors for suicide attempt and suicide among those with ASD, and examine associations with comorbid disorders.\nDESIGN, SETTING, AND PARTICIPANTS: In this cohort study, nationwide register data from January 1, 1995, to December 31, 2016, were gathered on 6 559 266 individuals in Denmark aged 10 years or older. Statistical analysis was performed from November 20, 2018, to November 21, 2020.\nMAIN OUTCOMES AND MEASURES: Rates of suicide attempt and suicide among persons with ASD were compared with rates among persons without ASD, using Poisson regression models to calculate incidence rate ratios adjusted for sex, age, and time period.\nRESULTS: Of the total study population of 6 559 266 individuals, 35 020 individuals (25 718 male [73.4%]; mean [SD] age at diagnosis, 13.4 [9.3] years) received a diagnosis of ASD. A total of 64 109 incidents of suicide attempts (587 [0.9%] among individuals with ASD) and 14 197 suicides (53 [0.4%] among individuals with ASD) were recorded. Persons with ASD had a more than 3-fold higher rate of suicide attempt (adjusted incidence rate ratio [aIRR], 3.19; 95% CI, 2.93-3.46) and suicide (aIRR, 3.75; 95% CI, 2.85-4.92) than those without ASD. For individuals with ASD, the aIRR for suicide attempt among female individuals was 4.41-fold (95% CI, 3.74-5.19) higher compared with male individuals; for individuals without ASD, the aIRR for female individuals was 1.41-fold (95% CI, 1.39-1.43) higher compared with male individuals. Higher rates of suicide attempt were noted across all age groups for those with ASD. Persons with a diagnosis of ASD only had an aIRR of 1.33 (95% CI, 0.99-1.78) for suicide attempt, whereas those with other comorbid disorders had an aIRR of 9.27 (95% CI, 8.51-10.10) for suicide attempt compared with those without any psychiatric disorders. A total of 542 of 587 individuals with ASD (92.3%) who attempted suicide had at least 1 other comorbid condition and 48 of 53 individuals with ASD (90.6%) who died by suicide had at least 1 other comorbid condition.\nCONCLUSIONS AND RELEVANCE: This nationwide retrospective cohort study found a higher rate of suicide attempt and suicide among persons with ASD. Psychiatric comorbidity was found to be a major risk factor, with more than 90% of those with ASD who attempted or died by suicide having another comorbid condition. Several risk factors are different from the risk factors in the general population, which suggests the need for tailored suicide prevention strategies.","container-title":"JAMA network open","DOI":"10.1001/jamanetworkopen.2020.33565","ISSN":"2574-3805","issue":"1","journalAbbreviation":"JAMA Netw Open","language":"eng","note":"PMID: 33433599","page":"1 - 17","source":"PubMed","title":"Assessment of Suicidal Behaviors Among Individuals With Autism Spectrum Disorder in Denmark","volume":"4","author":[{"family":"Kõlves","given":"Kairi"},{"family":"Fitzgerald","given":"Cecilie"},{"family":"Nordentoft","given":"Merete"},{"family":"Wood","given":"Stephen James"},{"family":"Erlangsen","given":"Annette"}],"issued":{"date-parts":[["2021",1,4]]}}}],"schema":"https://github.com/citation-style-language/schema/raw/master/csl-citation.json"}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proofErr w:type="spellStart"/>
            <w:r w:rsidRPr="00BA2E19">
              <w:rPr>
                <w:rFonts w:ascii="Times New Roman" w:hAnsi="Times New Roman" w:cs="Times New Roman"/>
                <w:color w:val="000000" w:themeColor="text1"/>
                <w:kern w:val="0"/>
                <w:sz w:val="20"/>
                <w:lang w:val="en-US"/>
              </w:rPr>
              <w:t>Kõlves</w:t>
            </w:r>
            <w:proofErr w:type="spellEnd"/>
            <w:r w:rsidRPr="00BA2E19">
              <w:rPr>
                <w:rFonts w:ascii="Times New Roman" w:hAnsi="Times New Roman" w:cs="Times New Roman"/>
                <w:color w:val="000000" w:themeColor="text1"/>
                <w:kern w:val="0"/>
                <w:sz w:val="20"/>
                <w:lang w:val="en-US"/>
              </w:rPr>
              <w:t xml:space="preserve">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6FCB1B0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2021</w:t>
            </w:r>
          </w:p>
        </w:tc>
        <w:tc>
          <w:tcPr>
            <w:tcW w:w="1418" w:type="dxa"/>
            <w:tcBorders>
              <w:top w:val="nil"/>
              <w:left w:val="nil"/>
              <w:bottom w:val="nil"/>
              <w:right w:val="nil"/>
            </w:tcBorders>
          </w:tcPr>
          <w:p w14:paraId="5DD90E5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Denmark</w:t>
            </w:r>
          </w:p>
        </w:tc>
        <w:tc>
          <w:tcPr>
            <w:tcW w:w="1276" w:type="dxa"/>
            <w:tcBorders>
              <w:top w:val="nil"/>
              <w:left w:val="nil"/>
              <w:bottom w:val="nil"/>
              <w:right w:val="nil"/>
            </w:tcBorders>
          </w:tcPr>
          <w:p w14:paraId="6B0748E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35 020</w:t>
            </w:r>
          </w:p>
        </w:tc>
        <w:tc>
          <w:tcPr>
            <w:tcW w:w="1984" w:type="dxa"/>
            <w:tcBorders>
              <w:top w:val="nil"/>
              <w:left w:val="nil"/>
              <w:bottom w:val="nil"/>
              <w:right w:val="nil"/>
            </w:tcBorders>
          </w:tcPr>
          <w:p w14:paraId="11850CC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vertAlign w:val="superscript"/>
                <w:lang w:val="en-US"/>
              </w:rPr>
            </w:pPr>
            <w:r w:rsidRPr="00BA2E19">
              <w:rPr>
                <w:rFonts w:ascii="Times New Roman" w:eastAsia="Calibri" w:hAnsi="Times New Roman" w:cs="Times New Roman"/>
                <w:color w:val="000000" w:themeColor="text1"/>
                <w:kern w:val="0"/>
                <w:sz w:val="20"/>
                <w:szCs w:val="20"/>
                <w:lang w:val="en-US"/>
              </w:rPr>
              <w:t>20-29</w:t>
            </w:r>
            <w:r>
              <w:rPr>
                <w:rFonts w:ascii="Times New Roman" w:eastAsia="Calibri" w:hAnsi="Times New Roman" w:cs="Times New Roman"/>
                <w:color w:val="000000" w:themeColor="text1"/>
                <w:kern w:val="0"/>
                <w:sz w:val="20"/>
                <w:szCs w:val="20"/>
                <w:vertAlign w:val="superscript"/>
                <w:lang w:val="en-US"/>
              </w:rPr>
              <w:t>c</w:t>
            </w:r>
          </w:p>
        </w:tc>
        <w:tc>
          <w:tcPr>
            <w:tcW w:w="1134" w:type="dxa"/>
            <w:tcBorders>
              <w:top w:val="nil"/>
              <w:left w:val="nil"/>
              <w:bottom w:val="nil"/>
              <w:right w:val="nil"/>
            </w:tcBorders>
          </w:tcPr>
          <w:p w14:paraId="38480B2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73.4</w:t>
            </w:r>
          </w:p>
        </w:tc>
        <w:tc>
          <w:tcPr>
            <w:tcW w:w="3822" w:type="dxa"/>
            <w:tcBorders>
              <w:top w:val="nil"/>
              <w:left w:val="nil"/>
              <w:bottom w:val="nil"/>
              <w:right w:val="nil"/>
            </w:tcBorders>
          </w:tcPr>
          <w:p w14:paraId="3EDFCCD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ICD-8, ICD-10</w:t>
            </w:r>
          </w:p>
        </w:tc>
        <w:tc>
          <w:tcPr>
            <w:tcW w:w="1701" w:type="dxa"/>
            <w:tcBorders>
              <w:top w:val="nil"/>
              <w:left w:val="nil"/>
              <w:bottom w:val="nil"/>
              <w:right w:val="nil"/>
            </w:tcBorders>
          </w:tcPr>
          <w:p w14:paraId="2AC29533"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Database</w:t>
            </w:r>
          </w:p>
        </w:tc>
      </w:tr>
      <w:tr w:rsidR="00576413" w:rsidRPr="00BA2E19" w14:paraId="034643C4"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5CCA4737"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{"citationID":"a2m41hotl62","properties":{"formattedCitation":"(Moseley et al., 2020)","plainCitation":"(Moseley et al., 2020)","dontUpdate":true,"noteIndex":0},"citationItems":[{"id":"wAnnZMUy/iTDClTa8","uris":["http://zotero.org/users/9059392/items/28TWFGUS"],"itemData":{"id":1442,"type":"article-journal","abstract":"Abstract Background Autistic individuals without intellectual disability are at heightened risk of self-injury, and appear to engage in it for similar...","container-title":"Molecular Autism","DOI":"10.1186/s13229-020-0319-8","ISSN":"2040-2392","issue":"1","language":"en","note":"publisher: BMC","page":"1-15","source":"doaj.org","title":"Links between self-injury and suicidality in autism","volume":"11","author":[{"family":"Moseley","given":"Rachel L."},{"family":"Gregory","given":"N. J."},{"family":"Smith","given":"P."},{"family":"Allison","given":"C."},{"family":"Baron-Cohen","given":"S."}],"issued":{"date-parts":[["2020",2,1]]}}}],"schema":"https://github.com/citation-style-language/schema/raw/master/csl-citation.json"}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Moseley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571AE8B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2020</w:t>
            </w:r>
          </w:p>
        </w:tc>
        <w:tc>
          <w:tcPr>
            <w:tcW w:w="1418" w:type="dxa"/>
            <w:tcBorders>
              <w:top w:val="nil"/>
              <w:left w:val="nil"/>
              <w:bottom w:val="nil"/>
              <w:right w:val="nil"/>
            </w:tcBorders>
          </w:tcPr>
          <w:p w14:paraId="3E5F79B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UK</w:t>
            </w:r>
          </w:p>
        </w:tc>
        <w:tc>
          <w:tcPr>
            <w:tcW w:w="1276" w:type="dxa"/>
            <w:tcBorders>
              <w:top w:val="nil"/>
              <w:left w:val="nil"/>
              <w:bottom w:val="nil"/>
              <w:right w:val="nil"/>
            </w:tcBorders>
          </w:tcPr>
          <w:p w14:paraId="6FCE5B1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102</w:t>
            </w:r>
          </w:p>
        </w:tc>
        <w:tc>
          <w:tcPr>
            <w:tcW w:w="1984" w:type="dxa"/>
            <w:tcBorders>
              <w:top w:val="nil"/>
              <w:left w:val="nil"/>
              <w:bottom w:val="nil"/>
              <w:right w:val="nil"/>
            </w:tcBorders>
          </w:tcPr>
          <w:p w14:paraId="5A8A79B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42.6 (14)</w:t>
            </w:r>
          </w:p>
        </w:tc>
        <w:tc>
          <w:tcPr>
            <w:tcW w:w="1134" w:type="dxa"/>
            <w:tcBorders>
              <w:top w:val="nil"/>
              <w:left w:val="nil"/>
              <w:bottom w:val="nil"/>
              <w:right w:val="nil"/>
            </w:tcBorders>
          </w:tcPr>
          <w:p w14:paraId="0D6C705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28.4</w:t>
            </w:r>
          </w:p>
        </w:tc>
        <w:tc>
          <w:tcPr>
            <w:tcW w:w="3822" w:type="dxa"/>
            <w:tcBorders>
              <w:top w:val="nil"/>
              <w:left w:val="nil"/>
              <w:bottom w:val="nil"/>
              <w:right w:val="nil"/>
            </w:tcBorders>
          </w:tcPr>
          <w:p w14:paraId="141FAEE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Self-report</w:t>
            </w:r>
          </w:p>
        </w:tc>
        <w:tc>
          <w:tcPr>
            <w:tcW w:w="1701" w:type="dxa"/>
            <w:tcBorders>
              <w:top w:val="nil"/>
              <w:left w:val="nil"/>
              <w:bottom w:val="nil"/>
              <w:right w:val="nil"/>
            </w:tcBorders>
          </w:tcPr>
          <w:p w14:paraId="1E8584D9"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239906B7"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39A25BE5"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{"citationID":"am845ubd2v","properties":{"formattedCitation":"(Moseley et al., 2022a)","plainCitation":"(Moseley et al., 2022a)","dontUpdate":true,"noteIndex":0},"citationItems":[{"id":"wAnnZMUy/4VBpHSrG","uris":["http://zotero.org/users/9059392/items/HZFUZR5L"],"itemData":{"id":1386,"type":"article-journal","abstract":"Non-suicidal self-injury (NSSI) has been linked with a higher risk of suicide attempts in autistic and non-autistic people. In the general population, NSSI may confer acquired capability for suicide by eroding one’s fear and avoidance of pain and death. The present study aimed to explore acquired capability as the mediator of increased suicide risk conferred by NSSI in autistic and non-autistic adults.","container-title":"Molecular Autism","DOI":"10.1186/s13229-022-00522-5","ISSN":"2040-2392","issue":"1","journalAbbreviation":"Molecular Autism","page":"45","source":"BioMed Central","title":"Non-suicidal self-injury and its relation to suicide through acquired capability: investigating this causal mechanism in a mainly late-diagnosed autistic sample","title-short":"Non-suicidal self-injury and its relation to suicide through acquired capability","volume":"13","author":[{"family":"Moseley","given":"Rachel L."},{"family":"Gregory","given":"Nicola J."},{"family":"Smith","given":"Paula"},{"family":"Allison","given":"Carrie"},{"family":"Cassidy","given":"Sarah"},{"family":"Baron-Cohen","given":"Simon"}],"issued":{"date-parts":[["2022",11,12]]}}}],"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Moseley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24AC21A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2022a</w:t>
            </w:r>
          </w:p>
        </w:tc>
        <w:tc>
          <w:tcPr>
            <w:tcW w:w="1418" w:type="dxa"/>
            <w:tcBorders>
              <w:top w:val="nil"/>
              <w:left w:val="nil"/>
              <w:bottom w:val="nil"/>
              <w:right w:val="nil"/>
            </w:tcBorders>
          </w:tcPr>
          <w:p w14:paraId="7A94F79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UK</w:t>
            </w:r>
          </w:p>
        </w:tc>
        <w:tc>
          <w:tcPr>
            <w:tcW w:w="1276" w:type="dxa"/>
            <w:tcBorders>
              <w:top w:val="nil"/>
              <w:left w:val="nil"/>
              <w:bottom w:val="nil"/>
              <w:right w:val="nil"/>
            </w:tcBorders>
          </w:tcPr>
          <w:p w14:paraId="3FEC0EF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314</w:t>
            </w:r>
          </w:p>
        </w:tc>
        <w:tc>
          <w:tcPr>
            <w:tcW w:w="1984" w:type="dxa"/>
            <w:tcBorders>
              <w:top w:val="nil"/>
              <w:left w:val="nil"/>
              <w:bottom w:val="nil"/>
              <w:right w:val="nil"/>
            </w:tcBorders>
          </w:tcPr>
          <w:p w14:paraId="5E07C85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41.9 (13.4)</w:t>
            </w:r>
          </w:p>
        </w:tc>
        <w:tc>
          <w:tcPr>
            <w:tcW w:w="1134" w:type="dxa"/>
            <w:tcBorders>
              <w:top w:val="nil"/>
              <w:left w:val="nil"/>
              <w:bottom w:val="nil"/>
              <w:right w:val="nil"/>
            </w:tcBorders>
          </w:tcPr>
          <w:p w14:paraId="6B9E8A6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26.8</w:t>
            </w:r>
          </w:p>
        </w:tc>
        <w:tc>
          <w:tcPr>
            <w:tcW w:w="3822" w:type="dxa"/>
            <w:tcBorders>
              <w:top w:val="nil"/>
              <w:left w:val="nil"/>
              <w:bottom w:val="nil"/>
              <w:right w:val="nil"/>
            </w:tcBorders>
          </w:tcPr>
          <w:p w14:paraId="3C314DF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Self-report</w:t>
            </w:r>
          </w:p>
        </w:tc>
        <w:tc>
          <w:tcPr>
            <w:tcW w:w="1701" w:type="dxa"/>
            <w:tcBorders>
              <w:top w:val="nil"/>
              <w:left w:val="nil"/>
              <w:bottom w:val="nil"/>
              <w:right w:val="nil"/>
            </w:tcBorders>
          </w:tcPr>
          <w:p w14:paraId="4A89CD62"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7DD324F2"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0A3535A"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{"citationID":"a1gqofuuu8t","properties":{"formattedCitation":"(Moseley et al., 2022b)","plainCitation":"(Moseley et al., 2022b)","dontUpdate":true,"noteIndex":0},"citationItems":[{"id":"wAnnZMUy/KUCuhnyI","uris":["http://zotero.org/users/9059392/items/36IIFBA8"],"itemData":{"id":1384,"type":"article-journal","abstract":"While there are known risk factors for suicidality in autistic adults, these are often unconnected from theoretical frameworks that might explain why risk is elevated and guide clinical interventions. The present study investigated the relevance of constructs from the Interpersonal Theory of Suicide (ITS), including perceived burdensomeness, thwarted belongingness and acquired capability for suicide, and explored mechanisms through which certain risk factors (relationship status, age at diagnosis) might elevate suicide risk.","container-title":"Molecular Autism","DOI":"10.1186/s13229-022-00495-5","ISSN":"2040-2392","issue":"1","journalAbbreviation":"Molecular Autism","page":"14","source":"BioMed Central","title":"The relevance of the interpersonal theory of suicide for predicting past-year and lifetime suicidality in autistic adults","volume":"13","author":[{"family":"Moseley","given":"Rachel L."},{"family":"Gregory","given":"N. J."},{"family":"Smith","given":"P."},{"family":"Allison","given":"C."},{"family":"Cassidy","given":"S."},{"family":"Baron-Cohen","given":"S."}],"issued":{"date-parts":[["2022",3,21]]}}}],"schema":"https://github.com/citation-style-language/schema/raw/master/csl-citation.json"}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Moseley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54C1785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2022b</w:t>
            </w:r>
          </w:p>
        </w:tc>
        <w:tc>
          <w:tcPr>
            <w:tcW w:w="1418" w:type="dxa"/>
            <w:tcBorders>
              <w:top w:val="nil"/>
              <w:left w:val="nil"/>
              <w:bottom w:val="nil"/>
              <w:right w:val="nil"/>
            </w:tcBorders>
          </w:tcPr>
          <w:p w14:paraId="1D336B5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UK</w:t>
            </w:r>
          </w:p>
        </w:tc>
        <w:tc>
          <w:tcPr>
            <w:tcW w:w="1276" w:type="dxa"/>
            <w:tcBorders>
              <w:top w:val="nil"/>
              <w:left w:val="nil"/>
              <w:bottom w:val="nil"/>
              <w:right w:val="nil"/>
            </w:tcBorders>
          </w:tcPr>
          <w:p w14:paraId="58AAB7F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314</w:t>
            </w:r>
          </w:p>
        </w:tc>
        <w:tc>
          <w:tcPr>
            <w:tcW w:w="1984" w:type="dxa"/>
            <w:tcBorders>
              <w:top w:val="nil"/>
              <w:left w:val="nil"/>
              <w:bottom w:val="nil"/>
              <w:right w:val="nil"/>
            </w:tcBorders>
          </w:tcPr>
          <w:p w14:paraId="2861194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41.9 (13.4)</w:t>
            </w:r>
          </w:p>
        </w:tc>
        <w:tc>
          <w:tcPr>
            <w:tcW w:w="1134" w:type="dxa"/>
            <w:tcBorders>
              <w:top w:val="nil"/>
              <w:left w:val="nil"/>
              <w:bottom w:val="nil"/>
              <w:right w:val="nil"/>
            </w:tcBorders>
          </w:tcPr>
          <w:p w14:paraId="3013DE1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26.8</w:t>
            </w:r>
          </w:p>
        </w:tc>
        <w:tc>
          <w:tcPr>
            <w:tcW w:w="3822" w:type="dxa"/>
            <w:tcBorders>
              <w:top w:val="nil"/>
              <w:left w:val="nil"/>
              <w:bottom w:val="nil"/>
              <w:right w:val="nil"/>
            </w:tcBorders>
          </w:tcPr>
          <w:p w14:paraId="053BC04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Self-report</w:t>
            </w:r>
          </w:p>
        </w:tc>
        <w:tc>
          <w:tcPr>
            <w:tcW w:w="1701" w:type="dxa"/>
            <w:tcBorders>
              <w:top w:val="nil"/>
              <w:left w:val="nil"/>
              <w:bottom w:val="nil"/>
              <w:right w:val="nil"/>
            </w:tcBorders>
          </w:tcPr>
          <w:p w14:paraId="604CCFF7"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4572B71F"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283D5F89"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{"citationID":"a2gcgdc21j0","properties":{"formattedCitation":"(Moseley et al., 2023)","plainCitation":"(Moseley et al., 2023)","dontUpdate":true,"noteIndex":0},"citationItems":[{"id":"wAnnZMUy/0GcyTCdq","uris":["http://zotero.org/users/9059392/items/FPLXNZ9C"],"itemData":{"id":1388,"type":"article-journal","abstract":"Background\nAutistic people with co-occurring ADHD appear to be at heightened risk of suicide. To understand why, we explored two explanatory mechanisms from the interpersonal theory of suicide: first, that co-occurring ADHD might be associated with greater risk through greater thwarted belongingness and perceived burdensomeness; and secondly, that hyperactive/impulsive features might incur additional risk through their association with painful and provocative events, which are suggested to create ‘capability’ for suicide.\n\nMethods\nAutistic adults (n = 314) completed an online survey including measures of thwarted belongingness, perceived burdensomeness, painful and provocative events, acquired capability for suicide, and ADHD features. Creating an overall index of likely ADHD, we examined associations between likely ADHD, suicide ideation and lifetime suicide attempts via the parallel mediators of thwarted belongingness, perceived burdensomeness, anxiety and depression. In several models, we then examined hyperactive, impulsive and inattentive features as predictors of exposure to painful and provocative events and subsequent capability for suicide, and examined whether these two variables, sequentially or individually, mediated an association with lifetime suicide attempts.\n\nResults\nLikely ADHD was associated with past-year suicide ideation via greater depression and perceived burdensomeness, which also mediated its association with more suicide attempts. Hyperactive and impulsive features were associated with exposure to painful and provocative events and through this acquired suicide capability. Both features were associated with more numerous suicide attempts via these two mediators sequentially, and via exposure to painful and provocative events alone.\n\nConclusions\nThese data suggest that suicidality in autistic people with ADHD may be partially related to perceived burdensomeness and to acquired suicide capability following exposure to painful and provocative events. However, as we observed a pathway to suicidality associated with painful and provocative events alone, it is likely that there are also other explanatory mechanisms for the influence of traumatic events on suicide risk.","container-title":"Autism in Adulthood","ISSN":"2573-9581","language":"en","license":"cc_by_nc_4","source":"eprints.bournemouth.ac.uk","title":"Potential mechanisms underlying suicidality in autistic people with attention deficit/hyperactivity disorder (ADHD): testing hypotheses from the interpersonal theory of suicide","title-short":"Potential mechanisms underlying suicidality in autistic people with attention deficit/hyperactivity disorder (ADHD)","URL":"https://eprints.bournemouth.ac.uk/38569/","author":[{"family":"Moseley","given":"Rachel L"},{"family":"Gregory","given":"Nicola"},{"family":"Smith","given":"Paula"},{"family":"Allison","given":"Carrie"},{"family":"Cassidy","given":"Sarah"},{"family":"Baron-Cohen","given":"Simon"}],"accessed":{"date-parts":[["2023",6,5]]},"issued":{"date-parts":[["2023",5,31]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Moseley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5586DBE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2023</w:t>
            </w:r>
          </w:p>
        </w:tc>
        <w:tc>
          <w:tcPr>
            <w:tcW w:w="1418" w:type="dxa"/>
            <w:tcBorders>
              <w:top w:val="nil"/>
              <w:left w:val="nil"/>
              <w:bottom w:val="nil"/>
              <w:right w:val="nil"/>
            </w:tcBorders>
          </w:tcPr>
          <w:p w14:paraId="31AF955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UK</w:t>
            </w:r>
          </w:p>
        </w:tc>
        <w:tc>
          <w:tcPr>
            <w:tcW w:w="1276" w:type="dxa"/>
            <w:tcBorders>
              <w:top w:val="nil"/>
              <w:left w:val="nil"/>
              <w:bottom w:val="nil"/>
              <w:right w:val="nil"/>
            </w:tcBorders>
          </w:tcPr>
          <w:p w14:paraId="38013C0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314</w:t>
            </w:r>
          </w:p>
        </w:tc>
        <w:tc>
          <w:tcPr>
            <w:tcW w:w="1984" w:type="dxa"/>
            <w:tcBorders>
              <w:top w:val="nil"/>
              <w:left w:val="nil"/>
              <w:bottom w:val="nil"/>
              <w:right w:val="nil"/>
            </w:tcBorders>
          </w:tcPr>
          <w:p w14:paraId="22693B2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41.9 (13.4)</w:t>
            </w:r>
          </w:p>
        </w:tc>
        <w:tc>
          <w:tcPr>
            <w:tcW w:w="1134" w:type="dxa"/>
            <w:tcBorders>
              <w:top w:val="nil"/>
              <w:left w:val="nil"/>
              <w:bottom w:val="nil"/>
              <w:right w:val="nil"/>
            </w:tcBorders>
          </w:tcPr>
          <w:p w14:paraId="3A0E1F4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26.8</w:t>
            </w:r>
          </w:p>
        </w:tc>
        <w:tc>
          <w:tcPr>
            <w:tcW w:w="3822" w:type="dxa"/>
            <w:tcBorders>
              <w:top w:val="nil"/>
              <w:left w:val="nil"/>
              <w:bottom w:val="nil"/>
              <w:right w:val="nil"/>
            </w:tcBorders>
          </w:tcPr>
          <w:p w14:paraId="4AD1D84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Self-report</w:t>
            </w:r>
          </w:p>
        </w:tc>
        <w:tc>
          <w:tcPr>
            <w:tcW w:w="1701" w:type="dxa"/>
            <w:tcBorders>
              <w:top w:val="nil"/>
              <w:left w:val="nil"/>
              <w:bottom w:val="nil"/>
              <w:right w:val="nil"/>
            </w:tcBorders>
          </w:tcPr>
          <w:p w14:paraId="6F63098F"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60399C1E"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5CE809FC"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Moseley et al.</w:t>
            </w:r>
          </w:p>
        </w:tc>
        <w:tc>
          <w:tcPr>
            <w:tcW w:w="855" w:type="dxa"/>
            <w:tcBorders>
              <w:top w:val="nil"/>
              <w:left w:val="nil"/>
              <w:bottom w:val="nil"/>
              <w:right w:val="nil"/>
            </w:tcBorders>
          </w:tcPr>
          <w:p w14:paraId="4CD3EDB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2025a</w:t>
            </w:r>
          </w:p>
        </w:tc>
        <w:tc>
          <w:tcPr>
            <w:tcW w:w="1418" w:type="dxa"/>
            <w:tcBorders>
              <w:top w:val="nil"/>
              <w:left w:val="nil"/>
              <w:bottom w:val="nil"/>
              <w:right w:val="nil"/>
            </w:tcBorders>
          </w:tcPr>
          <w:p w14:paraId="7952CE1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UK</w:t>
            </w:r>
          </w:p>
        </w:tc>
        <w:tc>
          <w:tcPr>
            <w:tcW w:w="1276" w:type="dxa"/>
            <w:tcBorders>
              <w:top w:val="nil"/>
              <w:left w:val="nil"/>
              <w:bottom w:val="nil"/>
              <w:right w:val="nil"/>
            </w:tcBorders>
          </w:tcPr>
          <w:p w14:paraId="78B9D917" w14:textId="77777777" w:rsidR="00576413" w:rsidRPr="00E82272"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vertAlign w:val="superscript"/>
                <w:lang w:val="en-US"/>
              </w:rPr>
            </w:pPr>
            <w:r w:rsidRPr="009C0F71">
              <w:rPr>
                <w:rFonts w:ascii="Times New Roman" w:eastAsia="Calibri" w:hAnsi="Times New Roman" w:cs="Times New Roman"/>
                <w:color w:val="000000" w:themeColor="text1"/>
                <w:kern w:val="0"/>
                <w:sz w:val="20"/>
                <w:szCs w:val="20"/>
                <w:lang w:val="en-US"/>
              </w:rPr>
              <w:t>1369</w:t>
            </w:r>
            <w:r>
              <w:rPr>
                <w:rFonts w:ascii="Times New Roman" w:eastAsia="Calibri" w:hAnsi="Times New Roman" w:cs="Times New Roman"/>
                <w:color w:val="000000" w:themeColor="text1"/>
                <w:kern w:val="0"/>
                <w:sz w:val="20"/>
                <w:szCs w:val="20"/>
                <w:vertAlign w:val="superscript"/>
                <w:lang w:val="en-US"/>
              </w:rPr>
              <w:t>d</w:t>
            </w:r>
          </w:p>
        </w:tc>
        <w:tc>
          <w:tcPr>
            <w:tcW w:w="1984" w:type="dxa"/>
            <w:tcBorders>
              <w:top w:val="nil"/>
              <w:left w:val="nil"/>
              <w:bottom w:val="nil"/>
              <w:right w:val="nil"/>
            </w:tcBorders>
          </w:tcPr>
          <w:p w14:paraId="0CCA4E2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730AE7">
              <w:rPr>
                <w:rFonts w:ascii="Times New Roman" w:eastAsia="Calibri" w:hAnsi="Times New Roman" w:cs="Times New Roman"/>
                <w:color w:val="000000" w:themeColor="text1"/>
                <w:kern w:val="0"/>
                <w:sz w:val="20"/>
                <w:szCs w:val="20"/>
                <w:lang w:val="en-US"/>
              </w:rPr>
              <w:t>36.36 (14.77)</w:t>
            </w:r>
          </w:p>
        </w:tc>
        <w:tc>
          <w:tcPr>
            <w:tcW w:w="1134" w:type="dxa"/>
            <w:tcBorders>
              <w:top w:val="nil"/>
              <w:left w:val="nil"/>
              <w:bottom w:val="nil"/>
              <w:right w:val="nil"/>
            </w:tcBorders>
          </w:tcPr>
          <w:p w14:paraId="4824FF5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730AE7">
              <w:rPr>
                <w:rFonts w:ascii="Times New Roman" w:eastAsia="Calibri" w:hAnsi="Times New Roman" w:cs="Times New Roman"/>
                <w:color w:val="000000" w:themeColor="text1"/>
                <w:kern w:val="0"/>
                <w:sz w:val="20"/>
                <w:szCs w:val="20"/>
                <w:lang w:val="en-US"/>
              </w:rPr>
              <w:t>23.8</w:t>
            </w:r>
          </w:p>
        </w:tc>
        <w:tc>
          <w:tcPr>
            <w:tcW w:w="3822" w:type="dxa"/>
            <w:tcBorders>
              <w:top w:val="nil"/>
              <w:left w:val="nil"/>
              <w:bottom w:val="nil"/>
              <w:right w:val="nil"/>
            </w:tcBorders>
          </w:tcPr>
          <w:p w14:paraId="4E63956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Self-report</w:t>
            </w:r>
          </w:p>
        </w:tc>
        <w:tc>
          <w:tcPr>
            <w:tcW w:w="1701" w:type="dxa"/>
            <w:tcBorders>
              <w:top w:val="nil"/>
              <w:left w:val="nil"/>
              <w:bottom w:val="nil"/>
              <w:right w:val="nil"/>
            </w:tcBorders>
          </w:tcPr>
          <w:p w14:paraId="5D675520"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6597D853"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1D270F88"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Moseley et al.</w:t>
            </w:r>
          </w:p>
        </w:tc>
        <w:tc>
          <w:tcPr>
            <w:tcW w:w="855" w:type="dxa"/>
            <w:tcBorders>
              <w:top w:val="nil"/>
              <w:left w:val="nil"/>
              <w:bottom w:val="nil"/>
              <w:right w:val="nil"/>
            </w:tcBorders>
          </w:tcPr>
          <w:p w14:paraId="7E8B85B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2025b</w:t>
            </w:r>
          </w:p>
        </w:tc>
        <w:tc>
          <w:tcPr>
            <w:tcW w:w="1418" w:type="dxa"/>
            <w:tcBorders>
              <w:top w:val="nil"/>
              <w:left w:val="nil"/>
              <w:bottom w:val="nil"/>
              <w:right w:val="nil"/>
            </w:tcBorders>
          </w:tcPr>
          <w:p w14:paraId="49955E8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UK, Australia</w:t>
            </w:r>
          </w:p>
        </w:tc>
        <w:tc>
          <w:tcPr>
            <w:tcW w:w="1276" w:type="dxa"/>
            <w:tcBorders>
              <w:top w:val="nil"/>
              <w:left w:val="nil"/>
              <w:bottom w:val="nil"/>
              <w:right w:val="nil"/>
            </w:tcBorders>
          </w:tcPr>
          <w:p w14:paraId="0258189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226</w:t>
            </w:r>
          </w:p>
        </w:tc>
        <w:tc>
          <w:tcPr>
            <w:tcW w:w="1984" w:type="dxa"/>
            <w:tcBorders>
              <w:top w:val="nil"/>
              <w:left w:val="nil"/>
              <w:bottom w:val="nil"/>
              <w:right w:val="nil"/>
            </w:tcBorders>
          </w:tcPr>
          <w:p w14:paraId="08B33D0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41.8 (13.6)</w:t>
            </w:r>
          </w:p>
        </w:tc>
        <w:tc>
          <w:tcPr>
            <w:tcW w:w="1134" w:type="dxa"/>
            <w:tcBorders>
              <w:top w:val="nil"/>
              <w:left w:val="nil"/>
              <w:bottom w:val="nil"/>
              <w:right w:val="nil"/>
            </w:tcBorders>
          </w:tcPr>
          <w:p w14:paraId="5F38306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33.2</w:t>
            </w:r>
          </w:p>
        </w:tc>
        <w:tc>
          <w:tcPr>
            <w:tcW w:w="3822" w:type="dxa"/>
            <w:tcBorders>
              <w:top w:val="nil"/>
              <w:left w:val="nil"/>
              <w:bottom w:val="nil"/>
              <w:right w:val="nil"/>
            </w:tcBorders>
          </w:tcPr>
          <w:p w14:paraId="09A58C2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Formally diagnosed, self-report</w:t>
            </w:r>
          </w:p>
        </w:tc>
        <w:tc>
          <w:tcPr>
            <w:tcW w:w="1701" w:type="dxa"/>
            <w:tcBorders>
              <w:top w:val="nil"/>
              <w:left w:val="nil"/>
              <w:bottom w:val="nil"/>
              <w:right w:val="nil"/>
            </w:tcBorders>
          </w:tcPr>
          <w:p w14:paraId="2EFE1C7E"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0627B35B"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single" w:sz="4" w:space="0" w:color="auto"/>
              <w:right w:val="nil"/>
            </w:tcBorders>
          </w:tcPr>
          <w:p w14:paraId="0D52DE18"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{"citationID":"a139pg4bfpr","properties":{"formattedCitation":"(Moxon-Emre et al., 2022)","plainCitation":"(Moxon-Emre et al., 2022)","dontUpdate":true,"noteIndex":0},"citationItems":[{"id":"wAnnZMUy/e20Zski8","uris":["http://zotero.org/users/9059392/items/5C2ZJ5GG"],"itemData":{"id":1389,"type":"article-journal","abstract":"Suicidality is increased in autism spectrum disorder (ASD), yet effective interventions are lacking. Developing biologically based approaches for preventing and treating suicidality in ASD hinges on the identification of biomarkers of suicidal ideation (SI). Here, we assessed magnetic resonance spectroscopy (MRS) markers of glutamatergic neurotransmission in ASD youth and young adults. Twenty-eight ASD participants (16-33 years) underwent 1H-MRS, and metabolites were quantified using LCModel. N-acetylaspartate (NAA), glutamate (Glu), and the NAA/Glu ratio from the left dorsolateral prefrontal cortex were compared between ASD SI+ (n = 13) and ASD SI- (n = 15) participants. We found that ASD SI+ participants had a higher NAA/Glu ratio compared ASD SI- participants. The NAA/Glu ratio also predicted SI and significantly discriminated between ASD SI+/SI- participants. All analyses including NAA and Glu alone were non-significant. Here, we provide preliminary evidence for the importance of NAA/Glu in ASD with SI, with implications for biomarker discovery. Further mechanistic research into risk and interventional approaches to address SI in ASD are needed.","container-title":"Brain Sciences","DOI":"10.3390/brainsci12060785","ISSN":"2076-3425","issue":"6","journalAbbreviation":"Brain Sci","language":"eng","note":"PMID: 35741670\nPMCID: PMC9220790","page":"785","source":"PubMed","title":"NAA/Glu Ratio Associated with Suicidal Ideation in Pilot Sample of Autistic Youth and Young Adults","volume":"12","author":[{"family":"Moxon-Emre","given":"Iska"},{"family":"Croarkin","given":"Paul E."},{"family":"Daskalakis","given":"Zafiris J."},{"family":"Blumberger","given":"Daniel M."},{"family":"Lyon","given":"Rachael E."},{"family":"Tani","given":"Hideaki"},{"family":"Truong","given":"Peter"},{"family":"Lai","given":"Meng-Chuan"},{"family":"Desarkar","given":"Pushpal"},{"family":"Sailasuta","given":"Napapon"},{"family":"Szatmari","given":"Peter"},{"family":"Ameis","given":"Stephanie H."}],"issued":{"date-parts":[["2022",6,15]]}}}],"schema":"https://github.com/citation-style-language/schema/raw/master/csl-citation.json"}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Moxon-Emre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single" w:sz="4" w:space="0" w:color="auto"/>
              <w:right w:val="nil"/>
            </w:tcBorders>
          </w:tcPr>
          <w:p w14:paraId="3F1EEE7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2022</w:t>
            </w:r>
          </w:p>
        </w:tc>
        <w:tc>
          <w:tcPr>
            <w:tcW w:w="1418" w:type="dxa"/>
            <w:tcBorders>
              <w:top w:val="nil"/>
              <w:left w:val="nil"/>
              <w:bottom w:val="single" w:sz="4" w:space="0" w:color="auto"/>
              <w:right w:val="nil"/>
            </w:tcBorders>
          </w:tcPr>
          <w:p w14:paraId="20AE804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Canada</w:t>
            </w:r>
          </w:p>
        </w:tc>
        <w:tc>
          <w:tcPr>
            <w:tcW w:w="1276" w:type="dxa"/>
            <w:tcBorders>
              <w:top w:val="nil"/>
              <w:left w:val="nil"/>
              <w:bottom w:val="single" w:sz="4" w:space="0" w:color="auto"/>
              <w:right w:val="nil"/>
            </w:tcBorders>
          </w:tcPr>
          <w:p w14:paraId="617CF19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28</w:t>
            </w:r>
          </w:p>
        </w:tc>
        <w:tc>
          <w:tcPr>
            <w:tcW w:w="1984" w:type="dxa"/>
            <w:tcBorders>
              <w:top w:val="nil"/>
              <w:left w:val="nil"/>
              <w:bottom w:val="single" w:sz="4" w:space="0" w:color="auto"/>
              <w:right w:val="nil"/>
            </w:tcBorders>
          </w:tcPr>
          <w:p w14:paraId="114D5C7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23.3 (4.7)</w:t>
            </w:r>
          </w:p>
        </w:tc>
        <w:tc>
          <w:tcPr>
            <w:tcW w:w="1134" w:type="dxa"/>
            <w:tcBorders>
              <w:top w:val="nil"/>
              <w:left w:val="nil"/>
              <w:bottom w:val="single" w:sz="4" w:space="0" w:color="auto"/>
              <w:right w:val="nil"/>
            </w:tcBorders>
          </w:tcPr>
          <w:p w14:paraId="5FE0171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75</w:t>
            </w:r>
          </w:p>
        </w:tc>
        <w:tc>
          <w:tcPr>
            <w:tcW w:w="3822" w:type="dxa"/>
            <w:tcBorders>
              <w:top w:val="nil"/>
              <w:left w:val="nil"/>
              <w:bottom w:val="single" w:sz="4" w:space="0" w:color="auto"/>
              <w:right w:val="nil"/>
            </w:tcBorders>
          </w:tcPr>
          <w:p w14:paraId="32E1D3F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DSM-5, ADOS-2</w:t>
            </w:r>
          </w:p>
        </w:tc>
        <w:tc>
          <w:tcPr>
            <w:tcW w:w="1701" w:type="dxa"/>
            <w:tcBorders>
              <w:top w:val="nil"/>
              <w:left w:val="nil"/>
              <w:bottom w:val="single" w:sz="4" w:space="0" w:color="auto"/>
              <w:right w:val="nil"/>
            </w:tcBorders>
          </w:tcPr>
          <w:p w14:paraId="1C8DC768"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 physician</w:t>
            </w:r>
          </w:p>
        </w:tc>
      </w:tr>
      <w:tr w:rsidR="00576413" w:rsidRPr="00BA2E19" w14:paraId="131F625A"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auto"/>
              <w:left w:val="nil"/>
              <w:bottom w:val="single" w:sz="4" w:space="0" w:color="auto"/>
              <w:right w:val="nil"/>
            </w:tcBorders>
          </w:tcPr>
          <w:p w14:paraId="3C1863FB"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eastAsia="Calibri" w:hAnsi="Times New Roman" w:cs="Times New Roman"/>
                <w:color w:val="000000" w:themeColor="text1"/>
                <w:kern w:val="0"/>
                <w:sz w:val="20"/>
                <w:szCs w:val="20"/>
                <w:lang w:val="en-US"/>
              </w:rPr>
              <w:lastRenderedPageBreak/>
              <w:t>Table (continued)</w:t>
            </w:r>
          </w:p>
        </w:tc>
        <w:tc>
          <w:tcPr>
            <w:tcW w:w="855" w:type="dxa"/>
            <w:tcBorders>
              <w:top w:val="single" w:sz="4" w:space="0" w:color="auto"/>
              <w:left w:val="nil"/>
              <w:bottom w:val="single" w:sz="4" w:space="0" w:color="auto"/>
              <w:right w:val="nil"/>
            </w:tcBorders>
          </w:tcPr>
          <w:p w14:paraId="0EC0575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tc>
        <w:tc>
          <w:tcPr>
            <w:tcW w:w="1418" w:type="dxa"/>
            <w:tcBorders>
              <w:top w:val="single" w:sz="4" w:space="0" w:color="auto"/>
              <w:left w:val="nil"/>
              <w:bottom w:val="single" w:sz="4" w:space="0" w:color="auto"/>
              <w:right w:val="nil"/>
            </w:tcBorders>
          </w:tcPr>
          <w:p w14:paraId="03E2B50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276" w:type="dxa"/>
            <w:tcBorders>
              <w:top w:val="single" w:sz="4" w:space="0" w:color="auto"/>
              <w:left w:val="nil"/>
              <w:bottom w:val="single" w:sz="4" w:space="0" w:color="auto"/>
              <w:right w:val="nil"/>
            </w:tcBorders>
          </w:tcPr>
          <w:p w14:paraId="2B4808B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984" w:type="dxa"/>
            <w:tcBorders>
              <w:top w:val="single" w:sz="4" w:space="0" w:color="auto"/>
              <w:left w:val="nil"/>
              <w:bottom w:val="single" w:sz="4" w:space="0" w:color="auto"/>
              <w:right w:val="nil"/>
            </w:tcBorders>
          </w:tcPr>
          <w:p w14:paraId="0583244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134" w:type="dxa"/>
            <w:tcBorders>
              <w:top w:val="single" w:sz="4" w:space="0" w:color="auto"/>
              <w:left w:val="nil"/>
              <w:bottom w:val="single" w:sz="4" w:space="0" w:color="auto"/>
              <w:right w:val="nil"/>
            </w:tcBorders>
          </w:tcPr>
          <w:p w14:paraId="1313A2C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3822" w:type="dxa"/>
            <w:tcBorders>
              <w:top w:val="single" w:sz="4" w:space="0" w:color="auto"/>
              <w:left w:val="nil"/>
              <w:bottom w:val="single" w:sz="4" w:space="0" w:color="auto"/>
              <w:right w:val="nil"/>
            </w:tcBorders>
          </w:tcPr>
          <w:p w14:paraId="735907E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c>
          <w:tcPr>
            <w:tcW w:w="1701" w:type="dxa"/>
            <w:tcBorders>
              <w:top w:val="single" w:sz="4" w:space="0" w:color="auto"/>
              <w:left w:val="nil"/>
              <w:bottom w:val="single" w:sz="4" w:space="0" w:color="auto"/>
              <w:right w:val="nil"/>
            </w:tcBorders>
          </w:tcPr>
          <w:p w14:paraId="39913808"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p>
        </w:tc>
      </w:tr>
      <w:tr w:rsidR="00576413" w:rsidRPr="00BA2E19" w14:paraId="173F5EBA"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360CC933"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{"citationID":"a1fkd0l62bv","properties":{"formattedCitation":"(Nyrenius et al., 2023)","plainCitation":"(Nyrenius et al., 2023)","dontUpdate":true,"noteIndex":0},"citationItems":[{"id":"wAnnZMUy/v0iKNxse","uris":["http://zotero.org/users/9059392/items/ARGI892N"],"itemData":{"id":1989,"type":"article-journal","abstract":"BackgroundThe prevalence of self-reported suicidal ideation, suicide attempts and non-suicidal self-injury (NSSI) remains unclear among adults with autism unrecognised in childhood who attend psychiatric services.AimsWe aimed to estimate the prevalence of suicidal ideation, suicide attempts and NSSI; identify factors associated with suicide attempts and NSSI; and describe NSSI in this group.MethodSixty-three new patients at an adult psychiatric out-patient clinic (57% women, mean age 32 years) who met full (n = 52) or subthreshold (two A criteria and minimum of two B criteria; n = 11) DSM-5 criteria for autism spectrum disorder were included in the study. Clinical assessments included overall diagnostic review, Paykel's questions on passive and active suicidality, evaluation of NSSI with the Functional Assessment of Self-Mutilation, and results of cognitive tests. One follow-up of medical records was made.ResultsIn this sample of psychiatric out-patients identified as first having autism in adulthood, almost a third (31%) of patients reported suicidal ideation during the past month, 86% had lifetime suicidal ideation and 25% reported at least one suicide attempt. Factors associated with suicide attempts included hazardous or harmful alcohol use and/or drug-related problems, and severity of depression. A total of 44% reported NSSI. Factors associated with NSSI were female sex, history of suicidal plans and antisocial personality disorder. Substance or alcohol use were often overlooked, especially in women.ConclusionsSuicidal ideation, suicide attempts and NSSI were very common in adults with autism who were recently referred to an out-patient psychiatric service. Suicidal ideation and NSSI were more common than suicide attempts. Clinicians should always consider suicidal ideation and NSSI in adult psychiatric patients with autism.","container-title":"BJPsych Open","DOI":"10.1192/bjo.2023.553","ISSN":"2056-4724","issue":"5","language":"en","source":"Cambridge University Press","title":"Autism in adult psychiatric out-patients: self-reported suicidal ideation, suicide attempts and non-suicidal self-injury","title-short":"Autism in adult psychiatric out-patients","URL":"https://www.cambridge.org/core/journals/bjpsych-open/article/autism-in-adult-psychiatric-outpatients-selfreported-suicidal-ideation-suicide-attempts-and-nonsuicidal-selfinjury/6293BD6BDB6B54DF388532D2B50E7139","volume":"9","author":[{"family":"Nyrenius","given":"Johan"},{"family":"Waern","given":"Margda"},{"family":"Eberhard","given":"Jonas"},{"family":"Ghaziuddin","given":"Mohammad"},{"family":"Gillberg","given":"Christopher"},{"family":"Billstedt","given":"Eva"}],"accessed":{"date-parts":[["2024",4,6]]},"issued":{"date-parts":[["2023",9]]}}}],"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proofErr w:type="spellStart"/>
            <w:r w:rsidRPr="00BA2E19">
              <w:rPr>
                <w:rFonts w:ascii="Times New Roman" w:hAnsi="Times New Roman" w:cs="Times New Roman"/>
                <w:color w:val="000000" w:themeColor="text1"/>
                <w:kern w:val="0"/>
                <w:sz w:val="20"/>
                <w:szCs w:val="20"/>
                <w:lang w:val="en-US"/>
              </w:rPr>
              <w:t>Nyrenius</w:t>
            </w:r>
            <w:proofErr w:type="spellEnd"/>
            <w:r w:rsidRPr="00BA2E19">
              <w:rPr>
                <w:rFonts w:ascii="Times New Roman" w:hAnsi="Times New Roman" w:cs="Times New Roman"/>
                <w:color w:val="000000" w:themeColor="text1"/>
                <w:kern w:val="0"/>
                <w:sz w:val="20"/>
                <w:szCs w:val="20"/>
                <w:lang w:val="en-US"/>
              </w:rPr>
              <w:t xml:space="preserve">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238F6D5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2023</w:t>
            </w:r>
          </w:p>
        </w:tc>
        <w:tc>
          <w:tcPr>
            <w:tcW w:w="1418" w:type="dxa"/>
            <w:tcBorders>
              <w:top w:val="nil"/>
              <w:left w:val="nil"/>
              <w:bottom w:val="nil"/>
              <w:right w:val="nil"/>
            </w:tcBorders>
          </w:tcPr>
          <w:p w14:paraId="506264D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Sweden</w:t>
            </w:r>
          </w:p>
        </w:tc>
        <w:tc>
          <w:tcPr>
            <w:tcW w:w="1276" w:type="dxa"/>
            <w:tcBorders>
              <w:top w:val="nil"/>
              <w:left w:val="nil"/>
              <w:bottom w:val="nil"/>
              <w:right w:val="nil"/>
            </w:tcBorders>
          </w:tcPr>
          <w:p w14:paraId="69C37BD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63</w:t>
            </w:r>
          </w:p>
        </w:tc>
        <w:tc>
          <w:tcPr>
            <w:tcW w:w="1984" w:type="dxa"/>
            <w:tcBorders>
              <w:top w:val="nil"/>
              <w:left w:val="nil"/>
              <w:bottom w:val="nil"/>
              <w:right w:val="nil"/>
            </w:tcBorders>
          </w:tcPr>
          <w:p w14:paraId="0B7220D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32.0 (10.5)</w:t>
            </w:r>
          </w:p>
        </w:tc>
        <w:tc>
          <w:tcPr>
            <w:tcW w:w="1134" w:type="dxa"/>
            <w:tcBorders>
              <w:top w:val="nil"/>
              <w:left w:val="nil"/>
              <w:bottom w:val="nil"/>
              <w:right w:val="nil"/>
            </w:tcBorders>
          </w:tcPr>
          <w:p w14:paraId="346209F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42.9</w:t>
            </w:r>
          </w:p>
        </w:tc>
        <w:tc>
          <w:tcPr>
            <w:tcW w:w="3822" w:type="dxa"/>
            <w:tcBorders>
              <w:top w:val="nil"/>
              <w:left w:val="nil"/>
              <w:bottom w:val="nil"/>
              <w:right w:val="nil"/>
            </w:tcBorders>
          </w:tcPr>
          <w:p w14:paraId="3024C48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DSM-5</w:t>
            </w:r>
          </w:p>
        </w:tc>
        <w:tc>
          <w:tcPr>
            <w:tcW w:w="1701" w:type="dxa"/>
            <w:tcBorders>
              <w:top w:val="nil"/>
              <w:left w:val="nil"/>
              <w:bottom w:val="nil"/>
              <w:right w:val="nil"/>
            </w:tcBorders>
          </w:tcPr>
          <w:p w14:paraId="0D948F05"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4923DD60"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7521C9FA"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{"citationID":"a3blpbl51h","properties":{"formattedCitation":"(Ota et al., 2020)","plainCitation":"(Ota et al., 2020)","dontUpdate":true,"noteIndex":0},"citationItems":[{"id":"wAnnZMUy/YlMl6vEo","uris":["http://zotero.org/users/9059392/items/LU3UYNBZ"],"itemData":{"id":1392,"type":"article-journal","abstract":"Adults diagnosed with Autism spectrum disorder (ASD) are at high risk of experiencing suicidality compared with other clinical groups. Recently, near-infrared spectroscopy (NIRS) studies have investigated the association between frontotemporal functional abnormalities and suicidality in patients with mood disorders. However, whether these prefrontal hemodynamic responses are associated with suicide vulnerability in individuals with ASD remains unclear. Here, we used 24-channel NIRS to examine the characteristics of prefrontal hemodynamic responses during a verbal fluency task in 20 adults with ASD and in age-, sex-, and intelligence quotient-matched healthy controls. In addition, we used Spearman's correlation analysis to identify the relationship between the time-course of prefrontal hemodynamic activation and the current suicide risk in patients with ASD. We found no significant differences between the verbal fluency task-induced prefrontal hemodynamic responses in the ASD vs. control group. However, we found a significant positive correlation between the current suicide risk score and the time-course of prefrontal hemodynamic activation in the ASD group. Thus, the 24-channel NIRS system appears to be useful in assessing suicide risk in individuals with ASD.","container-title":"Psychiatry Research","DOI":"10.1016/j.psychres.2020.112971","ISSN":"0165-1781","journalAbbreviation":"Psychiatry Research","language":"en","page":"112971","source":"ScienceDirect","title":"Delayed prefrontal hemodynamic response associated with suicide risk in autism spectrum disorder","volume":"289","author":[{"family":"Ota","given":"Toyosaku"},{"family":"Iida","given":"Junzo"},{"family":"Okazaki","given":"Kosuke"},{"family":"Ishida","given":"Rio"},{"family":"Takahashi","given":"Masato"},{"family":"Okamura","given":"Kazuya"},{"family":"Yamamuro","given":"Kazuhiko"},{"family":"Kishimoto","given":"Naoko"},{"family":"Kimoto","given":"Sohei"},{"family":"Yasuda","given":"Yuka"},{"family":"Hashimoto","given":"Ryota"},{"family":"Makinodan","given":"Manabu"},{"family":"Kishimoto","given":"Toshifumi"}],"issued":{"date-parts":[["2020",7,1]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Ota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2C4E75C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2020</w:t>
            </w:r>
          </w:p>
        </w:tc>
        <w:tc>
          <w:tcPr>
            <w:tcW w:w="1418" w:type="dxa"/>
            <w:tcBorders>
              <w:top w:val="nil"/>
              <w:left w:val="nil"/>
              <w:bottom w:val="nil"/>
              <w:right w:val="nil"/>
            </w:tcBorders>
          </w:tcPr>
          <w:p w14:paraId="590A2E9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Japan</w:t>
            </w:r>
          </w:p>
        </w:tc>
        <w:tc>
          <w:tcPr>
            <w:tcW w:w="1276" w:type="dxa"/>
            <w:tcBorders>
              <w:top w:val="nil"/>
              <w:left w:val="nil"/>
              <w:bottom w:val="nil"/>
              <w:right w:val="nil"/>
            </w:tcBorders>
          </w:tcPr>
          <w:p w14:paraId="76AA06A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20</w:t>
            </w:r>
          </w:p>
        </w:tc>
        <w:tc>
          <w:tcPr>
            <w:tcW w:w="1984" w:type="dxa"/>
            <w:tcBorders>
              <w:top w:val="nil"/>
              <w:left w:val="nil"/>
              <w:bottom w:val="nil"/>
              <w:right w:val="nil"/>
            </w:tcBorders>
          </w:tcPr>
          <w:p w14:paraId="73CE56E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29.05 (6.4)</w:t>
            </w:r>
          </w:p>
        </w:tc>
        <w:tc>
          <w:tcPr>
            <w:tcW w:w="1134" w:type="dxa"/>
            <w:tcBorders>
              <w:top w:val="nil"/>
              <w:left w:val="nil"/>
              <w:bottom w:val="nil"/>
              <w:right w:val="nil"/>
            </w:tcBorders>
          </w:tcPr>
          <w:p w14:paraId="4DE8260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80</w:t>
            </w:r>
          </w:p>
        </w:tc>
        <w:tc>
          <w:tcPr>
            <w:tcW w:w="3822" w:type="dxa"/>
            <w:tcBorders>
              <w:top w:val="nil"/>
              <w:left w:val="nil"/>
              <w:bottom w:val="nil"/>
              <w:right w:val="nil"/>
            </w:tcBorders>
          </w:tcPr>
          <w:p w14:paraId="5E085D4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DSM-5</w:t>
            </w:r>
          </w:p>
        </w:tc>
        <w:tc>
          <w:tcPr>
            <w:tcW w:w="1701" w:type="dxa"/>
            <w:tcBorders>
              <w:top w:val="nil"/>
              <w:left w:val="nil"/>
              <w:bottom w:val="nil"/>
              <w:right w:val="nil"/>
            </w:tcBorders>
          </w:tcPr>
          <w:p w14:paraId="01EF01C7"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 clinician</w:t>
            </w:r>
          </w:p>
        </w:tc>
      </w:tr>
      <w:tr w:rsidR="00576413" w:rsidRPr="00BA2E19" w14:paraId="507AE408"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7FF07A8C"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{"citationID":"a16kl92l2bi","properties":{"formattedCitation":"(Paquette-Smith et al., 2014)","plainCitation":"(Paquette-Smith et al., 2014)","dontUpdate":true,"noteIndex":0},"citationItems":[{"id":"wAnnZMUy/dKuMxNbT","uris":["http://zotero.org/users/9059392/items/RFPHQ8IA"],"itemData":{"id":1394,"type":"article-journal","abstract":"BACKGROUND: Individuals with Asperger syndrome (AS) may be at higher risk for attempting suicide compared to the general population.\nAIMS: This study examines the issue of suicidality in adults with AS.\nMETHOD: An online survey was completed by 50 adults from across Ontario. The sample was dichotomized into individuals who had attempted suicide (n = 18) and those who had not (n = 32). We examined the relationship between predictor variables and previous attempts, and compared the services that both groups are currently receiving.\nRESULTS: Over 35% of individuals with AS reported that they had attempted suicide in the past. Individuals who attempted suicide were more likely to have a history of depression and self-reported more severe autism symptomatology. Those with and without a suicidal history did not differ in terms of the services they were currently receiving. This study looks at predictors retrospectively and cannot ascertain how long ago the attempt was made. Although efforts were made to obtain a representative sample, there is the possibility that the individuals surveyed may be more or less distressed than the general population with AS.\nCONCLUSION: The suicide attempt rate in our sample is much higher than the 4.6% lifetime prevalence seen in the general population. These findings highlight a need for more specialized services to help prevent future attempts and to support this vulnerable group.","container-title":"Crisis","DOI":"10.1027/0227-5910/a000263","ISSN":"2151-2396","issue":"4","journalAbbreviation":"Crisis","language":"eng","note":"PMID: 25113892","page":"273-277","source":"PubMed","title":"History of suicide attempts in adults with Asperger syndrome","volume":"35","author":[{"family":"Paquette-Smith","given":"Melissa"},{"family":"Weiss","given":"Jonathan"},{"family":"Lunsky","given":"Yona"}],"issued":{"date-parts":[["2014",1,1]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Paquette-Smith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479A596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2014</w:t>
            </w:r>
          </w:p>
        </w:tc>
        <w:tc>
          <w:tcPr>
            <w:tcW w:w="1418" w:type="dxa"/>
            <w:tcBorders>
              <w:top w:val="nil"/>
              <w:left w:val="nil"/>
              <w:bottom w:val="nil"/>
              <w:right w:val="nil"/>
            </w:tcBorders>
          </w:tcPr>
          <w:p w14:paraId="07657B2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Canada</w:t>
            </w:r>
          </w:p>
        </w:tc>
        <w:tc>
          <w:tcPr>
            <w:tcW w:w="1276" w:type="dxa"/>
            <w:tcBorders>
              <w:top w:val="nil"/>
              <w:left w:val="nil"/>
              <w:bottom w:val="nil"/>
              <w:right w:val="nil"/>
            </w:tcBorders>
          </w:tcPr>
          <w:p w14:paraId="5B321E6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50</w:t>
            </w:r>
          </w:p>
        </w:tc>
        <w:tc>
          <w:tcPr>
            <w:tcW w:w="1984" w:type="dxa"/>
            <w:tcBorders>
              <w:top w:val="nil"/>
              <w:left w:val="nil"/>
              <w:bottom w:val="nil"/>
              <w:right w:val="nil"/>
            </w:tcBorders>
          </w:tcPr>
          <w:p w14:paraId="2CC4EE5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34.5 (11.2)</w:t>
            </w:r>
          </w:p>
        </w:tc>
        <w:tc>
          <w:tcPr>
            <w:tcW w:w="1134" w:type="dxa"/>
            <w:tcBorders>
              <w:top w:val="nil"/>
              <w:left w:val="nil"/>
              <w:bottom w:val="nil"/>
              <w:right w:val="nil"/>
            </w:tcBorders>
          </w:tcPr>
          <w:p w14:paraId="19F978A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44</w:t>
            </w:r>
          </w:p>
        </w:tc>
        <w:tc>
          <w:tcPr>
            <w:tcW w:w="3822" w:type="dxa"/>
            <w:tcBorders>
              <w:top w:val="nil"/>
              <w:left w:val="nil"/>
              <w:bottom w:val="nil"/>
              <w:right w:val="nil"/>
            </w:tcBorders>
          </w:tcPr>
          <w:p w14:paraId="12962C6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 xml:space="preserve">Formal ASD diagnosis, NOS, AQ </w:t>
            </w:r>
          </w:p>
        </w:tc>
        <w:tc>
          <w:tcPr>
            <w:tcW w:w="1701" w:type="dxa"/>
            <w:tcBorders>
              <w:top w:val="nil"/>
              <w:left w:val="nil"/>
              <w:bottom w:val="nil"/>
              <w:right w:val="nil"/>
            </w:tcBorders>
          </w:tcPr>
          <w:p w14:paraId="2631684C"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67F573AF"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158AD822"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{"citationID":"an0himonlk","properties":{"formattedCitation":"(Pelton et al., 2020)","plainCitation":"(Pelton et al., 2020)","dontUpdate":true,"noteIndex":0},"citationItems":[{"id":"wAnnZMUy/7AHQBuu4","uris":["http://zotero.org/users/9059392/items/T96XKDX3"],"itemData":{"id":123,"type":"article-journal","abstract":"This study explored whether the Interpersonal Theory of suicide informs our understanding of high rates of suicidality in autistic adults. Autistic and non-autistic adults (n=695, mean age 41.7 years, 58% female) completed an online survey of self-reported thwarted belonging, perceived burden, autistic traits, suicidal capability, trauma, and lifetime suicidality. Autistic people reported stronger feelings of perceived burden, thwarted belonging and more lifetime trauma than non-autistic people. The hypothesised interaction between burdensomeness and thwarted belonging were observed in the non-autistic group but not in the autistic group. In both groups autistic traits influenced suicidality through burdensomeness/thwarted belonging. Promoting self-worth and social inclusion are important for suicide prevention and future research should explore how these are experienced and expressed by autistic people.","container-title":"Journal of Autism and Developmental Disorders","DOI":"10.1007/s10803-020-04393-8","ISSN":"0162-3257, 1573-3432","issue":"10","journalAbbreviation":"J Autism Dev Disord","language":"en","page":"3620-3637","source":"DOI.org (Crossref)","title":"Understanding Suicide Risk in Autistic Adults: Comparing the Interpersonal Theory of Suicide in Autistic and Non-autistic Samples","title-short":"Understanding Suicide Risk in Autistic Adults","volume":"50","author":[{"family":"Pelton","given":"Mirabel K."},{"family":"Crawford","given":"Hayley"},{"family":"Robertson","given":"Ashley E."},{"family":"Rodgers","given":"Jacqui"},{"family":"Baron-Cohen","given":"Simon"},{"family":"Cassidy","given":"Sarah"}],"issued":{"date-parts":[["2020",10]]}}}],"schema":"https://github.com/citation-style-language/schema/raw/master/csl-citation.json"}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Pelton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0A923FE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2020</w:t>
            </w:r>
            <w:r>
              <w:rPr>
                <w:rFonts w:ascii="Times New Roman" w:hAnsi="Times New Roman" w:cs="Times New Roman"/>
                <w:color w:val="000000" w:themeColor="text1"/>
                <w:sz w:val="20"/>
                <w:szCs w:val="20"/>
                <w:lang w:val="en-US"/>
              </w:rPr>
              <w:t>a</w:t>
            </w:r>
          </w:p>
        </w:tc>
        <w:tc>
          <w:tcPr>
            <w:tcW w:w="1418" w:type="dxa"/>
            <w:tcBorders>
              <w:top w:val="nil"/>
              <w:left w:val="nil"/>
              <w:bottom w:val="nil"/>
              <w:right w:val="nil"/>
            </w:tcBorders>
          </w:tcPr>
          <w:p w14:paraId="27AB746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UK</w:t>
            </w:r>
          </w:p>
        </w:tc>
        <w:tc>
          <w:tcPr>
            <w:tcW w:w="1276" w:type="dxa"/>
            <w:tcBorders>
              <w:top w:val="nil"/>
              <w:left w:val="nil"/>
              <w:bottom w:val="nil"/>
              <w:right w:val="nil"/>
            </w:tcBorders>
          </w:tcPr>
          <w:p w14:paraId="779DD00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350</w:t>
            </w:r>
          </w:p>
        </w:tc>
        <w:tc>
          <w:tcPr>
            <w:tcW w:w="1984" w:type="dxa"/>
            <w:tcBorders>
              <w:top w:val="nil"/>
              <w:left w:val="nil"/>
              <w:bottom w:val="nil"/>
              <w:right w:val="nil"/>
            </w:tcBorders>
          </w:tcPr>
          <w:p w14:paraId="7C41E43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41.9 (range 18 – 90)</w:t>
            </w:r>
          </w:p>
        </w:tc>
        <w:tc>
          <w:tcPr>
            <w:tcW w:w="1134" w:type="dxa"/>
            <w:tcBorders>
              <w:top w:val="nil"/>
              <w:left w:val="nil"/>
              <w:bottom w:val="nil"/>
              <w:right w:val="nil"/>
            </w:tcBorders>
          </w:tcPr>
          <w:p w14:paraId="06DC3B9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 xml:space="preserve">35.4 </w:t>
            </w:r>
          </w:p>
        </w:tc>
        <w:tc>
          <w:tcPr>
            <w:tcW w:w="3822" w:type="dxa"/>
            <w:tcBorders>
              <w:top w:val="nil"/>
              <w:left w:val="nil"/>
              <w:bottom w:val="nil"/>
              <w:right w:val="nil"/>
            </w:tcBorders>
          </w:tcPr>
          <w:p w14:paraId="49E6D93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Self-report</w:t>
            </w:r>
          </w:p>
        </w:tc>
        <w:tc>
          <w:tcPr>
            <w:tcW w:w="1701" w:type="dxa"/>
            <w:tcBorders>
              <w:top w:val="nil"/>
              <w:left w:val="nil"/>
              <w:bottom w:val="nil"/>
              <w:right w:val="nil"/>
            </w:tcBorders>
          </w:tcPr>
          <w:p w14:paraId="3827BFCA"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155DB43E"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E63EF78"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{"citationID":"a1jo8iu6k3g","properties":{"formattedCitation":"(Pelton et al., 2023)","plainCitation":"(Pelton et al., 2023)","dontUpdate":true,"noteIndex":0},"citationItems":[{"id":"wAnnZMUy/kEUBvKPe","uris":["http://zotero.org/users/9059392/items/R2YYITBR"],"itemData":{"id":1400,"type":"article-journal","abstract":"BACKGROUND: Autistic adults experience more frequent suicidal thoughts and mental health difficulties than non-autistic adults, but research has yet to explain how these experiences are connected. This study explored how anxiety and depression contribute to suicidal thoughts according to the Interpersonal Theory of Suicide for autistic and non-autistic adults.\nMETHODS: Participants (autistic adults n = 463, 61% female; non-autistic n = 342, 64% female) completed online measures of anxiety, depression, thwarted belonging, and perceived burdensomeness. Network analysis explored whether: (i) being autistic is a risk marker for suicide; and (ii) pathways to suicidal thoughts are consistent for autistic and non-autistic adults.\nRESULTS: Being autistic connected closely with feeling like an outsider, anxiety, and movement, which connected to suicidal thoughts through somatic experiences, low mood, and burdensomeness. Networks were largely consistent for autistic and non-autistic people, but connections from mood symptoms to somatic and thwarted belonging experiences were absent for autistic adults.\nCONCLUSION: Autistic people experience more life stressors than non-autistic people leading to reduced coping, low mood, and suicidal thoughts. Promoting belonging, reducing anxiety, and understanding the role of movement could inform suicide prevention for autistic people. Research should accurately capture autistic lived experience when modeling suicide to ensure suicide prevention meets autistic needs.","container-title":"Suicide &amp; Life-Threatening Behavior","DOI":"10.1111/sltb.12954","ISSN":"1943-278X","journalAbbreviation":"Suicide Life Threat Behav","language":"eng","note":"PMID: 36974940","source":"PubMed","title":"The role of anxiety and depression in suicidal thoughts for autistic and non-autistic people: A theory-driven network analysis","title-short":"The role of anxiety and depression in suicidal thoughts for autistic and non-autistic people","author":[{"family":"Pelton","given":"Mirabel K."},{"family":"Crawford","given":"Hayley"},{"family":"Bul","given":"Kim"},{"family":"Robertson","given":"Ashley E."},{"family":"Adams","given":"Jon"},{"family":"Beurs","given":"Derek","non-dropping-particle":"de"},{"family":"Rodgers","given":"Jacqui"},{"family":"Baron-Cohen","given":"Simon"},{"family":"Cassidy","given":"Sarah"}],"issued":{"date-parts":[["2023",3,28]]}}}],"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Pelton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6AE6A1D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2023</w:t>
            </w:r>
          </w:p>
        </w:tc>
        <w:tc>
          <w:tcPr>
            <w:tcW w:w="1418" w:type="dxa"/>
            <w:tcBorders>
              <w:top w:val="nil"/>
              <w:left w:val="nil"/>
              <w:bottom w:val="nil"/>
              <w:right w:val="nil"/>
            </w:tcBorders>
          </w:tcPr>
          <w:p w14:paraId="2CDB876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UK</w:t>
            </w:r>
          </w:p>
        </w:tc>
        <w:tc>
          <w:tcPr>
            <w:tcW w:w="1276" w:type="dxa"/>
            <w:tcBorders>
              <w:top w:val="nil"/>
              <w:left w:val="nil"/>
              <w:bottom w:val="nil"/>
              <w:right w:val="nil"/>
            </w:tcBorders>
          </w:tcPr>
          <w:p w14:paraId="7CE558C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463</w:t>
            </w:r>
          </w:p>
        </w:tc>
        <w:tc>
          <w:tcPr>
            <w:tcW w:w="1984" w:type="dxa"/>
            <w:tcBorders>
              <w:top w:val="nil"/>
              <w:left w:val="nil"/>
              <w:bottom w:val="nil"/>
              <w:right w:val="nil"/>
            </w:tcBorders>
          </w:tcPr>
          <w:p w14:paraId="058C6BA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41.55 (13.9)</w:t>
            </w:r>
          </w:p>
        </w:tc>
        <w:tc>
          <w:tcPr>
            <w:tcW w:w="1134" w:type="dxa"/>
            <w:tcBorders>
              <w:top w:val="nil"/>
              <w:left w:val="nil"/>
              <w:bottom w:val="nil"/>
              <w:right w:val="nil"/>
            </w:tcBorders>
          </w:tcPr>
          <w:p w14:paraId="770B45C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32.5</w:t>
            </w:r>
          </w:p>
        </w:tc>
        <w:tc>
          <w:tcPr>
            <w:tcW w:w="3822" w:type="dxa"/>
            <w:tcBorders>
              <w:top w:val="nil"/>
              <w:left w:val="nil"/>
              <w:bottom w:val="nil"/>
              <w:right w:val="nil"/>
            </w:tcBorders>
          </w:tcPr>
          <w:p w14:paraId="0680C82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Self-report</w:t>
            </w:r>
          </w:p>
        </w:tc>
        <w:tc>
          <w:tcPr>
            <w:tcW w:w="1701" w:type="dxa"/>
            <w:tcBorders>
              <w:top w:val="nil"/>
              <w:left w:val="nil"/>
              <w:bottom w:val="nil"/>
              <w:right w:val="nil"/>
            </w:tcBorders>
          </w:tcPr>
          <w:p w14:paraId="158B202A"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0931740B"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6D85EDA"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{"citationID":"a2k9s72ej0s","properties":{"formattedCitation":"(Raja et al., 2011)","plainCitation":"(Raja et al., 2011)","dontUpdate":true,"noteIndex":0},"citationItems":[{"id":"wAnnZMUy/WOK1fXdL","uris":["http://zotero.org/users/9059392/items/TH7PK59V"],"itemData":{"id":1403,"type":"article-journal","abstract":"The paper describes the suicidal ideation and behavior in a series of 26 adult psychiatric patients affected by Autism Spectrum Disorders (ASDs), the clinical features and the psychiatric comorbidity of patients presenting suicidal behavior, and the history of suicide or suicide attempt in their relatives. Two (7,7%) patients committed suicide. One (3.8%) patient attempted suicide twice, and one (3.8%) patient self-harmed by cutting his face and one finger of his hand with a razor. Eight (30.8%) patients presented suicidal ideation. Two (7.7%) patients had one relative who had attempted suicide, and two (7.7%) patients had one or more relatives who had committed suicide. Most patients with suicidal behavior or ideation presented psychotic symptoms. Although it is not clear whether the high suicidal risk is related with ASDs per se or with psychotic symptoms, a high index of suspicion is warranted in evaluating suicidal risk in patients affected by ASDs, whatever is their age, psychiatric comorbidity, and setting of visit.","container-title":"Clinical Practice and Epidemiology in Mental Health : CP &amp; EMH","DOI":"10.2174/1745017901107010097","ISSN":"1745-0179","journalAbbreviation":"Clin Pract Epidemiol Ment Health","note":"PMID: 21566670\nPMCID: PMC3089029","page":"97-105","source":"PubMed Central","title":"Autism Spectrum Disorders and Suicidality","volume":"7","author":[{"family":"Raja","given":"Michele"},{"family":"Azzoni","given":"Antonella"},{"family":"Frustaci","given":"Alessandra"}],"issued":{"date-parts":[["2011",3,30]]}}}],"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Raja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75BBB11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2011</w:t>
            </w:r>
          </w:p>
        </w:tc>
        <w:tc>
          <w:tcPr>
            <w:tcW w:w="1418" w:type="dxa"/>
            <w:tcBorders>
              <w:top w:val="nil"/>
              <w:left w:val="nil"/>
              <w:bottom w:val="nil"/>
              <w:right w:val="nil"/>
            </w:tcBorders>
          </w:tcPr>
          <w:p w14:paraId="3C861F7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Italy</w:t>
            </w:r>
          </w:p>
        </w:tc>
        <w:tc>
          <w:tcPr>
            <w:tcW w:w="1276" w:type="dxa"/>
            <w:tcBorders>
              <w:top w:val="nil"/>
              <w:left w:val="nil"/>
              <w:bottom w:val="nil"/>
              <w:right w:val="nil"/>
            </w:tcBorders>
          </w:tcPr>
          <w:p w14:paraId="0071FD2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26</w:t>
            </w:r>
          </w:p>
        </w:tc>
        <w:tc>
          <w:tcPr>
            <w:tcW w:w="1984" w:type="dxa"/>
            <w:tcBorders>
              <w:top w:val="nil"/>
              <w:left w:val="nil"/>
              <w:bottom w:val="nil"/>
              <w:right w:val="nil"/>
            </w:tcBorders>
          </w:tcPr>
          <w:p w14:paraId="3009DB1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30.2 (9.8)</w:t>
            </w:r>
          </w:p>
        </w:tc>
        <w:tc>
          <w:tcPr>
            <w:tcW w:w="1134" w:type="dxa"/>
            <w:tcBorders>
              <w:top w:val="nil"/>
              <w:left w:val="nil"/>
              <w:bottom w:val="nil"/>
              <w:right w:val="nil"/>
            </w:tcBorders>
          </w:tcPr>
          <w:p w14:paraId="05261ED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96.2</w:t>
            </w:r>
          </w:p>
        </w:tc>
        <w:tc>
          <w:tcPr>
            <w:tcW w:w="3822" w:type="dxa"/>
            <w:tcBorders>
              <w:top w:val="nil"/>
              <w:left w:val="nil"/>
              <w:bottom w:val="nil"/>
              <w:right w:val="nil"/>
            </w:tcBorders>
          </w:tcPr>
          <w:p w14:paraId="22796F7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DSM-IV</w:t>
            </w:r>
          </w:p>
        </w:tc>
        <w:tc>
          <w:tcPr>
            <w:tcW w:w="1701" w:type="dxa"/>
            <w:tcBorders>
              <w:top w:val="nil"/>
              <w:left w:val="nil"/>
              <w:bottom w:val="nil"/>
              <w:right w:val="nil"/>
            </w:tcBorders>
          </w:tcPr>
          <w:p w14:paraId="27B5EC28"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Chart review</w:t>
            </w:r>
          </w:p>
        </w:tc>
      </w:tr>
      <w:tr w:rsidR="00576413" w:rsidRPr="00BA2E19" w14:paraId="7CF653ED"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93D79FD"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eastAsia="Calibri" w:hAnsi="Times New Roman" w:cs="Times New Roman"/>
                <w:color w:val="000000" w:themeColor="text1"/>
                <w:kern w:val="0"/>
                <w:sz w:val="20"/>
                <w:szCs w:val="20"/>
                <w:lang w:val="en-US"/>
              </w:rPr>
              <w:fldChar w:fldCharType="begin"/>
            </w:r>
            <w:r w:rsidRPr="00BA2E19">
              <w:rPr>
                <w:rFonts w:ascii="Times New Roman" w:eastAsia="Calibri" w:hAnsi="Times New Roman" w:cs="Times New Roman"/>
                <w:color w:val="000000" w:themeColor="text1"/>
                <w:kern w:val="0"/>
                <w:sz w:val="20"/>
                <w:szCs w:val="20"/>
                <w:lang w:val="en-US"/>
              </w:rPr>
              <w:instrText xml:space="preserve"> ADDIN ZOTERO_ITEM CSL_CITATION {"citationID":"accjtef625","properties":{"formattedCitation":"\\uldash{(Roper et al., 2025)}","plainCitation":"(Roper et al., 2025)","dontUpdate":true,"noteIndex":0},"citationItems":[{"id":1057,"uris":["http://zotero.org/users/14279951/items/WD4QJRJN"],"itemData":{"id":1057,"type":"article-journal","abstract":"Background\nSuicide has been reported as a leading cause of premature death in autistic populations. Additionally, risk of suicidality is often found to increase with age in the general population. Despite this, suicidality has seldom been explored in autistic populations in midlife and old age. This study investigates the self-reported prevalence of self-harm and suicidality in autistic people in midlife and old age compared to an age- and gender-ratio comparable non-autistic group.\n\nMethods\nIn total, 388 participants (autistic n = 222, 44% men) aged 40–93 years (mean = 60.9 years) from the AgeWellAutism study completed questionnaires related to experiences of suicidal ideation, self-harming thoughts, deliberate self-harm, and suicidal self-harm. Group, gender and age differences were examined in chi-square and linear regression analyses.\n\nResults\nThe autistic group reported significantly higher rates of suicidal ideation, self-harming thoughts, deliberate self-harm, and suicidal self-harm than the non-autistic comparison group. When considering gender differences in the autistic group (but not the non-autistic group due to limited sample size), autistic women reported significantly higher rates of suicidal ideation and suicidal self-harm compared to autistic men; no other gender differences were found. When considering age differences, autistic people in old age were more likely to have had thoughts of self-harm, to have deliberately self-harmed, and to have experienced suicidal self-harm than autistic people in midlife.\n\nLimitations\nThe AgeWellAutism study is a cross-sectional convenience sample that relies on self-report. Survivor bias may also influence findings, as the study design would exclude those who have died by suicide, potentially leading to an underestimation of suicidality.\n\nConclusions\nAutistic adults may be particularly susceptible to experiences of self-harm and suicidality in midlife and old age, particularly autistic women. Additionally, autistic people in old age were also more likely to experience suicidality (including recent experiences) than autistic people in midlife. These findings highlight the urgent need for targeted suicide prevention strategies and mental health interventions for autistic adults in midlife and old age, particularly autistic women and older people.\n\nSupplementary Information\nThe online version contains supplementary material available at 10.1186/s13229-025-00693-x.","container-title":"Molecular Autism","DOI":"10.1186/s13229-025-00693-x","ISSN":"2040-2392","journalAbbreviation":"Mol Autism","note":"PMID: 41291965\nPMCID: PMC12648868","page":"58","source":"PubMed Central","title":"Self-harm and suicidality experiences of autistic and non-autistic adults in midlife and old age","volume":"16","author":[{"family":"Roper","given":"Sophie"},{"family":"Charlton","given":"Rebecca"},{"family":"Happé","given":"Francesca"},{"family":"Stewart","given":"Gavin R."}],"issued":{"date-parts":[["2025",11,25]]}}}],"schema":"https://github.com/citation-style-language/schema/raw/master/csl-citation.json"} </w:instrText>
            </w:r>
            <w:r w:rsidRPr="00BA2E19">
              <w:rPr>
                <w:rFonts w:ascii="Times New Roman" w:eastAsia="Calibri" w:hAnsi="Times New Roman" w:cs="Times New Roman"/>
                <w:color w:val="000000" w:themeColor="text1"/>
                <w:kern w:val="0"/>
                <w:sz w:val="20"/>
                <w:szCs w:val="20"/>
                <w:lang w:val="en-US"/>
              </w:rPr>
              <w:fldChar w:fldCharType="separate"/>
            </w:r>
            <w:r w:rsidRPr="00BA2E19">
              <w:rPr>
                <w:rFonts w:ascii="Times New Roman" w:eastAsia="Calibri" w:hAnsi="Times New Roman" w:cs="Times New Roman"/>
                <w:color w:val="000000" w:themeColor="text1"/>
                <w:kern w:val="0"/>
                <w:sz w:val="20"/>
                <w:szCs w:val="20"/>
                <w:lang w:val="en-US"/>
              </w:rPr>
              <w:t>Roper et al.</w:t>
            </w:r>
            <w:r w:rsidRPr="00BA2E19">
              <w:rPr>
                <w:rFonts w:ascii="Times New Roman" w:eastAsia="Calibri" w:hAnsi="Times New Roman" w:cs="Times New Roman"/>
                <w:color w:val="000000" w:themeColor="text1"/>
                <w:kern w:val="0"/>
                <w:sz w:val="20"/>
                <w:szCs w:val="20"/>
                <w:lang w:val="en-US"/>
              </w:rPr>
              <w:fldChar w:fldCharType="end"/>
            </w:r>
          </w:p>
        </w:tc>
        <w:tc>
          <w:tcPr>
            <w:tcW w:w="855" w:type="dxa"/>
            <w:tcBorders>
              <w:top w:val="nil"/>
              <w:left w:val="nil"/>
              <w:bottom w:val="nil"/>
              <w:right w:val="nil"/>
            </w:tcBorders>
          </w:tcPr>
          <w:p w14:paraId="567DB2A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2025</w:t>
            </w:r>
          </w:p>
        </w:tc>
        <w:tc>
          <w:tcPr>
            <w:tcW w:w="1418" w:type="dxa"/>
            <w:tcBorders>
              <w:top w:val="nil"/>
              <w:left w:val="nil"/>
              <w:bottom w:val="nil"/>
              <w:right w:val="nil"/>
            </w:tcBorders>
          </w:tcPr>
          <w:p w14:paraId="2F3B29E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UK</w:t>
            </w:r>
          </w:p>
        </w:tc>
        <w:tc>
          <w:tcPr>
            <w:tcW w:w="1276" w:type="dxa"/>
            <w:tcBorders>
              <w:top w:val="nil"/>
              <w:left w:val="nil"/>
              <w:bottom w:val="nil"/>
              <w:right w:val="nil"/>
            </w:tcBorders>
          </w:tcPr>
          <w:p w14:paraId="0BC4359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222</w:t>
            </w:r>
          </w:p>
        </w:tc>
        <w:tc>
          <w:tcPr>
            <w:tcW w:w="1984" w:type="dxa"/>
            <w:tcBorders>
              <w:top w:val="nil"/>
              <w:left w:val="nil"/>
              <w:bottom w:val="nil"/>
              <w:right w:val="nil"/>
            </w:tcBorders>
          </w:tcPr>
          <w:p w14:paraId="014919E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60.9 (12.8)</w:t>
            </w:r>
          </w:p>
        </w:tc>
        <w:tc>
          <w:tcPr>
            <w:tcW w:w="1134" w:type="dxa"/>
            <w:tcBorders>
              <w:top w:val="nil"/>
              <w:left w:val="nil"/>
              <w:bottom w:val="nil"/>
              <w:right w:val="nil"/>
            </w:tcBorders>
          </w:tcPr>
          <w:p w14:paraId="6C72AAC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44.1</w:t>
            </w:r>
          </w:p>
        </w:tc>
        <w:tc>
          <w:tcPr>
            <w:tcW w:w="3822" w:type="dxa"/>
            <w:tcBorders>
              <w:top w:val="nil"/>
              <w:left w:val="nil"/>
              <w:bottom w:val="nil"/>
              <w:right w:val="nil"/>
            </w:tcBorders>
          </w:tcPr>
          <w:p w14:paraId="060E463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Self-Report, RAADS-14</w:t>
            </w:r>
          </w:p>
        </w:tc>
        <w:tc>
          <w:tcPr>
            <w:tcW w:w="1701" w:type="dxa"/>
            <w:tcBorders>
              <w:top w:val="nil"/>
              <w:left w:val="nil"/>
              <w:bottom w:val="nil"/>
              <w:right w:val="nil"/>
            </w:tcBorders>
          </w:tcPr>
          <w:p w14:paraId="6CA7D07E"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61DC99A0"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10FEA981"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{"citationID":"a66mgummqj","properties":{"formattedCitation":"(Ryd\\uc0\\u233{}n et al., 2008)","plainCitation":"(Rydén et al., 2008)","dontUpdate":true,"noteIndex":0},"citationItems":[{"id":"wAnnZMUy/7yxXb8EJ","uris":["http://zotero.org/users/9059392/items/N3XL8E3D"],"itemData":{"id":1430,"type":"article-journal","abstract":"Object: The first aim of this study was to find out whether Autism Spectrum Disorder (ASD) co-occurs with Borderline personality disorder (BPD). Secondly, we wanted to compare BPD-patients with and without ASD on a number of important clinical measures such as suicide attempts, self-harm, inpatient days, symptom burden, and describe characteristic features in patients with comorbid ASD and BPD. Method: Consecutively referred female patients with SCID-II-verified BPD were assessed for autistic traits. All patients were extensively investigated with interviews, neuropsychological testing and self-rating questionnaires and medical records were reviewed. Among the instruments used in the structured assessment procedure for all patients were measurement for self-image (SASB) and global functioning (GAF). Results: Six (15 %) of 41 patients with SCID-II-verified BPD fulfilled criteria for ASD. ASD patients had significantly more frequent suicide attempts. They also had significantly lower global functioning (GAF median 30 versus 44). The two groups did not differ in number of comorbid Axis I and II disorders with the exception of substance abuse which was more common in patients without ASD. Patients with ASD were found to have a more negative self-image in SASB. Conclusions: Comorbid ASD and BPD might indicate a group at high risk for suicide. Absence of substance abuse and pronounced negative self-image should lead to a clinical suspicion that Autism spectrum disorder might be present. These findings need to be replicated. There is a need for more studies in this complex patient group that challenges our capacity in therapeutic work. Limitations: The referral procedure of severely ill patients and the small number make it hard to generalize these findings to all patients with BPD.","container-title":"Clinical Neuropsychiatry","issue":"1","journalAbbreviation":"Clinical Neuropsychiatry","page":"22 - 30","source":"ResearchGate","title":"Borderline personality disorder and Autism Spectrum Disorder in females - A cross-sectional study","volume":"5","author":[{"family":"Rydén","given":"Göran"},{"family":"Rydén","given":"Eleonore"},{"family":"Hetta","given":"Jerker"}],"issued":{"date-parts":[["2008"]]}}}],"schema":"https://github.com/citation-style-language/schema/raw/master/csl-citation.json"}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lang w:val="en-US"/>
              </w:rPr>
              <w:t>Rydén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14B97DD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2008</w:t>
            </w:r>
          </w:p>
        </w:tc>
        <w:tc>
          <w:tcPr>
            <w:tcW w:w="1418" w:type="dxa"/>
            <w:tcBorders>
              <w:top w:val="nil"/>
              <w:left w:val="nil"/>
              <w:bottom w:val="nil"/>
              <w:right w:val="nil"/>
            </w:tcBorders>
          </w:tcPr>
          <w:p w14:paraId="2B1CD7D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Sweden</w:t>
            </w:r>
          </w:p>
        </w:tc>
        <w:tc>
          <w:tcPr>
            <w:tcW w:w="1276" w:type="dxa"/>
            <w:tcBorders>
              <w:top w:val="nil"/>
              <w:left w:val="nil"/>
              <w:bottom w:val="nil"/>
              <w:right w:val="nil"/>
            </w:tcBorders>
          </w:tcPr>
          <w:p w14:paraId="0C90A12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6</w:t>
            </w:r>
          </w:p>
        </w:tc>
        <w:tc>
          <w:tcPr>
            <w:tcW w:w="1984" w:type="dxa"/>
            <w:tcBorders>
              <w:top w:val="nil"/>
              <w:left w:val="nil"/>
              <w:bottom w:val="nil"/>
              <w:right w:val="nil"/>
            </w:tcBorders>
          </w:tcPr>
          <w:p w14:paraId="238242E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31.2 (8.9)</w:t>
            </w:r>
          </w:p>
        </w:tc>
        <w:tc>
          <w:tcPr>
            <w:tcW w:w="1134" w:type="dxa"/>
            <w:tcBorders>
              <w:top w:val="nil"/>
              <w:left w:val="nil"/>
              <w:bottom w:val="nil"/>
              <w:right w:val="nil"/>
            </w:tcBorders>
          </w:tcPr>
          <w:p w14:paraId="574DA8E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 xml:space="preserve">0 </w:t>
            </w:r>
          </w:p>
        </w:tc>
        <w:tc>
          <w:tcPr>
            <w:tcW w:w="3822" w:type="dxa"/>
            <w:tcBorders>
              <w:top w:val="nil"/>
              <w:left w:val="nil"/>
              <w:bottom w:val="nil"/>
              <w:right w:val="nil"/>
            </w:tcBorders>
          </w:tcPr>
          <w:p w14:paraId="595591F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 xml:space="preserve">ASDI, interview schedule </w:t>
            </w:r>
          </w:p>
        </w:tc>
        <w:tc>
          <w:tcPr>
            <w:tcW w:w="1701" w:type="dxa"/>
            <w:tcBorders>
              <w:top w:val="nil"/>
              <w:left w:val="nil"/>
              <w:bottom w:val="nil"/>
              <w:right w:val="nil"/>
            </w:tcBorders>
          </w:tcPr>
          <w:p w14:paraId="42CD87B9"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 clinician, chart-review</w:t>
            </w:r>
          </w:p>
        </w:tc>
      </w:tr>
      <w:tr w:rsidR="00576413" w:rsidRPr="00BA2E19" w14:paraId="308A807D"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66FE6BA9"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{"citationID":"aet12mtub6","properties":{"formattedCitation":"(Shtayermman, 2007)","plainCitation":"(Shtayermman, 2007)","dontUpdate":true,"noteIndex":0},"citationItems":[{"id":"wAnnZMUy/4raAGBxL","uris":["http://zotero.org/users/9059392/items/KYIJCEBE"],"itemData":{"id":1406,"type":"article-journal","abstract":"The present exploratory study examined the level of peer victimization, depressive symptomatology, anxiety symptomatology, and level of suicidal ideation among adolescents and young adults diagnosed with Asperger's Syndrome (AS). This cross-sectional study used a self-administrated mail questionnaire and a Web-based questionnaire. The study included two samples. The first sample used snowball sampling, beginning with parents of adolescents and young adults diagnosed with AS who participated in a qualitative study conducted in 2002. The second sample consisted of a volunteer sample of parents who accessed Web sites for parents and individuals diagnosed with Autism Spectrum Disorder. A total sample of 10 adolescents and young adults diagnosed with AS was obtained. The high proportion of respondents with scores above the cutoff point on the overt victimization and relational victimization scales suggests that these adolescents and young adults experienced high levels of victimization. Of the sample, 20 percent met criteria for a diagnosis of Major Depressive Disorder, 30 percent met criteria for Generalized Anxiety Disorder and 50 percent had clinically significant level of suicidal ideation.","container-title":"Issues in Comprehensive Pediatric Nursing","DOI":"10.1080/01460860701525089","ISSN":"0146-0862","issue":"3","journalAbbreviation":"Issues Compr Pediatr Nurs","language":"eng","note":"PMID: 17885828","page":"87-107","source":"PubMed","title":"Peer victimization in adolescents and young adults diagnosed with Asperger's Syndrome: a link to depressive symptomatology, anxiety symptomatology and suicidal ideation","title-short":"Peer victimization in adolescents and young adults diagnosed with Asperger's Syndrome","volume":"30","author":[{"family":"Shtayermman","given":"Oren"}],"issued":{"date-parts":[["2007"]]}}}],"schema":"https://github.com/citation-style-language/schema/raw/master/csl-citation.json"}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proofErr w:type="spellStart"/>
            <w:r w:rsidRPr="00BA2E19">
              <w:rPr>
                <w:rFonts w:ascii="Times New Roman" w:hAnsi="Times New Roman" w:cs="Times New Roman"/>
                <w:color w:val="000000" w:themeColor="text1"/>
                <w:kern w:val="0"/>
                <w:sz w:val="20"/>
                <w:szCs w:val="20"/>
                <w:lang w:val="en-US"/>
              </w:rPr>
              <w:t>Shtayermman</w:t>
            </w:r>
            <w:proofErr w:type="spellEnd"/>
            <w:r w:rsidRPr="00BA2E19">
              <w:rPr>
                <w:rFonts w:ascii="Times New Roman" w:hAnsi="Times New Roman" w:cs="Times New Roman"/>
                <w:color w:val="000000" w:themeColor="text1"/>
                <w:sz w:val="20"/>
                <w:szCs w:val="20"/>
                <w:lang w:val="en-US"/>
              </w:rPr>
              <w:fldChar w:fldCharType="end"/>
            </w:r>
          </w:p>
        </w:tc>
        <w:tc>
          <w:tcPr>
            <w:tcW w:w="855" w:type="dxa"/>
            <w:tcBorders>
              <w:top w:val="nil"/>
              <w:left w:val="nil"/>
              <w:bottom w:val="nil"/>
              <w:right w:val="nil"/>
            </w:tcBorders>
          </w:tcPr>
          <w:p w14:paraId="497518B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2007</w:t>
            </w:r>
          </w:p>
        </w:tc>
        <w:tc>
          <w:tcPr>
            <w:tcW w:w="1418" w:type="dxa"/>
            <w:tcBorders>
              <w:top w:val="nil"/>
              <w:left w:val="nil"/>
              <w:bottom w:val="nil"/>
              <w:right w:val="nil"/>
            </w:tcBorders>
          </w:tcPr>
          <w:p w14:paraId="2C4335D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US</w:t>
            </w:r>
          </w:p>
        </w:tc>
        <w:tc>
          <w:tcPr>
            <w:tcW w:w="1276" w:type="dxa"/>
            <w:tcBorders>
              <w:top w:val="nil"/>
              <w:left w:val="nil"/>
              <w:bottom w:val="nil"/>
              <w:right w:val="nil"/>
            </w:tcBorders>
          </w:tcPr>
          <w:p w14:paraId="297687B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10</w:t>
            </w:r>
          </w:p>
        </w:tc>
        <w:tc>
          <w:tcPr>
            <w:tcW w:w="1984" w:type="dxa"/>
            <w:tcBorders>
              <w:top w:val="nil"/>
              <w:left w:val="nil"/>
              <w:bottom w:val="nil"/>
              <w:right w:val="nil"/>
            </w:tcBorders>
          </w:tcPr>
          <w:p w14:paraId="4341AAA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19.7 (3)</w:t>
            </w:r>
          </w:p>
        </w:tc>
        <w:tc>
          <w:tcPr>
            <w:tcW w:w="1134" w:type="dxa"/>
            <w:tcBorders>
              <w:top w:val="nil"/>
              <w:left w:val="nil"/>
              <w:bottom w:val="nil"/>
              <w:right w:val="nil"/>
            </w:tcBorders>
          </w:tcPr>
          <w:p w14:paraId="493BEE4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90</w:t>
            </w:r>
          </w:p>
        </w:tc>
        <w:tc>
          <w:tcPr>
            <w:tcW w:w="3822" w:type="dxa"/>
            <w:tcBorders>
              <w:top w:val="nil"/>
              <w:left w:val="nil"/>
              <w:bottom w:val="nil"/>
              <w:right w:val="nil"/>
            </w:tcBorders>
          </w:tcPr>
          <w:p w14:paraId="1B31FDE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 xml:space="preserve">KADI </w:t>
            </w:r>
          </w:p>
        </w:tc>
        <w:tc>
          <w:tcPr>
            <w:tcW w:w="1701" w:type="dxa"/>
            <w:tcBorders>
              <w:top w:val="nil"/>
              <w:left w:val="nil"/>
              <w:bottom w:val="nil"/>
              <w:right w:val="nil"/>
            </w:tcBorders>
          </w:tcPr>
          <w:p w14:paraId="67E753E6"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 parent-report</w:t>
            </w:r>
          </w:p>
        </w:tc>
      </w:tr>
      <w:tr w:rsidR="00576413" w:rsidRPr="00BA2E19" w14:paraId="3913720A"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C6FFE65"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{"citationID":"asvdklk7m4","properties":{"formattedCitation":"(Shtayermman, 2008)","plainCitation":"(Shtayermman, 2008)","dontUpdate":true,"noteIndex":0},"citationItems":[{"id":"wAnnZMUy/yAdfUYIO","uris":["http://zotero.org/users/9059392/items/7SJJUDZV"],"itemData":{"id":1444,"type":"article-journal","abstract":"The purpose of this study was to examine the level of suicidal ideation and comorbid disorders (major depressive disorder, generalized anxiety disorder) among adolescents and young adults with diagnosed Asperger's syndrome (AS). A cross-sectional study using a self-administrated mail questionnaire and a Web-based questionnaire were used. Two samples were selected for this study. The first sample used snowball sampling, starting with parents of adolescents and young adults with diagnosed AS who participated in a qualitative study conducted in 2002. The second sample consisted of a volunteer sample of parents who visited Web sites for parents and individuals with diagnosed autism spectrum disorder. The sample included 10 adolescents and young adults with diagnosed AS. Fifty percent of the sample had a clinically significant level of suicidal ideation, 20% met criteria for a diagnosis of major depressive disorder, and 30% met criteria for generalized anxiety disorder.","container-title":"Journal of Human Behavior in the Social Environment","DOI":"10.1080/10911350802427548","ISSN":"1091-1359","issue":"3","note":"publisher: Routledge\n_eprint: https://doi.org/10.1080/10911350802427548","page":"301-328","source":"Taylor and Francis+NEJM","title":"Suicidal Ideation and Comorbid Disorders in Adolescents and Young Adults Diagnosed with Asperger's Syndrome: A Population at Risk","title-short":"Suicidal Ideation and Comorbid Disorders in Adolescents and Young Adults Diagnosed with Asperger's Syndrome","volume":"18","author":[{"family":"Shtayermman","given":"Oren"}],"issued":{"date-parts":[["2008",10,31]]}}}],"schema":"https://github.com/citation-style-language/schema/raw/master/csl-citation.json"}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proofErr w:type="spellStart"/>
            <w:r w:rsidRPr="00BA2E19">
              <w:rPr>
                <w:rFonts w:ascii="Times New Roman" w:hAnsi="Times New Roman" w:cs="Times New Roman"/>
                <w:color w:val="000000" w:themeColor="text1"/>
                <w:sz w:val="20"/>
                <w:szCs w:val="20"/>
                <w:lang w:val="en-US"/>
              </w:rPr>
              <w:t>Shtayermman</w:t>
            </w:r>
            <w:proofErr w:type="spellEnd"/>
            <w:r w:rsidRPr="00BA2E19">
              <w:rPr>
                <w:rFonts w:ascii="Times New Roman" w:hAnsi="Times New Roman" w:cs="Times New Roman"/>
                <w:color w:val="000000" w:themeColor="text1"/>
                <w:sz w:val="20"/>
                <w:szCs w:val="20"/>
                <w:lang w:val="en-US"/>
              </w:rPr>
              <w:fldChar w:fldCharType="end"/>
            </w:r>
          </w:p>
        </w:tc>
        <w:tc>
          <w:tcPr>
            <w:tcW w:w="855" w:type="dxa"/>
            <w:tcBorders>
              <w:top w:val="nil"/>
              <w:left w:val="nil"/>
              <w:bottom w:val="nil"/>
              <w:right w:val="nil"/>
            </w:tcBorders>
          </w:tcPr>
          <w:p w14:paraId="7F7F515D"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2008</w:t>
            </w:r>
          </w:p>
        </w:tc>
        <w:tc>
          <w:tcPr>
            <w:tcW w:w="1418" w:type="dxa"/>
            <w:tcBorders>
              <w:top w:val="nil"/>
              <w:left w:val="nil"/>
              <w:bottom w:val="nil"/>
              <w:right w:val="nil"/>
            </w:tcBorders>
          </w:tcPr>
          <w:p w14:paraId="5261537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US</w:t>
            </w:r>
          </w:p>
        </w:tc>
        <w:tc>
          <w:tcPr>
            <w:tcW w:w="1276" w:type="dxa"/>
            <w:tcBorders>
              <w:top w:val="nil"/>
              <w:left w:val="nil"/>
              <w:bottom w:val="nil"/>
              <w:right w:val="nil"/>
            </w:tcBorders>
          </w:tcPr>
          <w:p w14:paraId="7ACC1801"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10</w:t>
            </w:r>
          </w:p>
        </w:tc>
        <w:tc>
          <w:tcPr>
            <w:tcW w:w="1984" w:type="dxa"/>
            <w:tcBorders>
              <w:top w:val="nil"/>
              <w:left w:val="nil"/>
              <w:bottom w:val="nil"/>
              <w:right w:val="nil"/>
            </w:tcBorders>
          </w:tcPr>
          <w:p w14:paraId="02C1D06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19.7 (3)</w:t>
            </w:r>
          </w:p>
        </w:tc>
        <w:tc>
          <w:tcPr>
            <w:tcW w:w="1134" w:type="dxa"/>
            <w:tcBorders>
              <w:top w:val="nil"/>
              <w:left w:val="nil"/>
              <w:bottom w:val="nil"/>
              <w:right w:val="nil"/>
            </w:tcBorders>
          </w:tcPr>
          <w:p w14:paraId="6064EAF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90</w:t>
            </w:r>
          </w:p>
        </w:tc>
        <w:tc>
          <w:tcPr>
            <w:tcW w:w="3822" w:type="dxa"/>
            <w:tcBorders>
              <w:top w:val="nil"/>
              <w:left w:val="nil"/>
              <w:bottom w:val="nil"/>
              <w:right w:val="nil"/>
            </w:tcBorders>
          </w:tcPr>
          <w:p w14:paraId="1A95EC22"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 xml:space="preserve">KADI </w:t>
            </w:r>
          </w:p>
        </w:tc>
        <w:tc>
          <w:tcPr>
            <w:tcW w:w="1701" w:type="dxa"/>
            <w:tcBorders>
              <w:top w:val="nil"/>
              <w:left w:val="nil"/>
              <w:bottom w:val="nil"/>
              <w:right w:val="nil"/>
            </w:tcBorders>
          </w:tcPr>
          <w:p w14:paraId="049090E6"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 parent-report</w:t>
            </w:r>
          </w:p>
        </w:tc>
      </w:tr>
      <w:tr w:rsidR="00576413" w:rsidRPr="00BA2E19" w14:paraId="25FE4E89"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3A0AC319"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{"citationID":"a2nkoqbjloh","properties":{"formattedCitation":"(Shtayermman, 2022)","plainCitation":"(Shtayermman, 2022)","dontUpdate":true,"noteIndex":0},"citationItems":[{"id":"wAnnZMUy/Wom0Qa5g","uris":["http://zotero.org/users/9059392/items/4PQPE4D2"],"itemData":{"id":1437,"type":"article-journal","abstract":"The purpose of this study was to investigate the presence and levels of suicidal ideation in sibling dyads including persons diagnosed with autism spectrum disorder (ASD). Because of the limited amount of evidence related to sibling dyads, it is important to be holistic in the approach to family well-being. Although parents have received attention regarding their mental health, siblings have not attracted comparable attention, and their needs have not been widely assessed.","container-title":"Advances in Neurodevelopmental Disorders","DOI":"10.1007/s41252-021-00235-5","ISSN":"2366-7540","issue":"1","journalAbbreviation":"Adv Neurodev Disord","language":"en","page":"76-83","source":"Springer Link","title":"Suicidal Ideation Profiles of Sibling Dyads of Individuals with Autism","volume":"6","author":[{"family":"Shtayermman","given":"Oren"}],"issued":{"date-parts":[["2022",3,1]]}}}],"schema":"https://github.com/citation-style-language/schema/raw/master/csl-citation.json"}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proofErr w:type="spellStart"/>
            <w:r w:rsidRPr="00BA2E19">
              <w:rPr>
                <w:rFonts w:ascii="Times New Roman" w:hAnsi="Times New Roman" w:cs="Times New Roman"/>
                <w:color w:val="000000" w:themeColor="text1"/>
                <w:kern w:val="0"/>
                <w:sz w:val="20"/>
                <w:szCs w:val="20"/>
                <w:lang w:val="en-US"/>
              </w:rPr>
              <w:t>Shtayermman</w:t>
            </w:r>
            <w:proofErr w:type="spellEnd"/>
            <w:r w:rsidRPr="00BA2E19">
              <w:rPr>
                <w:rFonts w:ascii="Times New Roman" w:hAnsi="Times New Roman" w:cs="Times New Roman"/>
                <w:color w:val="000000" w:themeColor="text1"/>
                <w:sz w:val="20"/>
                <w:szCs w:val="20"/>
                <w:lang w:val="en-US"/>
              </w:rPr>
              <w:fldChar w:fldCharType="end"/>
            </w:r>
          </w:p>
        </w:tc>
        <w:tc>
          <w:tcPr>
            <w:tcW w:w="855" w:type="dxa"/>
            <w:tcBorders>
              <w:top w:val="nil"/>
              <w:left w:val="nil"/>
              <w:bottom w:val="nil"/>
              <w:right w:val="nil"/>
            </w:tcBorders>
          </w:tcPr>
          <w:p w14:paraId="49EB6B4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2022</w:t>
            </w:r>
          </w:p>
        </w:tc>
        <w:tc>
          <w:tcPr>
            <w:tcW w:w="1418" w:type="dxa"/>
            <w:tcBorders>
              <w:top w:val="nil"/>
              <w:left w:val="nil"/>
              <w:bottom w:val="nil"/>
              <w:right w:val="nil"/>
            </w:tcBorders>
          </w:tcPr>
          <w:p w14:paraId="677F4A6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US</w:t>
            </w:r>
          </w:p>
        </w:tc>
        <w:tc>
          <w:tcPr>
            <w:tcW w:w="1276" w:type="dxa"/>
            <w:tcBorders>
              <w:top w:val="nil"/>
              <w:left w:val="nil"/>
              <w:bottom w:val="nil"/>
              <w:right w:val="nil"/>
            </w:tcBorders>
          </w:tcPr>
          <w:p w14:paraId="195703F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112</w:t>
            </w:r>
          </w:p>
        </w:tc>
        <w:tc>
          <w:tcPr>
            <w:tcW w:w="1984" w:type="dxa"/>
            <w:tcBorders>
              <w:top w:val="nil"/>
              <w:left w:val="nil"/>
              <w:bottom w:val="nil"/>
              <w:right w:val="nil"/>
            </w:tcBorders>
          </w:tcPr>
          <w:p w14:paraId="3A3F5EA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vertAlign w:val="superscript"/>
                <w:lang w:val="en-US"/>
              </w:rPr>
            </w:pPr>
            <w:r w:rsidRPr="00BA2E19">
              <w:rPr>
                <w:rFonts w:ascii="Times New Roman" w:eastAsia="Calibri" w:hAnsi="Times New Roman" w:cs="Times New Roman"/>
                <w:color w:val="000000" w:themeColor="text1"/>
                <w:kern w:val="0"/>
                <w:sz w:val="20"/>
                <w:szCs w:val="20"/>
                <w:lang w:val="en-US"/>
              </w:rPr>
              <w:t>36.03 (</w:t>
            </w:r>
            <w:proofErr w:type="gramStart"/>
            <w:r w:rsidRPr="00BA2E19">
              <w:rPr>
                <w:rFonts w:ascii="Times New Roman" w:eastAsia="Calibri" w:hAnsi="Times New Roman" w:cs="Times New Roman"/>
                <w:color w:val="000000" w:themeColor="text1"/>
                <w:kern w:val="0"/>
                <w:sz w:val="20"/>
                <w:szCs w:val="20"/>
                <w:lang w:val="en-US"/>
              </w:rPr>
              <w:t>15.4)</w:t>
            </w:r>
            <w:r>
              <w:rPr>
                <w:rFonts w:ascii="Times New Roman" w:eastAsia="Calibri" w:hAnsi="Times New Roman" w:cs="Times New Roman"/>
                <w:color w:val="000000" w:themeColor="text1"/>
                <w:kern w:val="0"/>
                <w:sz w:val="20"/>
                <w:szCs w:val="20"/>
                <w:vertAlign w:val="superscript"/>
                <w:lang w:val="en-US"/>
              </w:rPr>
              <w:t>e</w:t>
            </w:r>
            <w:proofErr w:type="gramEnd"/>
          </w:p>
        </w:tc>
        <w:tc>
          <w:tcPr>
            <w:tcW w:w="1134" w:type="dxa"/>
            <w:tcBorders>
              <w:top w:val="nil"/>
              <w:left w:val="nil"/>
              <w:bottom w:val="nil"/>
              <w:right w:val="nil"/>
            </w:tcBorders>
          </w:tcPr>
          <w:p w14:paraId="2C1E797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vertAlign w:val="superscript"/>
                <w:lang w:val="en-US"/>
              </w:rPr>
            </w:pPr>
            <w:r w:rsidRPr="00BA2E19">
              <w:rPr>
                <w:rFonts w:ascii="Times New Roman" w:eastAsia="Calibri" w:hAnsi="Times New Roman" w:cs="Times New Roman"/>
                <w:color w:val="000000" w:themeColor="text1"/>
                <w:kern w:val="0"/>
                <w:sz w:val="20"/>
                <w:szCs w:val="20"/>
                <w:lang w:val="en-US"/>
              </w:rPr>
              <w:t>38.9</w:t>
            </w:r>
            <w:r>
              <w:rPr>
                <w:rFonts w:ascii="Times New Roman" w:eastAsia="Calibri" w:hAnsi="Times New Roman" w:cs="Times New Roman"/>
                <w:color w:val="000000" w:themeColor="text1"/>
                <w:kern w:val="0"/>
                <w:sz w:val="20"/>
                <w:szCs w:val="20"/>
                <w:vertAlign w:val="superscript"/>
                <w:lang w:val="en-US"/>
              </w:rPr>
              <w:t>e</w:t>
            </w:r>
          </w:p>
        </w:tc>
        <w:tc>
          <w:tcPr>
            <w:tcW w:w="3822" w:type="dxa"/>
            <w:tcBorders>
              <w:top w:val="nil"/>
              <w:left w:val="nil"/>
              <w:bottom w:val="nil"/>
              <w:right w:val="nil"/>
            </w:tcBorders>
          </w:tcPr>
          <w:p w14:paraId="2827AE4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ASD registry, NOS</w:t>
            </w:r>
          </w:p>
        </w:tc>
        <w:tc>
          <w:tcPr>
            <w:tcW w:w="1701" w:type="dxa"/>
            <w:tcBorders>
              <w:top w:val="nil"/>
              <w:left w:val="nil"/>
              <w:bottom w:val="nil"/>
              <w:right w:val="nil"/>
            </w:tcBorders>
          </w:tcPr>
          <w:p w14:paraId="15562CB8"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609E9835"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2817A062"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{"citationID":"a1tv196ocog","properties":{"formattedCitation":"(Shtayermman &amp; Fletcher, 2022)","plainCitation":"(Shtayermman &amp; Fletcher, 2022)","dontUpdate":true,"noteIndex":0},"citationItems":[{"id":"wAnnZMUy/aIVZi1Y0","uris":["http://zotero.org/users/9059392/items/QDB7TDUS"],"itemData":{"id":1410,"type":"article-journal","abstract":"The occurrence of mood- and anxiety-related conditions among family members of individuals diagnosed with autism spectrum disorder (ASD) increases the risk of suicide attempts and has also created assessment and treatment issues for clinicians and parents. Recorded rates of mental health disorders comorbid with suicide attempts among individuals on the spectrum range from 29% to 52%. The purpose of this study was to investigate the presence of predictors of suicide attempts among sibling dyads (pairs of siblings in which one sibling is on the autism spectrum). Growing evidence in the literature indicates a link between a diagnosis of autism and mental health. A web-based survey was used to collect data from individuals on the spectrum and their siblings. A sample of 144 individuals was finalized for the analyses. Logistic regression analysis was conducted to assess the predictors of suicide attempts in the sample. Depression, anxiety, sexual orientation, and marital status were all used as predictors in the logistic regression analyses. Both levels of anxiety and sexual orientation were found to be significant predictors for suicide attempts. Recommendations for future research, assessment, and treatment are presented.","container-title":"Nursing Research and Practice","DOI":"10.1155/2022/9157365","ISSN":"2090-1429","journalAbbreviation":"Nurs Res Pract","note":"PMID: 36089923\nPMCID: PMC9463008","page":"9157365","source":"PubMed Central","title":"Predictors of Suicide Attempts of Individuals with Autism and Their Siblings","volume":"2022","author":[{"family":"Shtayermman","given":"Oren"},{"family":"Fletcher","given":"Jason"}],"issued":{"date-parts":[["2022",9,2]]}}}],"schema":"https://github.com/citation-style-language/schema/raw/master/csl-citation.json"}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proofErr w:type="spellStart"/>
            <w:r w:rsidRPr="00BA2E19">
              <w:rPr>
                <w:rFonts w:ascii="Times New Roman" w:hAnsi="Times New Roman" w:cs="Times New Roman"/>
                <w:color w:val="000000" w:themeColor="text1"/>
                <w:kern w:val="0"/>
                <w:sz w:val="20"/>
                <w:szCs w:val="20"/>
                <w:lang w:val="en-US"/>
              </w:rPr>
              <w:t>Shtayermman</w:t>
            </w:r>
            <w:proofErr w:type="spellEnd"/>
            <w:r w:rsidRPr="00BA2E19">
              <w:rPr>
                <w:rFonts w:ascii="Times New Roman" w:hAnsi="Times New Roman" w:cs="Times New Roman"/>
                <w:color w:val="000000" w:themeColor="text1"/>
                <w:kern w:val="0"/>
                <w:sz w:val="20"/>
                <w:szCs w:val="20"/>
                <w:lang w:val="en-US"/>
              </w:rPr>
              <w:t xml:space="preserve"> &amp; Fletcher, </w:t>
            </w:r>
            <w:r w:rsidRPr="00BA2E19">
              <w:rPr>
                <w:rFonts w:ascii="Times New Roman" w:hAnsi="Times New Roman" w:cs="Times New Roman"/>
                <w:color w:val="000000" w:themeColor="text1"/>
                <w:sz w:val="20"/>
                <w:szCs w:val="20"/>
                <w:lang w:val="en-US"/>
              </w:rPr>
              <w:fldChar w:fldCharType="end"/>
            </w:r>
          </w:p>
        </w:tc>
        <w:tc>
          <w:tcPr>
            <w:tcW w:w="855" w:type="dxa"/>
            <w:tcBorders>
              <w:top w:val="nil"/>
              <w:left w:val="nil"/>
              <w:bottom w:val="nil"/>
              <w:right w:val="nil"/>
            </w:tcBorders>
          </w:tcPr>
          <w:p w14:paraId="2D70957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2022</w:t>
            </w:r>
          </w:p>
        </w:tc>
        <w:tc>
          <w:tcPr>
            <w:tcW w:w="1418" w:type="dxa"/>
            <w:tcBorders>
              <w:top w:val="nil"/>
              <w:left w:val="nil"/>
              <w:bottom w:val="nil"/>
              <w:right w:val="nil"/>
            </w:tcBorders>
          </w:tcPr>
          <w:p w14:paraId="5321A84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US</w:t>
            </w:r>
          </w:p>
        </w:tc>
        <w:tc>
          <w:tcPr>
            <w:tcW w:w="1276" w:type="dxa"/>
            <w:tcBorders>
              <w:top w:val="nil"/>
              <w:left w:val="nil"/>
              <w:bottom w:val="nil"/>
              <w:right w:val="nil"/>
            </w:tcBorders>
          </w:tcPr>
          <w:p w14:paraId="4D4092C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112</w:t>
            </w:r>
          </w:p>
        </w:tc>
        <w:tc>
          <w:tcPr>
            <w:tcW w:w="1984" w:type="dxa"/>
            <w:tcBorders>
              <w:top w:val="nil"/>
              <w:left w:val="nil"/>
              <w:bottom w:val="nil"/>
              <w:right w:val="nil"/>
            </w:tcBorders>
          </w:tcPr>
          <w:p w14:paraId="414C2CA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vertAlign w:val="superscript"/>
                <w:lang w:val="en-US"/>
              </w:rPr>
            </w:pPr>
            <w:r w:rsidRPr="00BA2E19">
              <w:rPr>
                <w:rFonts w:ascii="Times New Roman" w:eastAsia="Calibri" w:hAnsi="Times New Roman" w:cs="Times New Roman"/>
                <w:color w:val="000000" w:themeColor="text1"/>
                <w:kern w:val="0"/>
                <w:sz w:val="20"/>
                <w:szCs w:val="20"/>
                <w:lang w:val="en-US"/>
              </w:rPr>
              <w:t>36.03 (</w:t>
            </w:r>
            <w:proofErr w:type="gramStart"/>
            <w:r w:rsidRPr="00BA2E19">
              <w:rPr>
                <w:rFonts w:ascii="Times New Roman" w:eastAsia="Calibri" w:hAnsi="Times New Roman" w:cs="Times New Roman"/>
                <w:color w:val="000000" w:themeColor="text1"/>
                <w:kern w:val="0"/>
                <w:sz w:val="20"/>
                <w:szCs w:val="20"/>
                <w:lang w:val="en-US"/>
              </w:rPr>
              <w:t>15.4)</w:t>
            </w:r>
            <w:r>
              <w:rPr>
                <w:rFonts w:ascii="Times New Roman" w:eastAsia="Calibri" w:hAnsi="Times New Roman" w:cs="Times New Roman"/>
                <w:color w:val="000000" w:themeColor="text1"/>
                <w:kern w:val="0"/>
                <w:sz w:val="20"/>
                <w:szCs w:val="20"/>
                <w:vertAlign w:val="superscript"/>
                <w:lang w:val="en-US"/>
              </w:rPr>
              <w:t>e</w:t>
            </w:r>
            <w:proofErr w:type="gramEnd"/>
          </w:p>
        </w:tc>
        <w:tc>
          <w:tcPr>
            <w:tcW w:w="1134" w:type="dxa"/>
            <w:tcBorders>
              <w:top w:val="nil"/>
              <w:left w:val="nil"/>
              <w:bottom w:val="nil"/>
              <w:right w:val="nil"/>
            </w:tcBorders>
          </w:tcPr>
          <w:p w14:paraId="225A7B6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vertAlign w:val="superscript"/>
                <w:lang w:val="en-US"/>
              </w:rPr>
            </w:pPr>
            <w:r w:rsidRPr="00BA2E19">
              <w:rPr>
                <w:rFonts w:ascii="Times New Roman" w:eastAsia="Calibri" w:hAnsi="Times New Roman" w:cs="Times New Roman"/>
                <w:color w:val="000000" w:themeColor="text1"/>
                <w:kern w:val="0"/>
                <w:sz w:val="20"/>
                <w:szCs w:val="20"/>
                <w:lang w:val="en-US"/>
              </w:rPr>
              <w:t>38.9</w:t>
            </w:r>
            <w:r>
              <w:rPr>
                <w:rFonts w:ascii="Times New Roman" w:eastAsia="Calibri" w:hAnsi="Times New Roman" w:cs="Times New Roman"/>
                <w:color w:val="000000" w:themeColor="text1"/>
                <w:kern w:val="0"/>
                <w:sz w:val="20"/>
                <w:szCs w:val="20"/>
                <w:vertAlign w:val="superscript"/>
                <w:lang w:val="en-US"/>
              </w:rPr>
              <w:t>e</w:t>
            </w:r>
          </w:p>
        </w:tc>
        <w:tc>
          <w:tcPr>
            <w:tcW w:w="3822" w:type="dxa"/>
            <w:tcBorders>
              <w:top w:val="nil"/>
              <w:left w:val="nil"/>
              <w:bottom w:val="nil"/>
              <w:right w:val="nil"/>
            </w:tcBorders>
          </w:tcPr>
          <w:p w14:paraId="043E069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ASD registry, NOS</w:t>
            </w:r>
          </w:p>
        </w:tc>
        <w:tc>
          <w:tcPr>
            <w:tcW w:w="1701" w:type="dxa"/>
            <w:tcBorders>
              <w:top w:val="nil"/>
              <w:left w:val="nil"/>
              <w:bottom w:val="nil"/>
              <w:right w:val="nil"/>
            </w:tcBorders>
          </w:tcPr>
          <w:p w14:paraId="5A8FFB0A"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r w:rsidR="00576413" w:rsidRPr="00BA2E19" w14:paraId="167062F7"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3F420079"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{"citationID":"a2m5rip6h87","properties":{"formattedCitation":"(Takara &amp; Kondo, 2014)","plainCitation":"(Takara &amp; Kondo, 2014)","dontUpdate":true,"noteIndex":0},"citationItems":[{"id":"wAnnZMUy/FyYv4V4f","uris":["http://zotero.org/users/9059392/items/4NDX5853"],"itemData":{"id":1413,"type":"article-journal","abstract":"BACKGROUND: The present study aims to examine if autism spectrum disorder (ASD) is a risk factor for suicide attempts among adult depressed patients and to elucidate the characteristics of suicide attempts in adult depressed patients with ASD.\nMETHODS: We conducted a case-control study. Subjects consisted of 336 retrospectively recruited first-time visit patients to our outpatient clinic with a current major depressive episode; 31 of the 336 patients had attempted suicide. The demographic backgrounds (i.e., age, gender, personal/family history of suicidality); specific psychopathology like bipolarity, agitation, and psychotic features; and comorbidity such as physical diseases, alcohol abuse, cluster B personality disorder, and ASD including pervasive developmental disorder not otherwise specified (PDD-NOS) were examined as potential risk factors for suicide attempts. We compared these variables between the suicide attempters and non-attempters. In addition, we compared suicide attempters to non-attempters within the ASD group and non-ASD group. Binary logistic regression analysis was performed using the significant independent variables from the comparisons between the suicide attempters and non-attempters, and the odds ratios (OR) and 95% confidence intervals (CI) were calculated.\nRESULTS: Logistic regression analysis demonstrated that agitation during a depressive episode (OR = 7.15, 95% CI = 2.88-17.74), past suicidal behaviors (OR = 4.32, 95% CI =1.70-10.98), and comorbid PDD-NOS (OR = 4.04, 95% CI = 1.20-13.54) were significantly associated with suicide attempts. The most prevalent suicidal method was drug overdose (59.1%) among non-ASD attempters while hanging was the most prevalent (44.4%) in ASD attempters.\nCONCLUSIONS: Depressed adults with comorbid atypical autistic traits are at higher risk for suicide attempts and may engage in methods that are more lethal.","container-title":"Annals of General Psychiatry","DOI":"10.1186/s12991-014-0033-z","ISSN":"1744-859X","issue":"1","journalAbbreviation":"Ann Gen Psychiatry","language":"eng","note":"PMID: 25328535\nPMCID: PMC4201698","page":"33","source":"PubMed","title":"Comorbid atypical autistic traits as a potential risk factor for suicide attempts among adult depressed patients: a case-control study","title-short":"Comorbid atypical autistic traits as a potential risk factor for suicide attempts among adult depressed patients","volume":"13","author":[{"family":"Takara","given":"Kiyoharu"},{"family":"Kondo","given":"Tsuyoshi"}],"issued":{"date-parts":[["2014"]]}}}],"schema":"https://github.com/citation-style-language/schema/raw/master/csl-citation.json"}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Takara &amp; Kondo</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6218E5EA"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2014</w:t>
            </w:r>
          </w:p>
        </w:tc>
        <w:tc>
          <w:tcPr>
            <w:tcW w:w="1418" w:type="dxa"/>
            <w:tcBorders>
              <w:top w:val="nil"/>
              <w:left w:val="nil"/>
              <w:bottom w:val="nil"/>
              <w:right w:val="nil"/>
            </w:tcBorders>
          </w:tcPr>
          <w:p w14:paraId="7039388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Japan</w:t>
            </w:r>
          </w:p>
        </w:tc>
        <w:tc>
          <w:tcPr>
            <w:tcW w:w="1276" w:type="dxa"/>
            <w:tcBorders>
              <w:top w:val="nil"/>
              <w:left w:val="nil"/>
              <w:bottom w:val="nil"/>
              <w:right w:val="nil"/>
            </w:tcBorders>
          </w:tcPr>
          <w:p w14:paraId="5E3B13F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37</w:t>
            </w:r>
          </w:p>
        </w:tc>
        <w:tc>
          <w:tcPr>
            <w:tcW w:w="1984" w:type="dxa"/>
            <w:tcBorders>
              <w:top w:val="nil"/>
              <w:left w:val="nil"/>
              <w:bottom w:val="nil"/>
              <w:right w:val="nil"/>
            </w:tcBorders>
          </w:tcPr>
          <w:p w14:paraId="1B7A0B7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vertAlign w:val="superscript"/>
                <w:lang w:val="en-US"/>
              </w:rPr>
            </w:pPr>
            <w:r w:rsidRPr="00BA2E19">
              <w:rPr>
                <w:rFonts w:ascii="Times New Roman" w:eastAsia="Calibri" w:hAnsi="Times New Roman" w:cs="Times New Roman"/>
                <w:color w:val="000000" w:themeColor="text1"/>
                <w:kern w:val="0"/>
                <w:sz w:val="20"/>
                <w:szCs w:val="20"/>
                <w:lang w:val="en-US"/>
              </w:rPr>
              <w:t>28 (</w:t>
            </w:r>
            <w:proofErr w:type="gramStart"/>
            <w:r w:rsidRPr="00BA2E19">
              <w:rPr>
                <w:rFonts w:ascii="Times New Roman" w:eastAsia="Calibri" w:hAnsi="Times New Roman" w:cs="Times New Roman"/>
                <w:color w:val="000000" w:themeColor="text1"/>
                <w:kern w:val="0"/>
                <w:sz w:val="20"/>
                <w:szCs w:val="20"/>
                <w:lang w:val="en-US"/>
              </w:rPr>
              <w:t>10.9)</w:t>
            </w:r>
            <w:r>
              <w:rPr>
                <w:rFonts w:ascii="Times New Roman" w:eastAsia="Calibri" w:hAnsi="Times New Roman" w:cs="Times New Roman"/>
                <w:color w:val="000000" w:themeColor="text1"/>
                <w:kern w:val="0"/>
                <w:sz w:val="20"/>
                <w:szCs w:val="20"/>
                <w:vertAlign w:val="superscript"/>
                <w:lang w:val="en-US"/>
              </w:rPr>
              <w:t>f</w:t>
            </w:r>
            <w:proofErr w:type="gramEnd"/>
          </w:p>
        </w:tc>
        <w:tc>
          <w:tcPr>
            <w:tcW w:w="1134" w:type="dxa"/>
            <w:tcBorders>
              <w:top w:val="nil"/>
              <w:left w:val="nil"/>
              <w:bottom w:val="nil"/>
              <w:right w:val="nil"/>
            </w:tcBorders>
          </w:tcPr>
          <w:p w14:paraId="34162C5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46</w:t>
            </w:r>
          </w:p>
        </w:tc>
        <w:tc>
          <w:tcPr>
            <w:tcW w:w="3822" w:type="dxa"/>
            <w:tcBorders>
              <w:top w:val="nil"/>
              <w:left w:val="nil"/>
              <w:bottom w:val="nil"/>
              <w:right w:val="nil"/>
            </w:tcBorders>
          </w:tcPr>
          <w:p w14:paraId="51B0FA1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DSM-IV, DSM-IV-TR</w:t>
            </w:r>
          </w:p>
        </w:tc>
        <w:tc>
          <w:tcPr>
            <w:tcW w:w="1701" w:type="dxa"/>
            <w:tcBorders>
              <w:top w:val="nil"/>
              <w:left w:val="nil"/>
              <w:bottom w:val="nil"/>
              <w:right w:val="nil"/>
            </w:tcBorders>
          </w:tcPr>
          <w:p w14:paraId="0D768246"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 clinician</w:t>
            </w:r>
          </w:p>
        </w:tc>
      </w:tr>
      <w:tr w:rsidR="00576413" w:rsidRPr="00BA2E19" w14:paraId="75D2ADFE"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709165A9"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{"citationID":"a169n43ld9v","properties":{"formattedCitation":"(Tsai et al., 2023)","plainCitation":"(Tsai et al., 2023)","dontUpdate":true,"noteIndex":0},"citationItems":[{"id":"wAnnZMUy/YkjW0uau","uris":["http://zotero.org/users/9059392/items/G6F9W8V9"],"itemData":{"id":1991,"type":"article-journal","abstract":"Evidence suggests increased mortality rates among autistic individuals. However, risks of mortality, including natural-cause, suicide, and accident mortalities, among autistic individuals remain unclear. Among the entire Taiwanese population (N = 29,253,529), between 2003 and 2017, 45,398 autistic individuals were identified and 1:4 matched to 181,592 non-autistic individuals based on birth year and sex. All-cause mortality, including natural-cause, accident, and suicide mortalities, was assessed from 2003 to 2017 between the two cohorts. Cox regression models were used to investigate the mortality risk between autistic and non-autistic individuals. Autistic individuals had increased likelihoods (hazard ratio, 95% confidence interval) of all-cause mortality (3.43, 3.00–3.92), natural-cause mortality (4.73, 3.99–5.60), and suicide mortality (3.67, 2.37–5.68) compared with non-autistic individuals. In particular, autistic males were more likely to die by suicide (hazard ratio: 3.81, 95% confidence interval: 2.37–6.13), and autistic females were more likely to die of accident (hazard ratio: 5.07, 95% confidence interval: 2.54–10.13) compared with non-autistic individuals. Appropriate and effective medical and mental health care is recommended for autistic individuals.\nLay abstract\nOur study was the first population-based study in an Asian country to investigate the mortality rates among autistic individuals. Among the entire Taiwanese population (N = 29,253,529), between 2003 and 2017, 45,398 autistic individuals were identified and 1:4 age-/sex-matched to 181,592 non-autistic individuals. We found that autistic individuals had increased risks of all-cause mortality, natural-cause mortality, and suicide mortality compared with non-autistic individuals. Furthermore, autistic males were more likely to die by suicide, and autistic females were more likely to die of accident compared with the non-autistic individuals.","container-title":"Autism","DOI":"10.1177/13623613231167287","ISSN":"1362-3613","issue":"8","journalAbbreviation":"Autism","language":"en","note":"publisher: SAGE Publications Ltd","page":"2496-2506","source":"SAGE Journals","title":"All-cause mortality and suicide mortality in autistic individuals: An entire population longitudinal study in Taiwan","title-short":"All-cause mortality and suicide mortality in autistic individuals","volume":"27","author":[{"family":"Tsai","given":"Shih-Jen"},{"family":"Chang","given":"Wen-Han"},{"family":"Cheng","given":"Chih-Ming"},{"family":"Liang","given":"Chih-Sung"},{"family":"Bai","given":"Ya-Mei"},{"family":"Hsu","given":"Ju-Wei"},{"family":"Huang","given":"Kai-Lin"},{"family":"Su","given":"Tung-Ping"},{"family":"Chen","given":"Tzeng-Ji"},{"family":"Chen","given":"Mu-Hong"}],"issued":{"date-parts":[["2023",11,1]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Tsai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14F5EC9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2023</w:t>
            </w:r>
          </w:p>
        </w:tc>
        <w:tc>
          <w:tcPr>
            <w:tcW w:w="1418" w:type="dxa"/>
            <w:tcBorders>
              <w:top w:val="nil"/>
              <w:left w:val="nil"/>
              <w:bottom w:val="nil"/>
              <w:right w:val="nil"/>
            </w:tcBorders>
          </w:tcPr>
          <w:p w14:paraId="39835CB7"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Taiwan</w:t>
            </w:r>
          </w:p>
        </w:tc>
        <w:tc>
          <w:tcPr>
            <w:tcW w:w="1276" w:type="dxa"/>
            <w:tcBorders>
              <w:top w:val="nil"/>
              <w:left w:val="nil"/>
              <w:bottom w:val="nil"/>
              <w:right w:val="nil"/>
            </w:tcBorders>
          </w:tcPr>
          <w:p w14:paraId="7F88A0D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45 398</w:t>
            </w:r>
          </w:p>
        </w:tc>
        <w:tc>
          <w:tcPr>
            <w:tcW w:w="1984" w:type="dxa"/>
            <w:tcBorders>
              <w:top w:val="nil"/>
              <w:left w:val="nil"/>
              <w:bottom w:val="nil"/>
              <w:right w:val="nil"/>
            </w:tcBorders>
          </w:tcPr>
          <w:p w14:paraId="3790039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Not reported</w:t>
            </w:r>
          </w:p>
        </w:tc>
        <w:tc>
          <w:tcPr>
            <w:tcW w:w="1134" w:type="dxa"/>
            <w:tcBorders>
              <w:top w:val="nil"/>
              <w:left w:val="nil"/>
              <w:bottom w:val="nil"/>
              <w:right w:val="nil"/>
            </w:tcBorders>
          </w:tcPr>
          <w:p w14:paraId="2AE6B8C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83.1</w:t>
            </w:r>
          </w:p>
        </w:tc>
        <w:tc>
          <w:tcPr>
            <w:tcW w:w="3822" w:type="dxa"/>
            <w:tcBorders>
              <w:top w:val="nil"/>
              <w:left w:val="nil"/>
              <w:bottom w:val="nil"/>
              <w:right w:val="nil"/>
            </w:tcBorders>
          </w:tcPr>
          <w:p w14:paraId="704CA7D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Psychiatrist per ICD-9-CM</w:t>
            </w:r>
          </w:p>
        </w:tc>
        <w:tc>
          <w:tcPr>
            <w:tcW w:w="1701" w:type="dxa"/>
            <w:tcBorders>
              <w:top w:val="nil"/>
              <w:left w:val="nil"/>
              <w:bottom w:val="nil"/>
              <w:right w:val="nil"/>
            </w:tcBorders>
          </w:tcPr>
          <w:p w14:paraId="47CF468F"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Database</w:t>
            </w:r>
          </w:p>
        </w:tc>
      </w:tr>
      <w:tr w:rsidR="00576413" w:rsidRPr="00BA2E19" w14:paraId="77F350B6"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2E69E582" w14:textId="77777777" w:rsidR="00576413" w:rsidRPr="00BA2E19" w:rsidRDefault="00576413" w:rsidP="00147C41">
            <w:pPr>
              <w:rPr>
                <w:rFonts w:ascii="Times New Roman" w:eastAsia="Calibri" w:hAnsi="Times New Roman" w:cs="Times New Roman"/>
                <w:color w:val="000000" w:themeColor="text1"/>
                <w:kern w:val="0"/>
                <w:sz w:val="20"/>
                <w:szCs w:val="20"/>
                <w:highlight w:val="yellow"/>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{"citationID":"a1edu65g2e7","properties":{"formattedCitation":"(van Bentum et al., 2024)","plainCitation":"(van Bentum et al., 2024)","dontUpdate":true,"noteIndex":0},"citationItems":[{"id":"wAnnZMUy/55GvQsfS","uris":["http://zotero.org/users/9059392/items/GFLT7JYW"],"itemData":{"id":1984,"type":"article-journal","abstract":"In the past 40?years, accumulating evidence suggested that autistic individuals are at an increased risk of suicidal thoughts and behaviors. This study examined the occurrence of various potential risk factors for lifetime suicidal behavior and suicidal thoughts in the past month in a Dutch cohort (Netherlands Autism Register) of autistic individuals using the Suicidal Behaviors Questionnaire (SBQ-R) and the Suicidal Ideation Attributes Scale (SIDAS). Our results show that the majority (80%) of the initial sample (N?=?1164) had thought about or attempted suicide in their lifetime, of which 15% had attempted suicide. In the final sample (n?=?421), backward linear regression analyses identified the following predictors for suicidal behavior: psychiatric comorbidity, loneliness, and higher number of autistic traits, F(3, 240)?=?21.22, p?","container-title":"Autism","DOI":"10.1177/13623613231225901","ISSN":"1362-3613","journalAbbreviation":"Autism","note":"publisher: SAGE Publications Ltd","source":"SAGE Journals","title":"Occurrence and predictors of lifetime suicidality and suicidal ideation in autistic adults","URL":"https://doi.org/10.1177/13623613231225901","author":[{"family":"Bentum","given":"J","non-dropping-particle":"van"},{"family":"Sijbrandij","given":"M"},{"family":"Huibers","given":"M"},{"family":"Begeer","given":"S"}],"accessed":{"date-parts":[["2024",4,6]]},"issued":{"date-parts":[["2024",2,10]]}}}],"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kern w:val="0"/>
                <w:sz w:val="20"/>
                <w:szCs w:val="20"/>
                <w:lang w:val="en-US"/>
              </w:rPr>
              <w:t xml:space="preserve">van </w:t>
            </w:r>
            <w:proofErr w:type="spellStart"/>
            <w:r w:rsidRPr="00BA2E19">
              <w:rPr>
                <w:rFonts w:ascii="Times New Roman" w:hAnsi="Times New Roman" w:cs="Times New Roman"/>
                <w:color w:val="000000" w:themeColor="text1"/>
                <w:kern w:val="0"/>
                <w:sz w:val="20"/>
                <w:szCs w:val="20"/>
                <w:lang w:val="en-US"/>
              </w:rPr>
              <w:t>Bentum</w:t>
            </w:r>
            <w:proofErr w:type="spellEnd"/>
            <w:r w:rsidRPr="00BA2E19">
              <w:rPr>
                <w:rFonts w:ascii="Times New Roman" w:hAnsi="Times New Roman" w:cs="Times New Roman"/>
                <w:color w:val="000000" w:themeColor="text1"/>
                <w:kern w:val="0"/>
                <w:sz w:val="20"/>
                <w:szCs w:val="20"/>
                <w:lang w:val="en-US"/>
              </w:rPr>
              <w:t xml:space="preserve"> et al.</w:t>
            </w:r>
            <w:r w:rsidRPr="00BA2E19">
              <w:rPr>
                <w:rFonts w:ascii="Times New Roman" w:hAnsi="Times New Roman" w:cs="Times New Roman"/>
                <w:color w:val="000000" w:themeColor="text1"/>
                <w:sz w:val="20"/>
                <w:szCs w:val="20"/>
                <w:lang w:val="en-US"/>
              </w:rPr>
              <w:fldChar w:fldCharType="end"/>
            </w:r>
            <w:r>
              <w:rPr>
                <w:rFonts w:ascii="Times New Roman" w:hAnsi="Times New Roman" w:cs="Times New Roman"/>
                <w:color w:val="000000" w:themeColor="text1"/>
                <w:sz w:val="20"/>
                <w:szCs w:val="20"/>
                <w:lang w:val="en-US"/>
              </w:rPr>
              <w:t xml:space="preserve"> </w:t>
            </w:r>
          </w:p>
        </w:tc>
        <w:tc>
          <w:tcPr>
            <w:tcW w:w="855" w:type="dxa"/>
            <w:tcBorders>
              <w:top w:val="nil"/>
              <w:left w:val="nil"/>
              <w:bottom w:val="nil"/>
              <w:right w:val="nil"/>
            </w:tcBorders>
          </w:tcPr>
          <w:p w14:paraId="2F9665F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2024</w:t>
            </w:r>
          </w:p>
        </w:tc>
        <w:tc>
          <w:tcPr>
            <w:tcW w:w="1418" w:type="dxa"/>
            <w:tcBorders>
              <w:top w:val="nil"/>
              <w:left w:val="nil"/>
              <w:bottom w:val="nil"/>
              <w:right w:val="nil"/>
            </w:tcBorders>
          </w:tcPr>
          <w:p w14:paraId="37D3C33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Netherlands</w:t>
            </w:r>
          </w:p>
        </w:tc>
        <w:tc>
          <w:tcPr>
            <w:tcW w:w="1276" w:type="dxa"/>
            <w:tcBorders>
              <w:top w:val="nil"/>
              <w:left w:val="nil"/>
              <w:bottom w:val="nil"/>
              <w:right w:val="nil"/>
            </w:tcBorders>
          </w:tcPr>
          <w:p w14:paraId="51F4540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421</w:t>
            </w:r>
          </w:p>
        </w:tc>
        <w:tc>
          <w:tcPr>
            <w:tcW w:w="1984" w:type="dxa"/>
            <w:tcBorders>
              <w:top w:val="nil"/>
              <w:left w:val="nil"/>
              <w:bottom w:val="nil"/>
              <w:right w:val="nil"/>
            </w:tcBorders>
          </w:tcPr>
          <w:p w14:paraId="25480B26"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45.5 (12.9)</w:t>
            </w:r>
          </w:p>
        </w:tc>
        <w:tc>
          <w:tcPr>
            <w:tcW w:w="1134" w:type="dxa"/>
            <w:tcBorders>
              <w:top w:val="nil"/>
              <w:left w:val="nil"/>
              <w:bottom w:val="nil"/>
              <w:right w:val="nil"/>
            </w:tcBorders>
          </w:tcPr>
          <w:p w14:paraId="57E087A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vertAlign w:val="superscript"/>
                <w:lang w:val="en-US"/>
              </w:rPr>
            </w:pPr>
            <w:r w:rsidRPr="00BA2E19">
              <w:rPr>
                <w:rFonts w:ascii="Times New Roman" w:eastAsia="Calibri" w:hAnsi="Times New Roman" w:cs="Times New Roman"/>
                <w:color w:val="000000" w:themeColor="text1"/>
                <w:kern w:val="0"/>
                <w:sz w:val="20"/>
                <w:szCs w:val="20"/>
                <w:lang w:val="en-US"/>
              </w:rPr>
              <w:t>25.9</w:t>
            </w:r>
          </w:p>
        </w:tc>
        <w:tc>
          <w:tcPr>
            <w:tcW w:w="3822" w:type="dxa"/>
            <w:tcBorders>
              <w:top w:val="nil"/>
              <w:left w:val="nil"/>
              <w:bottom w:val="nil"/>
              <w:right w:val="nil"/>
            </w:tcBorders>
          </w:tcPr>
          <w:p w14:paraId="5BC0B2C9"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DSM-IV-TR, DSM-5</w:t>
            </w:r>
          </w:p>
        </w:tc>
        <w:tc>
          <w:tcPr>
            <w:tcW w:w="1701" w:type="dxa"/>
            <w:tcBorders>
              <w:top w:val="nil"/>
              <w:left w:val="nil"/>
              <w:bottom w:val="nil"/>
              <w:right w:val="nil"/>
            </w:tcBorders>
          </w:tcPr>
          <w:p w14:paraId="0A97ADCD"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Database, self</w:t>
            </w:r>
          </w:p>
        </w:tc>
      </w:tr>
      <w:tr w:rsidR="00576413" w:rsidRPr="00BA2E19" w14:paraId="008F7A7D"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nil"/>
            </w:tcBorders>
          </w:tcPr>
          <w:p w14:paraId="4C6C3BA5" w14:textId="77777777" w:rsidR="00576413" w:rsidRPr="00BA2E19" w:rsidRDefault="00576413" w:rsidP="00147C41">
            <w:pPr>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fldChar w:fldCharType="begin"/>
            </w:r>
            <w:r w:rsidRPr="00BA2E19">
              <w:rPr>
                <w:rFonts w:ascii="Times New Roman" w:hAnsi="Times New Roman" w:cs="Times New Roman"/>
                <w:color w:val="000000" w:themeColor="text1"/>
                <w:sz w:val="20"/>
                <w:szCs w:val="20"/>
                <w:lang w:val="en-US"/>
              </w:rPr>
              <w:instrText xml:space="preserve"> ADDIN ZOTERO_ITEM CSL_CITATION {"citationID":"a28v0jeihir","properties":{"formattedCitation":"(Weiner et al., 2023)","plainCitation":"(Weiner et al., 2023)","dontUpdate":true,"noteIndex":0},"citationItems":[{"id":"wAnnZMUy/GzPWTebo","uris":["http://zotero.org/users/9059392/items/T4W3FQ5J"],"itemData":{"id":1986,"type":"article-journal","abstract":"Background:Emotion dysregulation is increasingly recognized as highly prevalent and impairing in autistic individuals. Yet, a large majority of studies have considered emotion dysregulation in youth only, and most of them did not consider sex differences in emotion dysregulation manifestation.Objectives:In the present study, we aim to investigate sex differences relative to emotion dysregulation in autistic adults without intellectual disability as well as its relationship with different factors potentially involved in emotion dysregulation (e.g. camouflaging, alexithymia, suicidality, quality of life). Self-reported emotion dysregulation will be assessed in autistic adults but also in females with borderline personality disorder, given that emotion dysregulation is particularly enhanced in this population.Design:Cross-sectional, prospective, controlled.Methods:Twenty-eight autistic females, 22 autistic males and 24 females with borderline personality disorder were recruited from a dialectical behavior therapy program waiting list. They completed several self-report questionnaires measuring emotion dysregulation, alexithymia, suicidality, quality of life, camouflaging borderline symptoms and autism severity.Results:Most emotion dysregulation subscale scores and alexithymia scores were heightened in autistic females compared to females with borderline personality disorder and, to a lesser extent, compared to autistic males. Independently of borderline personality disorder symptoms, emotion dysregulation was related to alexithymia and poorer psychological health in autistic females, whereas it was mostly related to autism severity, poorer physical health and living conditions in autistic males.Conclusion:Our results suggest that emotion dysregulation is a major difficulty of autistic adults without intellectual disability eligible for dialectical behavior therapy, and this is especially the case for autistic females. There seem to be different sex-specific factors involved in emotion dysregulation found in autistic adults, which highlight the need to target-specific domains (e.g. alexithymia) in the treatment of emotion dysregulation in autistic females. ClinicalTrials.gov Identifier: NCT04737707 https://clinicaltrials.gov/ct2/show/NCT04737707","container-title":"Women's Health","DOI":"10.1177/17455057231174763","ISSN":"1745-5057","journalAbbreviation":"Womens Health (Lond Engl)","note":"publisher: SAGE Publications Ltd STM","page":"17455057231174763","source":"SAGE Journals","title":"Emotion dysregulation is heightened in autistic females: A comparison with autistic males and borderline personality disorder","title-short":"Emotion dysregulation is heightened in autistic females","volume":"19","author":[{"family":"Weiner","given":"Luisa"},{"family":"Costache","given":"Madalina Elena"},{"family":"Bemmouna","given":"Doha"},{"family":"Rabot","given":"Juliette"},{"family":"Weibel","given":"Sébastien"},{"family":"Dubreucq","given":"Marine"},{"family":"Dubreucq","given":"Julien"},{"family":"Coutelle","given":"Romain"}],"issued":{"date-parts":[["2023",1,1]]}}}],"schema":"https://github.com/citation-style-language/schema/raw/master/csl-citation.json"} </w:instrText>
            </w:r>
            <w:r w:rsidRPr="00BA2E19">
              <w:rPr>
                <w:rFonts w:ascii="Times New Roman" w:hAnsi="Times New Roman" w:cs="Times New Roman"/>
                <w:color w:val="000000" w:themeColor="text1"/>
                <w:sz w:val="20"/>
                <w:szCs w:val="20"/>
                <w:lang w:val="en-US"/>
              </w:rPr>
              <w:fldChar w:fldCharType="separate"/>
            </w:r>
            <w:r w:rsidRPr="00BA2E19">
              <w:rPr>
                <w:rFonts w:ascii="Times New Roman" w:hAnsi="Times New Roman" w:cs="Times New Roman"/>
                <w:color w:val="000000" w:themeColor="text1"/>
                <w:sz w:val="20"/>
                <w:szCs w:val="20"/>
                <w:lang w:val="en-US"/>
              </w:rPr>
              <w:t>Weiner et al.</w:t>
            </w:r>
            <w:r w:rsidRPr="00BA2E19">
              <w:rPr>
                <w:rFonts w:ascii="Times New Roman" w:hAnsi="Times New Roman" w:cs="Times New Roman"/>
                <w:color w:val="000000" w:themeColor="text1"/>
                <w:sz w:val="20"/>
                <w:szCs w:val="20"/>
                <w:lang w:val="en-US"/>
              </w:rPr>
              <w:fldChar w:fldCharType="end"/>
            </w:r>
            <w:r w:rsidRPr="00BA2E19">
              <w:rPr>
                <w:rFonts w:ascii="Times New Roman" w:eastAsia="Calibri" w:hAnsi="Times New Roman" w:cs="Times New Roman"/>
                <w:color w:val="000000" w:themeColor="text1"/>
                <w:kern w:val="0"/>
                <w:sz w:val="20"/>
                <w:szCs w:val="20"/>
                <w:lang w:val="en-US"/>
              </w:rPr>
              <w:t xml:space="preserve"> </w:t>
            </w:r>
          </w:p>
        </w:tc>
        <w:tc>
          <w:tcPr>
            <w:tcW w:w="855" w:type="dxa"/>
            <w:tcBorders>
              <w:top w:val="nil"/>
              <w:left w:val="nil"/>
              <w:bottom w:val="nil"/>
              <w:right w:val="nil"/>
            </w:tcBorders>
          </w:tcPr>
          <w:p w14:paraId="6F390793"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hAnsi="Times New Roman" w:cs="Times New Roman"/>
                <w:color w:val="000000" w:themeColor="text1"/>
                <w:sz w:val="20"/>
                <w:szCs w:val="20"/>
                <w:lang w:val="en-US"/>
              </w:rPr>
              <w:t>2023</w:t>
            </w:r>
          </w:p>
        </w:tc>
        <w:tc>
          <w:tcPr>
            <w:tcW w:w="1418" w:type="dxa"/>
            <w:tcBorders>
              <w:top w:val="nil"/>
              <w:left w:val="nil"/>
              <w:bottom w:val="nil"/>
              <w:right w:val="nil"/>
            </w:tcBorders>
          </w:tcPr>
          <w:p w14:paraId="79E47C0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France</w:t>
            </w:r>
          </w:p>
        </w:tc>
        <w:tc>
          <w:tcPr>
            <w:tcW w:w="1276" w:type="dxa"/>
            <w:tcBorders>
              <w:top w:val="nil"/>
              <w:left w:val="nil"/>
              <w:bottom w:val="nil"/>
              <w:right w:val="nil"/>
            </w:tcBorders>
          </w:tcPr>
          <w:p w14:paraId="4D77DD0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50</w:t>
            </w:r>
          </w:p>
        </w:tc>
        <w:tc>
          <w:tcPr>
            <w:tcW w:w="1984" w:type="dxa"/>
            <w:tcBorders>
              <w:top w:val="nil"/>
              <w:left w:val="nil"/>
              <w:bottom w:val="nil"/>
              <w:right w:val="nil"/>
            </w:tcBorders>
          </w:tcPr>
          <w:p w14:paraId="0A68564E"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 xml:space="preserve">Males: 31.64 (10.9) </w:t>
            </w:r>
          </w:p>
          <w:p w14:paraId="5FC3973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Females: 29.51 (8.0)</w:t>
            </w:r>
          </w:p>
        </w:tc>
        <w:tc>
          <w:tcPr>
            <w:tcW w:w="1134" w:type="dxa"/>
            <w:tcBorders>
              <w:top w:val="nil"/>
              <w:left w:val="nil"/>
              <w:bottom w:val="nil"/>
              <w:right w:val="nil"/>
            </w:tcBorders>
          </w:tcPr>
          <w:p w14:paraId="6D8E2C78"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44</w:t>
            </w:r>
          </w:p>
        </w:tc>
        <w:tc>
          <w:tcPr>
            <w:tcW w:w="3822" w:type="dxa"/>
            <w:tcBorders>
              <w:top w:val="nil"/>
              <w:left w:val="nil"/>
              <w:bottom w:val="nil"/>
              <w:right w:val="nil"/>
            </w:tcBorders>
          </w:tcPr>
          <w:p w14:paraId="024CD69B"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ADI-R, ADOS-2</w:t>
            </w:r>
          </w:p>
        </w:tc>
        <w:tc>
          <w:tcPr>
            <w:tcW w:w="1701" w:type="dxa"/>
            <w:tcBorders>
              <w:top w:val="nil"/>
              <w:left w:val="nil"/>
              <w:bottom w:val="nil"/>
              <w:right w:val="nil"/>
            </w:tcBorders>
          </w:tcPr>
          <w:p w14:paraId="58D1B812"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 clinician</w:t>
            </w:r>
          </w:p>
        </w:tc>
      </w:tr>
      <w:tr w:rsidR="00576413" w:rsidRPr="00BA2E19" w14:paraId="20485C0B" w14:textId="77777777" w:rsidTr="00147C41">
        <w:trPr>
          <w:trHeight w:val="454"/>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single" w:sz="4" w:space="0" w:color="auto"/>
              <w:right w:val="nil"/>
            </w:tcBorders>
          </w:tcPr>
          <w:p w14:paraId="1B5ABFC4" w14:textId="77777777" w:rsidR="00576413" w:rsidRPr="00BA2E19" w:rsidRDefault="00576413" w:rsidP="00147C41">
            <w:pPr>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Wilson et al.</w:t>
            </w:r>
          </w:p>
        </w:tc>
        <w:tc>
          <w:tcPr>
            <w:tcW w:w="855" w:type="dxa"/>
            <w:tcBorders>
              <w:top w:val="nil"/>
              <w:left w:val="nil"/>
              <w:bottom w:val="single" w:sz="4" w:space="0" w:color="auto"/>
              <w:right w:val="nil"/>
            </w:tcBorders>
          </w:tcPr>
          <w:p w14:paraId="037B781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BA2E19">
              <w:rPr>
                <w:rFonts w:ascii="Times New Roman" w:hAnsi="Times New Roman" w:cs="Times New Roman"/>
                <w:color w:val="000000" w:themeColor="text1"/>
                <w:sz w:val="20"/>
                <w:szCs w:val="20"/>
                <w:lang w:val="en-US"/>
              </w:rPr>
              <w:t>2025</w:t>
            </w:r>
          </w:p>
        </w:tc>
        <w:tc>
          <w:tcPr>
            <w:tcW w:w="1418" w:type="dxa"/>
            <w:tcBorders>
              <w:top w:val="nil"/>
              <w:left w:val="nil"/>
              <w:bottom w:val="single" w:sz="4" w:space="0" w:color="auto"/>
              <w:right w:val="nil"/>
            </w:tcBorders>
          </w:tcPr>
          <w:p w14:paraId="32BA6D3F"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Australia</w:t>
            </w:r>
          </w:p>
        </w:tc>
        <w:tc>
          <w:tcPr>
            <w:tcW w:w="1276" w:type="dxa"/>
            <w:tcBorders>
              <w:top w:val="nil"/>
              <w:left w:val="nil"/>
              <w:bottom w:val="single" w:sz="4" w:space="0" w:color="auto"/>
              <w:right w:val="nil"/>
            </w:tcBorders>
          </w:tcPr>
          <w:p w14:paraId="34FDE124"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33</w:t>
            </w:r>
          </w:p>
        </w:tc>
        <w:tc>
          <w:tcPr>
            <w:tcW w:w="1984" w:type="dxa"/>
            <w:tcBorders>
              <w:top w:val="nil"/>
              <w:left w:val="nil"/>
              <w:bottom w:val="single" w:sz="4" w:space="0" w:color="auto"/>
              <w:right w:val="nil"/>
            </w:tcBorders>
          </w:tcPr>
          <w:p w14:paraId="0AB2FCB5"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41.72 (11.49)</w:t>
            </w:r>
          </w:p>
        </w:tc>
        <w:tc>
          <w:tcPr>
            <w:tcW w:w="1134" w:type="dxa"/>
            <w:tcBorders>
              <w:top w:val="nil"/>
              <w:left w:val="nil"/>
              <w:bottom w:val="single" w:sz="4" w:space="0" w:color="auto"/>
              <w:right w:val="nil"/>
            </w:tcBorders>
          </w:tcPr>
          <w:p w14:paraId="0F9566B0"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42.4</w:t>
            </w:r>
          </w:p>
        </w:tc>
        <w:tc>
          <w:tcPr>
            <w:tcW w:w="3822" w:type="dxa"/>
            <w:tcBorders>
              <w:top w:val="nil"/>
              <w:left w:val="nil"/>
              <w:bottom w:val="single" w:sz="4" w:space="0" w:color="auto"/>
              <w:right w:val="nil"/>
            </w:tcBorders>
          </w:tcPr>
          <w:p w14:paraId="71912F3C" w14:textId="77777777" w:rsidR="00576413" w:rsidRPr="00BA2E19" w:rsidRDefault="00576413" w:rsidP="00147C41">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Clinical diagnosis</w:t>
            </w:r>
          </w:p>
        </w:tc>
        <w:tc>
          <w:tcPr>
            <w:tcW w:w="1701" w:type="dxa"/>
            <w:tcBorders>
              <w:top w:val="nil"/>
              <w:left w:val="nil"/>
              <w:bottom w:val="single" w:sz="4" w:space="0" w:color="auto"/>
              <w:right w:val="nil"/>
            </w:tcBorders>
          </w:tcPr>
          <w:p w14:paraId="69CE0951" w14:textId="77777777" w:rsidR="00576413" w:rsidRPr="00BA2E19" w:rsidRDefault="00576413" w:rsidP="00147C41">
            <w:pPr>
              <w:keepNex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kern w:val="0"/>
                <w:sz w:val="20"/>
                <w:szCs w:val="20"/>
                <w:lang w:val="en-US"/>
              </w:rPr>
            </w:pPr>
            <w:r w:rsidRPr="00BA2E19">
              <w:rPr>
                <w:rFonts w:ascii="Times New Roman" w:eastAsia="Calibri" w:hAnsi="Times New Roman" w:cs="Times New Roman"/>
                <w:color w:val="000000" w:themeColor="text1"/>
                <w:kern w:val="0"/>
                <w:sz w:val="20"/>
                <w:szCs w:val="20"/>
                <w:lang w:val="en-US"/>
              </w:rPr>
              <w:t>Self</w:t>
            </w:r>
          </w:p>
        </w:tc>
      </w:tr>
    </w:tbl>
    <w:p w14:paraId="12FFCFE4" w14:textId="77777777" w:rsidR="00576413" w:rsidRPr="00BA2E19" w:rsidRDefault="00576413" w:rsidP="00576413">
      <w:pPr>
        <w:spacing w:line="480" w:lineRule="auto"/>
        <w:rPr>
          <w:rFonts w:ascii="Times New Roman" w:eastAsia="Calibri" w:hAnsi="Times New Roman" w:cs="Times New Roman"/>
          <w:i/>
          <w:iCs/>
          <w:sz w:val="18"/>
          <w:szCs w:val="18"/>
          <w:lang w:val="en-US"/>
        </w:rPr>
      </w:pPr>
    </w:p>
    <w:p w14:paraId="7AD712A6" w14:textId="77777777" w:rsidR="00576413" w:rsidRDefault="00576413" w:rsidP="00576413">
      <w:pPr>
        <w:spacing w:line="480" w:lineRule="auto"/>
        <w:rPr>
          <w:rFonts w:ascii="Times New Roman" w:eastAsia="Calibri" w:hAnsi="Times New Roman" w:cs="Times New Roman"/>
          <w:sz w:val="18"/>
          <w:szCs w:val="18"/>
          <w:lang w:val="en-US"/>
        </w:rPr>
      </w:pPr>
      <w:r w:rsidRPr="00BA2E19">
        <w:rPr>
          <w:rFonts w:ascii="Times New Roman" w:eastAsia="Calibri" w:hAnsi="Times New Roman" w:cs="Times New Roman"/>
          <w:sz w:val="18"/>
          <w:szCs w:val="18"/>
          <w:lang w:val="en-US"/>
        </w:rPr>
        <w:lastRenderedPageBreak/>
        <w:t xml:space="preserve">Note. N reflects participants with a formal ASD diagnosis only; AAA: Adult Asperger Assessment; ADI-R: Autism Diagnostic Interview-Revised; ADOS-2: Autism Diagnostic Observation Schedule-2; AQ: The Autism-Spectrum Quotient; AQ-J: Autism-Spectrum Quotient - Japanese Version; ASDI: The Asperger Syndrome (and high-functioning autism) Diagnostic Interview; DSM-IV: Diagnostic and Statistical Manual of Mental Disorders, Fourth Edition; DSM-IV-TR: Diagnostic and Statistical Manual of Mental Disorders, Fourth Edition, Text-Revision; DSM-5: Diagnostic and Statistical Manual of Mental Disorders, Fifth Edition; GP: General Practitioner; ICD-8: International Classification of Diseases, Eighth Revision; ICD-9: International Classification of Diseases, Ninth Revision; ICD-9-CM: International Classification of Diseases, Ninth Revision, Clinical Modification; ICD-10: International Classification of Diseases, Tenth Revision; ID: Intellectual disability; IQR: Interquartile range; KADI: Krug Asperger's Disorder Index; NOS: Not Otherwise Specified; UK: United </w:t>
      </w:r>
      <w:r w:rsidRPr="00BA2E19">
        <w:rPr>
          <w:rFonts w:ascii="Times New Roman" w:eastAsia="Calibri" w:hAnsi="Times New Roman" w:cs="Times New Roman"/>
          <w:color w:val="000000" w:themeColor="text1"/>
          <w:sz w:val="18"/>
          <w:szCs w:val="18"/>
          <w:lang w:val="en-US"/>
        </w:rPr>
        <w:t xml:space="preserve">Kingdom; RAADS-14: </w:t>
      </w:r>
      <w:proofErr w:type="spellStart"/>
      <w:r w:rsidRPr="00BA2E19">
        <w:rPr>
          <w:rFonts w:ascii="Times New Roman" w:eastAsia="Calibri" w:hAnsi="Times New Roman" w:cs="Times New Roman"/>
          <w:color w:val="000000" w:themeColor="text1"/>
          <w:sz w:val="18"/>
          <w:szCs w:val="18"/>
          <w:lang w:val="en-US"/>
        </w:rPr>
        <w:t>Ritvo</w:t>
      </w:r>
      <w:proofErr w:type="spellEnd"/>
      <w:r w:rsidRPr="00BA2E19">
        <w:rPr>
          <w:rFonts w:ascii="Times New Roman" w:eastAsia="Calibri" w:hAnsi="Times New Roman" w:cs="Times New Roman"/>
          <w:color w:val="000000" w:themeColor="text1"/>
          <w:sz w:val="18"/>
          <w:szCs w:val="18"/>
          <w:lang w:val="en-US"/>
        </w:rPr>
        <w:t xml:space="preserve"> Autism and Asperger Diagnostic Scale; US</w:t>
      </w:r>
      <w:r w:rsidRPr="00BA2E19">
        <w:rPr>
          <w:rFonts w:ascii="Times New Roman" w:eastAsia="Calibri" w:hAnsi="Times New Roman" w:cs="Times New Roman"/>
          <w:sz w:val="18"/>
          <w:szCs w:val="18"/>
          <w:lang w:val="en-US"/>
        </w:rPr>
        <w:t>: United States; SCID-5: The Structured Clinical Interview for DSM-5 disorders.</w:t>
      </w:r>
    </w:p>
    <w:p w14:paraId="27F36CAF" w14:textId="77777777" w:rsidR="00576413" w:rsidRPr="004D68D9" w:rsidRDefault="00576413" w:rsidP="00576413">
      <w:pPr>
        <w:spacing w:line="480" w:lineRule="auto"/>
        <w:rPr>
          <w:rFonts w:ascii="Times New Roman" w:eastAsia="Calibri" w:hAnsi="Times New Roman" w:cs="Times New Roman"/>
          <w:color w:val="000000"/>
          <w:sz w:val="18"/>
          <w:szCs w:val="18"/>
          <w:lang w:val="en-US"/>
        </w:rPr>
      </w:pPr>
      <w:proofErr w:type="gramStart"/>
      <w:r w:rsidRPr="004D68D9">
        <w:rPr>
          <w:rFonts w:ascii="Times New Roman" w:eastAsia="Calibri" w:hAnsi="Times New Roman" w:cs="Times New Roman"/>
          <w:color w:val="000000"/>
          <w:sz w:val="18"/>
          <w:szCs w:val="18"/>
          <w:vertAlign w:val="superscript"/>
          <w:lang w:val="en-US"/>
        </w:rPr>
        <w:t>a</w:t>
      </w:r>
      <w:proofErr w:type="gramEnd"/>
      <w:r>
        <w:rPr>
          <w:rFonts w:ascii="Times New Roman" w:eastAsia="Calibri" w:hAnsi="Times New Roman" w:cs="Times New Roman"/>
          <w:color w:val="000000"/>
          <w:sz w:val="18"/>
          <w:szCs w:val="18"/>
          <w:lang w:val="en-US"/>
        </w:rPr>
        <w:t xml:space="preserve"> </w:t>
      </w:r>
      <w:r w:rsidRPr="00BA2E19">
        <w:rPr>
          <w:rFonts w:ascii="Times New Roman" w:eastAsia="Calibri" w:hAnsi="Times New Roman" w:cs="Times New Roman"/>
          <w:color w:val="000000"/>
          <w:sz w:val="18"/>
          <w:szCs w:val="18"/>
          <w:lang w:val="en-US"/>
        </w:rPr>
        <w:t>Age at suicide attempt in individuals with ASD without ID or ADHD.</w:t>
      </w:r>
    </w:p>
    <w:p w14:paraId="409D2B26" w14:textId="77777777" w:rsidR="00576413" w:rsidRDefault="00576413" w:rsidP="00576413">
      <w:pPr>
        <w:spacing w:line="480" w:lineRule="auto"/>
        <w:rPr>
          <w:rFonts w:ascii="Times New Roman" w:eastAsia="Calibri" w:hAnsi="Times New Roman" w:cs="Times New Roman"/>
          <w:color w:val="000000"/>
          <w:sz w:val="18"/>
          <w:szCs w:val="18"/>
          <w:vertAlign w:val="superscript"/>
          <w:lang w:val="en-US"/>
        </w:rPr>
      </w:pPr>
      <w:proofErr w:type="gramStart"/>
      <w:r>
        <w:rPr>
          <w:rFonts w:ascii="Times New Roman" w:eastAsia="Calibri" w:hAnsi="Times New Roman" w:cs="Times New Roman"/>
          <w:color w:val="000000"/>
          <w:sz w:val="18"/>
          <w:szCs w:val="18"/>
          <w:vertAlign w:val="superscript"/>
          <w:lang w:val="en-US"/>
        </w:rPr>
        <w:t>b</w:t>
      </w:r>
      <w:r w:rsidRPr="00BA2E19">
        <w:rPr>
          <w:rFonts w:ascii="Times New Roman" w:eastAsia="Calibri" w:hAnsi="Times New Roman" w:cs="Times New Roman"/>
          <w:color w:val="000000"/>
          <w:sz w:val="18"/>
          <w:szCs w:val="18"/>
          <w:vertAlign w:val="superscript"/>
          <w:lang w:val="en-US"/>
        </w:rPr>
        <w:t xml:space="preserve"> </w:t>
      </w:r>
      <w:r w:rsidRPr="009F05AC">
        <w:rPr>
          <w:rFonts w:ascii="Times New Roman" w:eastAsia="Calibri" w:hAnsi="Times New Roman" w:cs="Times New Roman"/>
          <w:color w:val="000000"/>
          <w:sz w:val="18"/>
          <w:szCs w:val="18"/>
          <w:lang w:val="en-US"/>
        </w:rPr>
        <w:t>16</w:t>
      </w:r>
      <w:proofErr w:type="gramEnd"/>
      <w:r w:rsidRPr="009F05AC">
        <w:rPr>
          <w:rFonts w:ascii="Times New Roman" w:eastAsia="Calibri" w:hAnsi="Times New Roman" w:cs="Times New Roman"/>
          <w:color w:val="000000"/>
          <w:sz w:val="18"/>
          <w:szCs w:val="18"/>
          <w:lang w:val="en-US"/>
        </w:rPr>
        <w:t xml:space="preserve"> of the 38 participants were autistic adults. In the autistic adult group, two participants reported engaging in a process of self-diagnosis only while the majority had formal diagnoses.</w:t>
      </w:r>
    </w:p>
    <w:p w14:paraId="688D25C5" w14:textId="77777777" w:rsidR="00576413" w:rsidRDefault="00576413" w:rsidP="00576413">
      <w:pPr>
        <w:spacing w:line="480" w:lineRule="auto"/>
        <w:rPr>
          <w:rFonts w:ascii="Times New Roman" w:eastAsia="Calibri" w:hAnsi="Times New Roman" w:cs="Times New Roman"/>
          <w:color w:val="000000"/>
          <w:sz w:val="18"/>
          <w:szCs w:val="18"/>
          <w:lang w:val="en-US"/>
        </w:rPr>
      </w:pPr>
      <w:r>
        <w:rPr>
          <w:rFonts w:ascii="Times New Roman" w:eastAsia="Calibri" w:hAnsi="Times New Roman" w:cs="Times New Roman"/>
          <w:color w:val="000000"/>
          <w:sz w:val="18"/>
          <w:szCs w:val="18"/>
          <w:vertAlign w:val="superscript"/>
          <w:lang w:val="en-US"/>
        </w:rPr>
        <w:t>c</w:t>
      </w:r>
      <w:r w:rsidRPr="00BA2E19">
        <w:rPr>
          <w:rFonts w:ascii="Times New Roman" w:eastAsia="Calibri" w:hAnsi="Times New Roman" w:cs="Times New Roman"/>
          <w:color w:val="000000"/>
          <w:sz w:val="18"/>
          <w:szCs w:val="18"/>
          <w:vertAlign w:val="superscript"/>
          <w:lang w:val="en-US"/>
        </w:rPr>
        <w:t xml:space="preserve"> </w:t>
      </w:r>
      <w:r w:rsidRPr="00BA2E19">
        <w:rPr>
          <w:rFonts w:ascii="Times New Roman" w:eastAsia="Calibri" w:hAnsi="Times New Roman" w:cs="Times New Roman"/>
          <w:color w:val="000000"/>
          <w:sz w:val="18"/>
          <w:szCs w:val="18"/>
          <w:lang w:val="en-US"/>
        </w:rPr>
        <w:t>68.99% of participants fell within this age range.</w:t>
      </w:r>
    </w:p>
    <w:p w14:paraId="09EEF606" w14:textId="77777777" w:rsidR="00576413" w:rsidRPr="00B27DA5" w:rsidRDefault="00576413" w:rsidP="00576413">
      <w:pPr>
        <w:spacing w:line="480" w:lineRule="auto"/>
        <w:rPr>
          <w:rFonts w:ascii="Times New Roman" w:eastAsia="Calibri" w:hAnsi="Times New Roman" w:cs="Times New Roman"/>
          <w:color w:val="000000"/>
          <w:sz w:val="18"/>
          <w:szCs w:val="18"/>
          <w:vertAlign w:val="superscript"/>
          <w:lang w:val="en-US"/>
        </w:rPr>
      </w:pPr>
      <w:r>
        <w:rPr>
          <w:rFonts w:ascii="Times New Roman" w:eastAsia="Calibri" w:hAnsi="Times New Roman" w:cs="Times New Roman"/>
          <w:color w:val="000000"/>
          <w:sz w:val="18"/>
          <w:szCs w:val="18"/>
          <w:vertAlign w:val="superscript"/>
        </w:rPr>
        <w:t xml:space="preserve">d </w:t>
      </w:r>
      <w:r w:rsidRPr="00E82272">
        <w:rPr>
          <w:rFonts w:ascii="Times New Roman" w:eastAsia="Calibri" w:hAnsi="Times New Roman" w:cs="Times New Roman"/>
          <w:color w:val="000000"/>
          <w:sz w:val="18"/>
          <w:szCs w:val="18"/>
        </w:rPr>
        <w:t>Sample includes formally diagnosed (63.62%) and possibly autistic participants (those self-identifying as autistic or awaiting assessment)</w:t>
      </w:r>
    </w:p>
    <w:p w14:paraId="2F60F688" w14:textId="77777777" w:rsidR="00576413" w:rsidRPr="00BA2E19" w:rsidRDefault="00576413" w:rsidP="00576413">
      <w:pPr>
        <w:spacing w:line="480" w:lineRule="auto"/>
        <w:rPr>
          <w:rFonts w:ascii="Times New Roman" w:eastAsia="Calibri" w:hAnsi="Times New Roman" w:cs="Times New Roman"/>
          <w:color w:val="000000"/>
          <w:sz w:val="18"/>
          <w:szCs w:val="18"/>
          <w:lang w:val="en-US"/>
        </w:rPr>
      </w:pPr>
      <w:r>
        <w:rPr>
          <w:rFonts w:ascii="Times New Roman" w:eastAsia="Calibri" w:hAnsi="Times New Roman" w:cs="Times New Roman"/>
          <w:color w:val="000000"/>
          <w:sz w:val="18"/>
          <w:szCs w:val="18"/>
          <w:vertAlign w:val="superscript"/>
          <w:lang w:val="en-US"/>
        </w:rPr>
        <w:t>e</w:t>
      </w:r>
      <w:r w:rsidRPr="00BA2E19">
        <w:rPr>
          <w:rFonts w:ascii="Times New Roman" w:eastAsia="Calibri" w:hAnsi="Times New Roman" w:cs="Times New Roman"/>
          <w:color w:val="000000"/>
          <w:sz w:val="18"/>
          <w:szCs w:val="18"/>
          <w:vertAlign w:val="superscript"/>
          <w:lang w:val="en-US"/>
        </w:rPr>
        <w:t xml:space="preserve"> </w:t>
      </w:r>
      <w:r w:rsidRPr="00BA2E19">
        <w:rPr>
          <w:rFonts w:ascii="Times New Roman" w:eastAsia="Calibri" w:hAnsi="Times New Roman" w:cs="Times New Roman"/>
          <w:color w:val="000000"/>
          <w:sz w:val="18"/>
          <w:szCs w:val="18"/>
          <w:lang w:val="en-US"/>
        </w:rPr>
        <w:t>Calculated based on all 144 participants (Not all with ASD)</w:t>
      </w:r>
    </w:p>
    <w:p w14:paraId="75422BEE" w14:textId="77777777" w:rsidR="00576413" w:rsidRDefault="00576413" w:rsidP="00576413">
      <w:pPr>
        <w:spacing w:line="480" w:lineRule="auto"/>
        <w:rPr>
          <w:rFonts w:ascii="Times New Roman" w:eastAsia="Calibri" w:hAnsi="Times New Roman" w:cs="Times New Roman"/>
          <w:color w:val="000000"/>
          <w:sz w:val="18"/>
          <w:szCs w:val="18"/>
          <w:lang w:val="en-US"/>
        </w:rPr>
      </w:pPr>
      <w:r>
        <w:rPr>
          <w:rFonts w:ascii="Times New Roman" w:eastAsia="Calibri" w:hAnsi="Times New Roman" w:cs="Times New Roman"/>
          <w:color w:val="000000"/>
          <w:sz w:val="18"/>
          <w:szCs w:val="18"/>
          <w:vertAlign w:val="superscript"/>
          <w:lang w:val="en-US"/>
        </w:rPr>
        <w:t xml:space="preserve">f </w:t>
      </w:r>
      <w:r w:rsidRPr="00BA2E19">
        <w:rPr>
          <w:rFonts w:ascii="Times New Roman" w:eastAsia="Calibri" w:hAnsi="Times New Roman" w:cs="Times New Roman"/>
          <w:color w:val="000000"/>
          <w:sz w:val="18"/>
          <w:szCs w:val="18"/>
          <w:lang w:val="en-US"/>
        </w:rPr>
        <w:t>Mean age for the participants classified as suicide attempte</w:t>
      </w:r>
      <w:r w:rsidR="00D41083">
        <w:rPr>
          <w:rFonts w:ascii="Times New Roman" w:eastAsia="Calibri" w:hAnsi="Times New Roman" w:cs="Times New Roman"/>
          <w:color w:val="000000"/>
          <w:sz w:val="18"/>
          <w:szCs w:val="18"/>
          <w:lang w:val="en-US"/>
        </w:rPr>
        <w:t>r</w:t>
      </w:r>
    </w:p>
    <w:p w14:paraId="625DB50F" w14:textId="77777777" w:rsidR="00576413" w:rsidRPr="006D37F3" w:rsidRDefault="00576413" w:rsidP="00576413">
      <w:pPr>
        <w:spacing w:line="480" w:lineRule="auto"/>
        <w:rPr>
          <w:rFonts w:ascii="Times New Roman" w:hAnsi="Times New Roman" w:cs="Times New Roman"/>
          <w:sz w:val="20"/>
          <w:szCs w:val="20"/>
          <w:lang w:val="en-US"/>
        </w:rPr>
      </w:pPr>
    </w:p>
    <w:sectPr w:rsidR="00576413" w:rsidRPr="006D37F3" w:rsidSect="00576413">
      <w:pgSz w:w="16838" w:h="11906" w:orient="landscape"/>
      <w:pgMar w:top="1417" w:right="1417" w:bottom="1417" w:left="1417"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F4401" w14:textId="77777777" w:rsidR="004B26F3" w:rsidRDefault="004B26F3">
      <w:r>
        <w:separator/>
      </w:r>
    </w:p>
  </w:endnote>
  <w:endnote w:type="continuationSeparator" w:id="0">
    <w:p w14:paraId="0356B0BB" w14:textId="77777777" w:rsidR="004B26F3" w:rsidRDefault="004B2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e Mellow 55 Medium">
    <w:altName w:val="Calibri"/>
    <w:panose1 w:val="020F0603030302020204"/>
    <w:charset w:val="00"/>
    <w:family w:val="swiss"/>
    <w:notTrueType/>
    <w:pitch w:val="variable"/>
    <w:sig w:usb0="A000026F" w:usb1="500078FB" w:usb2="00000000" w:usb3="00000000" w:csb0="00000097" w:csb1="00000000"/>
  </w:font>
  <w:font w:name="ITC Officina Serif Book">
    <w:altName w:val="Trebuchet MS"/>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EE75" w14:textId="46B7DFF0" w:rsidR="004C1907" w:rsidRDefault="004C190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47DE7" w14:textId="77777777" w:rsidR="00324CD8" w:rsidRDefault="00324C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F0571" w14:textId="77777777" w:rsidR="004B26F3" w:rsidRDefault="004B26F3">
      <w:r>
        <w:separator/>
      </w:r>
    </w:p>
  </w:footnote>
  <w:footnote w:type="continuationSeparator" w:id="0">
    <w:p w14:paraId="11578E75" w14:textId="77777777" w:rsidR="004B26F3" w:rsidRDefault="004B2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707321273"/>
    </w:sdtPr>
    <w:sdtEndPr>
      <w:rPr>
        <w:rStyle w:val="Paginanummer"/>
      </w:rPr>
    </w:sdtEndPr>
    <w:sdtContent>
      <w:p w14:paraId="2CBFCBDB" w14:textId="77777777" w:rsidR="004C1907" w:rsidRDefault="004C7D9D">
        <w:pPr>
          <w:pStyle w:val="Koptekst"/>
          <w:framePr w:wrap="auto"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t>5</w:t>
        </w:r>
        <w:r>
          <w:rPr>
            <w:rStyle w:val="Paginanummer"/>
          </w:rPr>
          <w:fldChar w:fldCharType="end"/>
        </w:r>
      </w:p>
    </w:sdtContent>
  </w:sdt>
  <w:p w14:paraId="54FC4BC0" w14:textId="77777777" w:rsidR="004C1907" w:rsidRDefault="004C1907">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54238446"/>
    </w:sdtPr>
    <w:sdtEndPr>
      <w:rPr>
        <w:rStyle w:val="Paginanummer"/>
      </w:rPr>
    </w:sdtEndPr>
    <w:sdtContent>
      <w:p w14:paraId="0DF3D820" w14:textId="77777777" w:rsidR="004C1907" w:rsidRDefault="004C7D9D">
        <w:pPr>
          <w:pStyle w:val="Koptekst"/>
          <w:framePr w:wrap="auto" w:vAnchor="text" w:hAnchor="margin" w:xAlign="right" w:y="1"/>
          <w:rPr>
            <w:rStyle w:val="Paginanummer"/>
          </w:rPr>
        </w:pPr>
        <w:r>
          <w:rPr>
            <w:rStyle w:val="Paginanummer"/>
            <w:rFonts w:ascii="Times New Roman" w:hAnsi="Times New Roman" w:cs="Times New Roman"/>
            <w:sz w:val="22"/>
            <w:szCs w:val="22"/>
          </w:rPr>
          <w:fldChar w:fldCharType="begin"/>
        </w:r>
        <w:r>
          <w:rPr>
            <w:rStyle w:val="Paginanummer"/>
            <w:rFonts w:ascii="Times New Roman" w:hAnsi="Times New Roman" w:cs="Times New Roman"/>
            <w:sz w:val="22"/>
            <w:szCs w:val="22"/>
          </w:rPr>
          <w:instrText xml:space="preserve"> PAGE </w:instrText>
        </w:r>
        <w:r>
          <w:rPr>
            <w:rStyle w:val="Paginanummer"/>
            <w:rFonts w:ascii="Times New Roman" w:hAnsi="Times New Roman" w:cs="Times New Roman"/>
            <w:sz w:val="22"/>
            <w:szCs w:val="22"/>
          </w:rPr>
          <w:fldChar w:fldCharType="separate"/>
        </w:r>
        <w:r>
          <w:rPr>
            <w:rStyle w:val="Paginanummer"/>
            <w:rFonts w:ascii="Times New Roman" w:hAnsi="Times New Roman" w:cs="Times New Roman"/>
            <w:sz w:val="22"/>
            <w:szCs w:val="22"/>
          </w:rPr>
          <w:t>11</w:t>
        </w:r>
        <w:r>
          <w:rPr>
            <w:rStyle w:val="Paginanummer"/>
            <w:rFonts w:ascii="Times New Roman" w:hAnsi="Times New Roman" w:cs="Times New Roman"/>
            <w:sz w:val="22"/>
            <w:szCs w:val="22"/>
          </w:rPr>
          <w:fldChar w:fldCharType="end"/>
        </w:r>
      </w:p>
    </w:sdtContent>
  </w:sdt>
  <w:p w14:paraId="5EB7076F" w14:textId="77777777" w:rsidR="004C1907" w:rsidRDefault="004C1907">
    <w:pPr>
      <w:pStyle w:val="Koptekst"/>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863568886"/>
    </w:sdtPr>
    <w:sdtContent>
      <w:p w14:paraId="1A3AE637" w14:textId="77777777" w:rsidR="00324CD8" w:rsidRDefault="00324CD8">
        <w:pPr>
          <w:pStyle w:val="Koptekst"/>
          <w:framePr w:wrap="auto"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t>5</w:t>
        </w:r>
        <w:r>
          <w:rPr>
            <w:rStyle w:val="Paginanummer"/>
          </w:rPr>
          <w:fldChar w:fldCharType="end"/>
        </w:r>
      </w:p>
    </w:sdtContent>
  </w:sdt>
  <w:p w14:paraId="609E9D21" w14:textId="77777777" w:rsidR="00324CD8" w:rsidRDefault="00324CD8">
    <w:pPr>
      <w:pStyle w:val="Koptekst"/>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611849097"/>
    </w:sdtPr>
    <w:sdtContent>
      <w:p w14:paraId="1D73C497" w14:textId="77777777" w:rsidR="00324CD8" w:rsidRDefault="00324CD8">
        <w:pPr>
          <w:pStyle w:val="Koptekst"/>
          <w:framePr w:wrap="auto" w:vAnchor="text" w:hAnchor="margin" w:xAlign="right" w:y="1"/>
          <w:rPr>
            <w:rStyle w:val="Paginanummer"/>
          </w:rPr>
        </w:pPr>
        <w:r>
          <w:rPr>
            <w:rStyle w:val="Paginanummer"/>
            <w:rFonts w:ascii="Times New Roman" w:hAnsi="Times New Roman" w:cs="Times New Roman"/>
            <w:sz w:val="22"/>
            <w:szCs w:val="22"/>
          </w:rPr>
          <w:fldChar w:fldCharType="begin"/>
        </w:r>
        <w:r>
          <w:rPr>
            <w:rStyle w:val="Paginanummer"/>
            <w:rFonts w:ascii="Times New Roman" w:hAnsi="Times New Roman" w:cs="Times New Roman"/>
            <w:sz w:val="22"/>
            <w:szCs w:val="22"/>
          </w:rPr>
          <w:instrText xml:space="preserve"> PAGE </w:instrText>
        </w:r>
        <w:r>
          <w:rPr>
            <w:rStyle w:val="Paginanummer"/>
            <w:rFonts w:ascii="Times New Roman" w:hAnsi="Times New Roman" w:cs="Times New Roman"/>
            <w:sz w:val="22"/>
            <w:szCs w:val="22"/>
          </w:rPr>
          <w:fldChar w:fldCharType="separate"/>
        </w:r>
        <w:r>
          <w:rPr>
            <w:rStyle w:val="Paginanummer"/>
            <w:rFonts w:ascii="Times New Roman" w:hAnsi="Times New Roman" w:cs="Times New Roman"/>
            <w:sz w:val="22"/>
            <w:szCs w:val="22"/>
          </w:rPr>
          <w:t>11</w:t>
        </w:r>
        <w:r>
          <w:rPr>
            <w:rStyle w:val="Paginanummer"/>
            <w:rFonts w:ascii="Times New Roman" w:hAnsi="Times New Roman" w:cs="Times New Roman"/>
            <w:sz w:val="22"/>
            <w:szCs w:val="22"/>
          </w:rPr>
          <w:fldChar w:fldCharType="end"/>
        </w:r>
      </w:p>
    </w:sdtContent>
  </w:sdt>
  <w:p w14:paraId="7D49A5B3" w14:textId="77777777" w:rsidR="00324CD8" w:rsidRDefault="00324CD8">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F65AD"/>
    <w:multiLevelType w:val="multilevel"/>
    <w:tmpl w:val="EA462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8C2483"/>
    <w:multiLevelType w:val="hybridMultilevel"/>
    <w:tmpl w:val="D096AF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1F43ED9"/>
    <w:multiLevelType w:val="hybridMultilevel"/>
    <w:tmpl w:val="32D22A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1F731D0"/>
    <w:multiLevelType w:val="hybridMultilevel"/>
    <w:tmpl w:val="D652C12E"/>
    <w:lvl w:ilvl="0" w:tplc="2AF2124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476267341">
    <w:abstractNumId w:val="1"/>
  </w:num>
  <w:num w:numId="2" w16cid:durableId="664934948">
    <w:abstractNumId w:val="3"/>
  </w:num>
  <w:num w:numId="3" w16cid:durableId="1063211864">
    <w:abstractNumId w:val="0"/>
  </w:num>
  <w:num w:numId="4" w16cid:durableId="979193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UseMarginsForDrawingGridOrigin/>
  <w:drawingGridHorizontalOrigin w:val="1800"/>
  <w:drawingGridVerticalOrigin w:val="144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4D4"/>
    <w:rsid w:val="00004E2F"/>
    <w:rsid w:val="00015628"/>
    <w:rsid w:val="00022F27"/>
    <w:rsid w:val="00026E7C"/>
    <w:rsid w:val="00045B90"/>
    <w:rsid w:val="00047A9C"/>
    <w:rsid w:val="00052DCB"/>
    <w:rsid w:val="000562AA"/>
    <w:rsid w:val="00057EFA"/>
    <w:rsid w:val="00075243"/>
    <w:rsid w:val="00080C4F"/>
    <w:rsid w:val="0009682F"/>
    <w:rsid w:val="000A47D1"/>
    <w:rsid w:val="000A67F0"/>
    <w:rsid w:val="000C0CF6"/>
    <w:rsid w:val="000D0B8B"/>
    <w:rsid w:val="000D1E8E"/>
    <w:rsid w:val="000D29BB"/>
    <w:rsid w:val="000D7195"/>
    <w:rsid w:val="000D71BD"/>
    <w:rsid w:val="0010524A"/>
    <w:rsid w:val="001078B4"/>
    <w:rsid w:val="00115139"/>
    <w:rsid w:val="001229F1"/>
    <w:rsid w:val="00124798"/>
    <w:rsid w:val="001338D2"/>
    <w:rsid w:val="00143AAE"/>
    <w:rsid w:val="00161DBD"/>
    <w:rsid w:val="00162310"/>
    <w:rsid w:val="001655ED"/>
    <w:rsid w:val="00171791"/>
    <w:rsid w:val="00195D79"/>
    <w:rsid w:val="001A044A"/>
    <w:rsid w:val="001A0BE1"/>
    <w:rsid w:val="001A742E"/>
    <w:rsid w:val="001B74D5"/>
    <w:rsid w:val="001E3131"/>
    <w:rsid w:val="001E33DC"/>
    <w:rsid w:val="001E7F82"/>
    <w:rsid w:val="0020169A"/>
    <w:rsid w:val="0022394D"/>
    <w:rsid w:val="0022460D"/>
    <w:rsid w:val="00226601"/>
    <w:rsid w:val="00227FE3"/>
    <w:rsid w:val="002319EB"/>
    <w:rsid w:val="00235FF7"/>
    <w:rsid w:val="00236886"/>
    <w:rsid w:val="002409F2"/>
    <w:rsid w:val="00266320"/>
    <w:rsid w:val="00284888"/>
    <w:rsid w:val="00297D80"/>
    <w:rsid w:val="002C1A97"/>
    <w:rsid w:val="002C36D7"/>
    <w:rsid w:val="002C75C3"/>
    <w:rsid w:val="002D5C1F"/>
    <w:rsid w:val="002E3846"/>
    <w:rsid w:val="002F76CD"/>
    <w:rsid w:val="00302369"/>
    <w:rsid w:val="00302B42"/>
    <w:rsid w:val="00306A07"/>
    <w:rsid w:val="00316666"/>
    <w:rsid w:val="0032072A"/>
    <w:rsid w:val="00323A26"/>
    <w:rsid w:val="00324CD8"/>
    <w:rsid w:val="00331926"/>
    <w:rsid w:val="00353072"/>
    <w:rsid w:val="00355CE6"/>
    <w:rsid w:val="003724A0"/>
    <w:rsid w:val="00375FB3"/>
    <w:rsid w:val="003A177F"/>
    <w:rsid w:val="003B113A"/>
    <w:rsid w:val="003B47BA"/>
    <w:rsid w:val="003B6C46"/>
    <w:rsid w:val="003C62D7"/>
    <w:rsid w:val="003E6964"/>
    <w:rsid w:val="003F2AB8"/>
    <w:rsid w:val="004035CA"/>
    <w:rsid w:val="00405874"/>
    <w:rsid w:val="004206FC"/>
    <w:rsid w:val="00430D1A"/>
    <w:rsid w:val="0043472B"/>
    <w:rsid w:val="00435BEC"/>
    <w:rsid w:val="00436B72"/>
    <w:rsid w:val="00436FA1"/>
    <w:rsid w:val="00444F59"/>
    <w:rsid w:val="00455EAD"/>
    <w:rsid w:val="00466113"/>
    <w:rsid w:val="00476B31"/>
    <w:rsid w:val="00481386"/>
    <w:rsid w:val="004878E8"/>
    <w:rsid w:val="0049375A"/>
    <w:rsid w:val="004957AE"/>
    <w:rsid w:val="004B26F3"/>
    <w:rsid w:val="004C1907"/>
    <w:rsid w:val="004C7D9D"/>
    <w:rsid w:val="004D68D9"/>
    <w:rsid w:val="004E1B2E"/>
    <w:rsid w:val="004F2F1F"/>
    <w:rsid w:val="004F44D4"/>
    <w:rsid w:val="004F49FD"/>
    <w:rsid w:val="0051716D"/>
    <w:rsid w:val="00530294"/>
    <w:rsid w:val="00536561"/>
    <w:rsid w:val="0053736B"/>
    <w:rsid w:val="00563DC1"/>
    <w:rsid w:val="00565AA4"/>
    <w:rsid w:val="00576413"/>
    <w:rsid w:val="005979EC"/>
    <w:rsid w:val="005A268E"/>
    <w:rsid w:val="005B76F9"/>
    <w:rsid w:val="005C6D27"/>
    <w:rsid w:val="005D072A"/>
    <w:rsid w:val="005D742D"/>
    <w:rsid w:val="005E1D18"/>
    <w:rsid w:val="005E6970"/>
    <w:rsid w:val="006029A7"/>
    <w:rsid w:val="0060421B"/>
    <w:rsid w:val="006130DB"/>
    <w:rsid w:val="00613395"/>
    <w:rsid w:val="006168FC"/>
    <w:rsid w:val="006259F0"/>
    <w:rsid w:val="00630580"/>
    <w:rsid w:val="006321CD"/>
    <w:rsid w:val="00636336"/>
    <w:rsid w:val="00636515"/>
    <w:rsid w:val="00645612"/>
    <w:rsid w:val="00646845"/>
    <w:rsid w:val="0067566C"/>
    <w:rsid w:val="00675A63"/>
    <w:rsid w:val="00686D84"/>
    <w:rsid w:val="00692F9D"/>
    <w:rsid w:val="006C1A6D"/>
    <w:rsid w:val="006C469D"/>
    <w:rsid w:val="006C7F8D"/>
    <w:rsid w:val="006D37F3"/>
    <w:rsid w:val="006D7A78"/>
    <w:rsid w:val="006E388D"/>
    <w:rsid w:val="006E4DBA"/>
    <w:rsid w:val="0070556A"/>
    <w:rsid w:val="00716B4F"/>
    <w:rsid w:val="00723280"/>
    <w:rsid w:val="00726CDC"/>
    <w:rsid w:val="00730AE7"/>
    <w:rsid w:val="007538F1"/>
    <w:rsid w:val="007565DD"/>
    <w:rsid w:val="007573C1"/>
    <w:rsid w:val="00765645"/>
    <w:rsid w:val="0077083B"/>
    <w:rsid w:val="007747BB"/>
    <w:rsid w:val="00784B9B"/>
    <w:rsid w:val="00785CBB"/>
    <w:rsid w:val="00793254"/>
    <w:rsid w:val="007A00CB"/>
    <w:rsid w:val="007A5EF2"/>
    <w:rsid w:val="007D278F"/>
    <w:rsid w:val="007E00F9"/>
    <w:rsid w:val="007F0348"/>
    <w:rsid w:val="008065A1"/>
    <w:rsid w:val="0081072E"/>
    <w:rsid w:val="00820F9C"/>
    <w:rsid w:val="00830B94"/>
    <w:rsid w:val="00832229"/>
    <w:rsid w:val="008345BB"/>
    <w:rsid w:val="008372AB"/>
    <w:rsid w:val="00841861"/>
    <w:rsid w:val="008504D6"/>
    <w:rsid w:val="00850557"/>
    <w:rsid w:val="00850726"/>
    <w:rsid w:val="00850B5A"/>
    <w:rsid w:val="00860223"/>
    <w:rsid w:val="00870294"/>
    <w:rsid w:val="008833D6"/>
    <w:rsid w:val="00893FD6"/>
    <w:rsid w:val="008A1130"/>
    <w:rsid w:val="008A31DF"/>
    <w:rsid w:val="008B3BE9"/>
    <w:rsid w:val="008B7D4E"/>
    <w:rsid w:val="008C7BFF"/>
    <w:rsid w:val="008D3714"/>
    <w:rsid w:val="008D4D97"/>
    <w:rsid w:val="008E1418"/>
    <w:rsid w:val="008E6BAC"/>
    <w:rsid w:val="009011FE"/>
    <w:rsid w:val="009158E8"/>
    <w:rsid w:val="00930EDB"/>
    <w:rsid w:val="00937410"/>
    <w:rsid w:val="00937992"/>
    <w:rsid w:val="00951CDB"/>
    <w:rsid w:val="00961A26"/>
    <w:rsid w:val="009862FD"/>
    <w:rsid w:val="00997755"/>
    <w:rsid w:val="009A7FDE"/>
    <w:rsid w:val="009B3629"/>
    <w:rsid w:val="009C0F71"/>
    <w:rsid w:val="009C256D"/>
    <w:rsid w:val="009C4F77"/>
    <w:rsid w:val="009D1057"/>
    <w:rsid w:val="009D1940"/>
    <w:rsid w:val="009F05AC"/>
    <w:rsid w:val="00A14454"/>
    <w:rsid w:val="00A17319"/>
    <w:rsid w:val="00A23D06"/>
    <w:rsid w:val="00A242B4"/>
    <w:rsid w:val="00A34025"/>
    <w:rsid w:val="00A37134"/>
    <w:rsid w:val="00A425B0"/>
    <w:rsid w:val="00A51943"/>
    <w:rsid w:val="00A53244"/>
    <w:rsid w:val="00A6060A"/>
    <w:rsid w:val="00A7562A"/>
    <w:rsid w:val="00A81A02"/>
    <w:rsid w:val="00A87571"/>
    <w:rsid w:val="00A9334E"/>
    <w:rsid w:val="00AD2381"/>
    <w:rsid w:val="00AE32E9"/>
    <w:rsid w:val="00AE63BA"/>
    <w:rsid w:val="00AF58F0"/>
    <w:rsid w:val="00B03D99"/>
    <w:rsid w:val="00B05702"/>
    <w:rsid w:val="00B05ED5"/>
    <w:rsid w:val="00B06D6D"/>
    <w:rsid w:val="00B10217"/>
    <w:rsid w:val="00B17040"/>
    <w:rsid w:val="00B17758"/>
    <w:rsid w:val="00B204E1"/>
    <w:rsid w:val="00B27DA5"/>
    <w:rsid w:val="00B40812"/>
    <w:rsid w:val="00B504C9"/>
    <w:rsid w:val="00B53D8B"/>
    <w:rsid w:val="00B60CAA"/>
    <w:rsid w:val="00B61A05"/>
    <w:rsid w:val="00B702FA"/>
    <w:rsid w:val="00B71062"/>
    <w:rsid w:val="00B73FE6"/>
    <w:rsid w:val="00B75015"/>
    <w:rsid w:val="00B76251"/>
    <w:rsid w:val="00B81224"/>
    <w:rsid w:val="00BA2E19"/>
    <w:rsid w:val="00BC0E9C"/>
    <w:rsid w:val="00BD4173"/>
    <w:rsid w:val="00C01EE8"/>
    <w:rsid w:val="00C01F24"/>
    <w:rsid w:val="00C04DD2"/>
    <w:rsid w:val="00C05B8E"/>
    <w:rsid w:val="00C2430E"/>
    <w:rsid w:val="00C544FB"/>
    <w:rsid w:val="00C61712"/>
    <w:rsid w:val="00C82DC7"/>
    <w:rsid w:val="00C8612B"/>
    <w:rsid w:val="00C87C08"/>
    <w:rsid w:val="00C91592"/>
    <w:rsid w:val="00C954BF"/>
    <w:rsid w:val="00CA4659"/>
    <w:rsid w:val="00CB0765"/>
    <w:rsid w:val="00CC329A"/>
    <w:rsid w:val="00CC4B4A"/>
    <w:rsid w:val="00CF5B5D"/>
    <w:rsid w:val="00D25F01"/>
    <w:rsid w:val="00D268B2"/>
    <w:rsid w:val="00D3224B"/>
    <w:rsid w:val="00D3593B"/>
    <w:rsid w:val="00D41083"/>
    <w:rsid w:val="00D45B55"/>
    <w:rsid w:val="00D71091"/>
    <w:rsid w:val="00D721A4"/>
    <w:rsid w:val="00D94010"/>
    <w:rsid w:val="00DA4B9A"/>
    <w:rsid w:val="00DA632D"/>
    <w:rsid w:val="00DB429A"/>
    <w:rsid w:val="00DB7985"/>
    <w:rsid w:val="00DC0AD0"/>
    <w:rsid w:val="00DC181E"/>
    <w:rsid w:val="00DF0025"/>
    <w:rsid w:val="00DF5CDA"/>
    <w:rsid w:val="00E109F9"/>
    <w:rsid w:val="00E17493"/>
    <w:rsid w:val="00E236E2"/>
    <w:rsid w:val="00E23F9A"/>
    <w:rsid w:val="00E36E29"/>
    <w:rsid w:val="00E417A3"/>
    <w:rsid w:val="00E423A8"/>
    <w:rsid w:val="00E72B7B"/>
    <w:rsid w:val="00E75484"/>
    <w:rsid w:val="00E82272"/>
    <w:rsid w:val="00E872BC"/>
    <w:rsid w:val="00EA4457"/>
    <w:rsid w:val="00EA5C85"/>
    <w:rsid w:val="00EC159C"/>
    <w:rsid w:val="00EC21D8"/>
    <w:rsid w:val="00ED2E86"/>
    <w:rsid w:val="00F06007"/>
    <w:rsid w:val="00F126E7"/>
    <w:rsid w:val="00F13041"/>
    <w:rsid w:val="00F15D33"/>
    <w:rsid w:val="00F16B47"/>
    <w:rsid w:val="00F4369E"/>
    <w:rsid w:val="00F45025"/>
    <w:rsid w:val="00F4520C"/>
    <w:rsid w:val="00F566DD"/>
    <w:rsid w:val="00F6442E"/>
    <w:rsid w:val="00F659EE"/>
    <w:rsid w:val="00F66992"/>
    <w:rsid w:val="00F71E5E"/>
    <w:rsid w:val="00F77653"/>
    <w:rsid w:val="00FA326B"/>
    <w:rsid w:val="00FC021F"/>
    <w:rsid w:val="00FC1906"/>
    <w:rsid w:val="00FC3F9D"/>
    <w:rsid w:val="00FE2176"/>
    <w:rsid w:val="00FE242D"/>
    <w:rsid w:val="00FE3FCF"/>
    <w:rsid w:val="00FF10D2"/>
    <w:rsid w:val="00FF1EAF"/>
    <w:rsid w:val="2AC95824"/>
    <w:rsid w:val="386F62A2"/>
    <w:rsid w:val="3A1D115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55D64"/>
  <w15:docId w15:val="{A8B31C68-791D-4A5C-9343-94180C1F7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unhideWhenUsed="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Theme="minorHAnsi" w:eastAsiaTheme="minorHAnsi" w:hAnsiTheme="minorHAnsi" w:cstheme="minorBidi"/>
      <w:kern w:val="2"/>
      <w:sz w:val="24"/>
      <w:szCs w:val="24"/>
      <w:lang w:val="en-GB" w:eastAsia="en-US"/>
    </w:rPr>
  </w:style>
  <w:style w:type="paragraph" w:styleId="Kop1">
    <w:name w:val="heading 1"/>
    <w:basedOn w:val="Standaard"/>
    <w:next w:val="Standaard"/>
    <w:link w:val="Kop1Char"/>
    <w:qFormat/>
    <w:pPr>
      <w:keepNext/>
      <w:keepLines/>
      <w:spacing w:before="480"/>
      <w:outlineLvl w:val="0"/>
    </w:pPr>
    <w:rPr>
      <w:rFonts w:eastAsiaTheme="majorEastAsia" w:cstheme="majorBidi"/>
      <w:b/>
      <w:bCs/>
      <w:color w:val="AC005D" w:themeColor="accent1" w:themeShade="BF"/>
      <w:sz w:val="28"/>
      <w:szCs w:val="28"/>
    </w:rPr>
  </w:style>
  <w:style w:type="paragraph" w:styleId="Kop2">
    <w:name w:val="heading 2"/>
    <w:basedOn w:val="Standaard"/>
    <w:next w:val="Standaard"/>
    <w:link w:val="Kop2Char"/>
    <w:semiHidden/>
    <w:unhideWhenUsed/>
    <w:qFormat/>
    <w:pPr>
      <w:keepNext/>
      <w:keepLines/>
      <w:spacing w:before="160" w:after="80"/>
      <w:outlineLvl w:val="1"/>
    </w:pPr>
    <w:rPr>
      <w:rFonts w:asciiTheme="majorHAnsi" w:eastAsiaTheme="majorEastAsia" w:hAnsiTheme="majorHAnsi" w:cstheme="majorBidi"/>
      <w:color w:val="AC005D" w:themeColor="accent1" w:themeShade="BF"/>
      <w:sz w:val="32"/>
      <w:szCs w:val="32"/>
    </w:rPr>
  </w:style>
  <w:style w:type="paragraph" w:styleId="Kop3">
    <w:name w:val="heading 3"/>
    <w:basedOn w:val="Standaard"/>
    <w:next w:val="Standaard"/>
    <w:link w:val="Kop3Char"/>
    <w:semiHidden/>
    <w:unhideWhenUsed/>
    <w:qFormat/>
    <w:pPr>
      <w:keepNext/>
      <w:keepLines/>
      <w:spacing w:before="160" w:after="80"/>
      <w:outlineLvl w:val="2"/>
    </w:pPr>
    <w:rPr>
      <w:rFonts w:eastAsiaTheme="majorEastAsia" w:cstheme="majorBidi"/>
      <w:color w:val="AC005D" w:themeColor="accent1" w:themeShade="BF"/>
      <w:sz w:val="28"/>
      <w:szCs w:val="28"/>
    </w:rPr>
  </w:style>
  <w:style w:type="paragraph" w:styleId="Kop4">
    <w:name w:val="heading 4"/>
    <w:basedOn w:val="Standaard"/>
    <w:next w:val="Standaard"/>
    <w:link w:val="Kop4Char"/>
    <w:semiHidden/>
    <w:unhideWhenUsed/>
    <w:qFormat/>
    <w:pPr>
      <w:keepNext/>
      <w:keepLines/>
      <w:spacing w:before="80" w:after="40"/>
      <w:outlineLvl w:val="3"/>
    </w:pPr>
    <w:rPr>
      <w:rFonts w:eastAsiaTheme="majorEastAsia" w:cstheme="majorBidi"/>
      <w:i/>
      <w:iCs/>
      <w:color w:val="AC005D" w:themeColor="accent1" w:themeShade="BF"/>
    </w:rPr>
  </w:style>
  <w:style w:type="paragraph" w:styleId="Kop5">
    <w:name w:val="heading 5"/>
    <w:basedOn w:val="Standaard"/>
    <w:next w:val="Standaard"/>
    <w:link w:val="Kop5Char"/>
    <w:semiHidden/>
    <w:unhideWhenUsed/>
    <w:qFormat/>
    <w:pPr>
      <w:keepNext/>
      <w:keepLines/>
      <w:spacing w:before="80" w:after="40"/>
      <w:outlineLvl w:val="4"/>
    </w:pPr>
    <w:rPr>
      <w:rFonts w:eastAsiaTheme="majorEastAsia" w:cstheme="majorBidi"/>
      <w:color w:val="AC005D" w:themeColor="accent1" w:themeShade="BF"/>
    </w:rPr>
  </w:style>
  <w:style w:type="paragraph" w:styleId="Kop6">
    <w:name w:val="heading 6"/>
    <w:basedOn w:val="Standaard"/>
    <w:next w:val="Standaard"/>
    <w:link w:val="Kop6Char"/>
    <w:semiHidden/>
    <w:unhideWhenUsed/>
    <w:qFormat/>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semiHidden/>
    <w:unhideWhenUsed/>
    <w:qFormat/>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semiHidden/>
    <w:unhideWhenUsed/>
    <w:qFormat/>
    <w:pPr>
      <w:keepNext/>
      <w:keepLines/>
      <w:outlineLvl w:val="7"/>
    </w:pPr>
    <w:rPr>
      <w:rFonts w:eastAsiaTheme="majorEastAsia" w:cstheme="majorBidi"/>
      <w:i/>
      <w:iCs/>
      <w:color w:val="262626" w:themeColor="text1" w:themeTint="D9"/>
    </w:rPr>
  </w:style>
  <w:style w:type="paragraph" w:styleId="Kop9">
    <w:name w:val="heading 9"/>
    <w:basedOn w:val="Standaard"/>
    <w:next w:val="Standaard"/>
    <w:link w:val="Kop9Char"/>
    <w:semiHidden/>
    <w:unhideWhenUsed/>
    <w:qFormat/>
    <w:pPr>
      <w:keepNext/>
      <w:keepLines/>
      <w:outlineLvl w:val="8"/>
    </w:pPr>
    <w:rPr>
      <w:rFonts w:eastAsiaTheme="majorEastAsia" w:cstheme="majorBidi"/>
      <w:color w:val="262626" w:themeColor="text1" w:themeTint="D9"/>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unhideWhenUsed/>
    <w:rPr>
      <w:rFonts w:ascii="Segoe UI" w:hAnsi="Segoe UI" w:cs="Segoe UI"/>
      <w:sz w:val="18"/>
      <w:szCs w:val="18"/>
    </w:rPr>
  </w:style>
  <w:style w:type="character" w:styleId="Verwijzingopmerking">
    <w:name w:val="annotation reference"/>
    <w:basedOn w:val="Standaardalinea-lettertype"/>
    <w:uiPriority w:val="99"/>
    <w:semiHidden/>
    <w:unhideWhenUsed/>
    <w:qFormat/>
    <w:rPr>
      <w:sz w:val="16"/>
      <w:szCs w:val="16"/>
    </w:rPr>
  </w:style>
  <w:style w:type="paragraph" w:styleId="Tekstopmerking">
    <w:name w:val="annotation text"/>
    <w:basedOn w:val="Standaard"/>
    <w:link w:val="TekstopmerkingChar"/>
    <w:uiPriority w:val="99"/>
    <w:unhideWhenUsed/>
    <w:qFormat/>
    <w:rPr>
      <w:rFonts w:ascii="Times New Roman" w:eastAsia="Arial Unicode MS" w:hAnsi="Times New Roman" w:cs="Times New Roman"/>
      <w:kern w:val="0"/>
      <w:sz w:val="20"/>
      <w:szCs w:val="20"/>
      <w:lang w:val="en-US"/>
    </w:rPr>
  </w:style>
  <w:style w:type="character" w:styleId="Nadruk">
    <w:name w:val="Emphasis"/>
    <w:basedOn w:val="Standaardalinea-lettertype"/>
    <w:qFormat/>
    <w:rPr>
      <w:rFonts w:asciiTheme="minorHAnsi" w:hAnsiTheme="minorHAnsi"/>
      <w:i/>
      <w:iCs/>
    </w:rPr>
  </w:style>
  <w:style w:type="paragraph" w:styleId="Voettekst">
    <w:name w:val="footer"/>
    <w:basedOn w:val="Standaard"/>
    <w:link w:val="VoettekstChar"/>
    <w:unhideWhenUsed/>
    <w:qFormat/>
    <w:pPr>
      <w:tabs>
        <w:tab w:val="center" w:pos="4513"/>
        <w:tab w:val="right" w:pos="9026"/>
      </w:tabs>
    </w:pPr>
  </w:style>
  <w:style w:type="paragraph" w:styleId="Koptekst">
    <w:name w:val="header"/>
    <w:basedOn w:val="Standaard"/>
    <w:link w:val="KoptekstChar"/>
    <w:unhideWhenUsed/>
    <w:pPr>
      <w:tabs>
        <w:tab w:val="center" w:pos="4513"/>
        <w:tab w:val="right" w:pos="9026"/>
      </w:tabs>
    </w:pPr>
  </w:style>
  <w:style w:type="character" w:styleId="Hyperlink">
    <w:name w:val="Hyperlink"/>
    <w:basedOn w:val="Standaardalinea-lettertype"/>
    <w:uiPriority w:val="99"/>
    <w:unhideWhenUsed/>
    <w:qFormat/>
    <w:rPr>
      <w:color w:val="0000FF" w:themeColor="hyperlink"/>
      <w:u w:val="single"/>
    </w:rPr>
  </w:style>
  <w:style w:type="paragraph" w:styleId="Normaalweb">
    <w:name w:val="Normal (Web)"/>
    <w:basedOn w:val="Standaard"/>
    <w:uiPriority w:val="99"/>
    <w:unhideWhenUsed/>
    <w:qFormat/>
    <w:pPr>
      <w:spacing w:before="100" w:beforeAutospacing="1" w:after="100" w:afterAutospacing="1"/>
    </w:pPr>
    <w:rPr>
      <w:rFonts w:ascii="Times New Roman" w:eastAsia="Times New Roman" w:hAnsi="Times New Roman" w:cs="Times New Roman"/>
      <w:kern w:val="0"/>
      <w:lang w:val="en-ZA" w:eastAsia="en-GB"/>
    </w:rPr>
  </w:style>
  <w:style w:type="character" w:styleId="Paginanummer">
    <w:name w:val="page number"/>
    <w:basedOn w:val="Standaardalinea-lettertype"/>
    <w:semiHidden/>
    <w:unhideWhenUsed/>
  </w:style>
  <w:style w:type="character" w:styleId="Zwaar">
    <w:name w:val="Strong"/>
    <w:basedOn w:val="Standaardalinea-lettertype"/>
    <w:qFormat/>
    <w:rPr>
      <w:rFonts w:asciiTheme="minorHAnsi" w:hAnsiTheme="minorHAnsi"/>
      <w:b/>
      <w:bCs/>
    </w:rPr>
  </w:style>
  <w:style w:type="paragraph" w:styleId="Ondertitel">
    <w:name w:val="Subtitle"/>
    <w:basedOn w:val="Standaard"/>
    <w:next w:val="Standaard"/>
    <w:link w:val="OndertitelChar"/>
    <w:qFormat/>
    <w:rPr>
      <w:rFonts w:eastAsiaTheme="majorEastAsia" w:cstheme="majorBidi"/>
      <w:i/>
      <w:iCs/>
      <w:color w:val="E6007E" w:themeColor="accent1"/>
      <w:spacing w:val="15"/>
    </w:rPr>
  </w:style>
  <w:style w:type="table" w:styleId="Tabelraster">
    <w:name w:val="Table Grid"/>
    <w:basedOn w:val="Standaard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pPr>
      <w:pBdr>
        <w:bottom w:val="single" w:sz="8" w:space="4" w:color="E6007E" w:themeColor="accent1"/>
      </w:pBdr>
      <w:spacing w:after="300"/>
      <w:contextualSpacing/>
    </w:pPr>
    <w:rPr>
      <w:rFonts w:ascii="Core Mellow 55 Medium" w:eastAsiaTheme="majorEastAsia" w:hAnsi="Core Mellow 55 Medium" w:cstheme="majorBidi"/>
      <w:color w:val="17365D" w:themeColor="text2" w:themeShade="BF"/>
      <w:spacing w:val="5"/>
      <w:kern w:val="28"/>
      <w:sz w:val="52"/>
      <w:szCs w:val="52"/>
    </w:rPr>
  </w:style>
  <w:style w:type="table" w:styleId="Lichtelijst-accent1">
    <w:name w:val="Light List Accent 1"/>
    <w:basedOn w:val="Standaardtabel"/>
    <w:uiPriority w:val="61"/>
    <w:tblPr>
      <w:tblBorders>
        <w:top w:val="single" w:sz="8" w:space="0" w:color="E6007E" w:themeColor="accent1"/>
        <w:left w:val="single" w:sz="8" w:space="0" w:color="E6007E" w:themeColor="accent1"/>
        <w:bottom w:val="single" w:sz="8" w:space="0" w:color="E6007E" w:themeColor="accent1"/>
        <w:right w:val="single" w:sz="8" w:space="0" w:color="E6007E" w:themeColor="accent1"/>
      </w:tblBorders>
    </w:tblPr>
    <w:tblStylePr w:type="firstRow">
      <w:pPr>
        <w:spacing w:before="0" w:after="0" w:line="240" w:lineRule="auto"/>
      </w:pPr>
      <w:rPr>
        <w:b/>
        <w:bCs/>
        <w:color w:val="FFFFFF" w:themeColor="background1"/>
      </w:rPr>
      <w:tblPr/>
      <w:tcPr>
        <w:shd w:val="clear" w:color="auto" w:fill="E6007E" w:themeFill="accent1"/>
      </w:tcPr>
    </w:tblStylePr>
    <w:tblStylePr w:type="lastRow">
      <w:pPr>
        <w:spacing w:before="0" w:after="0" w:line="240" w:lineRule="auto"/>
      </w:pPr>
      <w:rPr>
        <w:b/>
        <w:bCs/>
      </w:rPr>
      <w:tblPr/>
      <w:tcPr>
        <w:tcBorders>
          <w:top w:val="double" w:sz="6" w:space="0" w:color="E6007E" w:themeColor="accent1"/>
          <w:left w:val="single" w:sz="8" w:space="0" w:color="E6007E" w:themeColor="accent1"/>
          <w:bottom w:val="single" w:sz="8" w:space="0" w:color="E6007E" w:themeColor="accent1"/>
          <w:right w:val="single" w:sz="8" w:space="0" w:color="E6007E" w:themeColor="accent1"/>
        </w:tcBorders>
      </w:tcPr>
    </w:tblStylePr>
    <w:tblStylePr w:type="firstCol">
      <w:rPr>
        <w:b/>
        <w:bCs/>
      </w:rPr>
    </w:tblStylePr>
    <w:tblStylePr w:type="lastCol">
      <w:rPr>
        <w:b/>
        <w:bCs/>
      </w:rPr>
    </w:tblStylePr>
    <w:tblStylePr w:type="band1Vert">
      <w:tblPr/>
      <w:tcPr>
        <w:tcBorders>
          <w:top w:val="single" w:sz="8" w:space="0" w:color="E6007E" w:themeColor="accent1"/>
          <w:left w:val="single" w:sz="8" w:space="0" w:color="E6007E" w:themeColor="accent1"/>
          <w:bottom w:val="single" w:sz="8" w:space="0" w:color="E6007E" w:themeColor="accent1"/>
          <w:right w:val="single" w:sz="8" w:space="0" w:color="E6007E" w:themeColor="accent1"/>
        </w:tcBorders>
      </w:tcPr>
    </w:tblStylePr>
    <w:tblStylePr w:type="band1Horz">
      <w:tblPr/>
      <w:tcPr>
        <w:tcBorders>
          <w:top w:val="single" w:sz="8" w:space="0" w:color="E6007E" w:themeColor="accent1"/>
          <w:left w:val="single" w:sz="8" w:space="0" w:color="E6007E" w:themeColor="accent1"/>
          <w:bottom w:val="single" w:sz="8" w:space="0" w:color="E6007E" w:themeColor="accent1"/>
          <w:right w:val="single" w:sz="8" w:space="0" w:color="E6007E" w:themeColor="accent1"/>
        </w:tcBorders>
      </w:tcPr>
    </w:tblStylePr>
  </w:style>
  <w:style w:type="character" w:customStyle="1" w:styleId="Accare">
    <w:name w:val="Accare"/>
    <w:basedOn w:val="Standaardalinea-lettertype"/>
    <w:rPr>
      <w:rFonts w:ascii="ITC Officina Serif Book" w:hAnsi="ITC Officina Serif Book"/>
      <w:color w:val="000000"/>
      <w:sz w:val="22"/>
    </w:rPr>
  </w:style>
  <w:style w:type="character" w:customStyle="1" w:styleId="Kop1Char">
    <w:name w:val="Kop 1 Char"/>
    <w:basedOn w:val="Standaardalinea-lettertype"/>
    <w:link w:val="Kop1"/>
    <w:rPr>
      <w:rFonts w:asciiTheme="minorHAnsi" w:eastAsiaTheme="majorEastAsia" w:hAnsiTheme="minorHAnsi" w:cstheme="majorBidi"/>
      <w:b/>
      <w:bCs/>
      <w:color w:val="AC005D" w:themeColor="accent1" w:themeShade="BF"/>
      <w:sz w:val="28"/>
      <w:szCs w:val="28"/>
    </w:rPr>
  </w:style>
  <w:style w:type="character" w:customStyle="1" w:styleId="TitelChar">
    <w:name w:val="Titel Char"/>
    <w:basedOn w:val="Standaardalinea-lettertype"/>
    <w:link w:val="Titel"/>
    <w:uiPriority w:val="10"/>
    <w:qFormat/>
    <w:rPr>
      <w:rFonts w:ascii="Core Mellow 55 Medium" w:eastAsiaTheme="majorEastAsia" w:hAnsi="Core Mellow 55 Medium" w:cstheme="majorBidi"/>
      <w:color w:val="17365D" w:themeColor="text2" w:themeShade="BF"/>
      <w:spacing w:val="5"/>
      <w:kern w:val="28"/>
      <w:sz w:val="52"/>
      <w:szCs w:val="52"/>
    </w:rPr>
  </w:style>
  <w:style w:type="character" w:customStyle="1" w:styleId="OndertitelChar">
    <w:name w:val="Ondertitel Char"/>
    <w:basedOn w:val="Standaardalinea-lettertype"/>
    <w:link w:val="Ondertitel"/>
    <w:qFormat/>
    <w:rPr>
      <w:rFonts w:asciiTheme="minorHAnsi" w:eastAsiaTheme="majorEastAsia" w:hAnsiTheme="minorHAnsi" w:cstheme="majorBidi"/>
      <w:i/>
      <w:iCs/>
      <w:color w:val="E6007E" w:themeColor="accent1"/>
      <w:spacing w:val="15"/>
      <w:sz w:val="24"/>
      <w:szCs w:val="24"/>
    </w:rPr>
  </w:style>
  <w:style w:type="paragraph" w:styleId="Geenafstand">
    <w:name w:val="No Spacing"/>
    <w:uiPriority w:val="1"/>
    <w:qFormat/>
    <w:rPr>
      <w:rFonts w:asciiTheme="minorHAnsi" w:eastAsia="Times New Roman" w:hAnsiTheme="minorHAnsi" w:cs="Lucida Sans Unicode"/>
      <w:sz w:val="22"/>
      <w:szCs w:val="19"/>
    </w:rPr>
  </w:style>
  <w:style w:type="character" w:customStyle="1" w:styleId="Subtielebenadrukking1">
    <w:name w:val="Subtiele benadrukking1"/>
    <w:basedOn w:val="Standaardalinea-lettertype"/>
    <w:uiPriority w:val="19"/>
    <w:qFormat/>
    <w:rPr>
      <w:rFonts w:asciiTheme="minorHAnsi" w:hAnsiTheme="minorHAnsi"/>
      <w:i/>
      <w:iCs/>
      <w:color w:val="7F7F7F" w:themeColor="text1" w:themeTint="80"/>
    </w:rPr>
  </w:style>
  <w:style w:type="paragraph" w:customStyle="1" w:styleId="IntensieveBenadrukking">
    <w:name w:val="Intensieve Benadrukking"/>
    <w:basedOn w:val="Standaard"/>
    <w:qFormat/>
    <w:rPr>
      <w:b/>
      <w:i/>
      <w:color w:val="E6007E" w:themeColor="accent1"/>
    </w:r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qFormat/>
    <w:rPr>
      <w:rFonts w:asciiTheme="minorHAnsi" w:hAnsiTheme="minorHAnsi"/>
      <w:i/>
      <w:iCs/>
      <w:color w:val="000000" w:themeColor="text1"/>
      <w:sz w:val="22"/>
    </w:rPr>
  </w:style>
  <w:style w:type="character" w:customStyle="1" w:styleId="Subtieleverwijzing1">
    <w:name w:val="Subtiele verwijzing1"/>
    <w:basedOn w:val="Standaardalinea-lettertype"/>
    <w:uiPriority w:val="31"/>
    <w:qFormat/>
    <w:rPr>
      <w:rFonts w:asciiTheme="minorHAnsi" w:hAnsiTheme="minorHAnsi"/>
      <w:smallCaps/>
      <w:color w:val="243588" w:themeColor="accent2"/>
      <w:u w:val="single"/>
    </w:rPr>
  </w:style>
  <w:style w:type="character" w:customStyle="1" w:styleId="Intensieveverwijzing1">
    <w:name w:val="Intensieve verwijzing1"/>
    <w:basedOn w:val="Standaardalinea-lettertype"/>
    <w:uiPriority w:val="32"/>
    <w:qFormat/>
    <w:rPr>
      <w:rFonts w:asciiTheme="minorHAnsi" w:hAnsiTheme="minorHAnsi"/>
      <w:b/>
      <w:bCs/>
      <w:smallCaps/>
      <w:color w:val="243588" w:themeColor="accent2"/>
      <w:spacing w:val="5"/>
      <w:u w:val="single"/>
    </w:rPr>
  </w:style>
  <w:style w:type="character" w:customStyle="1" w:styleId="Titelvanboek1">
    <w:name w:val="Titel van boek1"/>
    <w:basedOn w:val="Standaardalinea-lettertype"/>
    <w:uiPriority w:val="33"/>
    <w:qFormat/>
    <w:rPr>
      <w:rFonts w:asciiTheme="minorHAnsi" w:hAnsiTheme="minorHAnsi"/>
      <w:b/>
      <w:bCs/>
      <w:smallCaps/>
      <w:spacing w:val="5"/>
    </w:rPr>
  </w:style>
  <w:style w:type="paragraph" w:styleId="Lijstalinea">
    <w:name w:val="List Paragraph"/>
    <w:basedOn w:val="Standaard"/>
    <w:uiPriority w:val="34"/>
    <w:qFormat/>
    <w:pPr>
      <w:ind w:left="720"/>
      <w:contextualSpacing/>
    </w:pPr>
  </w:style>
  <w:style w:type="character" w:customStyle="1" w:styleId="Kop2Char">
    <w:name w:val="Kop 2 Char"/>
    <w:basedOn w:val="Standaardalinea-lettertype"/>
    <w:link w:val="Kop2"/>
    <w:semiHidden/>
    <w:qFormat/>
    <w:rPr>
      <w:rFonts w:asciiTheme="majorHAnsi" w:eastAsiaTheme="majorEastAsia" w:hAnsiTheme="majorHAnsi" w:cstheme="majorBidi"/>
      <w:color w:val="AC005D" w:themeColor="accent1" w:themeShade="BF"/>
      <w:sz w:val="32"/>
      <w:szCs w:val="32"/>
    </w:rPr>
  </w:style>
  <w:style w:type="character" w:customStyle="1" w:styleId="Kop3Char">
    <w:name w:val="Kop 3 Char"/>
    <w:basedOn w:val="Standaardalinea-lettertype"/>
    <w:link w:val="Kop3"/>
    <w:semiHidden/>
    <w:rPr>
      <w:rFonts w:asciiTheme="minorHAnsi" w:eastAsiaTheme="majorEastAsia" w:hAnsiTheme="minorHAnsi" w:cstheme="majorBidi"/>
      <w:color w:val="AC005D" w:themeColor="accent1" w:themeShade="BF"/>
      <w:sz w:val="28"/>
      <w:szCs w:val="28"/>
    </w:rPr>
  </w:style>
  <w:style w:type="character" w:customStyle="1" w:styleId="Kop4Char">
    <w:name w:val="Kop 4 Char"/>
    <w:basedOn w:val="Standaardalinea-lettertype"/>
    <w:link w:val="Kop4"/>
    <w:semiHidden/>
    <w:rPr>
      <w:rFonts w:asciiTheme="minorHAnsi" w:eastAsiaTheme="majorEastAsia" w:hAnsiTheme="minorHAnsi" w:cstheme="majorBidi"/>
      <w:i/>
      <w:iCs/>
      <w:color w:val="AC005D" w:themeColor="accent1" w:themeShade="BF"/>
      <w:sz w:val="22"/>
    </w:rPr>
  </w:style>
  <w:style w:type="character" w:customStyle="1" w:styleId="Kop5Char">
    <w:name w:val="Kop 5 Char"/>
    <w:basedOn w:val="Standaardalinea-lettertype"/>
    <w:link w:val="Kop5"/>
    <w:semiHidden/>
    <w:rPr>
      <w:rFonts w:asciiTheme="minorHAnsi" w:eastAsiaTheme="majorEastAsia" w:hAnsiTheme="minorHAnsi" w:cstheme="majorBidi"/>
      <w:color w:val="AC005D" w:themeColor="accent1" w:themeShade="BF"/>
      <w:sz w:val="22"/>
    </w:rPr>
  </w:style>
  <w:style w:type="character" w:customStyle="1" w:styleId="Kop6Char">
    <w:name w:val="Kop 6 Char"/>
    <w:basedOn w:val="Standaardalinea-lettertype"/>
    <w:link w:val="Kop6"/>
    <w:semiHidden/>
    <w:rPr>
      <w:rFonts w:asciiTheme="minorHAnsi" w:eastAsiaTheme="majorEastAsia" w:hAnsiTheme="minorHAnsi" w:cstheme="majorBidi"/>
      <w:i/>
      <w:iCs/>
      <w:color w:val="595959" w:themeColor="text1" w:themeTint="A6"/>
      <w:sz w:val="22"/>
    </w:rPr>
  </w:style>
  <w:style w:type="character" w:customStyle="1" w:styleId="Kop7Char">
    <w:name w:val="Kop 7 Char"/>
    <w:basedOn w:val="Standaardalinea-lettertype"/>
    <w:link w:val="Kop7"/>
    <w:semiHidden/>
    <w:rPr>
      <w:rFonts w:asciiTheme="minorHAnsi" w:eastAsiaTheme="majorEastAsia" w:hAnsiTheme="minorHAnsi" w:cstheme="majorBidi"/>
      <w:color w:val="595959" w:themeColor="text1" w:themeTint="A6"/>
      <w:sz w:val="22"/>
    </w:rPr>
  </w:style>
  <w:style w:type="character" w:customStyle="1" w:styleId="Kop8Char">
    <w:name w:val="Kop 8 Char"/>
    <w:basedOn w:val="Standaardalinea-lettertype"/>
    <w:link w:val="Kop8"/>
    <w:semiHidden/>
    <w:qFormat/>
    <w:rPr>
      <w:rFonts w:asciiTheme="minorHAnsi" w:eastAsiaTheme="majorEastAsia" w:hAnsiTheme="minorHAnsi" w:cstheme="majorBidi"/>
      <w:i/>
      <w:iCs/>
      <w:color w:val="262626" w:themeColor="text1" w:themeTint="D9"/>
      <w:sz w:val="22"/>
    </w:rPr>
  </w:style>
  <w:style w:type="character" w:customStyle="1" w:styleId="Kop9Char">
    <w:name w:val="Kop 9 Char"/>
    <w:basedOn w:val="Standaardalinea-lettertype"/>
    <w:link w:val="Kop9"/>
    <w:semiHidden/>
    <w:rPr>
      <w:rFonts w:asciiTheme="minorHAnsi" w:eastAsiaTheme="majorEastAsia" w:hAnsiTheme="minorHAnsi" w:cstheme="majorBidi"/>
      <w:color w:val="262626" w:themeColor="text1" w:themeTint="D9"/>
      <w:sz w:val="22"/>
    </w:rPr>
  </w:style>
  <w:style w:type="character" w:customStyle="1" w:styleId="Intensievebenadrukking1">
    <w:name w:val="Intensieve benadrukking1"/>
    <w:basedOn w:val="Standaardalinea-lettertype"/>
    <w:uiPriority w:val="21"/>
    <w:qFormat/>
    <w:rPr>
      <w:i/>
      <w:iCs/>
      <w:color w:val="AC005D" w:themeColor="accent1" w:themeShade="BF"/>
    </w:rPr>
  </w:style>
  <w:style w:type="paragraph" w:styleId="Duidelijkcitaat">
    <w:name w:val="Intense Quote"/>
    <w:basedOn w:val="Standaard"/>
    <w:next w:val="Standaard"/>
    <w:link w:val="DuidelijkcitaatChar"/>
    <w:uiPriority w:val="30"/>
    <w:qFormat/>
    <w:pPr>
      <w:pBdr>
        <w:top w:val="single" w:sz="4" w:space="10" w:color="AC005D" w:themeColor="accent1" w:themeShade="BF"/>
        <w:bottom w:val="single" w:sz="4" w:space="10" w:color="AC005D" w:themeColor="accent1" w:themeShade="BF"/>
      </w:pBdr>
      <w:spacing w:before="360" w:after="360"/>
      <w:ind w:left="864" w:right="864"/>
      <w:jc w:val="center"/>
    </w:pPr>
    <w:rPr>
      <w:i/>
      <w:iCs/>
      <w:color w:val="AC005D" w:themeColor="accent1" w:themeShade="BF"/>
    </w:rPr>
  </w:style>
  <w:style w:type="character" w:customStyle="1" w:styleId="DuidelijkcitaatChar">
    <w:name w:val="Duidelijk citaat Char"/>
    <w:basedOn w:val="Standaardalinea-lettertype"/>
    <w:link w:val="Duidelijkcitaat"/>
    <w:uiPriority w:val="30"/>
    <w:qFormat/>
    <w:rPr>
      <w:rFonts w:asciiTheme="minorHAnsi" w:hAnsiTheme="minorHAnsi"/>
      <w:i/>
      <w:iCs/>
      <w:color w:val="AC005D" w:themeColor="accent1" w:themeShade="BF"/>
      <w:sz w:val="22"/>
    </w:rPr>
  </w:style>
  <w:style w:type="character" w:customStyle="1" w:styleId="TekstopmerkingChar">
    <w:name w:val="Tekst opmerking Char"/>
    <w:basedOn w:val="Standaardalinea-lettertype"/>
    <w:link w:val="Tekstopmerking"/>
    <w:uiPriority w:val="99"/>
    <w:qFormat/>
    <w:rPr>
      <w:rFonts w:ascii="Times New Roman" w:eastAsia="Arial Unicode MS" w:hAnsi="Times New Roman" w:cs="Times New Roman"/>
      <w:sz w:val="20"/>
      <w:szCs w:val="20"/>
      <w:lang w:val="en-US" w:eastAsia="en-US"/>
    </w:rPr>
  </w:style>
  <w:style w:type="table" w:customStyle="1" w:styleId="Tabelraster1">
    <w:name w:val="Tabelraster1"/>
    <w:basedOn w:val="Standaardtabel"/>
    <w:uiPriority w:val="39"/>
    <w:qFormat/>
    <w:rPr>
      <w:rFonts w:eastAsia="Calibri"/>
      <w:sz w:val="24"/>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ntekstChar">
    <w:name w:val="Ballontekst Char"/>
    <w:basedOn w:val="Standaardalinea-lettertype"/>
    <w:link w:val="Ballontekst"/>
    <w:uiPriority w:val="99"/>
    <w:rPr>
      <w:rFonts w:ascii="Segoe UI" w:eastAsiaTheme="minorHAnsi" w:hAnsi="Segoe UI" w:cs="Segoe UI"/>
      <w:kern w:val="2"/>
      <w:sz w:val="18"/>
      <w:szCs w:val="18"/>
      <w:lang w:val="en-GB" w:eastAsia="en-US"/>
    </w:rPr>
  </w:style>
  <w:style w:type="character" w:customStyle="1" w:styleId="location-street-address">
    <w:name w:val="location-street-address"/>
    <w:basedOn w:val="Standaardalinea-lettertype"/>
    <w:qFormat/>
  </w:style>
  <w:style w:type="character" w:customStyle="1" w:styleId="location-postal-code">
    <w:name w:val="location-postal-code"/>
    <w:basedOn w:val="Standaardalinea-lettertype"/>
  </w:style>
  <w:style w:type="character" w:customStyle="1" w:styleId="location-address-locality">
    <w:name w:val="location-address-locality"/>
    <w:basedOn w:val="Standaardalinea-lettertype"/>
    <w:qFormat/>
  </w:style>
  <w:style w:type="table" w:customStyle="1" w:styleId="PlainTable21">
    <w:name w:val="Plain Table 21"/>
    <w:basedOn w:val="Standaardtabel"/>
    <w:uiPriority w:val="42"/>
    <w:qFormat/>
    <w:rPr>
      <w:rFonts w:asciiTheme="minorHAnsi" w:eastAsiaTheme="minorHAnsi" w:hAnsiTheme="minorHAnsi" w:cstheme="minorBidi"/>
      <w:kern w:val="2"/>
      <w:sz w:val="24"/>
      <w:szCs w:val="24"/>
      <w:lang w:val="en-ZA" w:eastAsia="en-US"/>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KoptekstChar">
    <w:name w:val="Koptekst Char"/>
    <w:basedOn w:val="Standaardalinea-lettertype"/>
    <w:link w:val="Koptekst"/>
    <w:rPr>
      <w:rFonts w:asciiTheme="minorHAnsi" w:eastAsiaTheme="minorHAnsi" w:hAnsiTheme="minorHAnsi" w:cstheme="minorBidi"/>
      <w:kern w:val="2"/>
      <w:sz w:val="24"/>
      <w:szCs w:val="24"/>
      <w:lang w:val="en-GB" w:eastAsia="en-US"/>
    </w:rPr>
  </w:style>
  <w:style w:type="character" w:customStyle="1" w:styleId="VoettekstChar">
    <w:name w:val="Voettekst Char"/>
    <w:basedOn w:val="Standaardalinea-lettertype"/>
    <w:link w:val="Voettekst"/>
    <w:qFormat/>
    <w:rPr>
      <w:rFonts w:asciiTheme="minorHAnsi" w:eastAsiaTheme="minorHAnsi" w:hAnsiTheme="minorHAnsi" w:cstheme="minorBidi"/>
      <w:kern w:val="2"/>
      <w:sz w:val="24"/>
      <w:szCs w:val="24"/>
      <w:lang w:val="en-GB" w:eastAsia="en-US"/>
    </w:rPr>
  </w:style>
  <w:style w:type="paragraph" w:styleId="Revisie">
    <w:name w:val="Revision"/>
    <w:hidden/>
    <w:uiPriority w:val="99"/>
    <w:unhideWhenUsed/>
    <w:rsid w:val="00C05B8E"/>
    <w:rPr>
      <w:rFonts w:asciiTheme="minorHAnsi" w:eastAsiaTheme="minorHAnsi" w:hAnsiTheme="minorHAnsi" w:cstheme="minorBidi"/>
      <w:kern w:val="2"/>
      <w:sz w:val="24"/>
      <w:szCs w:val="24"/>
      <w:lang w:val="en-GB" w:eastAsia="en-US"/>
    </w:rPr>
  </w:style>
  <w:style w:type="paragraph" w:styleId="Onderwerpvanopmerking">
    <w:name w:val="annotation subject"/>
    <w:basedOn w:val="Tekstopmerking"/>
    <w:next w:val="Tekstopmerking"/>
    <w:link w:val="OnderwerpvanopmerkingChar"/>
    <w:semiHidden/>
    <w:unhideWhenUsed/>
    <w:rsid w:val="00B53D8B"/>
    <w:rPr>
      <w:rFonts w:asciiTheme="minorHAnsi" w:eastAsiaTheme="minorHAnsi" w:hAnsiTheme="minorHAnsi" w:cstheme="minorBidi"/>
      <w:b/>
      <w:bCs/>
      <w:kern w:val="2"/>
      <w:lang w:val="en-GB"/>
    </w:rPr>
  </w:style>
  <w:style w:type="character" w:customStyle="1" w:styleId="OnderwerpvanopmerkingChar">
    <w:name w:val="Onderwerp van opmerking Char"/>
    <w:basedOn w:val="TekstopmerkingChar"/>
    <w:link w:val="Onderwerpvanopmerking"/>
    <w:semiHidden/>
    <w:rsid w:val="00B53D8B"/>
    <w:rPr>
      <w:rFonts w:asciiTheme="minorHAnsi" w:eastAsiaTheme="minorHAnsi" w:hAnsiTheme="minorHAnsi" w:cstheme="minorBidi"/>
      <w:b/>
      <w:bCs/>
      <w:kern w:val="2"/>
      <w:sz w:val="20"/>
      <w:szCs w:val="20"/>
      <w:lang w:val="en-GB" w:eastAsia="en-US"/>
    </w:rPr>
  </w:style>
  <w:style w:type="paragraph" w:styleId="Bibliografie">
    <w:name w:val="Bibliography"/>
    <w:basedOn w:val="Standaard"/>
    <w:next w:val="Standaard"/>
    <w:uiPriority w:val="37"/>
    <w:unhideWhenUsed/>
    <w:rsid w:val="00937992"/>
    <w:pPr>
      <w:spacing w:line="480" w:lineRule="auto"/>
      <w:ind w:left="720" w:hanging="720"/>
    </w:pPr>
  </w:style>
  <w:style w:type="table" w:styleId="Rastertabel1licht">
    <w:name w:val="Grid Table 1 Light"/>
    <w:basedOn w:val="Standaardtabel"/>
    <w:uiPriority w:val="46"/>
    <w:rsid w:val="00AE63B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Accare">
      <a:dk1>
        <a:sysClr val="windowText" lastClr="000000"/>
      </a:dk1>
      <a:lt1>
        <a:sysClr val="window" lastClr="FFFFFF"/>
      </a:lt1>
      <a:dk2>
        <a:srgbClr val="1F497D"/>
      </a:dk2>
      <a:lt2>
        <a:srgbClr val="EEECE1"/>
      </a:lt2>
      <a:accent1>
        <a:srgbClr val="E6007E"/>
      </a:accent1>
      <a:accent2>
        <a:srgbClr val="243588"/>
      </a:accent2>
      <a:accent3>
        <a:srgbClr val="56AF31"/>
      </a:accent3>
      <a:accent4>
        <a:srgbClr val="A1A5A7"/>
      </a:accent4>
      <a:accent5>
        <a:srgbClr val="86D0F4"/>
      </a:accent5>
      <a:accent6>
        <a:srgbClr val="F49600"/>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4F3567927165F46BA8692856F8A9689" ma:contentTypeVersion="12" ma:contentTypeDescription="Een nieuw document maken." ma:contentTypeScope="" ma:versionID="f16f50f2aa64e884c2f96234f5751145">
  <xsd:schema xmlns:xsd="http://www.w3.org/2001/XMLSchema" xmlns:xs="http://www.w3.org/2001/XMLSchema" xmlns:p="http://schemas.microsoft.com/office/2006/metadata/properties" xmlns:ns1="http://schemas.microsoft.com/sharepoint/v3" xmlns:ns2="6057d025-4e01-4964-81bf-73df4a2ce8b8" xmlns:ns3="25a39835-7c14-4d65-8dc7-244112f1f559" targetNamespace="http://schemas.microsoft.com/office/2006/metadata/properties" ma:root="true" ma:fieldsID="380ee774c29f529eee1231e9e2944ddc" ns1:_="" ns2:_="" ns3:_="">
    <xsd:import namespace="http://schemas.microsoft.com/sharepoint/v3"/>
    <xsd:import namespace="6057d025-4e01-4964-81bf-73df4a2ce8b8"/>
    <xsd:import namespace="25a39835-7c14-4d65-8dc7-244112f1f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7d025-4e01-4964-81bf-73df4a2ce8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a39835-7c14-4d65-8dc7-244112f1f559"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95A6A46-8528-4679-90EF-533B7F758DF2}">
  <ds:schemaRefs>
    <ds:schemaRef ds:uri="http://schemas.microsoft.com/sharepoint/v3/contenttype/forms"/>
  </ds:schemaRefs>
</ds:datastoreItem>
</file>

<file path=customXml/itemProps2.xml><?xml version="1.0" encoding="utf-8"?>
<ds:datastoreItem xmlns:ds="http://schemas.openxmlformats.org/officeDocument/2006/customXml" ds:itemID="{B8784469-572B-4E53-A0A3-994A74887E7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C04703F-C741-461E-B037-0A23C2CE8112}">
  <ds:schemaRefs>
    <ds:schemaRef ds:uri="http://schemas.openxmlformats.org/officeDocument/2006/bibliography"/>
  </ds:schemaRefs>
</ds:datastoreItem>
</file>

<file path=customXml/itemProps4.xml><?xml version="1.0" encoding="utf-8"?>
<ds:datastoreItem xmlns:ds="http://schemas.openxmlformats.org/officeDocument/2006/customXml" ds:itemID="{A6277047-F421-4669-AC9E-A468D302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57d025-4e01-4964-81bf-73df4a2ce8b8"/>
    <ds:schemaRef ds:uri="25a39835-7c14-4d65-8dc7-244112f1f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1907</TotalTime>
  <Pages>12</Pages>
  <Words>21206</Words>
  <Characters>116633</Characters>
  <Application>Microsoft Office Word</Application>
  <DocSecurity>0</DocSecurity>
  <Lines>971</Lines>
  <Paragraphs>275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Accare</Company>
  <LinksUpToDate>false</LinksUpToDate>
  <CharactersWithSpaces>137564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Grieve, Caitlin</dc:creator>
  <cp:keywords>blanco</cp:keywords>
  <cp:lastModifiedBy>Grieve, Caitlin</cp:lastModifiedBy>
  <cp:revision>194</cp:revision>
  <cp:lastPrinted>2000-12-14T07:25:00Z</cp:lastPrinted>
  <dcterms:created xsi:type="dcterms:W3CDTF">2025-02-03T15:35:00Z</dcterms:created>
  <dcterms:modified xsi:type="dcterms:W3CDTF">2026-05-14T16:12:00Z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id="wAnnZMUy"/&gt;&lt;style id="http://www.zotero.org/styles/apa" locale="en-GB" hasBibliography="1" bibliographyStyleHasBeenSet="1"/&gt;&lt;prefs&gt;&lt;pref name="fieldType" value="Field"/&gt;&lt;/prefs&gt;&lt;/data&gt;</vt:lpwstr>
  </property>
  <property fmtid="{D5CDD505-2E9C-101B-9397-08002B2CF9AE}" pid="3" name="KSOProductBuildVer">
    <vt:lpwstr>2057-11.2.0.11486</vt:lpwstr>
  </property>
  <property fmtid="{D5CDD505-2E9C-101B-9397-08002B2CF9AE}" pid="4" name="ICV">
    <vt:lpwstr>65120ED4F3C4441C9C59923D5DC19E11</vt:lpwstr>
  </property>
  <property fmtid="{D5CDD505-2E9C-101B-9397-08002B2CF9AE}" pid="5" name="MSIP_Label_8c22cf7a-3c9e-4ce4-8a23-21523d08ea54_Enabled">
    <vt:lpwstr>True</vt:lpwstr>
  </property>
  <property fmtid="{D5CDD505-2E9C-101B-9397-08002B2CF9AE}" pid="6" name="MSIP_Label_8c22cf7a-3c9e-4ce4-8a23-21523d08ea54_SiteId">
    <vt:lpwstr>009b8bed-a1c2-407a-acbf-65dab1c5c1d9</vt:lpwstr>
  </property>
  <property fmtid="{D5CDD505-2E9C-101B-9397-08002B2CF9AE}" pid="7" name="MSIP_Label_8c22cf7a-3c9e-4ce4-8a23-21523d08ea54_SetDate">
    <vt:lpwstr>2024-09-09T10:17:36Z</vt:lpwstr>
  </property>
  <property fmtid="{D5CDD505-2E9C-101B-9397-08002B2CF9AE}" pid="8" name="MSIP_Label_8c22cf7a-3c9e-4ce4-8a23-21523d08ea54_Name">
    <vt:lpwstr>Cliëntgegevens</vt:lpwstr>
  </property>
  <property fmtid="{D5CDD505-2E9C-101B-9397-08002B2CF9AE}" pid="9" name="MSIP_Label_8c22cf7a-3c9e-4ce4-8a23-21523d08ea54_ActionId">
    <vt:lpwstr>b4a73d20-1489-4046-893b-b39cbf35753b</vt:lpwstr>
  </property>
  <property fmtid="{D5CDD505-2E9C-101B-9397-08002B2CF9AE}" pid="10" name="MSIP_Label_8c22cf7a-3c9e-4ce4-8a23-21523d08ea54_Removed">
    <vt:lpwstr>False</vt:lpwstr>
  </property>
  <property fmtid="{D5CDD505-2E9C-101B-9397-08002B2CF9AE}" pid="11" name="MSIP_Label_8c22cf7a-3c9e-4ce4-8a23-21523d08ea54_Extended_MSFT_Method">
    <vt:lpwstr>Standard</vt:lpwstr>
  </property>
  <property fmtid="{D5CDD505-2E9C-101B-9397-08002B2CF9AE}" pid="12" name="Sensitivity">
    <vt:lpwstr>Cliëntgegevens</vt:lpwstr>
  </property>
</Properties>
</file>