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74B7" w:rsidRPr="005274B7" w:rsidRDefault="005274B7" w:rsidP="005274B7">
      <w:pPr>
        <w:suppressLineNumbers/>
        <w:spacing w:after="0"/>
        <w:jc w:val="center"/>
        <w:rPr>
          <w:rFonts w:ascii="Times New Roman" w:hAnsi="Times New Roman" w:cs="Times New Roman"/>
          <w:sz w:val="20"/>
          <w:szCs w:val="20"/>
          <w:lang w:val="en-GB"/>
        </w:rPr>
      </w:pPr>
      <w:bookmarkStart w:id="0" w:name="_Hlk27305448"/>
      <w:bookmarkStart w:id="1" w:name="_Hlk32142303"/>
      <w:bookmarkStart w:id="2" w:name="_GoBack"/>
      <w:r w:rsidRPr="005274B7">
        <w:rPr>
          <w:rFonts w:ascii="Times New Roman" w:hAnsi="Times New Roman" w:cs="Times New Roman"/>
          <w:b/>
          <w:sz w:val="20"/>
          <w:szCs w:val="20"/>
          <w:lang w:val="en-GB"/>
        </w:rPr>
        <w:t xml:space="preserve">Examining the validity and consistency of the Adult Eating Behaviour Questionnaire – </w:t>
      </w:r>
      <w:proofErr w:type="spellStart"/>
      <w:r w:rsidRPr="005274B7">
        <w:rPr>
          <w:rFonts w:ascii="Times New Roman" w:hAnsi="Times New Roman" w:cs="Times New Roman"/>
          <w:b/>
          <w:sz w:val="20"/>
          <w:szCs w:val="20"/>
          <w:lang w:val="en-GB"/>
        </w:rPr>
        <w:t>Español</w:t>
      </w:r>
      <w:proofErr w:type="spellEnd"/>
      <w:r w:rsidRPr="005274B7">
        <w:rPr>
          <w:rFonts w:ascii="Times New Roman" w:hAnsi="Times New Roman" w:cs="Times New Roman"/>
          <w:b/>
          <w:sz w:val="20"/>
          <w:szCs w:val="20"/>
          <w:lang w:val="en-GB"/>
        </w:rPr>
        <w:t xml:space="preserve"> (AEBQ-</w:t>
      </w:r>
      <w:proofErr w:type="spellStart"/>
      <w:r w:rsidRPr="005274B7">
        <w:rPr>
          <w:rFonts w:ascii="Times New Roman" w:hAnsi="Times New Roman" w:cs="Times New Roman"/>
          <w:b/>
          <w:sz w:val="20"/>
          <w:szCs w:val="20"/>
          <w:lang w:val="en-GB"/>
        </w:rPr>
        <w:t>Esp</w:t>
      </w:r>
      <w:proofErr w:type="spellEnd"/>
      <w:r w:rsidRPr="005274B7">
        <w:rPr>
          <w:rFonts w:ascii="Times New Roman" w:hAnsi="Times New Roman" w:cs="Times New Roman"/>
          <w:b/>
          <w:sz w:val="20"/>
          <w:szCs w:val="20"/>
          <w:lang w:val="en-GB"/>
        </w:rPr>
        <w:t>) and its relationship to BMI in a Mexican population</w:t>
      </w:r>
    </w:p>
    <w:bookmarkEnd w:id="0"/>
    <w:p w:rsidR="005274B7" w:rsidRDefault="005274B7" w:rsidP="0098153B">
      <w:pPr>
        <w:rPr>
          <w:rFonts w:ascii="Times New Roman" w:hAnsi="Times New Roman" w:cs="Times New Roman"/>
          <w:b/>
          <w:sz w:val="20"/>
          <w:szCs w:val="20"/>
          <w:lang w:val="en-GB"/>
        </w:rPr>
      </w:pPr>
    </w:p>
    <w:p w:rsidR="005274B7" w:rsidRDefault="005274B7" w:rsidP="0098153B">
      <w:pPr>
        <w:rPr>
          <w:rFonts w:ascii="Times New Roman" w:hAnsi="Times New Roman" w:cs="Times New Roman"/>
          <w:b/>
          <w:sz w:val="20"/>
          <w:szCs w:val="20"/>
          <w:lang w:val="en-GB"/>
        </w:rPr>
      </w:pPr>
      <w:r w:rsidRPr="005274B7">
        <w:rPr>
          <w:rFonts w:ascii="Times New Roman" w:hAnsi="Times New Roman" w:cs="Times New Roman"/>
          <w:b/>
          <w:sz w:val="20"/>
          <w:szCs w:val="20"/>
          <w:lang w:val="en-GB"/>
        </w:rPr>
        <w:t>Eating and Weight Disorders - Studies on Anorexia, Bulimia and Obesity</w:t>
      </w:r>
    </w:p>
    <w:p w:rsidR="005274B7" w:rsidRPr="005274B7" w:rsidRDefault="005274B7" w:rsidP="005274B7">
      <w:pPr>
        <w:rPr>
          <w:rFonts w:ascii="Times New Roman" w:hAnsi="Times New Roman" w:cs="Times New Roman"/>
          <w:bCs/>
          <w:sz w:val="20"/>
          <w:szCs w:val="20"/>
          <w:lang w:val="en-GB"/>
        </w:rPr>
      </w:pPr>
      <w:r w:rsidRPr="005274B7">
        <w:rPr>
          <w:rFonts w:ascii="Times New Roman" w:hAnsi="Times New Roman" w:cs="Times New Roman"/>
          <w:bCs/>
          <w:sz w:val="20"/>
          <w:szCs w:val="20"/>
          <w:lang w:val="en-GB"/>
        </w:rPr>
        <w:t xml:space="preserve">Hunot-Alexander, C., Arellano-Gómez, L., Smith, A., </w:t>
      </w:r>
      <w:proofErr w:type="spellStart"/>
      <w:r w:rsidRPr="005274B7">
        <w:rPr>
          <w:rFonts w:ascii="Times New Roman" w:hAnsi="Times New Roman" w:cs="Times New Roman"/>
          <w:bCs/>
          <w:sz w:val="20"/>
          <w:szCs w:val="20"/>
          <w:lang w:val="en-GB"/>
        </w:rPr>
        <w:t>Kaufer</w:t>
      </w:r>
      <w:proofErr w:type="spellEnd"/>
      <w:r w:rsidRPr="005274B7">
        <w:rPr>
          <w:rFonts w:ascii="Times New Roman" w:hAnsi="Times New Roman" w:cs="Times New Roman"/>
          <w:bCs/>
          <w:sz w:val="20"/>
          <w:szCs w:val="20"/>
          <w:lang w:val="en-GB"/>
        </w:rPr>
        <w:t xml:space="preserve">-Horwitz, M., Vasquez-Garibay, E. M., Romero-Velarde, E., </w:t>
      </w:r>
      <w:r w:rsidRPr="005274B7">
        <w:rPr>
          <w:rFonts w:ascii="Times New Roman" w:hAnsi="Times New Roman" w:cs="Times New Roman"/>
          <w:bCs/>
          <w:sz w:val="20"/>
          <w:szCs w:val="20"/>
          <w:lang w:val="en-GB"/>
        </w:rPr>
        <w:t>Fildes, A., Croker, H., Llewellyn, C.,</w:t>
      </w:r>
      <w:r w:rsidRPr="005274B7">
        <w:rPr>
          <w:rFonts w:ascii="Times New Roman" w:hAnsi="Times New Roman" w:cs="Times New Roman"/>
          <w:bCs/>
          <w:sz w:val="20"/>
          <w:szCs w:val="20"/>
          <w:lang w:val="en-GB"/>
        </w:rPr>
        <w:t xml:space="preserve"> Beeken, R. J. </w:t>
      </w:r>
    </w:p>
    <w:p w:rsidR="005274B7" w:rsidRPr="005274B7" w:rsidRDefault="005274B7" w:rsidP="005274B7">
      <w:pPr>
        <w:suppressLineNumbers/>
        <w:spacing w:after="0"/>
        <w:jc w:val="both"/>
        <w:rPr>
          <w:rFonts w:ascii="Times New Roman" w:hAnsi="Times New Roman" w:cs="Times New Roman"/>
          <w:sz w:val="20"/>
          <w:szCs w:val="20"/>
          <w:lang w:val="en-GB"/>
        </w:rPr>
      </w:pPr>
      <w:r w:rsidRPr="00EE2542">
        <w:rPr>
          <w:rFonts w:ascii="Times New Roman" w:hAnsi="Times New Roman" w:cs="Times New Roman"/>
          <w:sz w:val="20"/>
          <w:szCs w:val="20"/>
          <w:lang w:val="en-GB"/>
        </w:rPr>
        <w:t xml:space="preserve">Correspondence: </w:t>
      </w:r>
      <w:proofErr w:type="spellStart"/>
      <w:r>
        <w:rPr>
          <w:rFonts w:ascii="Times New Roman" w:hAnsi="Times New Roman" w:cs="Times New Roman"/>
          <w:sz w:val="20"/>
          <w:szCs w:val="20"/>
          <w:lang w:val="en-GB"/>
        </w:rPr>
        <w:t>Dr.</w:t>
      </w:r>
      <w:proofErr w:type="spellEnd"/>
      <w:r>
        <w:rPr>
          <w:rFonts w:ascii="Times New Roman" w:hAnsi="Times New Roman" w:cs="Times New Roman"/>
          <w:sz w:val="20"/>
          <w:szCs w:val="20"/>
          <w:lang w:val="en-GB"/>
        </w:rPr>
        <w:t xml:space="preserve"> Rebecca Beeken. </w:t>
      </w:r>
      <w:r w:rsidRPr="00EE2542">
        <w:rPr>
          <w:rFonts w:ascii="Times New Roman" w:hAnsi="Times New Roman" w:cs="Times New Roman"/>
          <w:sz w:val="20"/>
          <w:szCs w:val="20"/>
          <w:lang w:val="en-GB"/>
        </w:rPr>
        <w:t>Yorkshire Cancer Research University Academic Fellow, Leeds Institute of Health Sciences, Level 10, Worsley Building, Clarendon Way, Leeds, LS2 9NL, United Kingdom.</w:t>
      </w:r>
      <w:r>
        <w:rPr>
          <w:rFonts w:ascii="Times New Roman" w:hAnsi="Times New Roman" w:cs="Times New Roman"/>
          <w:sz w:val="20"/>
          <w:szCs w:val="20"/>
          <w:lang w:val="en-GB"/>
        </w:rPr>
        <w:t xml:space="preserve"> </w:t>
      </w:r>
      <w:r w:rsidRPr="00EE2542">
        <w:rPr>
          <w:rFonts w:ascii="Times New Roman" w:hAnsi="Times New Roman" w:cs="Times New Roman"/>
          <w:sz w:val="20"/>
          <w:szCs w:val="20"/>
          <w:lang w:val="en-GB"/>
        </w:rPr>
        <w:t>Orcid.org/0000-0001-8287-9351</w:t>
      </w:r>
      <w:r>
        <w:rPr>
          <w:rFonts w:ascii="Times New Roman" w:hAnsi="Times New Roman" w:cs="Times New Roman"/>
          <w:sz w:val="20"/>
          <w:szCs w:val="20"/>
          <w:lang w:val="en-GB"/>
        </w:rPr>
        <w:t xml:space="preserve"> </w:t>
      </w:r>
      <w:hyperlink r:id="rId6" w:history="1">
        <w:r w:rsidRPr="00EE2542">
          <w:rPr>
            <w:rStyle w:val="Hipervnculo"/>
            <w:rFonts w:ascii="Times New Roman" w:hAnsi="Times New Roman" w:cs="Times New Roman"/>
            <w:sz w:val="20"/>
            <w:szCs w:val="20"/>
            <w:lang w:val="en-GB"/>
          </w:rPr>
          <w:t>R.Beeken@leeds.ac.uk</w:t>
        </w:r>
      </w:hyperlink>
    </w:p>
    <w:bookmarkEnd w:id="1"/>
    <w:bookmarkEnd w:id="2"/>
    <w:p w:rsidR="005274B7" w:rsidRDefault="005274B7" w:rsidP="0098153B">
      <w:pPr>
        <w:rPr>
          <w:rFonts w:ascii="Times New Roman" w:hAnsi="Times New Roman" w:cs="Times New Roman"/>
          <w:b/>
          <w:sz w:val="20"/>
          <w:szCs w:val="20"/>
          <w:lang w:val="en-GB"/>
        </w:rPr>
      </w:pPr>
    </w:p>
    <w:p w:rsidR="00353E43" w:rsidRDefault="00353E43" w:rsidP="0098153B">
      <w:pPr>
        <w:rPr>
          <w:rFonts w:ascii="Times New Roman" w:hAnsi="Times New Roman" w:cs="Times New Roman"/>
          <w:b/>
          <w:sz w:val="20"/>
          <w:szCs w:val="20"/>
          <w:lang w:val="en-GB"/>
        </w:rPr>
      </w:pPr>
    </w:p>
    <w:p w:rsidR="0098153B" w:rsidRPr="00353E43" w:rsidRDefault="009A2AC7" w:rsidP="0098153B">
      <w:pPr>
        <w:rPr>
          <w:rFonts w:ascii="Times New Roman" w:hAnsi="Times New Roman" w:cs="Times New Roman"/>
          <w:bCs/>
          <w:sz w:val="20"/>
          <w:szCs w:val="20"/>
          <w:lang w:val="en-GB"/>
        </w:rPr>
      </w:pPr>
      <w:r>
        <w:rPr>
          <w:rFonts w:ascii="Times New Roman" w:hAnsi="Times New Roman" w:cs="Times New Roman"/>
          <w:b/>
          <w:sz w:val="20"/>
          <w:szCs w:val="20"/>
          <w:lang w:val="en-GB"/>
        </w:rPr>
        <w:t>Supplementary</w:t>
      </w:r>
      <w:r w:rsidR="0098153B" w:rsidRPr="00A72C31">
        <w:rPr>
          <w:rFonts w:ascii="Times New Roman" w:hAnsi="Times New Roman" w:cs="Times New Roman"/>
          <w:b/>
          <w:sz w:val="20"/>
          <w:szCs w:val="20"/>
          <w:lang w:val="en-GB"/>
        </w:rPr>
        <w:t xml:space="preserve"> material 1.</w:t>
      </w:r>
      <w:r>
        <w:rPr>
          <w:rFonts w:ascii="Times New Roman" w:hAnsi="Times New Roman" w:cs="Times New Roman"/>
          <w:b/>
          <w:sz w:val="20"/>
          <w:szCs w:val="20"/>
          <w:lang w:val="en-GB"/>
        </w:rPr>
        <w:t xml:space="preserve"> </w:t>
      </w:r>
      <w:r w:rsidRPr="00353E43">
        <w:rPr>
          <w:rFonts w:ascii="Times New Roman" w:hAnsi="Times New Roman" w:cs="Times New Roman"/>
          <w:bCs/>
          <w:sz w:val="20"/>
          <w:szCs w:val="20"/>
          <w:lang w:val="en-GB"/>
        </w:rPr>
        <w:t>A brief description of the translation method used</w:t>
      </w:r>
      <w:r w:rsidR="00353E43" w:rsidRPr="00353E43">
        <w:rPr>
          <w:rFonts w:ascii="Times New Roman" w:hAnsi="Times New Roman" w:cs="Times New Roman"/>
          <w:bCs/>
          <w:sz w:val="20"/>
          <w:szCs w:val="20"/>
          <w:lang w:val="en-GB"/>
        </w:rPr>
        <w:t xml:space="preserve"> to examine the validation of the AEBQ-Esp.</w:t>
      </w:r>
    </w:p>
    <w:p w:rsidR="0098153B" w:rsidRPr="00A72C31" w:rsidRDefault="0098153B">
      <w:pPr>
        <w:rPr>
          <w:rFonts w:ascii="Times New Roman" w:hAnsi="Times New Roman" w:cs="Times New Roman"/>
          <w:sz w:val="20"/>
          <w:szCs w:val="20"/>
          <w:lang w:val="en-GB"/>
        </w:rPr>
      </w:pPr>
      <w:bookmarkStart w:id="3" w:name="_Hlk30243405"/>
      <w:r w:rsidRPr="00A72C31">
        <w:rPr>
          <w:rFonts w:ascii="Times New Roman" w:hAnsi="Times New Roman" w:cs="Times New Roman"/>
          <w:sz w:val="20"/>
          <w:szCs w:val="20"/>
          <w:lang w:val="en-GB"/>
        </w:rPr>
        <w:t>For the purpose of translating the AEBQ into Spanish several procedures took place, in order to achieve the best translation of the questionnaire.</w:t>
      </w:r>
    </w:p>
    <w:p w:rsidR="0098153B" w:rsidRPr="00A72C31" w:rsidRDefault="0098153B" w:rsidP="0098153B">
      <w:pPr>
        <w:pStyle w:val="Prrafodelista"/>
        <w:numPr>
          <w:ilvl w:val="0"/>
          <w:numId w:val="1"/>
        </w:numPr>
        <w:rPr>
          <w:rFonts w:ascii="Times New Roman" w:hAnsi="Times New Roman" w:cs="Times New Roman"/>
          <w:sz w:val="20"/>
          <w:szCs w:val="20"/>
          <w:lang w:val="en-GB"/>
        </w:rPr>
      </w:pPr>
      <w:bookmarkStart w:id="4" w:name="_Hlk30261532"/>
      <w:r w:rsidRPr="00A72C31">
        <w:rPr>
          <w:rFonts w:ascii="Times New Roman" w:hAnsi="Times New Roman" w:cs="Times New Roman"/>
          <w:sz w:val="20"/>
          <w:szCs w:val="20"/>
          <w:lang w:val="en-GB"/>
        </w:rPr>
        <w:t xml:space="preserve">The original author of the AEBQ (CHA) who is fluent in English </w:t>
      </w:r>
      <w:r w:rsidR="005276A2" w:rsidRPr="00A72C31">
        <w:rPr>
          <w:rFonts w:ascii="Times New Roman" w:hAnsi="Times New Roman" w:cs="Times New Roman"/>
          <w:sz w:val="20"/>
          <w:szCs w:val="20"/>
          <w:lang w:val="en-GB"/>
        </w:rPr>
        <w:t>and has an English mother</w:t>
      </w:r>
      <w:r w:rsidRPr="00A72C31">
        <w:rPr>
          <w:rFonts w:ascii="Times New Roman" w:hAnsi="Times New Roman" w:cs="Times New Roman"/>
          <w:sz w:val="20"/>
          <w:szCs w:val="20"/>
          <w:lang w:val="en-GB"/>
        </w:rPr>
        <w:t xml:space="preserve"> and </w:t>
      </w:r>
      <w:r w:rsidR="005276A2" w:rsidRPr="00A72C31">
        <w:rPr>
          <w:rFonts w:ascii="Times New Roman" w:hAnsi="Times New Roman" w:cs="Times New Roman"/>
          <w:sz w:val="20"/>
          <w:szCs w:val="20"/>
          <w:lang w:val="en-GB"/>
        </w:rPr>
        <w:t xml:space="preserve">born and lives in Mexico, able to understand the nuances of both languages, </w:t>
      </w:r>
      <w:proofErr w:type="gramStart"/>
      <w:r w:rsidR="005276A2" w:rsidRPr="00A72C31">
        <w:rPr>
          <w:rFonts w:ascii="Times New Roman" w:hAnsi="Times New Roman" w:cs="Times New Roman"/>
          <w:sz w:val="20"/>
          <w:szCs w:val="20"/>
          <w:lang w:val="en-GB"/>
        </w:rPr>
        <w:t>in particular British</w:t>
      </w:r>
      <w:proofErr w:type="gramEnd"/>
      <w:r w:rsidR="005276A2" w:rsidRPr="00A72C31">
        <w:rPr>
          <w:rFonts w:ascii="Times New Roman" w:hAnsi="Times New Roman" w:cs="Times New Roman"/>
          <w:sz w:val="20"/>
          <w:szCs w:val="20"/>
          <w:lang w:val="en-GB"/>
        </w:rPr>
        <w:t xml:space="preserve"> English and</w:t>
      </w:r>
      <w:r w:rsidRPr="00A72C31">
        <w:rPr>
          <w:rFonts w:ascii="Times New Roman" w:hAnsi="Times New Roman" w:cs="Times New Roman"/>
          <w:sz w:val="20"/>
          <w:szCs w:val="20"/>
          <w:lang w:val="en-GB"/>
        </w:rPr>
        <w:t xml:space="preserve"> Mexican</w:t>
      </w:r>
      <w:r w:rsidR="005276A2" w:rsidRPr="00A72C31">
        <w:rPr>
          <w:rFonts w:ascii="Times New Roman" w:hAnsi="Times New Roman" w:cs="Times New Roman"/>
          <w:sz w:val="20"/>
          <w:szCs w:val="20"/>
          <w:lang w:val="en-GB"/>
        </w:rPr>
        <w:t xml:space="preserve"> Spanish, </w:t>
      </w:r>
      <w:r w:rsidRPr="00A72C31">
        <w:rPr>
          <w:rFonts w:ascii="Times New Roman" w:hAnsi="Times New Roman" w:cs="Times New Roman"/>
          <w:sz w:val="20"/>
          <w:szCs w:val="20"/>
          <w:lang w:val="en-GB"/>
        </w:rPr>
        <w:t>performed the forward translation of the AEBQ into Spanish.</w:t>
      </w:r>
    </w:p>
    <w:p w:rsidR="00AE52A8" w:rsidRDefault="005276A2" w:rsidP="007D76CD">
      <w:pPr>
        <w:pStyle w:val="Prrafodelista"/>
        <w:numPr>
          <w:ilvl w:val="0"/>
          <w:numId w:val="1"/>
        </w:numPr>
        <w:rPr>
          <w:rFonts w:ascii="Times New Roman" w:hAnsi="Times New Roman" w:cs="Times New Roman"/>
          <w:sz w:val="20"/>
          <w:szCs w:val="20"/>
          <w:lang w:val="en-GB"/>
        </w:rPr>
      </w:pPr>
      <w:r w:rsidRPr="00A72C31">
        <w:rPr>
          <w:rFonts w:ascii="Times New Roman" w:hAnsi="Times New Roman" w:cs="Times New Roman"/>
          <w:sz w:val="20"/>
          <w:szCs w:val="20"/>
          <w:lang w:val="en-GB"/>
        </w:rPr>
        <w:t>Four researchers fluent in both Spanish and English (LPAG, MKH, EMVG, ERV) also discussed the translation of the final questionnaire and made minor adjustments to various words.</w:t>
      </w:r>
    </w:p>
    <w:p w:rsidR="00AE52A8" w:rsidRDefault="005276A2" w:rsidP="007D76CD">
      <w:pPr>
        <w:pStyle w:val="Prrafodelista"/>
        <w:numPr>
          <w:ilvl w:val="0"/>
          <w:numId w:val="1"/>
        </w:numPr>
        <w:rPr>
          <w:rFonts w:ascii="Times New Roman" w:hAnsi="Times New Roman" w:cs="Times New Roman"/>
          <w:sz w:val="20"/>
          <w:szCs w:val="20"/>
          <w:lang w:val="en-GB"/>
        </w:rPr>
      </w:pPr>
      <w:r w:rsidRPr="00AE52A8">
        <w:rPr>
          <w:rFonts w:ascii="Times New Roman" w:hAnsi="Times New Roman" w:cs="Times New Roman"/>
          <w:sz w:val="20"/>
          <w:szCs w:val="20"/>
          <w:lang w:val="en-GB"/>
        </w:rPr>
        <w:t xml:space="preserve">Once a final translated version was obtained, the principal researcher (CHA) carried out cognitive interviews, using the Think Aloud method </w:t>
      </w:r>
      <w:r w:rsidRPr="00AE52A8">
        <w:rPr>
          <w:rFonts w:ascii="Times New Roman" w:hAnsi="Times New Roman" w:cs="Times New Roman"/>
          <w:sz w:val="20"/>
          <w:szCs w:val="20"/>
          <w:lang w:val="en-GB"/>
        </w:rPr>
        <w:fldChar w:fldCharType="begin" w:fldLock="1"/>
      </w:r>
      <w:r w:rsidR="007D76CD" w:rsidRPr="00AE52A8">
        <w:rPr>
          <w:rFonts w:ascii="Times New Roman" w:hAnsi="Times New Roman" w:cs="Times New Roman"/>
          <w:sz w:val="20"/>
          <w:szCs w:val="20"/>
          <w:lang w:val="en-GB"/>
        </w:rPr>
        <w:instrText>ADDIN CSL_CITATION {"citationItems":[{"id":"ITEM-1","itemData":{"DOI":"10.1037/a0021663","ISSN":"1939-1455","PMID":"21090887","abstract":"Since its establishment, psychology has struggled to find valid methods for studying thoughts and subjective experiences. Thirty years ago, Ericsson and Simon (1980) proposed that participants can give concurrent verbal expression to their thoughts (think aloud) while completing tasks without changing objectively measurable performance (accuracy). In contrast, directed requests for concurrent verbal reports, such as explanations or directions to describe particular kinds of information, were predicted to change thought processes as a consequence of the need to generate this information, thus altering performance. By comparing performance of concurrent verbal reporting conditions with their matching silent control condition, Ericsson and Simon found several studies demonstrating that directed verbalization was associated with changes in performance. In contrast, the lack of effects of thinking aloud was merely suggested by a handful of experimental studies. In this article, Ericsson and Simon's model is tested by a meta-analysis of 94 studies comparing performance while giving concurrent verbalizations to a matching condition without verbalization. Findings based on nearly 3,500 participants show that the \"think-aloud\" effect size is indistinguishable from zero (r = -.03) and that this procedure remains nonreactive even after statistically controlling additional factors such as task type (primarily visual or nonvisual). In contrast, procedures that entail describing or explaining thoughts and actions are significantly reactive, leading to higher performance than silent control conditions. All verbal reporting procedures tend to increase times to complete tasks. These results suggest that think-aloud should be distinguished from other methods in future studies. Theoretical and practical implications are discussed.","author":[{"dropping-particle":"","family":"Fox","given":"Mark C","non-dropping-particle":"","parse-names":false,"suffix":""},{"dropping-particle":"","family":"Ericsson","given":"K Anders","non-dropping-particle":"","parse-names":false,"suffix":""},{"dropping-particle":"","family":"Best","given":"Ryan","non-dropping-particle":"","parse-names":false,"suffix":""}],"container-title":"Psychological bulletin","id":"ITEM-1","issue":"2","issued":{"date-parts":[["2011","3"]]},"page":"316-344","title":"Do procedures for verbal reporting of thinking have to be reactive? A meta-analysis and recommendations for best reporting methods.","type":"article-journal","volume":"137"},"uris":["http://www.mendeley.com/documents/?uuid=bc446d67-37da-4c2e-90e3-4195ebd9c3d2"]}],"mendeley":{"formattedCitation":"[1]","plainTextFormattedCitation":"[1]","previouslyFormattedCitation":"[1]"},"properties":{"noteIndex":0},"schema":"https://github.com/citation-style-language/schema/raw/master/csl-citation.json"}</w:instrText>
      </w:r>
      <w:r w:rsidRPr="00AE52A8">
        <w:rPr>
          <w:rFonts w:ascii="Times New Roman" w:hAnsi="Times New Roman" w:cs="Times New Roman"/>
          <w:sz w:val="20"/>
          <w:szCs w:val="20"/>
          <w:lang w:val="en-GB"/>
        </w:rPr>
        <w:fldChar w:fldCharType="separate"/>
      </w:r>
      <w:r w:rsidRPr="00AE52A8">
        <w:rPr>
          <w:rFonts w:ascii="Times New Roman" w:hAnsi="Times New Roman" w:cs="Times New Roman"/>
          <w:noProof/>
          <w:sz w:val="20"/>
          <w:szCs w:val="20"/>
          <w:lang w:val="en-GB"/>
        </w:rPr>
        <w:t>[1]</w:t>
      </w:r>
      <w:r w:rsidRPr="00AE52A8">
        <w:rPr>
          <w:rFonts w:ascii="Times New Roman" w:hAnsi="Times New Roman" w:cs="Times New Roman"/>
          <w:sz w:val="20"/>
          <w:szCs w:val="20"/>
          <w:lang w:val="en-GB"/>
        </w:rPr>
        <w:fldChar w:fldCharType="end"/>
      </w:r>
      <w:r w:rsidR="007D76CD" w:rsidRPr="00AE52A8">
        <w:rPr>
          <w:rFonts w:ascii="Times New Roman" w:hAnsi="Times New Roman" w:cs="Times New Roman"/>
          <w:sz w:val="20"/>
          <w:szCs w:val="20"/>
          <w:lang w:val="en-GB"/>
        </w:rPr>
        <w:t xml:space="preserve">, similarly to that explained in the AEBQ validation paper </w:t>
      </w:r>
      <w:r w:rsidR="007D76CD" w:rsidRPr="00AE52A8">
        <w:rPr>
          <w:rFonts w:ascii="Times New Roman" w:hAnsi="Times New Roman" w:cs="Times New Roman"/>
          <w:sz w:val="20"/>
          <w:szCs w:val="20"/>
          <w:lang w:val="en-GB"/>
        </w:rPr>
        <w:fldChar w:fldCharType="begin" w:fldLock="1"/>
      </w:r>
      <w:r w:rsidR="003366D2" w:rsidRPr="00AE52A8">
        <w:rPr>
          <w:rFonts w:ascii="Times New Roman" w:hAnsi="Times New Roman" w:cs="Times New Roman"/>
          <w:sz w:val="20"/>
          <w:szCs w:val="20"/>
          <w:lang w:val="en-GB"/>
        </w:rPr>
        <w:instrText>ADDIN CSL_CITATION {"citationItems":[{"id":"ITEM-1","itemData":{"DOI":"https://doi.org/10.3389/fpsyg.2019.01991","ISBN":"1664-1078","abstract":"&lt;sec&gt;IntroductionAppetitive traits, including Food Responsiveness, Enjoyment of Food, Satiety Responsiveness, Emotional Over- and Under-Eating, Food Fussiness and Slowness in Eating, have been captured across childhood using the Children’s Eating Behavior Questionnaire (CEBQ). The Adult Eating Behavior Questionnaire (AEBQ) has explored these traits in adults, but not adolescents. This study aimed to test the factor structure and reliability of the AEBQ in a sample of UK adolescents, and explore demographic differences.&lt;/sec&gt;&lt;sec&gt;Materials and MethodsConfirmatory factor analysis (CFA) tested an 8-factor and a 7-factor AEBQ, based on valid, completed AEBQ responses (n = 913) from adolescents aged 11–18 recruited from four London secondary schools. Test–retest reliability was analyzed in a subsample (n = 106) 2-weeks later, and 492 participants completed the Dutch Eating Behavior Questionnaire (DEBQ) to assess convergent validity. Demographic differences were explored using a multiple indicator multiple cause (MIMIC) model.&lt;/sec&gt;&lt;sec&gt;ResultsThe CFA revealed an adequate model fit for a 7-factor structure without Hunger [RMSEA = 0.038 (90% CI:0.035,0.041); CFI = 0.926, TLI = 0.916; and χ&lt;sup&gt;2&lt;/sup&gt;(df = 595) = 8502.69, p &lt; 0.001]. These seven subscales showed acceptable internal consistency (Cronbach’s α &gt; 0.70). The ICC for the test–retest was above 0.70. Comparisons with the DEBQ supported the convergent validity of the AEBQ. Older age was associated with greater Food Responsiveness and Enjoyment of Food (all p-values &lt; 0.005). Females reported higher levels of Emotional Over-Eating, Satiety Responsiveness, and Slowness in Eating than males (all p-values ≤ 0.003).&lt;/sec&gt;&lt;sec&gt;ConclusionThis study supports the use of the 7-factor AEBQ as a reliable measure of appetitive traits in adolescents.&lt;/sec&gt;","author":[{"dropping-particle":"","family":"Hunot","given":"Claudia","non-dropping-particle":"","parse-names":false,"suffix":""},{"dropping-particle":"","family":"Beeken","given":"Rebecca J","non-dropping-particle":"","parse-names":false,"suffix":""},{"dropping-particle":"","family":"Goodman","given":"William","non-dropping-particle":"","parse-names":false,"suffix":""},{"dropping-particle":"","family":"Fildes","given":"Alison","non-dropping-particle":"","parse-names":false,"suffix":""},{"dropping-particle":"","family":"Croker","given":"Helen","non-dropping-particle":"","parse-names":false,"suffix":""},{"dropping-particle":"","family":"Llewellyn","given":"Clare","non-dropping-particle":"","parse-names":false,"suffix":""},{"dropping-particle":"","family":"Steinsbekk","given":"Silje","non-dropping-particle":"","parse-names":false,"suffix":""}],"container-title":"Frontiers in Psychology","id":"ITEM-1","issued":{"date-parts":[["2019"]]},"page":"1-10","title":"Confirmation of the Factor Structure and Reliability of the ‘Adult Eating Behavior Questionnaire’ in an Adolescent Sample","type":"article","volume":"10"},"uris":["http://www.mendeley.com/documents/?uuid=b502e175-56d3-4129-a1ee-5fd8d6c9bcbb"]}],"mendeley":{"formattedCitation":"[2]","plainTextFormattedCitation":"[2]","previouslyFormattedCitation":"[2]"},"properties":{"noteIndex":0},"schema":"https://github.com/citation-style-language/schema/raw/master/csl-citation.json"}</w:instrText>
      </w:r>
      <w:r w:rsidR="007D76CD" w:rsidRPr="00AE52A8">
        <w:rPr>
          <w:rFonts w:ascii="Times New Roman" w:hAnsi="Times New Roman" w:cs="Times New Roman"/>
          <w:sz w:val="20"/>
          <w:szCs w:val="20"/>
          <w:lang w:val="en-GB"/>
        </w:rPr>
        <w:fldChar w:fldCharType="separate"/>
      </w:r>
      <w:r w:rsidR="007D76CD" w:rsidRPr="00AE52A8">
        <w:rPr>
          <w:rFonts w:ascii="Times New Roman" w:hAnsi="Times New Roman" w:cs="Times New Roman"/>
          <w:noProof/>
          <w:sz w:val="20"/>
          <w:szCs w:val="20"/>
          <w:lang w:val="en-GB"/>
        </w:rPr>
        <w:t>[2]</w:t>
      </w:r>
      <w:r w:rsidR="007D76CD" w:rsidRPr="00AE52A8">
        <w:rPr>
          <w:rFonts w:ascii="Times New Roman" w:hAnsi="Times New Roman" w:cs="Times New Roman"/>
          <w:sz w:val="20"/>
          <w:szCs w:val="20"/>
          <w:lang w:val="en-GB"/>
        </w:rPr>
        <w:fldChar w:fldCharType="end"/>
      </w:r>
      <w:r w:rsidR="007D76CD" w:rsidRPr="00AE52A8">
        <w:rPr>
          <w:rFonts w:ascii="Times New Roman" w:hAnsi="Times New Roman" w:cs="Times New Roman"/>
          <w:sz w:val="20"/>
          <w:szCs w:val="20"/>
          <w:lang w:val="en-GB"/>
        </w:rPr>
        <w:t xml:space="preserve">. </w:t>
      </w:r>
      <w:r w:rsidR="00F65D9E" w:rsidRPr="00AE52A8">
        <w:rPr>
          <w:rFonts w:ascii="Times New Roman" w:hAnsi="Times New Roman" w:cs="Times New Roman"/>
          <w:sz w:val="20"/>
          <w:szCs w:val="20"/>
          <w:lang w:val="en-GB"/>
        </w:rPr>
        <w:t>Participants included six males ages 19 to 70 (43.5±18.9)</w:t>
      </w:r>
      <w:r w:rsidR="003366D2" w:rsidRPr="00AE52A8">
        <w:rPr>
          <w:rFonts w:ascii="Times New Roman" w:hAnsi="Times New Roman" w:cs="Times New Roman"/>
          <w:sz w:val="20"/>
          <w:szCs w:val="20"/>
          <w:lang w:val="en-GB"/>
        </w:rPr>
        <w:t xml:space="preserve">, </w:t>
      </w:r>
      <w:r w:rsidR="00F65D9E" w:rsidRPr="00AE52A8">
        <w:rPr>
          <w:rFonts w:ascii="Times New Roman" w:hAnsi="Times New Roman" w:cs="Times New Roman"/>
          <w:sz w:val="20"/>
          <w:szCs w:val="20"/>
          <w:lang w:val="en-GB"/>
        </w:rPr>
        <w:t xml:space="preserve">one </w:t>
      </w:r>
      <w:r w:rsidR="003366D2" w:rsidRPr="00AE52A8">
        <w:rPr>
          <w:rFonts w:ascii="Times New Roman" w:hAnsi="Times New Roman" w:cs="Times New Roman"/>
          <w:sz w:val="20"/>
          <w:szCs w:val="20"/>
          <w:lang w:val="en-GB"/>
        </w:rPr>
        <w:t xml:space="preserve">with </w:t>
      </w:r>
      <w:r w:rsidR="00F65D9E" w:rsidRPr="00AE52A8">
        <w:rPr>
          <w:rFonts w:ascii="Times New Roman" w:hAnsi="Times New Roman" w:cs="Times New Roman"/>
          <w:sz w:val="20"/>
          <w:szCs w:val="20"/>
          <w:lang w:val="en-GB"/>
        </w:rPr>
        <w:t>primary school education, t</w:t>
      </w:r>
      <w:r w:rsidR="003366D2" w:rsidRPr="00AE52A8">
        <w:rPr>
          <w:rFonts w:ascii="Times New Roman" w:hAnsi="Times New Roman" w:cs="Times New Roman"/>
          <w:sz w:val="20"/>
          <w:szCs w:val="20"/>
          <w:lang w:val="en-GB"/>
        </w:rPr>
        <w:t xml:space="preserve">wo high school education levels, one with a bachelor´s degree and two master´s level education; </w:t>
      </w:r>
      <w:r w:rsidR="00F65D9E" w:rsidRPr="00AE52A8">
        <w:rPr>
          <w:rFonts w:ascii="Times New Roman" w:hAnsi="Times New Roman" w:cs="Times New Roman"/>
          <w:sz w:val="20"/>
          <w:szCs w:val="20"/>
          <w:lang w:val="en-GB"/>
        </w:rPr>
        <w:t>five females (46.6±14.8)</w:t>
      </w:r>
      <w:r w:rsidR="003366D2" w:rsidRPr="00AE52A8">
        <w:rPr>
          <w:rFonts w:ascii="Times New Roman" w:hAnsi="Times New Roman" w:cs="Times New Roman"/>
          <w:sz w:val="20"/>
          <w:szCs w:val="20"/>
          <w:lang w:val="en-GB"/>
        </w:rPr>
        <w:t xml:space="preserve"> were interviewed, one with primary level education, one a bachelor´s degree and two master´s level education. </w:t>
      </w:r>
    </w:p>
    <w:p w:rsidR="00AE52A8" w:rsidRDefault="007D76CD" w:rsidP="007D76CD">
      <w:pPr>
        <w:pStyle w:val="Prrafodelista"/>
        <w:numPr>
          <w:ilvl w:val="0"/>
          <w:numId w:val="1"/>
        </w:numPr>
        <w:rPr>
          <w:rFonts w:ascii="Times New Roman" w:hAnsi="Times New Roman" w:cs="Times New Roman"/>
          <w:sz w:val="20"/>
          <w:szCs w:val="20"/>
          <w:lang w:val="en-GB"/>
        </w:rPr>
      </w:pPr>
      <w:r w:rsidRPr="00AE52A8">
        <w:rPr>
          <w:rFonts w:ascii="Times New Roman" w:hAnsi="Times New Roman" w:cs="Times New Roman"/>
          <w:sz w:val="20"/>
          <w:szCs w:val="20"/>
          <w:lang w:val="en-GB"/>
        </w:rPr>
        <w:t>Think aloud techniques were used, where participants were aske</w:t>
      </w:r>
      <w:r w:rsidR="003366D2" w:rsidRPr="00AE52A8">
        <w:rPr>
          <w:rFonts w:ascii="Times New Roman" w:hAnsi="Times New Roman" w:cs="Times New Roman"/>
          <w:sz w:val="20"/>
          <w:szCs w:val="20"/>
          <w:lang w:val="en-GB"/>
        </w:rPr>
        <w:t>d</w:t>
      </w:r>
      <w:r w:rsidRPr="00AE52A8">
        <w:rPr>
          <w:rFonts w:ascii="Times New Roman" w:hAnsi="Times New Roman" w:cs="Times New Roman"/>
          <w:sz w:val="20"/>
          <w:szCs w:val="20"/>
          <w:lang w:val="en-GB"/>
        </w:rPr>
        <w:t xml:space="preserve"> to </w:t>
      </w:r>
      <w:r w:rsidR="003366D2" w:rsidRPr="00AE52A8">
        <w:rPr>
          <w:rFonts w:ascii="Times New Roman" w:hAnsi="Times New Roman" w:cs="Times New Roman"/>
          <w:sz w:val="20"/>
          <w:szCs w:val="20"/>
          <w:lang w:val="en-GB"/>
        </w:rPr>
        <w:t>‘</w:t>
      </w:r>
      <w:r w:rsidRPr="00AE52A8">
        <w:rPr>
          <w:rFonts w:ascii="Times New Roman" w:hAnsi="Times New Roman" w:cs="Times New Roman"/>
          <w:sz w:val="20"/>
          <w:szCs w:val="20"/>
          <w:lang w:val="en-GB"/>
        </w:rPr>
        <w:t>read out loud</w:t>
      </w:r>
      <w:r w:rsidR="003366D2" w:rsidRPr="00AE52A8">
        <w:rPr>
          <w:rFonts w:ascii="Times New Roman" w:hAnsi="Times New Roman" w:cs="Times New Roman"/>
          <w:sz w:val="20"/>
          <w:szCs w:val="20"/>
          <w:lang w:val="en-GB"/>
        </w:rPr>
        <w:t>’</w:t>
      </w:r>
      <w:r w:rsidRPr="00AE52A8">
        <w:rPr>
          <w:rFonts w:ascii="Times New Roman" w:hAnsi="Times New Roman" w:cs="Times New Roman"/>
          <w:sz w:val="20"/>
          <w:szCs w:val="20"/>
          <w:lang w:val="en-GB"/>
        </w:rPr>
        <w:t xml:space="preserve"> instructions and items of the translated questionnaire and say </w:t>
      </w:r>
      <w:r w:rsidR="003366D2" w:rsidRPr="00AE52A8">
        <w:rPr>
          <w:rFonts w:ascii="Times New Roman" w:hAnsi="Times New Roman" w:cs="Times New Roman"/>
          <w:sz w:val="20"/>
          <w:szCs w:val="20"/>
          <w:lang w:val="en-GB"/>
        </w:rPr>
        <w:t>‘</w:t>
      </w:r>
      <w:r w:rsidRPr="00AE52A8">
        <w:rPr>
          <w:rFonts w:ascii="Times New Roman" w:hAnsi="Times New Roman" w:cs="Times New Roman"/>
          <w:sz w:val="20"/>
          <w:szCs w:val="20"/>
          <w:lang w:val="en-GB"/>
        </w:rPr>
        <w:t>out loud</w:t>
      </w:r>
      <w:r w:rsidR="003366D2" w:rsidRPr="00AE52A8">
        <w:rPr>
          <w:rFonts w:ascii="Times New Roman" w:hAnsi="Times New Roman" w:cs="Times New Roman"/>
          <w:sz w:val="20"/>
          <w:szCs w:val="20"/>
          <w:lang w:val="en-GB"/>
        </w:rPr>
        <w:t>’</w:t>
      </w:r>
      <w:r w:rsidRPr="00AE52A8">
        <w:rPr>
          <w:rFonts w:ascii="Times New Roman" w:hAnsi="Times New Roman" w:cs="Times New Roman"/>
          <w:sz w:val="20"/>
          <w:szCs w:val="20"/>
          <w:lang w:val="en-GB"/>
        </w:rPr>
        <w:t xml:space="preserve"> what the</w:t>
      </w:r>
      <w:r w:rsidR="00F65D9E" w:rsidRPr="00AE52A8">
        <w:rPr>
          <w:rFonts w:ascii="Times New Roman" w:hAnsi="Times New Roman" w:cs="Times New Roman"/>
          <w:sz w:val="20"/>
          <w:szCs w:val="20"/>
          <w:lang w:val="en-GB"/>
        </w:rPr>
        <w:t>i</w:t>
      </w:r>
      <w:r w:rsidRPr="00AE52A8">
        <w:rPr>
          <w:rFonts w:ascii="Times New Roman" w:hAnsi="Times New Roman" w:cs="Times New Roman"/>
          <w:sz w:val="20"/>
          <w:szCs w:val="20"/>
          <w:lang w:val="en-GB"/>
        </w:rPr>
        <w:t>r answers were. Paraphrasing techniques were used, such as</w:t>
      </w:r>
      <w:r w:rsidR="00F65D9E" w:rsidRPr="00AE52A8">
        <w:rPr>
          <w:rFonts w:ascii="Times New Roman" w:hAnsi="Times New Roman" w:cs="Times New Roman"/>
          <w:sz w:val="20"/>
          <w:szCs w:val="20"/>
          <w:lang w:val="en-GB"/>
        </w:rPr>
        <w:t xml:space="preserve"> repeating the same phrase they had just read out loud to see if they had understood the questions. </w:t>
      </w:r>
      <w:r w:rsidRPr="00AE52A8">
        <w:rPr>
          <w:rFonts w:ascii="Times New Roman" w:hAnsi="Times New Roman" w:cs="Times New Roman"/>
          <w:sz w:val="20"/>
          <w:szCs w:val="20"/>
          <w:lang w:val="en-GB"/>
        </w:rPr>
        <w:t>Probes</w:t>
      </w:r>
      <w:r w:rsidR="00F65D9E" w:rsidRPr="00AE52A8">
        <w:rPr>
          <w:rFonts w:ascii="Times New Roman" w:hAnsi="Times New Roman" w:cs="Times New Roman"/>
          <w:sz w:val="20"/>
          <w:szCs w:val="20"/>
          <w:lang w:val="en-GB"/>
        </w:rPr>
        <w:t xml:space="preserve"> on what they had answered out loud, were also used, mentioning possible answers to the response options available</w:t>
      </w:r>
      <w:r w:rsidR="003366D2" w:rsidRPr="00AE52A8">
        <w:rPr>
          <w:rFonts w:ascii="Times New Roman" w:hAnsi="Times New Roman" w:cs="Times New Roman"/>
          <w:sz w:val="20"/>
          <w:szCs w:val="20"/>
          <w:lang w:val="en-GB"/>
        </w:rPr>
        <w:t xml:space="preserve"> for them to confirm. This method allows to assess the understanding of the questionnaire.</w:t>
      </w:r>
    </w:p>
    <w:p w:rsidR="003366D2" w:rsidRDefault="003366D2" w:rsidP="007D76CD">
      <w:pPr>
        <w:pStyle w:val="Prrafodelista"/>
        <w:numPr>
          <w:ilvl w:val="0"/>
          <w:numId w:val="1"/>
        </w:numPr>
        <w:rPr>
          <w:rFonts w:ascii="Times New Roman" w:hAnsi="Times New Roman" w:cs="Times New Roman"/>
          <w:sz w:val="20"/>
          <w:szCs w:val="20"/>
          <w:lang w:val="en-GB"/>
        </w:rPr>
      </w:pPr>
      <w:r w:rsidRPr="00AE52A8">
        <w:rPr>
          <w:rFonts w:ascii="Times New Roman" w:hAnsi="Times New Roman" w:cs="Times New Roman"/>
          <w:sz w:val="20"/>
          <w:szCs w:val="20"/>
          <w:lang w:val="en-GB"/>
        </w:rPr>
        <w:t>On top of this</w:t>
      </w:r>
      <w:r w:rsidR="000018AC" w:rsidRPr="00AE52A8">
        <w:rPr>
          <w:rFonts w:ascii="Times New Roman" w:hAnsi="Times New Roman" w:cs="Times New Roman"/>
          <w:sz w:val="20"/>
          <w:szCs w:val="20"/>
          <w:lang w:val="en-GB"/>
        </w:rPr>
        <w:t>,</w:t>
      </w:r>
      <w:r w:rsidRPr="00AE52A8">
        <w:rPr>
          <w:rFonts w:ascii="Times New Roman" w:hAnsi="Times New Roman" w:cs="Times New Roman"/>
          <w:sz w:val="20"/>
          <w:szCs w:val="20"/>
          <w:lang w:val="en-GB"/>
        </w:rPr>
        <w:t xml:space="preserve"> participants understood the questionnaire and a Flesch Reading Ease assessment gave the AEBQ an easy to read score (82.3) </w:t>
      </w:r>
      <w:r w:rsidRPr="00AE52A8">
        <w:rPr>
          <w:rFonts w:ascii="Times New Roman" w:hAnsi="Times New Roman" w:cs="Times New Roman"/>
          <w:sz w:val="20"/>
          <w:szCs w:val="20"/>
          <w:lang w:val="en-GB"/>
        </w:rPr>
        <w:fldChar w:fldCharType="begin" w:fldLock="1"/>
      </w:r>
      <w:r w:rsidR="00A72C31" w:rsidRPr="00AE52A8">
        <w:rPr>
          <w:rFonts w:ascii="Times New Roman" w:hAnsi="Times New Roman" w:cs="Times New Roman"/>
          <w:sz w:val="20"/>
          <w:szCs w:val="20"/>
          <w:lang w:val="en-GB"/>
        </w:rPr>
        <w:instrText>ADDIN CSL_CITATION {"citationItems":[{"id":"ITEM-1","itemData":{"URL":"http://www.readabilityformulas.com/freetests/six-readability-formulas.php","accessed":{"date-parts":[["2020","1","20"]]},"container-title":"Text Readability Consensus Calculator","id":"ITEM-1","issued":{"date-parts":[["2018"]]},"title":"Readability Formulas","type":"webpage"},"uris":["http://www.mendeley.com/documents/?uuid=231f2077-5274-476d-83d2-51aeb856a3a1"]}],"mendeley":{"formattedCitation":"[3]","plainTextFormattedCitation":"[3]","previouslyFormattedCitation":"[3]"},"properties":{"noteIndex":0},"schema":"https://github.com/citation-style-language/schema/raw/master/csl-citation.json"}</w:instrText>
      </w:r>
      <w:r w:rsidRPr="00AE52A8">
        <w:rPr>
          <w:rFonts w:ascii="Times New Roman" w:hAnsi="Times New Roman" w:cs="Times New Roman"/>
          <w:sz w:val="20"/>
          <w:szCs w:val="20"/>
          <w:lang w:val="en-GB"/>
        </w:rPr>
        <w:fldChar w:fldCharType="separate"/>
      </w:r>
      <w:r w:rsidRPr="00AE52A8">
        <w:rPr>
          <w:rFonts w:ascii="Times New Roman" w:hAnsi="Times New Roman" w:cs="Times New Roman"/>
          <w:noProof/>
          <w:sz w:val="20"/>
          <w:szCs w:val="20"/>
          <w:lang w:val="en-GB"/>
        </w:rPr>
        <w:t>[3]</w:t>
      </w:r>
      <w:r w:rsidRPr="00AE52A8">
        <w:rPr>
          <w:rFonts w:ascii="Times New Roman" w:hAnsi="Times New Roman" w:cs="Times New Roman"/>
          <w:sz w:val="20"/>
          <w:szCs w:val="20"/>
          <w:lang w:val="en-GB"/>
        </w:rPr>
        <w:fldChar w:fldCharType="end"/>
      </w:r>
      <w:r w:rsidRPr="00AE52A8">
        <w:rPr>
          <w:rFonts w:ascii="Times New Roman" w:hAnsi="Times New Roman" w:cs="Times New Roman"/>
          <w:sz w:val="20"/>
          <w:szCs w:val="20"/>
          <w:lang w:val="en-GB"/>
        </w:rPr>
        <w:t>.</w:t>
      </w:r>
    </w:p>
    <w:p w:rsidR="00AE52A8" w:rsidRDefault="00AE52A8" w:rsidP="00AE52A8">
      <w:pPr>
        <w:pStyle w:val="Prrafodelista"/>
        <w:numPr>
          <w:ilvl w:val="0"/>
          <w:numId w:val="1"/>
        </w:numPr>
        <w:rPr>
          <w:rFonts w:ascii="Times New Roman" w:hAnsi="Times New Roman" w:cs="Times New Roman"/>
          <w:sz w:val="20"/>
          <w:szCs w:val="20"/>
          <w:lang w:val="en-GB"/>
        </w:rPr>
      </w:pPr>
      <w:r w:rsidRPr="00A72C31">
        <w:rPr>
          <w:rFonts w:ascii="Times New Roman" w:hAnsi="Times New Roman" w:cs="Times New Roman"/>
          <w:sz w:val="20"/>
          <w:szCs w:val="20"/>
          <w:lang w:val="en-GB"/>
        </w:rPr>
        <w:t>The backward translation was then given to a certified translator, who although Mexican-American, is married to a British Citizen and thus British nuances in language were also able to be discussed.</w:t>
      </w:r>
    </w:p>
    <w:p w:rsidR="00AE52A8" w:rsidRPr="00AE52A8" w:rsidRDefault="00AE52A8" w:rsidP="00AE52A8">
      <w:pPr>
        <w:pStyle w:val="Prrafodelista"/>
        <w:numPr>
          <w:ilvl w:val="0"/>
          <w:numId w:val="1"/>
        </w:numPr>
        <w:rPr>
          <w:rFonts w:ascii="Times New Roman" w:hAnsi="Times New Roman" w:cs="Times New Roman"/>
          <w:sz w:val="20"/>
          <w:szCs w:val="20"/>
          <w:lang w:val="en-GB"/>
        </w:rPr>
      </w:pPr>
      <w:r>
        <w:rPr>
          <w:rFonts w:ascii="Times New Roman" w:hAnsi="Times New Roman" w:cs="Times New Roman"/>
          <w:sz w:val="20"/>
          <w:szCs w:val="20"/>
          <w:lang w:val="en-GB"/>
        </w:rPr>
        <w:t>The final translation of the AEBQ was then obtained.</w:t>
      </w:r>
    </w:p>
    <w:bookmarkEnd w:id="4"/>
    <w:p w:rsidR="003366D2" w:rsidRPr="009A2AC7" w:rsidRDefault="003366D2" w:rsidP="007D76CD">
      <w:pPr>
        <w:rPr>
          <w:rFonts w:ascii="Times New Roman" w:hAnsi="Times New Roman" w:cs="Times New Roman"/>
          <w:sz w:val="20"/>
          <w:szCs w:val="20"/>
          <w:lang w:val="en-GB"/>
        </w:rPr>
      </w:pPr>
    </w:p>
    <w:p w:rsidR="00A72C31" w:rsidRPr="009A2AC7" w:rsidRDefault="00A72C31" w:rsidP="007D76CD">
      <w:pPr>
        <w:rPr>
          <w:rFonts w:ascii="Times New Roman" w:hAnsi="Times New Roman" w:cs="Times New Roman"/>
          <w:sz w:val="20"/>
          <w:szCs w:val="20"/>
          <w:lang w:val="en-GB"/>
        </w:rPr>
      </w:pPr>
      <w:r w:rsidRPr="009A2AC7">
        <w:rPr>
          <w:rFonts w:ascii="Times New Roman" w:hAnsi="Times New Roman" w:cs="Times New Roman"/>
          <w:sz w:val="20"/>
          <w:szCs w:val="20"/>
          <w:lang w:val="en-GB"/>
        </w:rPr>
        <w:t>References</w:t>
      </w:r>
    </w:p>
    <w:p w:rsidR="00FE0D5F" w:rsidRPr="00AE52A8" w:rsidRDefault="00A72C31" w:rsidP="00FE0D5F">
      <w:pPr>
        <w:widowControl w:val="0"/>
        <w:autoSpaceDE w:val="0"/>
        <w:autoSpaceDN w:val="0"/>
        <w:adjustRightInd w:val="0"/>
        <w:spacing w:line="240" w:lineRule="auto"/>
        <w:ind w:left="640" w:hanging="640"/>
        <w:rPr>
          <w:rFonts w:ascii="Times New Roman" w:hAnsi="Times New Roman" w:cs="Times New Roman"/>
          <w:noProof/>
          <w:sz w:val="20"/>
          <w:szCs w:val="24"/>
          <w:lang w:val="en-GB"/>
        </w:rPr>
      </w:pPr>
      <w:r>
        <w:rPr>
          <w:rFonts w:ascii="Times New Roman" w:hAnsi="Times New Roman" w:cs="Times New Roman"/>
          <w:color w:val="0070C0"/>
          <w:sz w:val="20"/>
          <w:szCs w:val="20"/>
          <w:lang w:val="en-GB"/>
        </w:rPr>
        <w:fldChar w:fldCharType="begin" w:fldLock="1"/>
      </w:r>
      <w:r>
        <w:rPr>
          <w:rFonts w:ascii="Times New Roman" w:hAnsi="Times New Roman" w:cs="Times New Roman"/>
          <w:color w:val="0070C0"/>
          <w:sz w:val="20"/>
          <w:szCs w:val="20"/>
          <w:lang w:val="en-GB"/>
        </w:rPr>
        <w:instrText xml:space="preserve">ADDIN Mendeley Bibliography CSL_BIBLIOGRAPHY </w:instrText>
      </w:r>
      <w:r>
        <w:rPr>
          <w:rFonts w:ascii="Times New Roman" w:hAnsi="Times New Roman" w:cs="Times New Roman"/>
          <w:color w:val="0070C0"/>
          <w:sz w:val="20"/>
          <w:szCs w:val="20"/>
          <w:lang w:val="en-GB"/>
        </w:rPr>
        <w:fldChar w:fldCharType="separate"/>
      </w:r>
      <w:r w:rsidR="00FE0D5F" w:rsidRPr="00AE52A8">
        <w:rPr>
          <w:rFonts w:ascii="Times New Roman" w:hAnsi="Times New Roman" w:cs="Times New Roman"/>
          <w:noProof/>
          <w:sz w:val="20"/>
          <w:szCs w:val="24"/>
          <w:lang w:val="en-GB"/>
        </w:rPr>
        <w:t xml:space="preserve">1. </w:t>
      </w:r>
      <w:r w:rsidR="00FE0D5F" w:rsidRPr="00AE52A8">
        <w:rPr>
          <w:rFonts w:ascii="Times New Roman" w:hAnsi="Times New Roman" w:cs="Times New Roman"/>
          <w:noProof/>
          <w:sz w:val="20"/>
          <w:szCs w:val="24"/>
          <w:lang w:val="en-GB"/>
        </w:rPr>
        <w:tab/>
        <w:t>Fox MC, Ericsson KA, Best R (2011) Do procedures for verbal reporting of thinking have to be reactive? A meta-analysis and recommendations for best reporting methods. Psychol Bull 137:316–344 . doi: 10.1037/a0021663</w:t>
      </w:r>
    </w:p>
    <w:p w:rsidR="00FE0D5F" w:rsidRPr="00AE52A8" w:rsidRDefault="00FE0D5F" w:rsidP="00FE0D5F">
      <w:pPr>
        <w:widowControl w:val="0"/>
        <w:autoSpaceDE w:val="0"/>
        <w:autoSpaceDN w:val="0"/>
        <w:adjustRightInd w:val="0"/>
        <w:spacing w:line="240" w:lineRule="auto"/>
        <w:ind w:left="640" w:hanging="640"/>
        <w:rPr>
          <w:rFonts w:ascii="Times New Roman" w:hAnsi="Times New Roman" w:cs="Times New Roman"/>
          <w:noProof/>
          <w:sz w:val="20"/>
          <w:szCs w:val="24"/>
          <w:lang w:val="en-GB"/>
        </w:rPr>
      </w:pPr>
      <w:r w:rsidRPr="00AE52A8">
        <w:rPr>
          <w:rFonts w:ascii="Times New Roman" w:hAnsi="Times New Roman" w:cs="Times New Roman"/>
          <w:noProof/>
          <w:sz w:val="20"/>
          <w:szCs w:val="24"/>
          <w:lang w:val="en-GB"/>
        </w:rPr>
        <w:t xml:space="preserve">2. </w:t>
      </w:r>
      <w:r w:rsidRPr="00AE52A8">
        <w:rPr>
          <w:rFonts w:ascii="Times New Roman" w:hAnsi="Times New Roman" w:cs="Times New Roman"/>
          <w:noProof/>
          <w:sz w:val="20"/>
          <w:szCs w:val="24"/>
          <w:lang w:val="en-GB"/>
        </w:rPr>
        <w:tab/>
        <w:t>Hunot C, Beeken RJ, Goodman W, Fildes A, Croker H, Llewellyn C, Steinsbekk S (2019) Confirmation of the Factor Structure and Reliability of the ‘Adult Eating Behavior Questionnaire’ in an Adolescent Sample. Front. Psychol. 10:1–10</w:t>
      </w:r>
    </w:p>
    <w:p w:rsidR="00FE0D5F" w:rsidRPr="00AE52A8" w:rsidRDefault="00FE0D5F" w:rsidP="00FE0D5F">
      <w:pPr>
        <w:widowControl w:val="0"/>
        <w:autoSpaceDE w:val="0"/>
        <w:autoSpaceDN w:val="0"/>
        <w:adjustRightInd w:val="0"/>
        <w:spacing w:line="240" w:lineRule="auto"/>
        <w:ind w:left="640" w:hanging="640"/>
        <w:rPr>
          <w:rFonts w:ascii="Times New Roman" w:hAnsi="Times New Roman" w:cs="Times New Roman"/>
          <w:noProof/>
          <w:sz w:val="20"/>
          <w:lang w:val="en-GB"/>
        </w:rPr>
      </w:pPr>
      <w:r w:rsidRPr="00AE52A8">
        <w:rPr>
          <w:rFonts w:ascii="Times New Roman" w:hAnsi="Times New Roman" w:cs="Times New Roman"/>
          <w:noProof/>
          <w:sz w:val="20"/>
          <w:szCs w:val="24"/>
          <w:lang w:val="en-GB"/>
        </w:rPr>
        <w:lastRenderedPageBreak/>
        <w:t xml:space="preserve">3. </w:t>
      </w:r>
      <w:r w:rsidRPr="00AE52A8">
        <w:rPr>
          <w:rFonts w:ascii="Times New Roman" w:hAnsi="Times New Roman" w:cs="Times New Roman"/>
          <w:noProof/>
          <w:sz w:val="20"/>
          <w:szCs w:val="24"/>
          <w:lang w:val="en-GB"/>
        </w:rPr>
        <w:tab/>
        <w:t>(2018) Readability Formulas. In: Text Readability Consens. Calc. http://www.readabilityformulas.com/freetests/six-readability-formulas.php. Accessed 20 Jan 2020</w:t>
      </w:r>
    </w:p>
    <w:p w:rsidR="00433C5B" w:rsidRPr="00A72C31" w:rsidRDefault="00A72C31">
      <w:pPr>
        <w:rPr>
          <w:rFonts w:ascii="Times New Roman" w:hAnsi="Times New Roman" w:cs="Times New Roman"/>
          <w:sz w:val="20"/>
          <w:szCs w:val="20"/>
          <w:lang w:val="en-GB"/>
        </w:rPr>
      </w:pPr>
      <w:r>
        <w:rPr>
          <w:rFonts w:ascii="Times New Roman" w:hAnsi="Times New Roman" w:cs="Times New Roman"/>
          <w:color w:val="0070C0"/>
          <w:sz w:val="20"/>
          <w:szCs w:val="20"/>
          <w:lang w:val="en-GB"/>
        </w:rPr>
        <w:fldChar w:fldCharType="end"/>
      </w:r>
      <w:bookmarkEnd w:id="3"/>
    </w:p>
    <w:sectPr w:rsidR="00433C5B" w:rsidRPr="00A72C3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712760"/>
    <w:multiLevelType w:val="hybridMultilevel"/>
    <w:tmpl w:val="3CF4BC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7433075B"/>
    <w:multiLevelType w:val="hybridMultilevel"/>
    <w:tmpl w:val="022E034A"/>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F7F"/>
    <w:rsid w:val="000018AC"/>
    <w:rsid w:val="000766DE"/>
    <w:rsid w:val="003366D2"/>
    <w:rsid w:val="00353E43"/>
    <w:rsid w:val="00433C5B"/>
    <w:rsid w:val="005274B7"/>
    <w:rsid w:val="005276A2"/>
    <w:rsid w:val="00727039"/>
    <w:rsid w:val="007D76CD"/>
    <w:rsid w:val="008D6A57"/>
    <w:rsid w:val="0098153B"/>
    <w:rsid w:val="009A2AC7"/>
    <w:rsid w:val="00A72C31"/>
    <w:rsid w:val="00AD1ABD"/>
    <w:rsid w:val="00AE52A8"/>
    <w:rsid w:val="00BD7671"/>
    <w:rsid w:val="00D93474"/>
    <w:rsid w:val="00DC2295"/>
    <w:rsid w:val="00DD0F7F"/>
    <w:rsid w:val="00F65D9E"/>
    <w:rsid w:val="00FE0D5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05EBD"/>
  <w15:chartTrackingRefBased/>
  <w15:docId w15:val="{A6B991C5-2AB2-4D39-B9AA-5A8BD7696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8153B"/>
    <w:pPr>
      <w:ind w:left="720"/>
      <w:contextualSpacing/>
    </w:pPr>
  </w:style>
  <w:style w:type="paragraph" w:styleId="NormalWeb">
    <w:name w:val="Normal (Web)"/>
    <w:basedOn w:val="Normal"/>
    <w:uiPriority w:val="99"/>
    <w:semiHidden/>
    <w:unhideWhenUsed/>
    <w:rsid w:val="005274B7"/>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5274B7"/>
    <w:rPr>
      <w:color w:val="0563C1" w:themeColor="hyperlink"/>
      <w:u w:val="single"/>
    </w:rPr>
  </w:style>
  <w:style w:type="paragraph" w:styleId="Textodeglobo">
    <w:name w:val="Balloon Text"/>
    <w:basedOn w:val="Normal"/>
    <w:link w:val="TextodegloboCar"/>
    <w:uiPriority w:val="99"/>
    <w:semiHidden/>
    <w:unhideWhenUsed/>
    <w:rsid w:val="00353E4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3E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5769255">
      <w:bodyDiv w:val="1"/>
      <w:marLeft w:val="0"/>
      <w:marRight w:val="0"/>
      <w:marTop w:val="0"/>
      <w:marBottom w:val="0"/>
      <w:divBdr>
        <w:top w:val="none" w:sz="0" w:space="0" w:color="auto"/>
        <w:left w:val="none" w:sz="0" w:space="0" w:color="auto"/>
        <w:bottom w:val="none" w:sz="0" w:space="0" w:color="auto"/>
        <w:right w:val="none" w:sz="0" w:space="0" w:color="auto"/>
      </w:divBdr>
    </w:div>
    <w:div w:id="1896310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Beeken@leeds.ac.u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Primer elemento y fecha" Version="1987"/>
</file>

<file path=customXml/itemProps1.xml><?xml version="1.0" encoding="utf-8"?>
<ds:datastoreItem xmlns:ds="http://schemas.openxmlformats.org/officeDocument/2006/customXml" ds:itemID="{048D254F-C5DE-4CC7-951A-E81AAC51F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1635</Words>
  <Characters>8997</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Hunot</dc:creator>
  <cp:keywords/>
  <dc:description/>
  <cp:lastModifiedBy>Claudia Hunot</cp:lastModifiedBy>
  <cp:revision>11</cp:revision>
  <dcterms:created xsi:type="dcterms:W3CDTF">2019-12-16T11:41:00Z</dcterms:created>
  <dcterms:modified xsi:type="dcterms:W3CDTF">2020-02-09T19:05:00Z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http://www.zotero.org/styles/biomed-central</vt:lpwstr>
  </property>
  <property fmtid="{D5CDD505-2E9C-101B-9397-08002B2CF9AE}" pid="7" name="Mendeley Recent Style Name 2_1">
    <vt:lpwstr>BioMed Central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http://www.zotero.org/styles/springer-basic-brackets-no-et-al</vt:lpwstr>
  </property>
  <property fmtid="{D5CDD505-2E9C-101B-9397-08002B2CF9AE}" pid="21" name="Mendeley Recent Style Name 9_1">
    <vt:lpwstr>Springer - Basic (numeric, brackets, no "et al.")</vt:lpwstr>
  </property>
  <property fmtid="{D5CDD505-2E9C-101B-9397-08002B2CF9AE}" pid="22" name="Mendeley Document_1">
    <vt:lpwstr>True</vt:lpwstr>
  </property>
  <property fmtid="{D5CDD505-2E9C-101B-9397-08002B2CF9AE}" pid="23" name="Mendeley Unique User Id_1">
    <vt:lpwstr>04998422-f927-3f77-96f3-0f758fbd2802</vt:lpwstr>
  </property>
  <property fmtid="{D5CDD505-2E9C-101B-9397-08002B2CF9AE}" pid="24" name="Mendeley Citation Style_1">
    <vt:lpwstr>http://www.zotero.org/styles/springer-basic-brackets-no-et-al</vt:lpwstr>
  </property>
</Properties>
</file>