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7D0AA" w14:textId="2D4B6B44" w:rsidR="00842BDE" w:rsidRPr="0045039E" w:rsidRDefault="00842BDE" w:rsidP="00842BDE">
      <w:pPr>
        <w:spacing w:after="160" w:line="278" w:lineRule="auto"/>
        <w:jc w:val="center"/>
        <w:rPr>
          <w:b/>
          <w:bCs/>
          <w:iCs/>
          <w:color w:val="000000" w:themeColor="text1"/>
          <w:lang w:val="en-US"/>
        </w:rPr>
      </w:pPr>
      <w:r w:rsidRPr="0045039E">
        <w:rPr>
          <w:b/>
          <w:bCs/>
          <w:color w:val="000000" w:themeColor="text1"/>
          <w:lang w:val="en-US"/>
        </w:rPr>
        <w:t>Supplementary Materials</w:t>
      </w:r>
    </w:p>
    <w:p w14:paraId="475D108E" w14:textId="77777777" w:rsidR="00842BDE" w:rsidRPr="0045039E" w:rsidRDefault="00842BDE" w:rsidP="00842BDE">
      <w:pPr>
        <w:spacing w:after="240"/>
        <w:jc w:val="both"/>
        <w:rPr>
          <w:color w:val="000000" w:themeColor="text1"/>
          <w:sz w:val="22"/>
          <w:szCs w:val="22"/>
          <w:lang w:val="en-US"/>
        </w:rPr>
      </w:pPr>
      <w:bookmarkStart w:id="0" w:name="_GoBack"/>
      <w:bookmarkEnd w:id="0"/>
    </w:p>
    <w:tbl>
      <w:tblPr>
        <w:tblStyle w:val="TableGrid"/>
        <w:tblW w:w="7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1622"/>
        <w:gridCol w:w="1430"/>
        <w:gridCol w:w="1553"/>
        <w:gridCol w:w="1525"/>
      </w:tblGrid>
      <w:tr w:rsidR="0045039E" w:rsidRPr="0045039E" w14:paraId="32FD4346" w14:textId="77777777" w:rsidTr="00235F1E">
        <w:trPr>
          <w:trHeight w:val="454"/>
        </w:trPr>
        <w:tc>
          <w:tcPr>
            <w:tcW w:w="7910" w:type="dxa"/>
            <w:gridSpan w:val="5"/>
            <w:tcBorders>
              <w:bottom w:val="single" w:sz="4" w:space="0" w:color="auto"/>
            </w:tcBorders>
          </w:tcPr>
          <w:p w14:paraId="5850E8BB" w14:textId="03135358" w:rsidR="00842BDE" w:rsidRPr="0045039E" w:rsidRDefault="00842BDE" w:rsidP="00235F1E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Table S1 – Control analysis, </w:t>
            </w:r>
            <w:r w:rsidR="00AA6F57"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convergent validity, </w:t>
            </w: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patients with AN </w:t>
            </w:r>
            <w:r w:rsidR="00AA6F57"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vs HC</w:t>
            </w:r>
          </w:p>
        </w:tc>
      </w:tr>
      <w:tr w:rsidR="0045039E" w:rsidRPr="0045039E" w14:paraId="53D347C0" w14:textId="77777777" w:rsidTr="00235F1E">
        <w:trPr>
          <w:trHeight w:val="850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390A9924" w14:textId="77777777" w:rsidR="00842BDE" w:rsidRPr="0045039E" w:rsidRDefault="00842BDE" w:rsidP="00235F1E"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66A1C335" w14:textId="65430333" w:rsidR="00842BDE" w:rsidRPr="0045039E" w:rsidRDefault="00842BDE" w:rsidP="00235F1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Patients with AN</w:t>
            </w:r>
          </w:p>
          <w:p w14:paraId="66CAACE1" w14:textId="31D0199F" w:rsidR="00842BDE" w:rsidRPr="0045039E" w:rsidRDefault="00842BDE" w:rsidP="00235F1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(n = </w:t>
            </w:r>
            <w:r w:rsidR="004A3088"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105</w:t>
            </w: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085731C5" w14:textId="77777777" w:rsidR="00842BDE" w:rsidRPr="0045039E" w:rsidRDefault="00842BDE" w:rsidP="00235F1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HC</w:t>
            </w:r>
          </w:p>
          <w:p w14:paraId="141D19FA" w14:textId="77777777" w:rsidR="00842BDE" w:rsidRPr="0045039E" w:rsidRDefault="00842BDE" w:rsidP="00235F1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(n = 80)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3B7A4345" w14:textId="77777777" w:rsidR="00842BDE" w:rsidRPr="0045039E" w:rsidRDefault="00842BDE" w:rsidP="00235F1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Cronbach α </w:t>
            </w:r>
            <w:r w:rsidRPr="0045039E">
              <w:rPr>
                <w:b/>
                <w:bCs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5C73716D" w14:textId="77777777" w:rsidR="00842BDE" w:rsidRPr="0045039E" w:rsidRDefault="00842BDE" w:rsidP="00235F1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Mann-Whitney p-value</w:t>
            </w:r>
          </w:p>
        </w:tc>
      </w:tr>
      <w:tr w:rsidR="0045039E" w:rsidRPr="0045039E" w14:paraId="2A42C767" w14:textId="77777777" w:rsidTr="00235F1E">
        <w:trPr>
          <w:trHeight w:val="404"/>
        </w:trPr>
        <w:tc>
          <w:tcPr>
            <w:tcW w:w="1780" w:type="dxa"/>
            <w:tcBorders>
              <w:top w:val="single" w:sz="4" w:space="0" w:color="auto"/>
            </w:tcBorders>
          </w:tcPr>
          <w:p w14:paraId="6B7472D4" w14:textId="7777777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Restraint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14:paraId="6D66264D" w14:textId="04A2A982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3.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49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1.2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02D83869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0.01 ± 0.05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3BF8BEEE" w14:textId="0B52E4D0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2611DE" w:rsidRPr="0045039E">
              <w:rPr>
                <w:color w:val="000000" w:themeColor="text1"/>
                <w:sz w:val="22"/>
                <w:szCs w:val="22"/>
                <w:lang w:val="en-US"/>
              </w:rPr>
              <w:t>941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50C17F70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44FFC64A" w14:textId="77777777" w:rsidTr="00235F1E">
        <w:trPr>
          <w:trHeight w:val="404"/>
        </w:trPr>
        <w:tc>
          <w:tcPr>
            <w:tcW w:w="1780" w:type="dxa"/>
          </w:tcPr>
          <w:p w14:paraId="5EE87A7B" w14:textId="7777777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Eating Concern</w:t>
            </w:r>
          </w:p>
        </w:tc>
        <w:tc>
          <w:tcPr>
            <w:tcW w:w="1622" w:type="dxa"/>
          </w:tcPr>
          <w:p w14:paraId="17AFA624" w14:textId="0291AE65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55</w:t>
            </w:r>
          </w:p>
        </w:tc>
        <w:tc>
          <w:tcPr>
            <w:tcW w:w="1430" w:type="dxa"/>
          </w:tcPr>
          <w:p w14:paraId="4885644E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0.00 ± 0.00</w:t>
            </w:r>
          </w:p>
        </w:tc>
        <w:tc>
          <w:tcPr>
            <w:tcW w:w="1553" w:type="dxa"/>
          </w:tcPr>
          <w:p w14:paraId="4065EB23" w14:textId="20E91ED0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2611DE" w:rsidRPr="0045039E">
              <w:rPr>
                <w:color w:val="000000" w:themeColor="text1"/>
                <w:sz w:val="22"/>
                <w:szCs w:val="22"/>
                <w:lang w:val="en-US"/>
              </w:rPr>
              <w:t>862</w:t>
            </w:r>
          </w:p>
        </w:tc>
        <w:tc>
          <w:tcPr>
            <w:tcW w:w="1525" w:type="dxa"/>
          </w:tcPr>
          <w:p w14:paraId="20FA7FA6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08FDC1C1" w14:textId="77777777" w:rsidTr="00235F1E">
        <w:trPr>
          <w:trHeight w:val="404"/>
        </w:trPr>
        <w:tc>
          <w:tcPr>
            <w:tcW w:w="1780" w:type="dxa"/>
          </w:tcPr>
          <w:p w14:paraId="2366ED8F" w14:textId="7777777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Weight Concern</w:t>
            </w:r>
          </w:p>
        </w:tc>
        <w:tc>
          <w:tcPr>
            <w:tcW w:w="1622" w:type="dxa"/>
          </w:tcPr>
          <w:p w14:paraId="3EB45746" w14:textId="7ACE53A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4.73 ± 1.3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430" w:type="dxa"/>
          </w:tcPr>
          <w:p w14:paraId="2784E77B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0.03 ± 0.15</w:t>
            </w:r>
          </w:p>
        </w:tc>
        <w:tc>
          <w:tcPr>
            <w:tcW w:w="1553" w:type="dxa"/>
          </w:tcPr>
          <w:p w14:paraId="30B1255D" w14:textId="0A308A0D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984</w:t>
            </w:r>
          </w:p>
        </w:tc>
        <w:tc>
          <w:tcPr>
            <w:tcW w:w="1525" w:type="dxa"/>
          </w:tcPr>
          <w:p w14:paraId="16F325CC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37F593E9" w14:textId="77777777" w:rsidTr="00235F1E">
        <w:trPr>
          <w:trHeight w:val="404"/>
        </w:trPr>
        <w:tc>
          <w:tcPr>
            <w:tcW w:w="1780" w:type="dxa"/>
          </w:tcPr>
          <w:p w14:paraId="09FEB6E6" w14:textId="7777777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Shape Concern</w:t>
            </w:r>
          </w:p>
        </w:tc>
        <w:tc>
          <w:tcPr>
            <w:tcW w:w="1622" w:type="dxa"/>
          </w:tcPr>
          <w:p w14:paraId="0BBB485C" w14:textId="6CA52806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5.0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3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36</w:t>
            </w:r>
          </w:p>
        </w:tc>
        <w:tc>
          <w:tcPr>
            <w:tcW w:w="1430" w:type="dxa"/>
          </w:tcPr>
          <w:p w14:paraId="2AD3AABE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0.04 ± 0.15</w:t>
            </w:r>
          </w:p>
        </w:tc>
        <w:tc>
          <w:tcPr>
            <w:tcW w:w="1553" w:type="dxa"/>
          </w:tcPr>
          <w:p w14:paraId="154A1324" w14:textId="5C1CE53A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954</w:t>
            </w:r>
          </w:p>
        </w:tc>
        <w:tc>
          <w:tcPr>
            <w:tcW w:w="1525" w:type="dxa"/>
          </w:tcPr>
          <w:p w14:paraId="55CD16EE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14FF1FF5" w14:textId="77777777" w:rsidTr="00235F1E">
        <w:trPr>
          <w:trHeight w:val="404"/>
        </w:trPr>
        <w:tc>
          <w:tcPr>
            <w:tcW w:w="1780" w:type="dxa"/>
          </w:tcPr>
          <w:p w14:paraId="63381740" w14:textId="7777777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Global Score</w:t>
            </w:r>
          </w:p>
        </w:tc>
        <w:tc>
          <w:tcPr>
            <w:tcW w:w="1622" w:type="dxa"/>
          </w:tcPr>
          <w:p w14:paraId="79E0E8A2" w14:textId="46E40C45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4.3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17</w:t>
            </w:r>
          </w:p>
        </w:tc>
        <w:tc>
          <w:tcPr>
            <w:tcW w:w="1430" w:type="dxa"/>
          </w:tcPr>
          <w:p w14:paraId="44498EC1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0.02 ± 0.08</w:t>
            </w:r>
          </w:p>
        </w:tc>
        <w:tc>
          <w:tcPr>
            <w:tcW w:w="1553" w:type="dxa"/>
          </w:tcPr>
          <w:p w14:paraId="54F65E59" w14:textId="425CDC0F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985</w:t>
            </w:r>
          </w:p>
        </w:tc>
        <w:tc>
          <w:tcPr>
            <w:tcW w:w="1525" w:type="dxa"/>
          </w:tcPr>
          <w:p w14:paraId="0A8E6D2D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4A041247" w14:textId="77777777" w:rsidTr="00235F1E">
        <w:trPr>
          <w:trHeight w:val="404"/>
        </w:trPr>
        <w:tc>
          <w:tcPr>
            <w:tcW w:w="1780" w:type="dxa"/>
          </w:tcPr>
          <w:p w14:paraId="1A79ADDB" w14:textId="7777777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ChEDEQ</w:t>
            </w:r>
            <w:proofErr w:type="spellEnd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Restraint</w:t>
            </w:r>
          </w:p>
        </w:tc>
        <w:tc>
          <w:tcPr>
            <w:tcW w:w="1622" w:type="dxa"/>
          </w:tcPr>
          <w:p w14:paraId="490F78B5" w14:textId="16B9094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27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40</w:t>
            </w:r>
          </w:p>
        </w:tc>
        <w:tc>
          <w:tcPr>
            <w:tcW w:w="1430" w:type="dxa"/>
          </w:tcPr>
          <w:p w14:paraId="7196A2E6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0.01 ± 0.04</w:t>
            </w:r>
          </w:p>
        </w:tc>
        <w:tc>
          <w:tcPr>
            <w:tcW w:w="1553" w:type="dxa"/>
          </w:tcPr>
          <w:p w14:paraId="3AF44804" w14:textId="3D58C7AD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942</w:t>
            </w:r>
          </w:p>
        </w:tc>
        <w:tc>
          <w:tcPr>
            <w:tcW w:w="1525" w:type="dxa"/>
          </w:tcPr>
          <w:p w14:paraId="487BA209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6B4C2466" w14:textId="77777777" w:rsidTr="00235F1E">
        <w:trPr>
          <w:trHeight w:val="404"/>
        </w:trPr>
        <w:tc>
          <w:tcPr>
            <w:tcW w:w="1780" w:type="dxa"/>
          </w:tcPr>
          <w:p w14:paraId="193E13EC" w14:textId="0FA748E1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="006F5344" w:rsidRPr="0045039E">
              <w:rPr>
                <w:color w:val="000000" w:themeColor="text1"/>
                <w:sz w:val="22"/>
                <w:szCs w:val="22"/>
                <w:lang w:val="en-US"/>
              </w:rPr>
              <w:t>-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Q Eating Concern</w:t>
            </w:r>
          </w:p>
        </w:tc>
        <w:tc>
          <w:tcPr>
            <w:tcW w:w="1622" w:type="dxa"/>
          </w:tcPr>
          <w:p w14:paraId="7D8F0E4F" w14:textId="6FA793DF" w:rsidR="00842BDE" w:rsidRPr="0045039E" w:rsidRDefault="004A3088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3.23</w:t>
            </w:r>
            <w:r w:rsidR="00842BDE"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1.2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430" w:type="dxa"/>
          </w:tcPr>
          <w:p w14:paraId="7424FB23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0.03 ± 0.17</w:t>
            </w:r>
          </w:p>
        </w:tc>
        <w:tc>
          <w:tcPr>
            <w:tcW w:w="1553" w:type="dxa"/>
          </w:tcPr>
          <w:p w14:paraId="49C35318" w14:textId="390ED578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855</w:t>
            </w:r>
          </w:p>
        </w:tc>
        <w:tc>
          <w:tcPr>
            <w:tcW w:w="1525" w:type="dxa"/>
          </w:tcPr>
          <w:p w14:paraId="6557906A" w14:textId="77777777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7EB829AA" w14:textId="77777777" w:rsidTr="00235F1E">
        <w:trPr>
          <w:trHeight w:val="404"/>
        </w:trPr>
        <w:tc>
          <w:tcPr>
            <w:tcW w:w="1780" w:type="dxa"/>
          </w:tcPr>
          <w:p w14:paraId="631D3A7D" w14:textId="1FA38D12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="006F5344" w:rsidRPr="0045039E">
              <w:rPr>
                <w:color w:val="000000" w:themeColor="text1"/>
                <w:sz w:val="22"/>
                <w:szCs w:val="22"/>
                <w:lang w:val="en-US"/>
              </w:rPr>
              <w:t>-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Q Weight Concern</w:t>
            </w:r>
          </w:p>
        </w:tc>
        <w:tc>
          <w:tcPr>
            <w:tcW w:w="1622" w:type="dxa"/>
          </w:tcPr>
          <w:p w14:paraId="7359BABA" w14:textId="5A239EEB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48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29</w:t>
            </w:r>
          </w:p>
        </w:tc>
        <w:tc>
          <w:tcPr>
            <w:tcW w:w="1430" w:type="dxa"/>
          </w:tcPr>
          <w:p w14:paraId="545D724C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0.07 ± 0.19</w:t>
            </w:r>
          </w:p>
        </w:tc>
        <w:tc>
          <w:tcPr>
            <w:tcW w:w="1553" w:type="dxa"/>
          </w:tcPr>
          <w:p w14:paraId="1FF6A9D9" w14:textId="03890CF9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950</w:t>
            </w:r>
          </w:p>
        </w:tc>
        <w:tc>
          <w:tcPr>
            <w:tcW w:w="1525" w:type="dxa"/>
          </w:tcPr>
          <w:p w14:paraId="54DEB44F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5857257B" w14:textId="77777777" w:rsidTr="00235F1E">
        <w:trPr>
          <w:trHeight w:val="404"/>
        </w:trPr>
        <w:tc>
          <w:tcPr>
            <w:tcW w:w="1780" w:type="dxa"/>
          </w:tcPr>
          <w:p w14:paraId="7A235F55" w14:textId="6067C141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="006F5344" w:rsidRPr="0045039E">
              <w:rPr>
                <w:color w:val="000000" w:themeColor="text1"/>
                <w:sz w:val="22"/>
                <w:szCs w:val="22"/>
                <w:lang w:val="en-US"/>
              </w:rPr>
              <w:t>-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Q Shape Concern</w:t>
            </w:r>
          </w:p>
        </w:tc>
        <w:tc>
          <w:tcPr>
            <w:tcW w:w="1622" w:type="dxa"/>
          </w:tcPr>
          <w:p w14:paraId="3A0D3465" w14:textId="6FE34DE8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4.9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1430" w:type="dxa"/>
          </w:tcPr>
          <w:p w14:paraId="279FCB8D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0.11 ± 0.39</w:t>
            </w:r>
          </w:p>
        </w:tc>
        <w:tc>
          <w:tcPr>
            <w:tcW w:w="1553" w:type="dxa"/>
          </w:tcPr>
          <w:p w14:paraId="3850B74A" w14:textId="4E4F37B6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983</w:t>
            </w:r>
          </w:p>
        </w:tc>
        <w:tc>
          <w:tcPr>
            <w:tcW w:w="1525" w:type="dxa"/>
          </w:tcPr>
          <w:p w14:paraId="0B946E46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  <w:tr w:rsidR="0045039E" w:rsidRPr="0045039E" w14:paraId="0FF011F8" w14:textId="77777777" w:rsidTr="00235F1E">
        <w:trPr>
          <w:trHeight w:val="404"/>
        </w:trPr>
        <w:tc>
          <w:tcPr>
            <w:tcW w:w="1780" w:type="dxa"/>
            <w:tcBorders>
              <w:bottom w:val="single" w:sz="4" w:space="0" w:color="auto"/>
            </w:tcBorders>
          </w:tcPr>
          <w:p w14:paraId="2245C66A" w14:textId="076DD307" w:rsidR="00842BDE" w:rsidRPr="0045039E" w:rsidRDefault="00842BDE" w:rsidP="00235F1E">
            <w:pPr>
              <w:spacing w:after="24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ChEDE</w:t>
            </w:r>
            <w:proofErr w:type="spellEnd"/>
            <w:r w:rsidR="006F5344" w:rsidRPr="0045039E">
              <w:rPr>
                <w:color w:val="000000" w:themeColor="text1"/>
                <w:sz w:val="22"/>
                <w:szCs w:val="22"/>
                <w:lang w:val="en-US"/>
              </w:rPr>
              <w:t>-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Q Global Score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69D9851B" w14:textId="67BA4354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4.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24</w:t>
            </w: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 xml:space="preserve"> ± 1.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05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58D44A47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0.05 ± 0.17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63326E17" w14:textId="799F6E83" w:rsidR="00842BDE" w:rsidRPr="0045039E" w:rsidRDefault="00842BDE" w:rsidP="00235F1E">
            <w:pPr>
              <w:spacing w:after="24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0.9</w:t>
            </w:r>
            <w:r w:rsidR="004A3088" w:rsidRPr="0045039E">
              <w:rPr>
                <w:color w:val="000000" w:themeColor="text1"/>
                <w:sz w:val="22"/>
                <w:szCs w:val="22"/>
                <w:lang w:val="en-US"/>
              </w:rPr>
              <w:t>85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20B66291" w14:textId="77777777" w:rsidR="00842BDE" w:rsidRPr="0045039E" w:rsidRDefault="00842BDE" w:rsidP="00235F1E">
            <w:pPr>
              <w:spacing w:after="240"/>
              <w:jc w:val="center"/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45039E">
              <w:rPr>
                <w:color w:val="000000" w:themeColor="text1"/>
                <w:sz w:val="22"/>
                <w:szCs w:val="22"/>
                <w:lang w:val="en-US"/>
              </w:rPr>
              <w:t>&lt;0.001</w:t>
            </w:r>
          </w:p>
        </w:tc>
      </w:tr>
    </w:tbl>
    <w:p w14:paraId="07EE20E7" w14:textId="388D1705" w:rsidR="00842BDE" w:rsidRPr="0045039E" w:rsidRDefault="00842BDE" w:rsidP="00842BDE">
      <w:pPr>
        <w:jc w:val="both"/>
        <w:rPr>
          <w:color w:val="000000" w:themeColor="text1"/>
          <w:sz w:val="22"/>
          <w:szCs w:val="22"/>
          <w:lang w:val="en-US"/>
        </w:rPr>
      </w:pPr>
      <w:r w:rsidRPr="0045039E">
        <w:rPr>
          <w:color w:val="000000" w:themeColor="text1"/>
          <w:sz w:val="22"/>
          <w:szCs w:val="22"/>
          <w:lang w:val="en-US"/>
        </w:rPr>
        <w:t xml:space="preserve">This table presents the internal consistency of different subscales of the </w:t>
      </w:r>
      <w:proofErr w:type="spellStart"/>
      <w:r w:rsidRPr="0045039E">
        <w:rPr>
          <w:color w:val="000000" w:themeColor="text1"/>
          <w:sz w:val="22"/>
          <w:szCs w:val="22"/>
          <w:lang w:val="en-US"/>
        </w:rPr>
        <w:t>ChEDE</w:t>
      </w:r>
      <w:proofErr w:type="spellEnd"/>
      <w:r w:rsidR="0043617D" w:rsidRPr="0045039E">
        <w:rPr>
          <w:color w:val="000000" w:themeColor="text1"/>
          <w:sz w:val="22"/>
          <w:szCs w:val="22"/>
          <w:lang w:val="en-US"/>
        </w:rPr>
        <w:t>,</w:t>
      </w:r>
      <w:r w:rsidRPr="0045039E">
        <w:rPr>
          <w:color w:val="000000" w:themeColor="text1"/>
          <w:sz w:val="22"/>
          <w:szCs w:val="22"/>
          <w:lang w:val="en-US"/>
        </w:rPr>
        <w:t xml:space="preserve"> and its self-report version for patients with </w:t>
      </w:r>
      <w:proofErr w:type="gramStart"/>
      <w:r w:rsidRPr="0045039E">
        <w:rPr>
          <w:color w:val="000000" w:themeColor="text1"/>
          <w:sz w:val="22"/>
          <w:szCs w:val="22"/>
          <w:lang w:val="en-US"/>
        </w:rPr>
        <w:t>AN and</w:t>
      </w:r>
      <w:proofErr w:type="gramEnd"/>
      <w:r w:rsidRPr="0045039E">
        <w:rPr>
          <w:color w:val="000000" w:themeColor="text1"/>
          <w:sz w:val="22"/>
          <w:szCs w:val="22"/>
          <w:lang w:val="en-US"/>
        </w:rPr>
        <w:t xml:space="preserve"> healthy controls</w:t>
      </w:r>
      <w:r w:rsidR="0043617D" w:rsidRPr="0045039E">
        <w:rPr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="0043617D" w:rsidRPr="0045039E">
        <w:rPr>
          <w:color w:val="000000" w:themeColor="text1"/>
          <w:sz w:val="22"/>
          <w:szCs w:val="22"/>
          <w:lang w:val="en-US"/>
        </w:rPr>
        <w:t>ChEDE</w:t>
      </w:r>
      <w:proofErr w:type="spellEnd"/>
      <w:r w:rsidR="0043617D" w:rsidRPr="0045039E">
        <w:rPr>
          <w:color w:val="000000" w:themeColor="text1"/>
          <w:sz w:val="22"/>
          <w:szCs w:val="22"/>
          <w:lang w:val="en-US"/>
        </w:rPr>
        <w:t>-Q)</w:t>
      </w:r>
      <w:r w:rsidRPr="0045039E">
        <w:rPr>
          <w:color w:val="000000" w:themeColor="text1"/>
          <w:sz w:val="22"/>
          <w:szCs w:val="22"/>
          <w:lang w:val="en-US"/>
        </w:rPr>
        <w:t>, showing high Cronbach's alpha values and significant differences.</w:t>
      </w:r>
    </w:p>
    <w:p w14:paraId="5570EE2C" w14:textId="77777777" w:rsidR="00842BDE" w:rsidRPr="0045039E" w:rsidRDefault="00842BDE" w:rsidP="00842BDE">
      <w:pPr>
        <w:jc w:val="both"/>
        <w:rPr>
          <w:color w:val="000000" w:themeColor="text1"/>
          <w:sz w:val="22"/>
          <w:szCs w:val="22"/>
          <w:lang w:val="en-US"/>
        </w:rPr>
      </w:pPr>
      <w:r w:rsidRPr="0045039E">
        <w:rPr>
          <w:i/>
          <w:iCs/>
          <w:color w:val="000000" w:themeColor="text1"/>
          <w:sz w:val="22"/>
          <w:szCs w:val="22"/>
          <w:lang w:val="en-US"/>
        </w:rPr>
        <w:t>Note:</w:t>
      </w:r>
      <w:r w:rsidRPr="0045039E">
        <w:rPr>
          <w:color w:val="000000" w:themeColor="text1"/>
          <w:sz w:val="22"/>
          <w:szCs w:val="22"/>
          <w:lang w:val="en-US"/>
        </w:rPr>
        <w:t xml:space="preserve"> Mean ± Standard Deviation.</w:t>
      </w:r>
    </w:p>
    <w:p w14:paraId="686DE6EC" w14:textId="1B45630D" w:rsidR="00842BDE" w:rsidRPr="0045039E" w:rsidRDefault="00842BDE" w:rsidP="00842BDE">
      <w:pPr>
        <w:jc w:val="both"/>
        <w:rPr>
          <w:color w:val="000000" w:themeColor="text1"/>
          <w:sz w:val="22"/>
          <w:szCs w:val="22"/>
          <w:lang w:val="en-US"/>
        </w:rPr>
      </w:pPr>
      <w:r w:rsidRPr="0045039E">
        <w:rPr>
          <w:i/>
          <w:iCs/>
          <w:color w:val="000000" w:themeColor="text1"/>
          <w:sz w:val="22"/>
          <w:szCs w:val="22"/>
          <w:lang w:val="en-US"/>
        </w:rPr>
        <w:t>Legend:</w:t>
      </w:r>
      <w:r w:rsidRPr="0045039E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45039E">
        <w:rPr>
          <w:color w:val="000000" w:themeColor="text1"/>
          <w:sz w:val="22"/>
          <w:szCs w:val="22"/>
          <w:lang w:val="en-US"/>
        </w:rPr>
        <w:t>ChEDE</w:t>
      </w:r>
      <w:proofErr w:type="spellEnd"/>
      <w:r w:rsidRPr="0045039E">
        <w:rPr>
          <w:color w:val="000000" w:themeColor="text1"/>
          <w:sz w:val="22"/>
          <w:szCs w:val="22"/>
          <w:lang w:val="en-US"/>
        </w:rPr>
        <w:t xml:space="preserve"> – Child Version, Eating Disorder Examination; </w:t>
      </w:r>
      <w:proofErr w:type="spellStart"/>
      <w:r w:rsidRPr="0045039E">
        <w:rPr>
          <w:color w:val="000000" w:themeColor="text1"/>
          <w:sz w:val="22"/>
          <w:szCs w:val="22"/>
          <w:lang w:val="en-US"/>
        </w:rPr>
        <w:t>ChEDE</w:t>
      </w:r>
      <w:proofErr w:type="spellEnd"/>
      <w:r w:rsidR="006F5344" w:rsidRPr="0045039E">
        <w:rPr>
          <w:color w:val="000000" w:themeColor="text1"/>
          <w:sz w:val="22"/>
          <w:szCs w:val="22"/>
          <w:lang w:val="en-US"/>
        </w:rPr>
        <w:t>-</w:t>
      </w:r>
      <w:r w:rsidRPr="0045039E">
        <w:rPr>
          <w:color w:val="000000" w:themeColor="text1"/>
          <w:sz w:val="22"/>
          <w:szCs w:val="22"/>
          <w:lang w:val="en-US"/>
        </w:rPr>
        <w:t>Q – Child Version, Eating Disorder Examination Questionnaire</w:t>
      </w:r>
      <w:r w:rsidR="00E87096" w:rsidRPr="0045039E">
        <w:rPr>
          <w:color w:val="000000" w:themeColor="text1"/>
          <w:sz w:val="22"/>
          <w:szCs w:val="22"/>
          <w:lang w:val="en-US"/>
        </w:rPr>
        <w:t>, HC = healthy controls.</w:t>
      </w:r>
    </w:p>
    <w:p w14:paraId="5B40DCE0" w14:textId="12C01C8F" w:rsidR="00842BDE" w:rsidRPr="0045039E" w:rsidRDefault="00842BDE" w:rsidP="00842BDE">
      <w:pPr>
        <w:jc w:val="both"/>
        <w:rPr>
          <w:color w:val="000000" w:themeColor="text1"/>
          <w:sz w:val="22"/>
          <w:szCs w:val="22"/>
          <w:lang w:val="en-US"/>
        </w:rPr>
      </w:pPr>
      <w:r w:rsidRPr="0045039E">
        <w:rPr>
          <w:color w:val="000000" w:themeColor="text1"/>
          <w:sz w:val="22"/>
          <w:szCs w:val="22"/>
          <w:lang w:val="en-US"/>
        </w:rPr>
        <w:t xml:space="preserve">a = computed within patients </w:t>
      </w:r>
      <w:r w:rsidR="0034491C" w:rsidRPr="0045039E">
        <w:rPr>
          <w:color w:val="000000" w:themeColor="text1"/>
          <w:sz w:val="22"/>
          <w:szCs w:val="22"/>
          <w:lang w:val="en-US"/>
        </w:rPr>
        <w:t xml:space="preserve">with AN </w:t>
      </w:r>
      <w:r w:rsidRPr="0045039E">
        <w:rPr>
          <w:color w:val="000000" w:themeColor="text1"/>
          <w:sz w:val="22"/>
          <w:szCs w:val="22"/>
          <w:lang w:val="en-US"/>
        </w:rPr>
        <w:t>only</w:t>
      </w:r>
    </w:p>
    <w:p w14:paraId="1B7AF2C0" w14:textId="10EB5779" w:rsidR="004129F5" w:rsidRPr="0045039E" w:rsidRDefault="004129F5" w:rsidP="004A3088">
      <w:pPr>
        <w:spacing w:after="160" w:line="278" w:lineRule="auto"/>
        <w:jc w:val="both"/>
        <w:rPr>
          <w:color w:val="000000" w:themeColor="text1"/>
        </w:rPr>
      </w:pPr>
    </w:p>
    <w:sectPr w:rsidR="004129F5" w:rsidRPr="0045039E" w:rsidSect="00450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BDE"/>
    <w:rsid w:val="001107A9"/>
    <w:rsid w:val="002611DE"/>
    <w:rsid w:val="0034491C"/>
    <w:rsid w:val="003C6FE8"/>
    <w:rsid w:val="004129F5"/>
    <w:rsid w:val="0043617D"/>
    <w:rsid w:val="0045039E"/>
    <w:rsid w:val="004A3088"/>
    <w:rsid w:val="005A07C7"/>
    <w:rsid w:val="00643C4B"/>
    <w:rsid w:val="006F5344"/>
    <w:rsid w:val="00842BDE"/>
    <w:rsid w:val="00AA6F57"/>
    <w:rsid w:val="00BD15A0"/>
    <w:rsid w:val="00C5196A"/>
    <w:rsid w:val="00E04E6E"/>
    <w:rsid w:val="00E87096"/>
    <w:rsid w:val="00FB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C99F1"/>
  <w15:chartTrackingRefBased/>
  <w15:docId w15:val="{6C347B6E-B790-4C97-BC2C-4D208AB6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B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B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BD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BD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BD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BD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BD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BD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BD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B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2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BD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2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BD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2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BD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2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B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2BDE"/>
    <w:pPr>
      <w:spacing w:after="0" w:line="240" w:lineRule="auto"/>
    </w:pPr>
    <w:rPr>
      <w:kern w:val="2"/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Livio Tarchi</dc:creator>
  <cp:keywords/>
  <dc:description/>
  <cp:lastModifiedBy>Mythili  Venkatesan</cp:lastModifiedBy>
  <cp:revision>8</cp:revision>
  <dcterms:created xsi:type="dcterms:W3CDTF">2025-02-27T11:08:00Z</dcterms:created>
  <dcterms:modified xsi:type="dcterms:W3CDTF">2025-03-11T04:20:00Z</dcterms:modified>
</cp:coreProperties>
</file>