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43" w:rsidRPr="007F1AD5" w:rsidRDefault="00936443" w:rsidP="00936443">
      <w:pPr>
        <w:rPr>
          <w:rFonts w:ascii="Times New Roman" w:hAnsi="Times New Roman"/>
          <w:b/>
          <w:sz w:val="24"/>
        </w:rPr>
      </w:pPr>
      <w:r w:rsidRPr="007F1AD5">
        <w:rPr>
          <w:rFonts w:ascii="Times New Roman" w:hAnsi="Times New Roman"/>
          <w:b/>
          <w:sz w:val="24"/>
        </w:rPr>
        <w:t>Supplementary data</w:t>
      </w:r>
      <w:r w:rsidRPr="009364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- </w:t>
      </w:r>
      <w:r w:rsidRPr="00881273">
        <w:rPr>
          <w:rFonts w:ascii="Times New Roman" w:hAnsi="Times New Roman"/>
          <w:b/>
        </w:rPr>
        <w:t>Table 1</w:t>
      </w:r>
    </w:p>
    <w:p w:rsidR="00936443" w:rsidRPr="007F1AD5" w:rsidRDefault="00936443" w:rsidP="00936443">
      <w:pPr>
        <w:spacing w:after="0" w:line="480" w:lineRule="auto"/>
        <w:jc w:val="center"/>
        <w:rPr>
          <w:rFonts w:ascii="Times New Roman" w:hAnsi="Times New Roman"/>
          <w:b/>
          <w:sz w:val="18"/>
        </w:rPr>
      </w:pPr>
      <w:r w:rsidRPr="00881273">
        <w:rPr>
          <w:rFonts w:ascii="Times New Roman" w:hAnsi="Times New Roman"/>
          <w:b/>
        </w:rPr>
        <w:t xml:space="preserve">Table 1: Examples of possible </w:t>
      </w:r>
      <w:r w:rsidR="00F317EA">
        <w:rPr>
          <w:rFonts w:ascii="Times New Roman" w:hAnsi="Times New Roman"/>
          <w:b/>
        </w:rPr>
        <w:t xml:space="preserve">variables and </w:t>
      </w:r>
      <w:r w:rsidRPr="00881273">
        <w:rPr>
          <w:rFonts w:ascii="Times New Roman" w:hAnsi="Times New Roman"/>
          <w:b/>
        </w:rPr>
        <w:t xml:space="preserve">tests to </w:t>
      </w:r>
      <w:r w:rsidRPr="00F317EA">
        <w:rPr>
          <w:rFonts w:ascii="Times New Roman" w:hAnsi="Times New Roman"/>
          <w:b/>
          <w:lang w:val="en-GB"/>
        </w:rPr>
        <w:t>characterise</w:t>
      </w:r>
      <w:r w:rsidRPr="00881273">
        <w:rPr>
          <w:rFonts w:ascii="Times New Roman" w:hAnsi="Times New Roman"/>
          <w:b/>
        </w:rPr>
        <w:t xml:space="preserve"> the older populations included in clinical trials</w:t>
      </w:r>
      <w:r>
        <w:rPr>
          <w:rFonts w:ascii="Times New Roman" w:hAnsi="Times New Roman"/>
          <w:b/>
        </w:rPr>
        <w:t xml:space="preserve"> </w:t>
      </w:r>
      <w:r w:rsidRPr="007F1AD5">
        <w:rPr>
          <w:rFonts w:ascii="Times New Roman" w:hAnsi="Times New Roman"/>
        </w:rPr>
        <w:t>(in a</w:t>
      </w:r>
      <w:r>
        <w:rPr>
          <w:rFonts w:ascii="Times New Roman" w:hAnsi="Times New Roman"/>
        </w:rPr>
        <w:t>d</w:t>
      </w:r>
      <w:r w:rsidRPr="007F1AD5">
        <w:rPr>
          <w:rFonts w:ascii="Times New Roman" w:hAnsi="Times New Roman"/>
        </w:rPr>
        <w:t>dition to gender, ethnicity, demographic and anthropomorphic parameters)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378"/>
      </w:tblGrid>
      <w:tr w:rsidR="00936443" w:rsidRPr="007F1AD5" w:rsidTr="00CC577E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6443" w:rsidRPr="00CC577E" w:rsidRDefault="00936443" w:rsidP="00CC577E">
            <w:pPr>
              <w:spacing w:before="60" w:after="100" w:afterAutospacing="1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Explanatory variable group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6443" w:rsidRPr="00CC577E" w:rsidRDefault="00936443" w:rsidP="00CC577E">
            <w:pPr>
              <w:spacing w:before="60" w:after="100" w:afterAutospacing="1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Possible tests</w:t>
            </w:r>
          </w:p>
        </w:tc>
      </w:tr>
      <w:tr w:rsidR="00936443" w:rsidRPr="007F1AD5" w:rsidTr="00CC577E">
        <w:tc>
          <w:tcPr>
            <w:tcW w:w="2802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Lifestyle</w:t>
            </w:r>
          </w:p>
        </w:tc>
        <w:tc>
          <w:tcPr>
            <w:tcW w:w="6378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sz w:val="20"/>
              </w:rPr>
            </w:pPr>
            <w:r w:rsidRPr="00CC577E">
              <w:rPr>
                <w:rFonts w:ascii="Times New Roman" w:eastAsia="Times New Roman" w:hAnsi="Times New Roman"/>
                <w:sz w:val="20"/>
              </w:rPr>
              <w:t xml:space="preserve">Smoking status, daily physical activity level, professional status (retired, full- or part-time work)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[1]</w:t>
            </w:r>
          </w:p>
        </w:tc>
      </w:tr>
      <w:tr w:rsidR="00936443" w:rsidRPr="007F1AD5" w:rsidTr="00CC577E">
        <w:tc>
          <w:tcPr>
            <w:tcW w:w="2802" w:type="dxa"/>
            <w:shd w:val="clear" w:color="auto" w:fill="auto"/>
          </w:tcPr>
          <w:p w:rsidR="00936443" w:rsidRPr="00CC577E" w:rsidRDefault="00936443" w:rsidP="00F317EA">
            <w:pPr>
              <w:spacing w:after="0" w:line="48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Cognitive status</w:t>
            </w:r>
          </w:p>
        </w:tc>
        <w:tc>
          <w:tcPr>
            <w:tcW w:w="6378" w:type="dxa"/>
            <w:shd w:val="clear" w:color="auto" w:fill="auto"/>
          </w:tcPr>
          <w:p w:rsidR="00936443" w:rsidRPr="00CC577E" w:rsidRDefault="00936443" w:rsidP="00F317EA">
            <w:pPr>
              <w:spacing w:after="0" w:line="480" w:lineRule="auto"/>
              <w:rPr>
                <w:rFonts w:ascii="Times New Roman" w:eastAsia="Times New Roman" w:hAnsi="Times New Roman"/>
                <w:sz w:val="20"/>
              </w:rPr>
            </w:pPr>
            <w:r w:rsidRPr="00CC577E">
              <w:rPr>
                <w:rFonts w:ascii="Times New Roman" w:eastAsia="Times New Roman" w:hAnsi="Times New Roman"/>
                <w:sz w:val="20"/>
              </w:rPr>
              <w:t xml:space="preserve">Montreal Cognitive Assessment 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[2]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="00F317EA">
              <w:rPr>
                <w:rFonts w:ascii="Times New Roman" w:eastAsia="Times New Roman" w:hAnsi="Times New Roman"/>
                <w:sz w:val="20"/>
              </w:rPr>
              <w:t xml:space="preserve">or </w:t>
            </w:r>
          </w:p>
          <w:p w:rsidR="00936443" w:rsidRPr="00CC577E" w:rsidRDefault="00936443" w:rsidP="00F317EA">
            <w:pPr>
              <w:spacing w:after="0" w:line="48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C577E">
              <w:rPr>
                <w:rFonts w:ascii="Times New Roman" w:eastAsia="Times New Roman" w:hAnsi="Times New Roman"/>
                <w:sz w:val="20"/>
              </w:rPr>
              <w:t>Folstein’s</w:t>
            </w:r>
            <w:proofErr w:type="spellEnd"/>
            <w:r w:rsidRPr="00CC577E">
              <w:rPr>
                <w:rFonts w:ascii="Times New Roman" w:eastAsia="Times New Roman" w:hAnsi="Times New Roman"/>
                <w:sz w:val="20"/>
              </w:rPr>
              <w:t xml:space="preserve"> Mini-Mental State Examination </w:t>
            </w:r>
          </w:p>
        </w:tc>
      </w:tr>
      <w:tr w:rsidR="00936443" w:rsidRPr="007F1AD5" w:rsidTr="00CC577E">
        <w:tc>
          <w:tcPr>
            <w:tcW w:w="2802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Comorbidity</w:t>
            </w:r>
          </w:p>
        </w:tc>
        <w:tc>
          <w:tcPr>
            <w:tcW w:w="6378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sz w:val="20"/>
              </w:rPr>
            </w:pPr>
            <w:r w:rsidRPr="00CC577E">
              <w:rPr>
                <w:rFonts w:ascii="Times New Roman" w:eastAsia="Times New Roman" w:hAnsi="Times New Roman"/>
                <w:sz w:val="20"/>
              </w:rPr>
              <w:t xml:space="preserve">Cumulative Illness Rating Scale for geriatrics CIRS-G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[3]</w:t>
            </w:r>
            <w:r w:rsidRPr="00CC577E">
              <w:rPr>
                <w:rFonts w:ascii="Times New Roman" w:eastAsia="Times New Roman" w:hAnsi="Times New Roman"/>
                <w:sz w:val="20"/>
              </w:rPr>
              <w:t>, knee pain</w:t>
            </w:r>
          </w:p>
        </w:tc>
      </w:tr>
      <w:tr w:rsidR="00936443" w:rsidRPr="007F1AD5" w:rsidTr="00CC577E">
        <w:tc>
          <w:tcPr>
            <w:tcW w:w="2802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Nutritional status</w:t>
            </w:r>
          </w:p>
        </w:tc>
        <w:tc>
          <w:tcPr>
            <w:tcW w:w="6378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sz w:val="20"/>
              </w:rPr>
            </w:pPr>
            <w:r w:rsidRPr="00CC577E">
              <w:rPr>
                <w:rFonts w:ascii="Times New Roman" w:eastAsia="Times New Roman" w:hAnsi="Times New Roman"/>
                <w:sz w:val="20"/>
              </w:rPr>
              <w:t xml:space="preserve">Mini nutritional assessment 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[4]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, SNAQ65+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[5]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</w:tr>
      <w:tr w:rsidR="00936443" w:rsidRPr="007F1AD5" w:rsidTr="00CC577E">
        <w:tc>
          <w:tcPr>
            <w:tcW w:w="2802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Hormone status</w:t>
            </w:r>
          </w:p>
        </w:tc>
        <w:tc>
          <w:tcPr>
            <w:tcW w:w="6378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sz w:val="20"/>
              </w:rPr>
            </w:pPr>
            <w:r w:rsidRPr="00CC577E">
              <w:rPr>
                <w:rFonts w:ascii="Times New Roman" w:eastAsia="Times New Roman" w:hAnsi="Times New Roman"/>
                <w:sz w:val="20"/>
              </w:rPr>
              <w:t xml:space="preserve">Testosterone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[6,7]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, Insulin-like growth factor 1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[8]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, vitamin D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[9]</w:t>
            </w:r>
          </w:p>
        </w:tc>
      </w:tr>
      <w:tr w:rsidR="00936443" w:rsidRPr="007F1AD5" w:rsidTr="00CC577E">
        <w:tc>
          <w:tcPr>
            <w:tcW w:w="2802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Genetics</w:t>
            </w:r>
          </w:p>
        </w:tc>
        <w:tc>
          <w:tcPr>
            <w:tcW w:w="6378" w:type="dxa"/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sz w:val="20"/>
              </w:rPr>
            </w:pPr>
            <w:r w:rsidRPr="00CC577E">
              <w:rPr>
                <w:rFonts w:ascii="Times New Roman" w:eastAsia="Times New Roman" w:hAnsi="Times New Roman"/>
                <w:sz w:val="20"/>
              </w:rPr>
              <w:t xml:space="preserve">Angiotensin-converting enzyme (ACE) genotype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[10]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, telomere length/dysfunction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[11]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, (Birth weight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[12]</w:t>
            </w:r>
            <w:r w:rsidRPr="00CC577E">
              <w:rPr>
                <w:rFonts w:ascii="Times New Roman" w:eastAsia="Times New Roman" w:hAnsi="Times New Roman"/>
                <w:sz w:val="20"/>
              </w:rPr>
              <w:t>)</w:t>
            </w:r>
          </w:p>
        </w:tc>
      </w:tr>
      <w:tr w:rsidR="00936443" w:rsidRPr="007F1AD5" w:rsidTr="00CC577E">
        <w:trPr>
          <w:trHeight w:val="1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CC577E">
              <w:rPr>
                <w:rFonts w:ascii="Times New Roman" w:eastAsia="Times New Roman" w:hAnsi="Times New Roman"/>
                <w:b/>
                <w:sz w:val="20"/>
              </w:rPr>
              <w:t>Muscle physiology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936443" w:rsidRPr="00CC577E" w:rsidRDefault="00936443" w:rsidP="00F317EA">
            <w:pPr>
              <w:spacing w:before="120" w:after="0" w:line="480" w:lineRule="auto"/>
              <w:rPr>
                <w:rFonts w:ascii="Times New Roman" w:eastAsia="Times New Roman" w:hAnsi="Times New Roman"/>
                <w:sz w:val="20"/>
              </w:rPr>
            </w:pPr>
            <w:r w:rsidRPr="00CC577E">
              <w:rPr>
                <w:rFonts w:ascii="Times New Roman" w:eastAsia="Times New Roman" w:hAnsi="Times New Roman"/>
                <w:sz w:val="20"/>
              </w:rPr>
              <w:t xml:space="preserve">A wide variety of biomarkers have been suggested including </w:t>
            </w:r>
            <w:proofErr w:type="spellStart"/>
            <w:r w:rsidRPr="00CC577E">
              <w:rPr>
                <w:rFonts w:ascii="Times New Roman" w:eastAsia="Times New Roman" w:hAnsi="Times New Roman"/>
                <w:sz w:val="20"/>
              </w:rPr>
              <w:t>agrin</w:t>
            </w:r>
            <w:proofErr w:type="spellEnd"/>
            <w:r w:rsidRPr="00CC577E">
              <w:rPr>
                <w:rFonts w:ascii="Times New Roman" w:eastAsia="Times New Roman" w:hAnsi="Times New Roman"/>
                <w:sz w:val="20"/>
              </w:rPr>
              <w:t xml:space="preserve"> expression (implicated in the stability of neuromuscular junction), myostatin expression (implicated in the </w:t>
            </w:r>
            <w:proofErr w:type="spellStart"/>
            <w:r w:rsidRPr="00CC577E">
              <w:rPr>
                <w:rFonts w:ascii="Times New Roman" w:eastAsia="Times New Roman" w:hAnsi="Times New Roman"/>
                <w:sz w:val="20"/>
              </w:rPr>
              <w:t>mTOR</w:t>
            </w:r>
            <w:proofErr w:type="spellEnd"/>
            <w:r w:rsidRPr="00CC577E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317EA">
              <w:rPr>
                <w:rFonts w:ascii="Times New Roman" w:eastAsia="Times New Roman" w:hAnsi="Times New Roman"/>
                <w:sz w:val="20"/>
                <w:lang w:val="en-GB"/>
              </w:rPr>
              <w:t>signa</w:t>
            </w:r>
            <w:bookmarkStart w:id="0" w:name="_GoBack"/>
            <w:bookmarkEnd w:id="0"/>
            <w:r w:rsidRPr="00F317EA">
              <w:rPr>
                <w:rFonts w:ascii="Times New Roman" w:eastAsia="Times New Roman" w:hAnsi="Times New Roman"/>
                <w:sz w:val="20"/>
                <w:lang w:val="en-GB"/>
              </w:rPr>
              <w:t>lling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 pathway of muscle development), satellite cell content or protein degradation </w:t>
            </w:r>
            <w:r w:rsidRPr="00CC577E">
              <w:rPr>
                <w:rFonts w:ascii="Times New Roman" w:eastAsia="Times New Roman" w:hAnsi="Times New Roman"/>
                <w:noProof/>
                <w:sz w:val="20"/>
              </w:rPr>
              <w:t>[8,13,14]</w:t>
            </w:r>
            <w:r w:rsidRPr="00CC577E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</w:tr>
    </w:tbl>
    <w:p w:rsidR="00F317EA" w:rsidRDefault="00F317EA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</w:rPr>
        <w:tab/>
        <w:t xml:space="preserve">[1] </w:t>
      </w:r>
      <w:r w:rsidRPr="007B4CA2">
        <w:rPr>
          <w:rFonts w:ascii="Times New Roman" w:hAnsi="Times New Roman"/>
          <w:noProof/>
        </w:rPr>
        <w:tab/>
        <w:t>Stenholm S, Westerlund H, Head J, et al. Comorbidity and Functional Trajectories From Midlife to Old Age: The Health and Retirement Study.</w:t>
      </w:r>
      <w:r w:rsidRPr="007B4CA2">
        <w:rPr>
          <w:rFonts w:ascii="Times New Roman" w:hAnsi="Times New Roman"/>
          <w:i/>
          <w:noProof/>
        </w:rPr>
        <w:t xml:space="preserve"> J Gerontol A Biol Sci Med Sci.</w:t>
      </w:r>
      <w:r w:rsidRPr="007B4CA2">
        <w:rPr>
          <w:rFonts w:ascii="Times New Roman" w:hAnsi="Times New Roman"/>
          <w:noProof/>
        </w:rPr>
        <w:t xml:space="preserve"> 2014;glu113.</w:t>
      </w:r>
    </w:p>
    <w:p w:rsidR="00804E20" w:rsidRPr="00F317EA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  <w:lang w:val="fr-BE"/>
        </w:rPr>
      </w:pPr>
      <w:r w:rsidRPr="007B4CA2">
        <w:rPr>
          <w:rFonts w:ascii="Times New Roman" w:hAnsi="Times New Roman"/>
          <w:noProof/>
        </w:rPr>
        <w:tab/>
        <w:t xml:space="preserve">[2] </w:t>
      </w:r>
      <w:r w:rsidRPr="007B4CA2">
        <w:rPr>
          <w:rFonts w:ascii="Times New Roman" w:hAnsi="Times New Roman"/>
          <w:noProof/>
        </w:rPr>
        <w:tab/>
        <w:t>Nasreddine ZS, Phillips NA, Bedirian V, et al. The Montreal Cognitive Assessment, MoCA: a brief screening tool for mild cognitive impairment.</w:t>
      </w:r>
      <w:r w:rsidRPr="007B4CA2">
        <w:rPr>
          <w:rFonts w:ascii="Times New Roman" w:hAnsi="Times New Roman"/>
          <w:i/>
          <w:noProof/>
        </w:rPr>
        <w:t xml:space="preserve"> </w:t>
      </w:r>
      <w:r w:rsidRPr="00F317EA">
        <w:rPr>
          <w:rFonts w:ascii="Times New Roman" w:hAnsi="Times New Roman"/>
          <w:i/>
          <w:noProof/>
          <w:lang w:val="fr-BE"/>
        </w:rPr>
        <w:t>J Am Geriatr Soc.</w:t>
      </w:r>
      <w:r w:rsidRPr="00F317EA">
        <w:rPr>
          <w:rFonts w:ascii="Times New Roman" w:hAnsi="Times New Roman"/>
          <w:noProof/>
          <w:lang w:val="fr-BE"/>
        </w:rPr>
        <w:t xml:space="preserve"> 2005;53(4):695-9.</w:t>
      </w:r>
    </w:p>
    <w:p w:rsidR="00804E20" w:rsidRPr="00F317EA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  <w:lang w:val="fr-BE"/>
        </w:rPr>
      </w:pPr>
      <w:r w:rsidRPr="00F317EA">
        <w:rPr>
          <w:rFonts w:ascii="Times New Roman" w:hAnsi="Times New Roman"/>
          <w:noProof/>
          <w:lang w:val="fr-BE"/>
        </w:rPr>
        <w:tab/>
        <w:t xml:space="preserve">[3] </w:t>
      </w:r>
      <w:r w:rsidRPr="00F317EA">
        <w:rPr>
          <w:rFonts w:ascii="Times New Roman" w:hAnsi="Times New Roman"/>
          <w:noProof/>
          <w:lang w:val="fr-BE"/>
        </w:rPr>
        <w:tab/>
        <w:t xml:space="preserve">Miller MD, Paradis CF, Houck PR, et al. </w:t>
      </w:r>
      <w:r w:rsidRPr="007B4CA2">
        <w:rPr>
          <w:rFonts w:ascii="Times New Roman" w:hAnsi="Times New Roman"/>
          <w:noProof/>
        </w:rPr>
        <w:t>Rating chronic medical illness burden in geropsychiatric practice and research: application of the Cumulative Illness Rating Scale.</w:t>
      </w:r>
      <w:r w:rsidRPr="007B4CA2">
        <w:rPr>
          <w:rFonts w:ascii="Times New Roman" w:hAnsi="Times New Roman"/>
          <w:i/>
          <w:noProof/>
        </w:rPr>
        <w:t xml:space="preserve"> </w:t>
      </w:r>
      <w:r w:rsidRPr="00F317EA">
        <w:rPr>
          <w:rFonts w:ascii="Times New Roman" w:hAnsi="Times New Roman"/>
          <w:i/>
          <w:noProof/>
          <w:lang w:val="fr-BE"/>
        </w:rPr>
        <w:t>Psychiatry Res.</w:t>
      </w:r>
      <w:r w:rsidRPr="00F317EA">
        <w:rPr>
          <w:rFonts w:ascii="Times New Roman" w:hAnsi="Times New Roman"/>
          <w:noProof/>
          <w:lang w:val="fr-BE"/>
        </w:rPr>
        <w:t xml:space="preserve"> 1992;41(3):237-48.</w:t>
      </w:r>
    </w:p>
    <w:p w:rsidR="00804E20" w:rsidRPr="00F317EA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  <w:lang w:val="nl-BE"/>
        </w:rPr>
      </w:pPr>
      <w:r w:rsidRPr="00F317EA">
        <w:rPr>
          <w:rFonts w:ascii="Times New Roman" w:hAnsi="Times New Roman"/>
          <w:noProof/>
          <w:lang w:val="fr-BE"/>
        </w:rPr>
        <w:lastRenderedPageBreak/>
        <w:tab/>
      </w:r>
      <w:r w:rsidRPr="007B4CA2">
        <w:rPr>
          <w:rFonts w:ascii="Times New Roman" w:hAnsi="Times New Roman"/>
          <w:noProof/>
          <w:lang w:val="fr-FR"/>
        </w:rPr>
        <w:t xml:space="preserve">[4] </w:t>
      </w:r>
      <w:r w:rsidRPr="007B4CA2">
        <w:rPr>
          <w:rFonts w:ascii="Times New Roman" w:hAnsi="Times New Roman"/>
          <w:noProof/>
          <w:lang w:val="fr-FR"/>
        </w:rPr>
        <w:tab/>
        <w:t xml:space="preserve">Cuervo M, Garcia A, Ansorena D, et al. </w:t>
      </w:r>
      <w:r w:rsidRPr="007B4CA2">
        <w:rPr>
          <w:rFonts w:ascii="Times New Roman" w:hAnsi="Times New Roman"/>
          <w:noProof/>
        </w:rPr>
        <w:t>Nutritional assessment interpretation on 22,007 Spanish community-dwelling elders through the Mini Nutritional Assessment test.</w:t>
      </w:r>
      <w:r w:rsidRPr="007B4CA2">
        <w:rPr>
          <w:rFonts w:ascii="Times New Roman" w:hAnsi="Times New Roman"/>
          <w:i/>
          <w:noProof/>
        </w:rPr>
        <w:t xml:space="preserve"> </w:t>
      </w:r>
      <w:r w:rsidRPr="00F317EA">
        <w:rPr>
          <w:rFonts w:ascii="Times New Roman" w:hAnsi="Times New Roman"/>
          <w:i/>
          <w:noProof/>
          <w:lang w:val="nl-BE"/>
        </w:rPr>
        <w:t>Public Health Nutr.</w:t>
      </w:r>
      <w:r w:rsidRPr="00F317EA">
        <w:rPr>
          <w:rFonts w:ascii="Times New Roman" w:hAnsi="Times New Roman"/>
          <w:noProof/>
          <w:lang w:val="nl-BE"/>
        </w:rPr>
        <w:t xml:space="preserve"> 2009;12(1):82-90.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  <w:lang w:val="fr-FR"/>
        </w:rPr>
      </w:pPr>
      <w:r w:rsidRPr="00F317EA">
        <w:rPr>
          <w:rFonts w:ascii="Times New Roman" w:hAnsi="Times New Roman"/>
          <w:noProof/>
          <w:lang w:val="nl-BE"/>
        </w:rPr>
        <w:tab/>
        <w:t xml:space="preserve">[5] </w:t>
      </w:r>
      <w:r w:rsidRPr="00F317EA">
        <w:rPr>
          <w:rFonts w:ascii="Times New Roman" w:hAnsi="Times New Roman"/>
          <w:noProof/>
          <w:lang w:val="nl-BE"/>
        </w:rPr>
        <w:tab/>
        <w:t xml:space="preserve">Wijnhoven HA, Schilp J, van Bokhorst-de van der Schueren MA, et al. </w:t>
      </w:r>
      <w:r w:rsidRPr="007B4CA2">
        <w:rPr>
          <w:rFonts w:ascii="Times New Roman" w:hAnsi="Times New Roman"/>
          <w:noProof/>
        </w:rPr>
        <w:t>Development and validation of criteria for determining undernutrition in community-dwelling older men and women: The Short Nutritional Assessment Questionnaire 65+.</w:t>
      </w:r>
      <w:r w:rsidRPr="007B4CA2">
        <w:rPr>
          <w:rFonts w:ascii="Times New Roman" w:hAnsi="Times New Roman"/>
          <w:i/>
          <w:noProof/>
        </w:rPr>
        <w:t xml:space="preserve"> </w:t>
      </w:r>
      <w:r w:rsidRPr="007B4CA2">
        <w:rPr>
          <w:rFonts w:ascii="Times New Roman" w:hAnsi="Times New Roman"/>
          <w:i/>
          <w:noProof/>
          <w:lang w:val="fr-FR"/>
        </w:rPr>
        <w:t>Clin Nutr.</w:t>
      </w:r>
      <w:r w:rsidRPr="007B4CA2">
        <w:rPr>
          <w:rFonts w:ascii="Times New Roman" w:hAnsi="Times New Roman"/>
          <w:noProof/>
          <w:lang w:val="fr-FR"/>
        </w:rPr>
        <w:t xml:space="preserve"> 2012;31(3):351-8.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  <w:lang w:val="fr-FR"/>
        </w:rPr>
      </w:pPr>
      <w:r w:rsidRPr="007B4CA2">
        <w:rPr>
          <w:rFonts w:ascii="Times New Roman" w:hAnsi="Times New Roman"/>
          <w:noProof/>
          <w:lang w:val="fr-FR"/>
        </w:rPr>
        <w:tab/>
        <w:t xml:space="preserve">[6] </w:t>
      </w:r>
      <w:r w:rsidRPr="007B4CA2">
        <w:rPr>
          <w:rFonts w:ascii="Times New Roman" w:hAnsi="Times New Roman"/>
          <w:noProof/>
          <w:lang w:val="fr-FR"/>
        </w:rPr>
        <w:tab/>
        <w:t xml:space="preserve">Carcaillon L, Blanco C, Alonso-Bouzon C, et al. </w:t>
      </w:r>
      <w:r w:rsidRPr="007B4CA2">
        <w:rPr>
          <w:rFonts w:ascii="Times New Roman" w:hAnsi="Times New Roman"/>
          <w:noProof/>
        </w:rPr>
        <w:t>Sex differences in the association between serum levels of testosterone and frailty in an elderly population: the Toledo Study for Healthy Aging.</w:t>
      </w:r>
      <w:r w:rsidRPr="007B4CA2">
        <w:rPr>
          <w:rFonts w:ascii="Times New Roman" w:hAnsi="Times New Roman"/>
          <w:i/>
          <w:noProof/>
        </w:rPr>
        <w:t xml:space="preserve"> </w:t>
      </w:r>
      <w:r w:rsidRPr="007B4CA2">
        <w:rPr>
          <w:rFonts w:ascii="Times New Roman" w:hAnsi="Times New Roman"/>
          <w:i/>
          <w:noProof/>
          <w:lang w:val="fr-FR"/>
        </w:rPr>
        <w:t>PLoS One.</w:t>
      </w:r>
      <w:r w:rsidRPr="007B4CA2">
        <w:rPr>
          <w:rFonts w:ascii="Times New Roman" w:hAnsi="Times New Roman"/>
          <w:noProof/>
          <w:lang w:val="fr-FR"/>
        </w:rPr>
        <w:t xml:space="preserve"> 2012;7(3):e32401.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  <w:lang w:val="fr-FR"/>
        </w:rPr>
        <w:tab/>
        <w:t xml:space="preserve">[7] </w:t>
      </w:r>
      <w:r w:rsidRPr="007B4CA2">
        <w:rPr>
          <w:rFonts w:ascii="Times New Roman" w:hAnsi="Times New Roman"/>
          <w:noProof/>
          <w:lang w:val="fr-FR"/>
        </w:rPr>
        <w:tab/>
        <w:t xml:space="preserve">Carcaillon L, Garcia-Garcia FJ, Tresguerres JA, et al. </w:t>
      </w:r>
      <w:r w:rsidRPr="007B4CA2">
        <w:rPr>
          <w:rFonts w:ascii="Times New Roman" w:hAnsi="Times New Roman"/>
          <w:noProof/>
        </w:rPr>
        <w:t>Higher levels of endogenous estradiol are associated with frailty in postmenopausal women from the toledo study for healthy aging.</w:t>
      </w:r>
      <w:r w:rsidRPr="007B4CA2">
        <w:rPr>
          <w:rFonts w:ascii="Times New Roman" w:hAnsi="Times New Roman"/>
          <w:i/>
          <w:noProof/>
        </w:rPr>
        <w:t xml:space="preserve"> J Clin Endocrinol Metab.</w:t>
      </w:r>
      <w:r w:rsidRPr="007B4CA2">
        <w:rPr>
          <w:rFonts w:ascii="Times New Roman" w:hAnsi="Times New Roman"/>
          <w:noProof/>
        </w:rPr>
        <w:t xml:space="preserve"> 2012;97(8):2898-906.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</w:rPr>
        <w:tab/>
        <w:t xml:space="preserve">[8] </w:t>
      </w:r>
      <w:r w:rsidRPr="007B4CA2">
        <w:rPr>
          <w:rFonts w:ascii="Times New Roman" w:hAnsi="Times New Roman"/>
          <w:noProof/>
        </w:rPr>
        <w:tab/>
        <w:t>Gonzalez-Freire M, de C</w:t>
      </w:r>
      <w:r>
        <w:rPr>
          <w:rFonts w:ascii="Times New Roman" w:hAnsi="Times New Roman"/>
          <w:noProof/>
        </w:rPr>
        <w:t xml:space="preserve">abo </w:t>
      </w:r>
      <w:r w:rsidRPr="007B4CA2">
        <w:rPr>
          <w:rFonts w:ascii="Times New Roman" w:hAnsi="Times New Roman"/>
          <w:noProof/>
        </w:rPr>
        <w:t>R, Studenski SA, Ferrucci L. The Neuromuscular Junction: Aging at the Crossroad between Nerves and Muscle.</w:t>
      </w:r>
      <w:r w:rsidRPr="007B4CA2">
        <w:rPr>
          <w:rFonts w:ascii="Times New Roman" w:hAnsi="Times New Roman"/>
          <w:i/>
          <w:noProof/>
        </w:rPr>
        <w:t xml:space="preserve"> Front Aging Neurosci.</w:t>
      </w:r>
      <w:r w:rsidRPr="007B4CA2">
        <w:rPr>
          <w:rFonts w:ascii="Times New Roman" w:hAnsi="Times New Roman"/>
          <w:noProof/>
        </w:rPr>
        <w:t xml:space="preserve"> 2014;6:208.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</w:rPr>
        <w:tab/>
        <w:t xml:space="preserve">[9] </w:t>
      </w:r>
      <w:r w:rsidRPr="007B4CA2">
        <w:rPr>
          <w:rFonts w:ascii="Times New Roman" w:hAnsi="Times New Roman"/>
          <w:noProof/>
        </w:rPr>
        <w:tab/>
        <w:t>Bischoff-Ferrari HA. Relevance of vitamin D in muscle health.</w:t>
      </w:r>
      <w:r w:rsidRPr="007B4CA2">
        <w:rPr>
          <w:rFonts w:ascii="Times New Roman" w:hAnsi="Times New Roman"/>
          <w:i/>
          <w:noProof/>
        </w:rPr>
        <w:t xml:space="preserve"> Rev Endocr Metab Disord.</w:t>
      </w:r>
      <w:r w:rsidRPr="007B4CA2">
        <w:rPr>
          <w:rFonts w:ascii="Times New Roman" w:hAnsi="Times New Roman"/>
          <w:noProof/>
        </w:rPr>
        <w:t xml:space="preserve"> 2012;13(1):71-7.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</w:rPr>
        <w:tab/>
        <w:t xml:space="preserve">[10] </w:t>
      </w:r>
      <w:r w:rsidRPr="007B4CA2">
        <w:rPr>
          <w:rFonts w:ascii="Times New Roman" w:hAnsi="Times New Roman"/>
          <w:noProof/>
        </w:rPr>
        <w:tab/>
        <w:t>Buford TW, Hsu FC, Brinkley TE, et al. Genetic influence on exercise-induced changes in physical function among mobility-limited older adults.</w:t>
      </w:r>
      <w:r w:rsidRPr="007B4CA2">
        <w:rPr>
          <w:rFonts w:ascii="Times New Roman" w:hAnsi="Times New Roman"/>
          <w:i/>
          <w:noProof/>
        </w:rPr>
        <w:t xml:space="preserve"> Physiol Genomics.</w:t>
      </w:r>
      <w:r w:rsidRPr="007B4CA2">
        <w:rPr>
          <w:rFonts w:ascii="Times New Roman" w:hAnsi="Times New Roman"/>
          <w:noProof/>
        </w:rPr>
        <w:t xml:space="preserve"> 2014;46(5):149-58.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</w:rPr>
        <w:tab/>
        <w:t xml:space="preserve">[11] </w:t>
      </w:r>
      <w:r w:rsidRPr="007B4CA2">
        <w:rPr>
          <w:rFonts w:ascii="Times New Roman" w:hAnsi="Times New Roman"/>
          <w:noProof/>
        </w:rPr>
        <w:tab/>
        <w:t>Hubbard JM, Cohen HJ, Muss HB. Incorporating Biomarkers Into Cancer and Aging Research.</w:t>
      </w:r>
      <w:r w:rsidRPr="007B4CA2">
        <w:rPr>
          <w:rFonts w:ascii="Times New Roman" w:hAnsi="Times New Roman"/>
          <w:i/>
          <w:noProof/>
        </w:rPr>
        <w:t xml:space="preserve"> J Clin Oncol.</w:t>
      </w:r>
      <w:r w:rsidRPr="007B4CA2">
        <w:rPr>
          <w:rFonts w:ascii="Times New Roman" w:hAnsi="Times New Roman"/>
          <w:noProof/>
        </w:rPr>
        <w:t xml:space="preserve"> 2014;32(24):2611-6.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</w:rPr>
        <w:tab/>
        <w:t xml:space="preserve">[12] </w:t>
      </w:r>
      <w:r w:rsidRPr="007B4CA2">
        <w:rPr>
          <w:rFonts w:ascii="Times New Roman" w:hAnsi="Times New Roman"/>
          <w:noProof/>
        </w:rPr>
        <w:tab/>
        <w:t>Sayer AA, Syddall HE, Gilbody HJ, et al. Does sarcopenia originate in early life? Findings from the Hertfordshire cohort study.</w:t>
      </w:r>
      <w:r w:rsidRPr="007B4CA2">
        <w:rPr>
          <w:rFonts w:ascii="Times New Roman" w:hAnsi="Times New Roman"/>
          <w:i/>
          <w:noProof/>
        </w:rPr>
        <w:t xml:space="preserve"> J Gerontol A Biol Sci Med Sci.</w:t>
      </w:r>
      <w:r w:rsidRPr="007B4CA2">
        <w:rPr>
          <w:rFonts w:ascii="Times New Roman" w:hAnsi="Times New Roman"/>
          <w:noProof/>
        </w:rPr>
        <w:t xml:space="preserve"> 2004;59(9):M930-M934.</w:t>
      </w:r>
    </w:p>
    <w:p w:rsidR="00804E20" w:rsidRPr="007B4CA2" w:rsidRDefault="00804E20" w:rsidP="00804E20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Times New Roman" w:hAnsi="Times New Roman"/>
          <w:noProof/>
        </w:rPr>
      </w:pPr>
      <w:r w:rsidRPr="007B4CA2">
        <w:rPr>
          <w:rFonts w:ascii="Times New Roman" w:hAnsi="Times New Roman"/>
          <w:noProof/>
        </w:rPr>
        <w:tab/>
        <w:t xml:space="preserve">[13] </w:t>
      </w:r>
      <w:r w:rsidRPr="007B4CA2">
        <w:rPr>
          <w:rFonts w:ascii="Times New Roman" w:hAnsi="Times New Roman"/>
          <w:noProof/>
        </w:rPr>
        <w:tab/>
        <w:t>Sakuma K, Aoi W, Yamaguchi A. The intriguing regulators of muscle mass in sarcopenia and muscular dystrophy.</w:t>
      </w:r>
      <w:r w:rsidRPr="007B4CA2">
        <w:rPr>
          <w:rFonts w:ascii="Times New Roman" w:hAnsi="Times New Roman"/>
          <w:i/>
          <w:noProof/>
        </w:rPr>
        <w:t xml:space="preserve"> Front Aging Neurosci.</w:t>
      </w:r>
      <w:r w:rsidRPr="007B4CA2">
        <w:rPr>
          <w:rFonts w:ascii="Times New Roman" w:hAnsi="Times New Roman"/>
          <w:noProof/>
        </w:rPr>
        <w:t xml:space="preserve"> 2014;6:230.</w:t>
      </w:r>
    </w:p>
    <w:p w:rsidR="00CB612C" w:rsidRDefault="00804E20" w:rsidP="00F317EA">
      <w:pPr>
        <w:tabs>
          <w:tab w:val="right" w:pos="360"/>
          <w:tab w:val="left" w:pos="540"/>
        </w:tabs>
        <w:spacing w:after="0" w:line="480" w:lineRule="auto"/>
        <w:ind w:left="540" w:hanging="540"/>
      </w:pPr>
      <w:r w:rsidRPr="007B4CA2">
        <w:rPr>
          <w:rFonts w:ascii="Times New Roman" w:hAnsi="Times New Roman"/>
          <w:noProof/>
        </w:rPr>
        <w:tab/>
        <w:t xml:space="preserve">[14] </w:t>
      </w:r>
      <w:r w:rsidRPr="007B4CA2">
        <w:rPr>
          <w:rFonts w:ascii="Times New Roman" w:hAnsi="Times New Roman"/>
          <w:noProof/>
        </w:rPr>
        <w:tab/>
        <w:t>Schiaffino S, Dyar KA, Ciciliot S, et al. Mechanisms regulating skeletal muscle growth and atrophy.</w:t>
      </w:r>
      <w:r w:rsidRPr="007B4CA2">
        <w:rPr>
          <w:rFonts w:ascii="Times New Roman" w:hAnsi="Times New Roman"/>
          <w:i/>
          <w:noProof/>
        </w:rPr>
        <w:t xml:space="preserve"> FEBS J.</w:t>
      </w:r>
      <w:r w:rsidRPr="007B4CA2">
        <w:rPr>
          <w:rFonts w:ascii="Times New Roman" w:hAnsi="Times New Roman"/>
          <w:noProof/>
        </w:rPr>
        <w:t xml:space="preserve"> 2013;280(17):4294-314.</w:t>
      </w:r>
    </w:p>
    <w:sectPr w:rsidR="00CB612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443"/>
    <w:rsid w:val="00804E20"/>
    <w:rsid w:val="00936443"/>
    <w:rsid w:val="00937547"/>
    <w:rsid w:val="00CB612C"/>
    <w:rsid w:val="00CC577E"/>
    <w:rsid w:val="00F3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6443"/>
    <w:pPr>
      <w:spacing w:after="240" w:line="480" w:lineRule="auto"/>
      <w:ind w:firstLine="360"/>
    </w:pPr>
    <w:rPr>
      <w:rFonts w:eastAsia="Times New Roman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6443"/>
    <w:pPr>
      <w:spacing w:after="240" w:line="480" w:lineRule="auto"/>
      <w:ind w:firstLine="360"/>
    </w:pPr>
    <w:rPr>
      <w:rFonts w:eastAsia="Times New Roman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3162</Characters>
  <Application>Microsoft Office Word</Application>
  <DocSecurity>4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Servier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gjny_cb</dc:creator>
  <cp:lastModifiedBy>Fabienne HUMBLET</cp:lastModifiedBy>
  <cp:revision>2</cp:revision>
  <dcterms:created xsi:type="dcterms:W3CDTF">2015-11-17T13:40:00Z</dcterms:created>
  <dcterms:modified xsi:type="dcterms:W3CDTF">2015-11-17T13:40:00Z</dcterms:modified>
</cp:coreProperties>
</file>