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119" w:rsidRPr="0073681C" w:rsidRDefault="00303119" w:rsidP="001F748B">
      <w:pPr>
        <w:spacing w:after="0" w:line="480" w:lineRule="auto"/>
        <w:contextualSpacing/>
        <w:rPr>
          <w:rFonts w:ascii="Times New Roman" w:hAnsi="Times New Roman" w:cs="Times New Roman"/>
          <w:b/>
          <w:sz w:val="24"/>
          <w:szCs w:val="24"/>
          <w:lang w:val="en-GB"/>
        </w:rPr>
      </w:pPr>
      <w:bookmarkStart w:id="0" w:name="_GoBack"/>
      <w:bookmarkEnd w:id="0"/>
      <w:r w:rsidRPr="0073681C">
        <w:rPr>
          <w:rFonts w:ascii="Times New Roman" w:hAnsi="Times New Roman" w:cs="Times New Roman"/>
          <w:b/>
          <w:sz w:val="24"/>
          <w:szCs w:val="24"/>
          <w:lang w:val="en-GB"/>
        </w:rPr>
        <w:t>Supplementary Information</w:t>
      </w:r>
    </w:p>
    <w:p w:rsidR="00303119" w:rsidRPr="0073681C" w:rsidRDefault="00303119" w:rsidP="001F748B">
      <w:pPr>
        <w:spacing w:after="0" w:line="480" w:lineRule="auto"/>
        <w:contextualSpacing/>
        <w:rPr>
          <w:rFonts w:ascii="Times New Roman" w:hAnsi="Times New Roman" w:cs="Times New Roman"/>
          <w:sz w:val="24"/>
          <w:szCs w:val="24"/>
          <w:u w:val="single"/>
          <w:lang w:val="en-GB"/>
        </w:rPr>
      </w:pPr>
      <w:r w:rsidRPr="0073681C">
        <w:rPr>
          <w:rFonts w:ascii="Times New Roman" w:hAnsi="Times New Roman" w:cs="Times New Roman"/>
          <w:sz w:val="24"/>
          <w:szCs w:val="24"/>
          <w:u w:val="single"/>
          <w:lang w:val="en-GB"/>
        </w:rPr>
        <w:t xml:space="preserve">Marker Set Comparison Pilot </w:t>
      </w:r>
    </w:p>
    <w:p w:rsidR="001F748B" w:rsidRDefault="001F748B" w:rsidP="001F748B">
      <w:pPr>
        <w:spacing w:after="0" w:line="480" w:lineRule="auto"/>
        <w:contextualSpacing/>
        <w:rPr>
          <w:rFonts w:ascii="Times New Roman" w:hAnsi="Times New Roman" w:cs="Times New Roman"/>
          <w:sz w:val="24"/>
          <w:szCs w:val="24"/>
          <w:lang w:val="en-GB"/>
        </w:rPr>
      </w:pPr>
      <w:r w:rsidRPr="0073681C">
        <w:rPr>
          <w:rFonts w:ascii="Times New Roman" w:hAnsi="Times New Roman" w:cs="Times New Roman"/>
          <w:i/>
          <w:sz w:val="24"/>
          <w:szCs w:val="24"/>
          <w:lang w:val="en-GB"/>
        </w:rPr>
        <w:t>Rationale</w:t>
      </w:r>
    </w:p>
    <w:p w:rsidR="001F748B" w:rsidRDefault="001F748B" w:rsidP="001F748B">
      <w:pPr>
        <w:spacing w:after="0" w:line="48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In order to determine the differences between groups in the main study that could simply be due to absolute differences in the two different reduced marker sets, this pilot study conducted measurements of participants walking while wearing both marker sets. In this way, we could estimate the absolute difference in the parameters of interest due to the marker sets and determine if the differences found in the main study exceeded these.</w:t>
      </w:r>
    </w:p>
    <w:p w:rsidR="001F748B" w:rsidRDefault="001F748B" w:rsidP="001F748B">
      <w:pPr>
        <w:spacing w:after="0" w:line="480" w:lineRule="auto"/>
        <w:contextualSpacing/>
        <w:rPr>
          <w:rFonts w:ascii="Times New Roman" w:hAnsi="Times New Roman" w:cs="Times New Roman"/>
          <w:sz w:val="24"/>
          <w:szCs w:val="24"/>
          <w:lang w:val="en-GB"/>
        </w:rPr>
      </w:pPr>
    </w:p>
    <w:p w:rsidR="00303119" w:rsidRPr="001F748B" w:rsidRDefault="00303119" w:rsidP="001F748B">
      <w:pPr>
        <w:spacing w:after="0" w:line="480" w:lineRule="auto"/>
        <w:contextualSpacing/>
        <w:rPr>
          <w:rFonts w:ascii="Times New Roman" w:hAnsi="Times New Roman" w:cs="Times New Roman"/>
          <w:sz w:val="24"/>
          <w:szCs w:val="24"/>
          <w:lang w:val="en-GB"/>
        </w:rPr>
      </w:pPr>
      <w:r w:rsidRPr="0073681C">
        <w:rPr>
          <w:rFonts w:ascii="Times New Roman" w:hAnsi="Times New Roman" w:cs="Times New Roman"/>
          <w:i/>
          <w:sz w:val="24"/>
          <w:szCs w:val="24"/>
          <w:lang w:val="en-GB"/>
        </w:rPr>
        <w:t>Methods</w:t>
      </w:r>
    </w:p>
    <w:p w:rsidR="00303119" w:rsidRPr="001F748B" w:rsidRDefault="00303119" w:rsidP="001F748B">
      <w:pPr>
        <w:spacing w:after="0" w:line="480" w:lineRule="auto"/>
        <w:contextualSpacing/>
        <w:rPr>
          <w:rFonts w:ascii="Times New Roman" w:hAnsi="Times New Roman" w:cs="Times New Roman"/>
          <w:sz w:val="24"/>
          <w:szCs w:val="24"/>
          <w:lang w:val="en-GB"/>
        </w:rPr>
      </w:pPr>
      <w:r w:rsidRPr="001F748B">
        <w:rPr>
          <w:rFonts w:ascii="Times New Roman" w:hAnsi="Times New Roman" w:cs="Times New Roman"/>
          <w:sz w:val="24"/>
          <w:szCs w:val="24"/>
          <w:lang w:val="en-GB"/>
        </w:rPr>
        <w:t xml:space="preserve">6 healthy young adults </w:t>
      </w:r>
      <w:r w:rsidR="009C3280" w:rsidRPr="001F748B">
        <w:rPr>
          <w:rFonts w:ascii="Times New Roman" w:hAnsi="Times New Roman" w:cs="Times New Roman"/>
          <w:sz w:val="24"/>
          <w:szCs w:val="24"/>
          <w:lang w:val="en-GB"/>
        </w:rPr>
        <w:t>(age [</w:t>
      </w:r>
      <w:proofErr w:type="spellStart"/>
      <w:r w:rsidR="009C3280" w:rsidRPr="001F748B">
        <w:rPr>
          <w:rFonts w:ascii="Times New Roman" w:hAnsi="Times New Roman" w:cs="Times New Roman"/>
          <w:sz w:val="24"/>
          <w:szCs w:val="24"/>
          <w:lang w:val="en-GB"/>
        </w:rPr>
        <w:t>mean±SD</w:t>
      </w:r>
      <w:proofErr w:type="spellEnd"/>
      <w:r w:rsidR="009C3280" w:rsidRPr="001F748B">
        <w:rPr>
          <w:rFonts w:ascii="Times New Roman" w:hAnsi="Times New Roman" w:cs="Times New Roman"/>
          <w:sz w:val="24"/>
          <w:szCs w:val="24"/>
          <w:lang w:val="en-GB"/>
        </w:rPr>
        <w:t xml:space="preserve">]: 23.3±3.7y; height: 175.6±6.4cm; weight: 66.5±9.1kg) participated in the pilot measurements. </w:t>
      </w:r>
      <w:r w:rsidR="004C0269" w:rsidRPr="001F748B">
        <w:rPr>
          <w:rFonts w:ascii="Times New Roman" w:hAnsi="Times New Roman" w:cs="Times New Roman"/>
          <w:sz w:val="24"/>
          <w:szCs w:val="24"/>
          <w:lang w:val="en-GB"/>
        </w:rPr>
        <w:t xml:space="preserve">These measurements were registered with the medical ethics committee of Maastricht University (number: </w:t>
      </w:r>
      <w:r w:rsidR="004C0269" w:rsidRPr="001F748B">
        <w:rPr>
          <w:rFonts w:ascii="Times New Roman" w:hAnsi="Times New Roman" w:cs="Times New Roman"/>
          <w:color w:val="001C3D"/>
          <w:sz w:val="24"/>
          <w:szCs w:val="24"/>
        </w:rPr>
        <w:t>2018-0568</w:t>
      </w:r>
      <w:r w:rsidR="004C0269" w:rsidRPr="001F748B">
        <w:rPr>
          <w:rFonts w:ascii="Times New Roman" w:hAnsi="Times New Roman" w:cs="Times New Roman"/>
          <w:sz w:val="24"/>
          <w:szCs w:val="24"/>
          <w:lang w:val="en-GB"/>
        </w:rPr>
        <w:t xml:space="preserve">; METC </w:t>
      </w:r>
      <w:proofErr w:type="spellStart"/>
      <w:r w:rsidR="004C0269" w:rsidRPr="001F748B">
        <w:rPr>
          <w:rFonts w:ascii="Times New Roman" w:hAnsi="Times New Roman" w:cs="Times New Roman"/>
          <w:sz w:val="24"/>
          <w:szCs w:val="24"/>
          <w:lang w:val="en-GB"/>
        </w:rPr>
        <w:t>azM</w:t>
      </w:r>
      <w:proofErr w:type="spellEnd"/>
      <w:r w:rsidR="004C0269" w:rsidRPr="001F748B">
        <w:rPr>
          <w:rFonts w:ascii="Times New Roman" w:hAnsi="Times New Roman" w:cs="Times New Roman"/>
          <w:sz w:val="24"/>
          <w:szCs w:val="24"/>
          <w:lang w:val="en-GB"/>
        </w:rPr>
        <w:t>/UM), written informed consent was obtained from participants and the measurements were conducted in accordance with the Declaration of Helsinki.</w:t>
      </w:r>
    </w:p>
    <w:p w:rsidR="001F748B" w:rsidRPr="001F748B" w:rsidRDefault="004C0269" w:rsidP="001F748B">
      <w:pPr>
        <w:spacing w:after="0" w:line="480" w:lineRule="auto"/>
        <w:contextualSpacing/>
        <w:rPr>
          <w:rFonts w:ascii="Times New Roman" w:eastAsiaTheme="minorEastAsia" w:hAnsi="Times New Roman" w:cs="Times New Roman"/>
          <w:noProof/>
          <w:sz w:val="24"/>
          <w:szCs w:val="24"/>
          <w:lang w:val="en-GB"/>
        </w:rPr>
      </w:pPr>
      <w:r w:rsidRPr="001F748B">
        <w:rPr>
          <w:rFonts w:ascii="Times New Roman" w:hAnsi="Times New Roman" w:cs="Times New Roman"/>
          <w:sz w:val="24"/>
          <w:szCs w:val="24"/>
          <w:lang w:val="en-GB"/>
        </w:rPr>
        <w:t>16 retroreflective markers were attached to anatomical landmarks of the participants comprising both marker sets used in the main study</w:t>
      </w:r>
      <w:r w:rsidR="002278DC">
        <w:rPr>
          <w:rFonts w:ascii="Times New Roman" w:hAnsi="Times New Roman" w:cs="Times New Roman"/>
          <w:sz w:val="24"/>
          <w:szCs w:val="24"/>
          <w:lang w:val="en-GB"/>
        </w:rPr>
        <w:t xml:space="preserve"> (see main text for details)</w:t>
      </w:r>
      <w:r w:rsidRPr="001F748B">
        <w:rPr>
          <w:rFonts w:ascii="Times New Roman" w:hAnsi="Times New Roman" w:cs="Times New Roman"/>
          <w:sz w:val="24"/>
          <w:szCs w:val="24"/>
          <w:lang w:val="en-GB"/>
        </w:rPr>
        <w:t xml:space="preserve">. Participants walked for three minutes at 1m/s on the Computer Assisted Rehabilitation Environment Extended (CAREN; </w:t>
      </w:r>
      <w:proofErr w:type="spellStart"/>
      <w:r w:rsidRPr="001F748B">
        <w:rPr>
          <w:rFonts w:ascii="Times New Roman" w:hAnsi="Times New Roman" w:cs="Times New Roman"/>
          <w:sz w:val="24"/>
          <w:szCs w:val="24"/>
          <w:lang w:val="en-GB"/>
        </w:rPr>
        <w:t>Motekforce</w:t>
      </w:r>
      <w:proofErr w:type="spellEnd"/>
      <w:r w:rsidRPr="001F748B">
        <w:rPr>
          <w:rFonts w:ascii="Times New Roman" w:hAnsi="Times New Roman" w:cs="Times New Roman"/>
          <w:sz w:val="24"/>
          <w:szCs w:val="24"/>
          <w:lang w:val="en-GB"/>
        </w:rPr>
        <w:t xml:space="preserve"> Link, Amsterdam, The Netherlands), as in the main study. In post-processing, copies of the motion capture data were made and marker coordinates were removed for each of the marker sets respectively so that one file contained only the 6 marker set and the other contained only the 10 marker set for the same motion capture recording. Following this, the final 60 </w:t>
      </w:r>
      <w:r w:rsidR="004B2F34">
        <w:rPr>
          <w:rFonts w:ascii="Times New Roman" w:hAnsi="Times New Roman" w:cs="Times New Roman"/>
          <w:sz w:val="24"/>
          <w:szCs w:val="24"/>
          <w:lang w:val="en-GB"/>
        </w:rPr>
        <w:t>strides</w:t>
      </w:r>
      <w:r w:rsidRPr="001F748B">
        <w:rPr>
          <w:rFonts w:ascii="Times New Roman" w:hAnsi="Times New Roman" w:cs="Times New Roman"/>
          <w:sz w:val="24"/>
          <w:szCs w:val="24"/>
          <w:lang w:val="en-GB"/>
        </w:rPr>
        <w:t xml:space="preserve"> from each recording were analysed for the gait parameters stride time, stride length and double support time,</w:t>
      </w:r>
      <w:r w:rsidR="004B2F34">
        <w:rPr>
          <w:rFonts w:ascii="Times New Roman" w:hAnsi="Times New Roman" w:cs="Times New Roman"/>
          <w:sz w:val="24"/>
          <w:szCs w:val="24"/>
          <w:lang w:val="en-GB"/>
        </w:rPr>
        <w:t xml:space="preserve"> with the final 60 steps analysed for step width.</w:t>
      </w:r>
      <w:r w:rsidRPr="001F748B">
        <w:rPr>
          <w:rFonts w:ascii="Times New Roman" w:hAnsi="Times New Roman" w:cs="Times New Roman"/>
          <w:sz w:val="24"/>
          <w:szCs w:val="24"/>
          <w:lang w:val="en-GB"/>
        </w:rPr>
        <w:t xml:space="preserve"> </w:t>
      </w:r>
      <w:r w:rsidR="001F748B">
        <w:rPr>
          <w:rFonts w:ascii="Times New Roman" w:hAnsi="Times New Roman" w:cs="Times New Roman"/>
          <w:sz w:val="24"/>
          <w:szCs w:val="24"/>
          <w:lang w:val="en-GB"/>
        </w:rPr>
        <w:t>Additionally, t</w:t>
      </w:r>
      <w:r w:rsidR="00F63892" w:rsidRPr="001F748B">
        <w:rPr>
          <w:rStyle w:val="Hyperlink"/>
          <w:rFonts w:ascii="Times New Roman" w:hAnsi="Times New Roman" w:cs="Times New Roman"/>
          <w:color w:val="auto"/>
          <w:sz w:val="24"/>
          <w:szCs w:val="24"/>
          <w:u w:val="none"/>
          <w:lang w:val="en-GB"/>
        </w:rPr>
        <w:t>he margins of stability (</w:t>
      </w:r>
      <w:proofErr w:type="spellStart"/>
      <w:r w:rsidR="00F63892" w:rsidRPr="001F748B">
        <w:rPr>
          <w:rStyle w:val="Hyperlink"/>
          <w:rFonts w:ascii="Times New Roman" w:hAnsi="Times New Roman" w:cs="Times New Roman"/>
          <w:color w:val="auto"/>
          <w:sz w:val="24"/>
          <w:szCs w:val="24"/>
          <w:u w:val="none"/>
          <w:lang w:val="en-GB"/>
        </w:rPr>
        <w:t>MoS</w:t>
      </w:r>
      <w:proofErr w:type="spellEnd"/>
      <w:r w:rsidR="00F63892" w:rsidRPr="001F748B">
        <w:rPr>
          <w:rStyle w:val="Hyperlink"/>
          <w:rFonts w:ascii="Times New Roman" w:hAnsi="Times New Roman" w:cs="Times New Roman"/>
          <w:color w:val="auto"/>
          <w:sz w:val="24"/>
          <w:szCs w:val="24"/>
          <w:u w:val="none"/>
          <w:lang w:val="en-GB"/>
        </w:rPr>
        <w:t xml:space="preserve">) were calculated in both the </w:t>
      </w:r>
      <w:r w:rsidR="00F63892" w:rsidRPr="001F748B">
        <w:rPr>
          <w:rStyle w:val="Hyperlink"/>
          <w:rFonts w:ascii="Times New Roman" w:hAnsi="Times New Roman" w:cs="Times New Roman"/>
          <w:color w:val="auto"/>
          <w:sz w:val="24"/>
          <w:szCs w:val="24"/>
          <w:u w:val="none"/>
          <w:lang w:val="en-GB"/>
        </w:rPr>
        <w:lastRenderedPageBreak/>
        <w:t xml:space="preserve">anteroposterior (AP) and mediolateral (ML) directions at foot touchdown </w:t>
      </w:r>
      <w:r w:rsidR="004B2F34">
        <w:rPr>
          <w:rStyle w:val="Hyperlink"/>
          <w:rFonts w:ascii="Times New Roman" w:hAnsi="Times New Roman" w:cs="Times New Roman"/>
          <w:color w:val="auto"/>
          <w:sz w:val="24"/>
          <w:szCs w:val="24"/>
          <w:u w:val="none"/>
          <w:lang w:val="en-GB"/>
        </w:rPr>
        <w:t xml:space="preserve">for the final 60 steps </w:t>
      </w:r>
      <w:r w:rsidR="00F63892" w:rsidRPr="001F748B">
        <w:rPr>
          <w:rStyle w:val="Hyperlink"/>
          <w:rFonts w:ascii="Times New Roman" w:hAnsi="Times New Roman" w:cs="Times New Roman"/>
          <w:color w:val="auto"/>
          <w:sz w:val="24"/>
          <w:szCs w:val="24"/>
          <w:u w:val="none"/>
          <w:lang w:val="en-GB"/>
        </w:rPr>
        <w:t>as the AP or ML distance between the boundary of the base of support (</w:t>
      </w:r>
      <w:proofErr w:type="spellStart"/>
      <w:r w:rsidR="00F63892" w:rsidRPr="001F748B">
        <w:rPr>
          <w:rStyle w:val="Hyperlink"/>
          <w:rFonts w:ascii="Times New Roman" w:hAnsi="Times New Roman" w:cs="Times New Roman"/>
          <w:color w:val="auto"/>
          <w:sz w:val="24"/>
          <w:szCs w:val="24"/>
          <w:u w:val="none"/>
          <w:lang w:val="en-GB"/>
        </w:rPr>
        <w:t>BoS</w:t>
      </w:r>
      <w:proofErr w:type="spellEnd"/>
      <w:r w:rsidR="00F63892" w:rsidRPr="001F748B">
        <w:rPr>
          <w:rStyle w:val="Hyperlink"/>
          <w:rFonts w:ascii="Times New Roman" w:hAnsi="Times New Roman" w:cs="Times New Roman"/>
          <w:color w:val="auto"/>
          <w:sz w:val="24"/>
          <w:szCs w:val="24"/>
          <w:u w:val="none"/>
          <w:lang w:val="en-GB"/>
        </w:rPr>
        <w:t>; the hallux marker) and the extrapolated centre of mass (</w:t>
      </w:r>
      <w:proofErr w:type="spellStart"/>
      <w:r w:rsidR="00F63892" w:rsidRPr="001F748B">
        <w:rPr>
          <w:rStyle w:val="Hyperlink"/>
          <w:rFonts w:ascii="Times New Roman" w:hAnsi="Times New Roman" w:cs="Times New Roman"/>
          <w:color w:val="auto"/>
          <w:sz w:val="24"/>
          <w:szCs w:val="24"/>
          <w:u w:val="none"/>
          <w:lang w:val="en-GB"/>
        </w:rPr>
        <w:t>XCoM</w:t>
      </w:r>
      <w:proofErr w:type="spellEnd"/>
      <w:r w:rsidR="00F63892" w:rsidRPr="001F748B">
        <w:rPr>
          <w:rStyle w:val="Hyperlink"/>
          <w:rFonts w:ascii="Times New Roman" w:hAnsi="Times New Roman" w:cs="Times New Roman"/>
          <w:color w:val="auto"/>
          <w:sz w:val="24"/>
          <w:szCs w:val="24"/>
          <w:u w:val="none"/>
          <w:lang w:val="en-GB"/>
        </w:rPr>
        <w:t xml:space="preserve">), as defined </w:t>
      </w:r>
      <w:r w:rsidRPr="001F748B">
        <w:rPr>
          <w:rFonts w:ascii="Times New Roman" w:eastAsiaTheme="minorEastAsia" w:hAnsi="Times New Roman" w:cs="Times New Roman"/>
          <w:sz w:val="24"/>
          <w:szCs w:val="24"/>
          <w:lang w:val="en-GB"/>
        </w:rPr>
        <w:t xml:space="preserve">by </w:t>
      </w:r>
      <w:r w:rsidRPr="001F748B">
        <w:rPr>
          <w:rFonts w:ascii="Times New Roman" w:eastAsiaTheme="minorEastAsia" w:hAnsi="Times New Roman" w:cs="Times New Roman"/>
          <w:noProof/>
          <w:sz w:val="24"/>
          <w:szCs w:val="24"/>
          <w:lang w:val="en-GB"/>
        </w:rPr>
        <w:t xml:space="preserve">Hof </w:t>
      </w:r>
      <w:r w:rsidRPr="001F748B">
        <w:rPr>
          <w:rFonts w:ascii="Times New Roman" w:eastAsiaTheme="minorEastAsia" w:hAnsi="Times New Roman" w:cs="Times New Roman"/>
          <w:i/>
          <w:noProof/>
          <w:sz w:val="24"/>
          <w:szCs w:val="24"/>
          <w:lang w:val="en-GB"/>
        </w:rPr>
        <w:t>et al</w:t>
      </w:r>
      <w:r w:rsidRPr="001F748B">
        <w:rPr>
          <w:rFonts w:ascii="Times New Roman" w:eastAsiaTheme="minorEastAsia" w:hAnsi="Times New Roman" w:cs="Times New Roman"/>
          <w:noProof/>
          <w:sz w:val="24"/>
          <w:szCs w:val="24"/>
          <w:lang w:val="en-GB"/>
        </w:rPr>
        <w:t xml:space="preserve">. </w:t>
      </w:r>
      <w:r w:rsidR="00F63892" w:rsidRPr="001F748B">
        <w:rPr>
          <w:rFonts w:ascii="Times New Roman" w:eastAsiaTheme="minorEastAsia" w:hAnsi="Times New Roman" w:cs="Times New Roman"/>
          <w:noProof/>
          <w:sz w:val="24"/>
          <w:szCs w:val="24"/>
          <w:lang w:val="en-GB"/>
        </w:rPr>
        <w:t>(2005)</w:t>
      </w:r>
      <w:r w:rsidRPr="001F748B">
        <w:rPr>
          <w:rFonts w:ascii="Times New Roman" w:eastAsiaTheme="minorEastAsia" w:hAnsi="Times New Roman" w:cs="Times New Roman"/>
          <w:sz w:val="24"/>
          <w:szCs w:val="24"/>
          <w:lang w:val="en-GB"/>
        </w:rPr>
        <w:t xml:space="preserve">, adapted for the reduced kinematic model based on </w:t>
      </w:r>
      <w:r w:rsidRPr="001F748B">
        <w:rPr>
          <w:rFonts w:ascii="Times New Roman" w:eastAsiaTheme="minorEastAsia" w:hAnsi="Times New Roman" w:cs="Times New Roman"/>
          <w:noProof/>
          <w:sz w:val="24"/>
          <w:szCs w:val="24"/>
          <w:lang w:val="en-GB"/>
        </w:rPr>
        <w:t xml:space="preserve">Süptitz </w:t>
      </w:r>
      <w:r w:rsidRPr="001F748B">
        <w:rPr>
          <w:rFonts w:ascii="Times New Roman" w:eastAsiaTheme="minorEastAsia" w:hAnsi="Times New Roman" w:cs="Times New Roman"/>
          <w:i/>
          <w:noProof/>
          <w:sz w:val="24"/>
          <w:szCs w:val="24"/>
          <w:lang w:val="en-GB"/>
        </w:rPr>
        <w:t>et al</w:t>
      </w:r>
      <w:r w:rsidRPr="001F748B">
        <w:rPr>
          <w:rFonts w:ascii="Times New Roman" w:eastAsiaTheme="minorEastAsia" w:hAnsi="Times New Roman" w:cs="Times New Roman"/>
          <w:noProof/>
          <w:sz w:val="24"/>
          <w:szCs w:val="24"/>
          <w:lang w:val="en-GB"/>
        </w:rPr>
        <w:t xml:space="preserve">. </w:t>
      </w:r>
      <w:r w:rsidR="00F63892" w:rsidRPr="001F748B">
        <w:rPr>
          <w:rFonts w:ascii="Times New Roman" w:eastAsiaTheme="minorEastAsia" w:hAnsi="Times New Roman" w:cs="Times New Roman"/>
          <w:noProof/>
          <w:sz w:val="24"/>
          <w:szCs w:val="24"/>
          <w:lang w:val="en-GB"/>
        </w:rPr>
        <w:t xml:space="preserve">(2013), whereby the position of the centre of mass was the average of the trochantor makers and the velocity of the centre of mass was </w:t>
      </w:r>
      <w:r w:rsidR="001F748B" w:rsidRPr="001F748B">
        <w:rPr>
          <w:rFonts w:ascii="Times New Roman" w:eastAsiaTheme="minorEastAsia" w:hAnsi="Times New Roman" w:cs="Times New Roman"/>
          <w:noProof/>
          <w:sz w:val="24"/>
          <w:szCs w:val="24"/>
          <w:lang w:val="en-GB"/>
        </w:rPr>
        <w:t>estimated as:</w:t>
      </w:r>
    </w:p>
    <w:p w:rsidR="004C0269" w:rsidRPr="001F748B" w:rsidRDefault="001F748B" w:rsidP="001F748B">
      <w:pPr>
        <w:spacing w:after="0" w:line="480" w:lineRule="auto"/>
        <w:contextualSpacing/>
        <w:rPr>
          <w:rFonts w:ascii="Times New Roman" w:eastAsiaTheme="minorEastAsia" w:hAnsi="Times New Roman" w:cs="Times New Roman"/>
          <w:sz w:val="24"/>
          <w:szCs w:val="24"/>
          <w:lang w:val="en-GB"/>
        </w:rPr>
      </w:pPr>
      <w:r w:rsidRPr="001F748B">
        <w:rPr>
          <w:rFonts w:ascii="Times New Roman" w:eastAsiaTheme="minorEastAsia" w:hAnsi="Times New Roman" w:cs="Times New Roman"/>
          <w:noProof/>
          <w:sz w:val="24"/>
          <w:szCs w:val="24"/>
          <w:lang w:val="en-GB"/>
        </w:rPr>
        <w:t xml:space="preserve"> </w:t>
      </w:r>
      <m:oMath>
        <m:r>
          <m:rPr>
            <m:sty m:val="p"/>
          </m:rPr>
          <w:rPr>
            <w:rFonts w:ascii="Cambria Math" w:hAnsi="Cambria Math" w:cs="Times New Roman"/>
            <w:sz w:val="24"/>
            <w:szCs w:val="24"/>
            <w:lang w:val="en-GB"/>
          </w:rPr>
          <m:t>0.5</m:t>
        </m:r>
        <m:d>
          <m:dPr>
            <m:ctrlPr>
              <w:rPr>
                <w:rFonts w:ascii="Cambria Math" w:hAnsi="Cambria Math" w:cs="Times New Roman"/>
                <w:sz w:val="24"/>
                <w:szCs w:val="24"/>
                <w:lang w:val="en-GB"/>
              </w:rPr>
            </m:ctrlPr>
          </m:dPr>
          <m:e>
            <m:f>
              <m:fPr>
                <m:ctrlPr>
                  <w:rPr>
                    <w:rFonts w:ascii="Cambria Math" w:hAnsi="Cambria Math" w:cs="Times New Roman"/>
                    <w:sz w:val="24"/>
                    <w:szCs w:val="24"/>
                    <w:lang w:val="en-GB"/>
                  </w:rPr>
                </m:ctrlPr>
              </m:fPr>
              <m:num>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TroL</m:t>
                    </m:r>
                  </m:sub>
                </m:sSub>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TroR</m:t>
                    </m:r>
                  </m:sub>
                </m:sSub>
              </m:num>
              <m:den>
                <m:r>
                  <w:rPr>
                    <w:rFonts w:ascii="Cambria Math" w:hAnsi="Cambria Math" w:cs="Times New Roman"/>
                    <w:sz w:val="24"/>
                    <w:szCs w:val="24"/>
                    <w:lang w:val="en-GB"/>
                  </w:rPr>
                  <m:t>2</m:t>
                </m:r>
              </m:den>
            </m:f>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C7</m:t>
                </m:r>
              </m:sub>
            </m:sSub>
          </m:e>
        </m:d>
      </m:oMath>
    </w:p>
    <w:p w:rsidR="004C0269" w:rsidRDefault="004C0269" w:rsidP="001F748B">
      <w:pPr>
        <w:spacing w:after="0" w:line="480" w:lineRule="auto"/>
        <w:contextualSpacing/>
        <w:rPr>
          <w:rFonts w:ascii="Times New Roman" w:hAnsi="Times New Roman" w:cs="Times New Roman"/>
          <w:sz w:val="24"/>
          <w:szCs w:val="24"/>
          <w:lang w:val="en-GB"/>
        </w:rPr>
      </w:pPr>
      <w:proofErr w:type="gramStart"/>
      <w:r w:rsidRPr="001F748B">
        <w:rPr>
          <w:rFonts w:ascii="Times New Roman" w:eastAsiaTheme="minorEastAsia" w:hAnsi="Times New Roman" w:cs="Times New Roman"/>
          <w:sz w:val="24"/>
          <w:szCs w:val="24"/>
          <w:lang w:val="en-GB"/>
        </w:rPr>
        <w:t xml:space="preserve">where </w:t>
      </w:r>
      <m:oMath>
        <m:sSub>
          <m:sSubPr>
            <m:ctrlPr>
              <w:rPr>
                <w:rFonts w:ascii="Cambria Math" w:hAnsi="Cambria Math" w:cs="Times New Roman"/>
                <w:sz w:val="24"/>
                <w:szCs w:val="24"/>
                <w:lang w:val="en-GB"/>
              </w:rPr>
            </m:ctrlPr>
          </m:sSubPr>
          <m:e>
            <w:proofErr w:type="gramEnd"/>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TroL</m:t>
            </m:r>
          </m:sub>
        </m:sSub>
      </m:oMath>
      <w:r w:rsidRPr="001F748B">
        <w:rPr>
          <w:rFonts w:ascii="Times New Roman" w:eastAsiaTheme="minorEastAsia" w:hAnsi="Times New Roman" w:cs="Times New Roman"/>
          <w:sz w:val="24"/>
          <w:szCs w:val="24"/>
          <w:lang w:val="en-GB"/>
        </w:rPr>
        <w:t xml:space="preserve"> , </w:t>
      </w:r>
      <m:oMath>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TroR</m:t>
            </m:r>
          </m:sub>
        </m:sSub>
      </m:oMath>
      <w:r w:rsidRPr="001F748B">
        <w:rPr>
          <w:rFonts w:ascii="Times New Roman" w:eastAsiaTheme="minorEastAsia" w:hAnsi="Times New Roman" w:cs="Times New Roman"/>
          <w:sz w:val="24"/>
          <w:szCs w:val="24"/>
          <w:lang w:val="en-GB"/>
        </w:rPr>
        <w:t xml:space="preserve"> and </w:t>
      </w:r>
      <m:oMath>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C7</m:t>
            </m:r>
          </m:sub>
        </m:sSub>
      </m:oMath>
      <w:r w:rsidRPr="001F748B">
        <w:rPr>
          <w:rFonts w:ascii="Times New Roman" w:eastAsiaTheme="minorEastAsia" w:hAnsi="Times New Roman" w:cs="Times New Roman"/>
          <w:sz w:val="24"/>
          <w:szCs w:val="24"/>
          <w:lang w:val="en-GB"/>
        </w:rPr>
        <w:t xml:space="preserve"> are the anteroposterior</w:t>
      </w:r>
      <w:r w:rsidR="001F748B" w:rsidRPr="001F748B">
        <w:rPr>
          <w:rFonts w:ascii="Times New Roman" w:eastAsiaTheme="minorEastAsia" w:hAnsi="Times New Roman" w:cs="Times New Roman"/>
          <w:sz w:val="24"/>
          <w:szCs w:val="24"/>
          <w:lang w:val="en-GB"/>
        </w:rPr>
        <w:t xml:space="preserve"> or mediolateral</w:t>
      </w:r>
      <w:r w:rsidRPr="001F748B">
        <w:rPr>
          <w:rFonts w:ascii="Times New Roman" w:eastAsiaTheme="minorEastAsia" w:hAnsi="Times New Roman" w:cs="Times New Roman"/>
          <w:sz w:val="24"/>
          <w:szCs w:val="24"/>
          <w:lang w:val="en-GB"/>
        </w:rPr>
        <w:t xml:space="preserve"> velocities of the trochanter and C7 markers respectively</w:t>
      </w:r>
      <w:r w:rsidR="001F748B" w:rsidRPr="001F748B">
        <w:rPr>
          <w:rFonts w:ascii="Times New Roman" w:eastAsiaTheme="minorEastAsia" w:hAnsi="Times New Roman" w:cs="Times New Roman"/>
          <w:sz w:val="24"/>
          <w:szCs w:val="24"/>
          <w:lang w:val="en-GB"/>
        </w:rPr>
        <w:t>. For the AP direction, the velocity of the treadmill belt was added.</w:t>
      </w:r>
      <w:r w:rsidRPr="001F748B">
        <w:rPr>
          <w:rFonts w:ascii="Times New Roman" w:hAnsi="Times New Roman" w:cs="Times New Roman"/>
          <w:sz w:val="24"/>
          <w:szCs w:val="24"/>
          <w:lang w:val="en-GB"/>
        </w:rPr>
        <w:t xml:space="preserve"> </w:t>
      </w:r>
    </w:p>
    <w:p w:rsidR="004B2F34" w:rsidRDefault="004B2F34" w:rsidP="001F748B">
      <w:pPr>
        <w:spacing w:after="0" w:line="480" w:lineRule="auto"/>
        <w:contextualSpacing/>
        <w:rPr>
          <w:rFonts w:ascii="Times New Roman" w:hAnsi="Times New Roman" w:cs="Times New Roman"/>
          <w:sz w:val="24"/>
          <w:szCs w:val="24"/>
          <w:lang w:val="en-GB"/>
        </w:rPr>
      </w:pPr>
    </w:p>
    <w:p w:rsidR="004B2F34" w:rsidRDefault="004B2F34" w:rsidP="001F748B">
      <w:pPr>
        <w:spacing w:after="0" w:line="480" w:lineRule="auto"/>
        <w:contextualSpacing/>
        <w:rPr>
          <w:rFonts w:ascii="Times New Roman" w:hAnsi="Times New Roman" w:cs="Times New Roman"/>
          <w:sz w:val="24"/>
          <w:szCs w:val="24"/>
          <w:lang w:val="en-GB"/>
        </w:rPr>
      </w:pPr>
      <w:r w:rsidRPr="0073681C">
        <w:rPr>
          <w:rFonts w:ascii="Times New Roman" w:hAnsi="Times New Roman" w:cs="Times New Roman"/>
          <w:i/>
          <w:sz w:val="24"/>
          <w:szCs w:val="24"/>
          <w:lang w:val="en-GB"/>
        </w:rPr>
        <w:t>Results</w:t>
      </w:r>
    </w:p>
    <w:p w:rsidR="004B2F34" w:rsidRDefault="004B2F34" w:rsidP="001F748B">
      <w:pPr>
        <w:spacing w:after="0" w:line="480" w:lineRule="auto"/>
        <w:contextualSpacing/>
        <w:rPr>
          <w:rFonts w:ascii="Times New Roman" w:hAnsi="Times New Roman" w:cs="Times New Roman"/>
          <w:sz w:val="24"/>
          <w:szCs w:val="24"/>
          <w:lang w:val="en-GB"/>
        </w:rPr>
      </w:pPr>
      <w:r>
        <w:rPr>
          <w:rFonts w:ascii="Times New Roman" w:hAnsi="Times New Roman" w:cs="Times New Roman"/>
          <w:noProof/>
          <w:sz w:val="24"/>
          <w:szCs w:val="24"/>
          <w:lang w:val="en-IN" w:eastAsia="en-IN"/>
        </w:rPr>
        <w:drawing>
          <wp:inline distT="0" distB="0" distL="0" distR="0">
            <wp:extent cx="5730240" cy="39776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0240" cy="3977640"/>
                    </a:xfrm>
                    <a:prstGeom prst="rect">
                      <a:avLst/>
                    </a:prstGeom>
                    <a:noFill/>
                    <a:ln>
                      <a:noFill/>
                    </a:ln>
                  </pic:spPr>
                </pic:pic>
              </a:graphicData>
            </a:graphic>
          </wp:inline>
        </w:drawing>
      </w:r>
    </w:p>
    <w:p w:rsidR="004B2F34" w:rsidRDefault="004B2F34" w:rsidP="001F748B">
      <w:pPr>
        <w:spacing w:after="0" w:line="48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lastRenderedPageBreak/>
        <w:t>Supplementary Figure 1: Bland-Altman plots of the spatiotemporal parameters stride time, stride length, step width and double support time from 60 strides (or steps for step width) from six young healthy participants (total trials n=360). Mean bias is indicated by the solid black line and upper and lower 95% limits of agreement are indicated by the dotted lines.</w:t>
      </w:r>
    </w:p>
    <w:p w:rsidR="004B2F34" w:rsidRDefault="004B2F34" w:rsidP="001F748B">
      <w:pPr>
        <w:spacing w:after="0" w:line="480" w:lineRule="auto"/>
        <w:contextualSpacing/>
        <w:rPr>
          <w:rFonts w:ascii="Times New Roman" w:hAnsi="Times New Roman" w:cs="Times New Roman"/>
          <w:sz w:val="24"/>
          <w:szCs w:val="24"/>
          <w:lang w:val="en-GB"/>
        </w:rPr>
      </w:pPr>
    </w:p>
    <w:p w:rsidR="004B2F34" w:rsidRDefault="004B2F34" w:rsidP="001F748B">
      <w:pPr>
        <w:spacing w:after="0" w:line="480" w:lineRule="auto"/>
        <w:contextualSpacing/>
        <w:rPr>
          <w:rFonts w:ascii="Times New Roman" w:hAnsi="Times New Roman" w:cs="Times New Roman"/>
          <w:sz w:val="24"/>
          <w:szCs w:val="24"/>
          <w:lang w:val="en-GB"/>
        </w:rPr>
      </w:pPr>
      <w:r>
        <w:rPr>
          <w:rFonts w:ascii="Times New Roman" w:hAnsi="Times New Roman" w:cs="Times New Roman"/>
          <w:noProof/>
          <w:sz w:val="24"/>
          <w:szCs w:val="24"/>
          <w:lang w:val="en-IN" w:eastAsia="en-IN"/>
        </w:rPr>
        <w:drawing>
          <wp:inline distT="0" distB="0" distL="0" distR="0">
            <wp:extent cx="5730240" cy="21259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0240" cy="2125980"/>
                    </a:xfrm>
                    <a:prstGeom prst="rect">
                      <a:avLst/>
                    </a:prstGeom>
                    <a:noFill/>
                    <a:ln>
                      <a:noFill/>
                    </a:ln>
                  </pic:spPr>
                </pic:pic>
              </a:graphicData>
            </a:graphic>
          </wp:inline>
        </w:drawing>
      </w:r>
    </w:p>
    <w:p w:rsidR="004B2F34" w:rsidRDefault="004B2F34" w:rsidP="004B2F34">
      <w:pPr>
        <w:spacing w:after="0" w:line="48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Supplementary Figure 2: Bland-Altman plots of the margins of stability in the anteroposterior direction (</w:t>
      </w:r>
      <w:proofErr w:type="spellStart"/>
      <w:r>
        <w:rPr>
          <w:rFonts w:ascii="Times New Roman" w:hAnsi="Times New Roman" w:cs="Times New Roman"/>
          <w:sz w:val="24"/>
          <w:szCs w:val="24"/>
          <w:lang w:val="en-GB"/>
        </w:rPr>
        <w:t>MoS</w:t>
      </w:r>
      <w:proofErr w:type="spellEnd"/>
      <w:r>
        <w:rPr>
          <w:rFonts w:ascii="Times New Roman" w:hAnsi="Times New Roman" w:cs="Times New Roman"/>
          <w:sz w:val="24"/>
          <w:szCs w:val="24"/>
          <w:lang w:val="en-GB"/>
        </w:rPr>
        <w:t xml:space="preserve"> AP) and the mediolateral direction (</w:t>
      </w:r>
      <w:proofErr w:type="spellStart"/>
      <w:r>
        <w:rPr>
          <w:rFonts w:ascii="Times New Roman" w:hAnsi="Times New Roman" w:cs="Times New Roman"/>
          <w:sz w:val="24"/>
          <w:szCs w:val="24"/>
          <w:lang w:val="en-GB"/>
        </w:rPr>
        <w:t>MoS</w:t>
      </w:r>
      <w:proofErr w:type="spellEnd"/>
      <w:r>
        <w:rPr>
          <w:rFonts w:ascii="Times New Roman" w:hAnsi="Times New Roman" w:cs="Times New Roman"/>
          <w:sz w:val="24"/>
          <w:szCs w:val="24"/>
          <w:lang w:val="en-GB"/>
        </w:rPr>
        <w:t xml:space="preserve"> ML) from 60 steps of six young healthy participants (total trials n=360).</w:t>
      </w:r>
      <w:r w:rsidRPr="004B2F34">
        <w:rPr>
          <w:rFonts w:ascii="Times New Roman" w:hAnsi="Times New Roman" w:cs="Times New Roman"/>
          <w:sz w:val="24"/>
          <w:szCs w:val="24"/>
          <w:lang w:val="en-GB"/>
        </w:rPr>
        <w:t xml:space="preserve"> </w:t>
      </w:r>
      <w:r>
        <w:rPr>
          <w:rFonts w:ascii="Times New Roman" w:hAnsi="Times New Roman" w:cs="Times New Roman"/>
          <w:sz w:val="24"/>
          <w:szCs w:val="24"/>
          <w:lang w:val="en-GB"/>
        </w:rPr>
        <w:t>Mean bias is indicated by the solid black line and upper and lower 95% limits of agreement are indicated by the dotted lines.</w:t>
      </w:r>
    </w:p>
    <w:p w:rsidR="004B2F34" w:rsidRPr="001F748B" w:rsidRDefault="004B2F34" w:rsidP="001F748B">
      <w:pPr>
        <w:spacing w:after="0" w:line="480" w:lineRule="auto"/>
        <w:contextualSpacing/>
        <w:rPr>
          <w:rFonts w:ascii="Times New Roman" w:hAnsi="Times New Roman" w:cs="Times New Roman"/>
          <w:sz w:val="24"/>
          <w:szCs w:val="24"/>
          <w:lang w:val="en-GB"/>
        </w:rPr>
      </w:pPr>
    </w:p>
    <w:sectPr w:rsidR="004B2F34" w:rsidRPr="001F748B" w:rsidSect="0053155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drawingGridHorizontalSpacing w:val="110"/>
  <w:displayHorizontalDrawingGridEvery w:val="2"/>
  <w:characterSpacingControl w:val="doNotCompress"/>
  <w:compat/>
  <w:rsids>
    <w:rsidRoot w:val="00303119"/>
    <w:rsid w:val="001F748B"/>
    <w:rsid w:val="002278DC"/>
    <w:rsid w:val="00303119"/>
    <w:rsid w:val="004B2F34"/>
    <w:rsid w:val="004C0269"/>
    <w:rsid w:val="00531556"/>
    <w:rsid w:val="0073681C"/>
    <w:rsid w:val="007C2AFC"/>
    <w:rsid w:val="009C3280"/>
    <w:rsid w:val="00C62939"/>
    <w:rsid w:val="00E12287"/>
    <w:rsid w:val="00F6389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892"/>
    <w:rPr>
      <w:color w:val="0563C1" w:themeColor="hyperlink"/>
      <w:u w:val="single"/>
    </w:rPr>
  </w:style>
  <w:style w:type="paragraph" w:styleId="BalloonText">
    <w:name w:val="Balloon Text"/>
    <w:basedOn w:val="Normal"/>
    <w:link w:val="BalloonTextChar"/>
    <w:uiPriority w:val="99"/>
    <w:semiHidden/>
    <w:unhideWhenUsed/>
    <w:rsid w:val="00531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5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485</Words>
  <Characters>2767</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McCrum, Chris (BW)</dc:creator>
  <cp:keywords/>
  <dc:description/>
  <cp:lastModifiedBy>0008142</cp:lastModifiedBy>
  <cp:revision>3</cp:revision>
  <dcterms:created xsi:type="dcterms:W3CDTF">2018-12-30T14:25:00Z</dcterms:created>
  <dcterms:modified xsi:type="dcterms:W3CDTF">2019-04-11T10:32:00Z</dcterms:modified>
</cp:coreProperties>
</file>