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56" w:rsidRDefault="000E4ADC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Table 1. Summary  for the tools assessing quality of life in the studies included</w:t>
      </w:r>
    </w:p>
    <w:tbl>
      <w:tblPr>
        <w:tblStyle w:val="TableNormal"/>
        <w:tblW w:w="9632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430"/>
        <w:gridCol w:w="4208"/>
        <w:gridCol w:w="2151"/>
        <w:gridCol w:w="1843"/>
      </w:tblGrid>
      <w:tr w:rsidR="001B2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/>
          <w:tblHeader/>
          <w:jc w:val="center"/>
        </w:trPr>
        <w:tc>
          <w:tcPr>
            <w:tcW w:w="14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Tools for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QoL</w:t>
            </w:r>
            <w:proofErr w:type="spellEnd"/>
          </w:p>
        </w:tc>
        <w:tc>
          <w:tcPr>
            <w:tcW w:w="4208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Psychometric properties</w:t>
            </w:r>
          </w:p>
        </w:tc>
        <w:tc>
          <w:tcPr>
            <w:tcW w:w="215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Scores and interpretation</w:t>
            </w:r>
          </w:p>
        </w:tc>
        <w:tc>
          <w:tcPr>
            <w:tcW w:w="18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Higher scores indicate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/>
          <w:jc w:val="center"/>
        </w:trPr>
        <w:tc>
          <w:tcPr>
            <w:tcW w:w="14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SF-36 (total score)</w:t>
            </w:r>
          </w:p>
        </w:tc>
        <w:tc>
          <w:tcPr>
            <w:tcW w:w="4208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Eight domains: physical functioning (PF), role </w:t>
            </w:r>
            <w:r>
              <w:rPr>
                <w:rFonts w:ascii="Times New Roman" w:hAnsi="Times New Roman"/>
                <w:sz w:val="24"/>
                <w:szCs w:val="24"/>
              </w:rPr>
              <w:t>physical (RP), bodily pain (BP), general health (GH), vitality (VT), social functioning (SF), role emotional (RE), and mental health (MH).</w:t>
            </w:r>
          </w:p>
        </w:tc>
        <w:tc>
          <w:tcPr>
            <w:tcW w:w="215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0-100</w:t>
            </w:r>
          </w:p>
          <w:p w:rsidR="001B2D56" w:rsidRDefault="001B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The authors reported that global score does not make sense</w:t>
            </w:r>
          </w:p>
        </w:tc>
        <w:tc>
          <w:tcPr>
            <w:tcW w:w="18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Higher quality of life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  <w:jc w:val="center"/>
        </w:trPr>
        <w:tc>
          <w:tcPr>
            <w:tcW w:w="14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SF-36 Mental</w:t>
            </w:r>
          </w:p>
        </w:tc>
        <w:tc>
          <w:tcPr>
            <w:tcW w:w="4208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The score is d</w:t>
            </w:r>
            <w:r>
              <w:rPr>
                <w:rFonts w:ascii="Times New Roman" w:hAnsi="Times New Roman"/>
                <w:sz w:val="24"/>
                <w:szCs w:val="24"/>
              </w:rPr>
              <w:t>erived from: vitality (VT), social functioning (SF), role emotional (RE), and mental health (MH).</w:t>
            </w:r>
          </w:p>
        </w:tc>
        <w:tc>
          <w:tcPr>
            <w:tcW w:w="215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0-100</w:t>
            </w:r>
          </w:p>
        </w:tc>
        <w:tc>
          <w:tcPr>
            <w:tcW w:w="18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Higher quality of life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  <w:jc w:val="center"/>
        </w:trPr>
        <w:tc>
          <w:tcPr>
            <w:tcW w:w="14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SF-36 Physical</w:t>
            </w:r>
          </w:p>
        </w:tc>
        <w:tc>
          <w:tcPr>
            <w:tcW w:w="4208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The score is derived from: physical functioning (PF), role physical (RP), bodily pain (BP), general health (GH),</w:t>
            </w:r>
          </w:p>
        </w:tc>
        <w:tc>
          <w:tcPr>
            <w:tcW w:w="215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0-100</w:t>
            </w:r>
          </w:p>
        </w:tc>
        <w:tc>
          <w:tcPr>
            <w:tcW w:w="18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Higher quality of life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/>
          <w:jc w:val="center"/>
        </w:trPr>
        <w:tc>
          <w:tcPr>
            <w:tcW w:w="14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IIQ-7</w:t>
            </w:r>
          </w:p>
        </w:tc>
        <w:tc>
          <w:tcPr>
            <w:tcW w:w="4208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Seven domains: household chores, physical recreation, entertaining activities, ability to travel, social activities, emotional health, feeling frustrated</w:t>
            </w:r>
          </w:p>
        </w:tc>
        <w:tc>
          <w:tcPr>
            <w:tcW w:w="215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0 - 21</w:t>
            </w:r>
          </w:p>
        </w:tc>
        <w:tc>
          <w:tcPr>
            <w:tcW w:w="18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Lower quality of life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  <w:jc w:val="center"/>
        </w:trPr>
        <w:tc>
          <w:tcPr>
            <w:tcW w:w="14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EORTC QLQ-C30</w:t>
            </w:r>
          </w:p>
        </w:tc>
        <w:tc>
          <w:tcPr>
            <w:tcW w:w="4208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Global health status, </w:t>
            </w:r>
            <w:r>
              <w:rPr>
                <w:rFonts w:ascii="Times New Roman" w:hAnsi="Times New Roman"/>
                <w:sz w:val="24"/>
                <w:szCs w:val="24"/>
              </w:rPr>
              <w:t>functional scales and symptom scales</w:t>
            </w:r>
          </w:p>
        </w:tc>
        <w:tc>
          <w:tcPr>
            <w:tcW w:w="215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0 - 100</w:t>
            </w:r>
          </w:p>
        </w:tc>
        <w:tc>
          <w:tcPr>
            <w:tcW w:w="18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Higher quality of life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/>
          <w:jc w:val="center"/>
        </w:trPr>
        <w:tc>
          <w:tcPr>
            <w:tcW w:w="14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King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 Health Questionnaire</w:t>
            </w:r>
          </w:p>
        </w:tc>
        <w:tc>
          <w:tcPr>
            <w:tcW w:w="4208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Ten domains: general health, incontinence impact, symptoms, severity changes in health, physical function, role limitation, social limitation, mental health, </w:t>
            </w:r>
            <w:r>
              <w:rPr>
                <w:rFonts w:ascii="Times New Roman" w:hAnsi="Times New Roman"/>
                <w:sz w:val="24"/>
                <w:szCs w:val="24"/>
              </w:rPr>
              <w:t>energy/vitality.</w:t>
            </w:r>
          </w:p>
        </w:tc>
        <w:tc>
          <w:tcPr>
            <w:tcW w:w="215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0 - 100</w:t>
            </w:r>
          </w:p>
        </w:tc>
        <w:tc>
          <w:tcPr>
            <w:tcW w:w="18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Lower quality of life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/>
          <w:jc w:val="center"/>
        </w:trPr>
        <w:tc>
          <w:tcPr>
            <w:tcW w:w="14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ICIQ-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LUTSquol</w:t>
            </w:r>
            <w:proofErr w:type="spellEnd"/>
          </w:p>
        </w:tc>
        <w:tc>
          <w:tcPr>
            <w:tcW w:w="4208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items: household tasks, job, physical activities, travel, social life, friends, relationships, sex life, family, depression, anxiety, bad feelings, sleep, tired, pad use, fluid restriction, clothing issues, smell, embarrassment overall impact. </w:t>
            </w:r>
          </w:p>
        </w:tc>
        <w:tc>
          <w:tcPr>
            <w:tcW w:w="215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19 - 76</w:t>
            </w:r>
          </w:p>
        </w:tc>
        <w:tc>
          <w:tcPr>
            <w:tcW w:w="18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Higher quality of life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  <w:jc w:val="center"/>
        </w:trPr>
        <w:tc>
          <w:tcPr>
            <w:tcW w:w="14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GHQ - 12</w:t>
            </w:r>
          </w:p>
        </w:tc>
        <w:tc>
          <w:tcPr>
            <w:tcW w:w="4208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 items investigating social dysfunction, anxiety, and loss of confidence</w:t>
            </w:r>
          </w:p>
        </w:tc>
        <w:tc>
          <w:tcPr>
            <w:tcW w:w="215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0 - 36</w:t>
            </w:r>
          </w:p>
        </w:tc>
        <w:tc>
          <w:tcPr>
            <w:tcW w:w="18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Lower quality of life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/>
          <w:jc w:val="center"/>
        </w:trPr>
        <w:tc>
          <w:tcPr>
            <w:tcW w:w="14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Ferrans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&amp; Powers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4208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Five scores: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QoL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overall, health and functioning, socioeconomic, psychological/spiritual, and family </w:t>
            </w:r>
          </w:p>
        </w:tc>
        <w:tc>
          <w:tcPr>
            <w:tcW w:w="215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0 - 30</w:t>
            </w:r>
          </w:p>
        </w:tc>
        <w:tc>
          <w:tcPr>
            <w:tcW w:w="18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Higher quality of life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/>
          <w:jc w:val="center"/>
        </w:trPr>
        <w:tc>
          <w:tcPr>
            <w:tcW w:w="14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PFIQ</w:t>
            </w:r>
          </w:p>
        </w:tc>
        <w:tc>
          <w:tcPr>
            <w:tcW w:w="4208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Seven domains: household chores, physical activities, entertainment activities, ability to travel, social activities, </w:t>
            </w:r>
            <w:r>
              <w:rPr>
                <w:rFonts w:ascii="Times New Roman" w:hAnsi="Times New Roman"/>
                <w:sz w:val="24"/>
                <w:szCs w:val="24"/>
              </w:rPr>
              <w:t>emotional health, feeling frustrated</w:t>
            </w:r>
          </w:p>
        </w:tc>
        <w:tc>
          <w:tcPr>
            <w:tcW w:w="215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0 - 100</w:t>
            </w:r>
          </w:p>
        </w:tc>
        <w:tc>
          <w:tcPr>
            <w:tcW w:w="18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Lower quality of life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/>
          <w:jc w:val="center"/>
        </w:trPr>
        <w:tc>
          <w:tcPr>
            <w:tcW w:w="14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EQ-5D utility</w:t>
            </w:r>
          </w:p>
        </w:tc>
        <w:tc>
          <w:tcPr>
            <w:tcW w:w="4208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Five dimensions: mobility, self-care, usual activities, pain/discomfort and anxiety/depression</w:t>
            </w:r>
          </w:p>
        </w:tc>
        <w:tc>
          <w:tcPr>
            <w:tcW w:w="215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0 -100</w:t>
            </w:r>
          </w:p>
        </w:tc>
        <w:tc>
          <w:tcPr>
            <w:tcW w:w="18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Higher quality of life</w:t>
            </w:r>
          </w:p>
        </w:tc>
      </w:tr>
    </w:tbl>
    <w:p w:rsidR="001B2D56" w:rsidRDefault="001B2D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2D56" w:rsidRDefault="001B2D56">
      <w:pPr>
        <w:widowControl w:val="0"/>
        <w:spacing w:after="0" w:line="240" w:lineRule="auto"/>
        <w:ind w:left="2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2D56" w:rsidRDefault="001B2D56"/>
    <w:p w:rsidR="001B2D56" w:rsidRDefault="000E4AD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Abbreviations: </w:t>
      </w:r>
      <w:r>
        <w:rPr>
          <w:rFonts w:ascii="Times New Roman" w:hAnsi="Times New Roman"/>
          <w:sz w:val="24"/>
          <w:szCs w:val="24"/>
        </w:rPr>
        <w:t xml:space="preserve">EORTC QLQ-C30 = European </w:t>
      </w:r>
      <w:r>
        <w:rPr>
          <w:rFonts w:ascii="Times New Roman" w:hAnsi="Times New Roman"/>
          <w:sz w:val="24"/>
          <w:szCs w:val="24"/>
        </w:rPr>
        <w:t xml:space="preserve">Organization for Research and Treatment of Cancer Quality of Life Questionnaire Version 3.0; EQ-5D utility = </w:t>
      </w:r>
      <w:proofErr w:type="spellStart"/>
      <w:r>
        <w:rPr>
          <w:rFonts w:ascii="Times New Roman" w:hAnsi="Times New Roman"/>
          <w:sz w:val="24"/>
          <w:szCs w:val="24"/>
        </w:rPr>
        <w:t>EuroQuol</w:t>
      </w:r>
      <w:proofErr w:type="spellEnd"/>
      <w:r>
        <w:rPr>
          <w:rFonts w:ascii="Times New Roman" w:hAnsi="Times New Roman"/>
          <w:sz w:val="24"/>
          <w:szCs w:val="24"/>
        </w:rPr>
        <w:t xml:space="preserve"> 5 domains; GHQ - 12 = General Health Questionnaire 12-items; ICIQ-</w:t>
      </w:r>
      <w:proofErr w:type="spellStart"/>
      <w:r>
        <w:rPr>
          <w:rFonts w:ascii="Times New Roman" w:hAnsi="Times New Roman"/>
          <w:sz w:val="24"/>
          <w:szCs w:val="24"/>
        </w:rPr>
        <w:t>LUTSquol</w:t>
      </w:r>
      <w:proofErr w:type="spellEnd"/>
      <w:r>
        <w:rPr>
          <w:rFonts w:ascii="Times New Roman" w:hAnsi="Times New Roman"/>
          <w:sz w:val="24"/>
          <w:szCs w:val="24"/>
        </w:rPr>
        <w:t xml:space="preserve"> = International Consultation on Incontinence Questionnaire Lowe</w:t>
      </w:r>
      <w:r>
        <w:rPr>
          <w:rFonts w:ascii="Times New Roman" w:hAnsi="Times New Roman"/>
          <w:sz w:val="24"/>
          <w:szCs w:val="24"/>
        </w:rPr>
        <w:t xml:space="preserve">r Urinary Tract Symptoms Quality of Life; IIQ-7 = Incontinence Impact Questionnaire, short form 7-items;  PFIQ = Pelvic Floor Impact Questionnaire; </w:t>
      </w:r>
      <w:proofErr w:type="spellStart"/>
      <w:r>
        <w:rPr>
          <w:rFonts w:ascii="Times New Roman" w:hAnsi="Times New Roman"/>
          <w:sz w:val="24"/>
          <w:szCs w:val="24"/>
        </w:rPr>
        <w:t>QoL</w:t>
      </w:r>
      <w:proofErr w:type="spellEnd"/>
      <w:r>
        <w:rPr>
          <w:rFonts w:ascii="Times New Roman" w:hAnsi="Times New Roman"/>
          <w:sz w:val="24"/>
          <w:szCs w:val="24"/>
        </w:rPr>
        <w:t xml:space="preserve"> = quality of life; SF-36 = 36-Item Short Form Survey</w:t>
      </w:r>
    </w:p>
    <w:p w:rsidR="001B2D56" w:rsidRDefault="001B2D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2D56" w:rsidRDefault="001B2D56">
      <w:pPr>
        <w:jc w:val="both"/>
        <w:sectPr w:rsidR="001B2D56" w:rsidSect="00080765">
          <w:headerReference w:type="default" r:id="rId6"/>
          <w:footerReference w:type="default" r:id="rId7"/>
          <w:pgSz w:w="11900" w:h="16840"/>
          <w:pgMar w:top="1134" w:right="1134" w:bottom="1134" w:left="1417" w:header="708" w:footer="708" w:gutter="0"/>
          <w:cols w:space="720"/>
          <w:docGrid w:linePitch="299"/>
        </w:sectPr>
      </w:pPr>
    </w:p>
    <w:p w:rsidR="001B2D56" w:rsidRDefault="000E4AD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Supplementary Table 2. Prevalence of major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comorbidities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in the overall sample in the studies included. </w:t>
      </w:r>
    </w:p>
    <w:tbl>
      <w:tblPr>
        <w:tblStyle w:val="TableNormal"/>
        <w:tblW w:w="145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165"/>
        <w:gridCol w:w="956"/>
        <w:gridCol w:w="1428"/>
        <w:gridCol w:w="1058"/>
        <w:gridCol w:w="802"/>
        <w:gridCol w:w="841"/>
        <w:gridCol w:w="649"/>
        <w:gridCol w:w="1011"/>
        <w:gridCol w:w="851"/>
        <w:gridCol w:w="1003"/>
        <w:gridCol w:w="1021"/>
        <w:gridCol w:w="1237"/>
        <w:gridCol w:w="1160"/>
        <w:gridCol w:w="1390"/>
      </w:tblGrid>
      <w:tr w:rsidR="001B2D56" w:rsidTr="00BC1D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/>
          <w:tblHeader/>
        </w:trPr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Author. year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% of diabetes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% hypertension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wi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th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disability</w:t>
            </w:r>
            <w:proofErr w:type="spellEnd"/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with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canc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er</w:t>
            </w:r>
            <w:proofErr w:type="spellEnd"/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heart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disease</w:t>
            </w:r>
            <w:proofErr w:type="spellEnd"/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with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 CVD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osteoarthritis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% obese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Mean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 BMI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Current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 Smoking %</w:t>
            </w:r>
          </w:p>
        </w:tc>
        <w:tc>
          <w:tcPr>
            <w:tcW w:w="12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Depression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 %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dermatitis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fecal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incontinence</w:t>
            </w:r>
            <w:proofErr w:type="spellEnd"/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5"/>
        </w:trPr>
        <w:tc>
          <w:tcPr>
            <w:tcW w:w="11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Aguilar-Navarro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2012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73.2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10.2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51.2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48.5</w:t>
            </w:r>
          </w:p>
        </w:tc>
        <w:tc>
          <w:tcPr>
            <w:tcW w:w="12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30.2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Balkarli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2016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Can. 2012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Choi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2014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20.4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59.5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3.5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11.2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2.9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17.7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Coyne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2008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7.7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10.7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Mello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Portella. 2011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lastRenderedPageBreak/>
              <w:t>De Nunzio. 2019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de Oliveira. 2013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Duggan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2011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Goris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2010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Hawkins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2010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18.5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61.3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19.4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7.1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7.1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38.1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20.2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Horng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2012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5.6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14.6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5.4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0.7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16.6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6.7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lastRenderedPageBreak/>
              <w:t>Gascon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2018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41.9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Lim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2016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Lin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2018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26.4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Mallah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2013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Oh. 2006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Rannestad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2011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Schimpf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2009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Steibliene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2020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lastRenderedPageBreak/>
              <w:t>Tang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2013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Tozun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2009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9.2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0.9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26.2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21.3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14.1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/>
        </w:trPr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Mart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í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nez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Agull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. 2010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NA</w:t>
            </w:r>
          </w:p>
        </w:tc>
      </w:tr>
      <w:tr w:rsidR="001B2D56" w:rsidTr="00BC1DF8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Total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12.3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47.1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10.2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19.4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7.9</w:t>
            </w: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2.9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44.6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18.4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26.5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10.3</w:t>
            </w:r>
          </w:p>
        </w:tc>
        <w:tc>
          <w:tcPr>
            <w:tcW w:w="12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21.1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no data</w:t>
            </w:r>
          </w:p>
        </w:tc>
        <w:tc>
          <w:tcPr>
            <w:tcW w:w="13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no data</w:t>
            </w:r>
          </w:p>
        </w:tc>
      </w:tr>
    </w:tbl>
    <w:p w:rsidR="001B2D56" w:rsidRDefault="001B2D56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2D56" w:rsidRDefault="001B2D56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2D56" w:rsidRDefault="001B2D5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2D56" w:rsidRDefault="000E4ADC">
      <w:r>
        <w:rPr>
          <w:rFonts w:ascii="Times New Roman" w:hAnsi="Times New Roman"/>
          <w:b/>
          <w:bCs/>
          <w:sz w:val="24"/>
          <w:szCs w:val="24"/>
        </w:rPr>
        <w:t xml:space="preserve">Abbreviations: </w:t>
      </w:r>
      <w:r>
        <w:rPr>
          <w:rFonts w:ascii="Times New Roman" w:hAnsi="Times New Roman"/>
          <w:sz w:val="24"/>
          <w:szCs w:val="24"/>
        </w:rPr>
        <w:t xml:space="preserve">BMI = body mass index, CVD = </w:t>
      </w:r>
      <w:proofErr w:type="spellStart"/>
      <w:r>
        <w:rPr>
          <w:rFonts w:ascii="Times New Roman" w:hAnsi="Times New Roman"/>
          <w:sz w:val="24"/>
          <w:szCs w:val="24"/>
        </w:rPr>
        <w:t>cerebro</w:t>
      </w:r>
      <w:proofErr w:type="spellEnd"/>
      <w:r>
        <w:rPr>
          <w:rFonts w:ascii="Times New Roman" w:hAnsi="Times New Roman"/>
          <w:sz w:val="24"/>
          <w:szCs w:val="24"/>
        </w:rPr>
        <w:t xml:space="preserve"> vascular disease</w:t>
      </w:r>
      <w:r>
        <w:rPr>
          <w:rFonts w:ascii="Arial Unicode MS" w:eastAsia="Arial Unicode MS" w:hAnsi="Arial Unicode MS" w:cs="Arial Unicode MS"/>
          <w:sz w:val="24"/>
          <w:szCs w:val="24"/>
        </w:rPr>
        <w:br w:type="page"/>
      </w:r>
    </w:p>
    <w:p w:rsidR="001B2D56" w:rsidRDefault="000E4AD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Supplementary Ta</w:t>
      </w:r>
      <w:r>
        <w:rPr>
          <w:rFonts w:ascii="Times New Roman" w:hAnsi="Times New Roman"/>
          <w:b/>
          <w:bCs/>
          <w:sz w:val="24"/>
          <w:szCs w:val="24"/>
        </w:rPr>
        <w:t xml:space="preserve">ble 3. Quality assessment of case-control studies assessed with the Newcastle Ottawa Scale. </w:t>
      </w:r>
    </w:p>
    <w:tbl>
      <w:tblPr>
        <w:tblStyle w:val="TableNormal"/>
        <w:tblW w:w="1521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49"/>
        <w:gridCol w:w="1494"/>
        <w:gridCol w:w="2145"/>
        <w:gridCol w:w="1092"/>
        <w:gridCol w:w="1202"/>
        <w:gridCol w:w="1686"/>
        <w:gridCol w:w="1686"/>
        <w:gridCol w:w="1631"/>
        <w:gridCol w:w="1135"/>
        <w:gridCol w:w="995"/>
      </w:tblGrid>
      <w:tr w:rsidR="001B2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1"/>
        </w:trPr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Study, year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Pr="00080765" w:rsidRDefault="000E4ADC">
            <w:pPr>
              <w:pStyle w:val="Stiletabella2A"/>
              <w:spacing w:after="0" w:line="240" w:lineRule="auto"/>
              <w:jc w:val="center"/>
              <w:rPr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Is the case definition adequate?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Representativeness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the</w:t>
            </w:r>
          </w:p>
          <w:p w:rsidR="001B2D56" w:rsidRDefault="000E4ADC">
            <w:pPr>
              <w:pStyle w:val="Stiletabella2A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cases</w:t>
            </w:r>
            <w:proofErr w:type="spellEnd"/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Selection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Controls</w:t>
            </w:r>
            <w:proofErr w:type="spellEnd"/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Definition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Controls</w:t>
            </w:r>
            <w:proofErr w:type="spellEnd"/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Pr="00080765" w:rsidRDefault="000E4ADC">
            <w:pPr>
              <w:pStyle w:val="Stiletabella2A"/>
              <w:spacing w:after="0" w:line="240" w:lineRule="auto"/>
              <w:jc w:val="center"/>
              <w:rPr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Comparability of cases and controls on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basis of the design or analysis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Ascertainment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exposure</w:t>
            </w:r>
            <w:proofErr w:type="spellEnd"/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Same method of ascertainment for cases and controls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Non-Response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rate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Tot</w:t>
            </w:r>
          </w:p>
        </w:tc>
      </w:tr>
      <w:tr w:rsidR="001B2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Coyne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2008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2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 Nunzio 2019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B2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Mello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Portella 2012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B2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Duggan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2011 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B2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Lim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2016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2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Lin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2018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2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Oh 2006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2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Rannestad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2010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2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17" w:type="dxa"/>
            </w:tcMar>
          </w:tcPr>
          <w:p w:rsidR="001B2D56" w:rsidRDefault="000E4ADC">
            <w:pPr>
              <w:spacing w:after="0" w:line="259" w:lineRule="auto"/>
              <w:ind w:right="37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Schimpf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2009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1B2D56" w:rsidRDefault="001B2D56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2D56" w:rsidRDefault="001B2D5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2D56" w:rsidRDefault="000E4ADC">
      <w:pPr>
        <w:spacing w:after="0" w:line="48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Note: A study can be awarded a maximum of one star for each </w:t>
      </w:r>
      <w:r>
        <w:rPr>
          <w:rFonts w:ascii="Times New Roman" w:hAnsi="Times New Roman"/>
          <w:sz w:val="24"/>
          <w:szCs w:val="24"/>
        </w:rPr>
        <w:t>numbered item within the Selection and Exposure categories. A maximum of two stars can be given for Comparability.</w:t>
      </w:r>
      <w:r>
        <w:rPr>
          <w:rFonts w:ascii="Arial Unicode MS" w:eastAsia="Arial Unicode MS" w:hAnsi="Arial Unicode MS" w:cs="Arial Unicode MS"/>
          <w:sz w:val="24"/>
          <w:szCs w:val="24"/>
        </w:rPr>
        <w:br w:type="page"/>
      </w:r>
    </w:p>
    <w:p w:rsidR="001B2D56" w:rsidRDefault="000E4AD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Supplementary Table 4. Quality assessment of cross-sectional studies assessed with the Newcastle Ottawa Scale. </w:t>
      </w:r>
    </w:p>
    <w:tbl>
      <w:tblPr>
        <w:tblStyle w:val="TableNormal"/>
        <w:tblW w:w="147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712"/>
        <w:gridCol w:w="2163"/>
        <w:gridCol w:w="940"/>
        <w:gridCol w:w="1429"/>
        <w:gridCol w:w="1699"/>
        <w:gridCol w:w="1700"/>
        <w:gridCol w:w="1361"/>
        <w:gridCol w:w="1196"/>
        <w:gridCol w:w="1532"/>
      </w:tblGrid>
      <w:tr w:rsidR="001B2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1"/>
          <w:tblHeader/>
        </w:trPr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Study, year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Representativene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ss of the sample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Sample size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Non-respondents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Ascertainment of the exposure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Pr="00080765" w:rsidRDefault="000E4ADC">
            <w:pPr>
              <w:pStyle w:val="Stiletabella2A"/>
              <w:spacing w:after="0" w:line="240" w:lineRule="auto"/>
              <w:jc w:val="center"/>
              <w:rPr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Comparability of cases and controls on the basis of the design or analysis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Assessment of the outcome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Statistical test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Tot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Aguilar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Navarro 2012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Balkarli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2016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Can 2012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Choy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2014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 Oliveira 2013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Gascon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2018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Goris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2010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Hawkins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2010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Horng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2012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Mallah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2013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Martinez-Agull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ò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2010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Steibliene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Tang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2014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2D56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DidefaultA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Tozun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2009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D56" w:rsidRDefault="000E4ADC">
            <w:pPr>
              <w:pStyle w:val="Stiletabella2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1B2D56" w:rsidRDefault="001B2D56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2D56" w:rsidRDefault="001B2D56">
      <w:pPr>
        <w:pStyle w:val="CorpoA"/>
        <w:rPr>
          <w:rFonts w:ascii="Times New Roman" w:eastAsia="Times New Roman" w:hAnsi="Times New Roman" w:cs="Times New Roman"/>
          <w:lang w:val="en-US"/>
        </w:rPr>
      </w:pPr>
    </w:p>
    <w:p w:rsidR="001B2D56" w:rsidRDefault="001B2D56">
      <w:pPr>
        <w:pStyle w:val="CorpoA"/>
        <w:rPr>
          <w:rFonts w:ascii="Times New Roman" w:eastAsia="Times New Roman" w:hAnsi="Times New Roman" w:cs="Times New Roman"/>
          <w:lang w:val="en-US"/>
        </w:rPr>
      </w:pPr>
    </w:p>
    <w:p w:rsidR="001B2D56" w:rsidRDefault="000E4ADC" w:rsidP="00BC1DF8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Note: A study can be awarded a maximum of one star for each numbered item within the Selection and Exposure categories. A </w:t>
      </w:r>
      <w:r>
        <w:rPr>
          <w:rFonts w:ascii="Times New Roman" w:hAnsi="Times New Roman"/>
          <w:sz w:val="24"/>
          <w:szCs w:val="24"/>
        </w:rPr>
        <w:t>maximum of two stars can be given for Comparability.</w:t>
      </w:r>
    </w:p>
    <w:p w:rsidR="001B2D56" w:rsidRDefault="001B2D56">
      <w:pPr>
        <w:pStyle w:val="CorpoA"/>
        <w:rPr>
          <w:rFonts w:ascii="Times New Roman" w:eastAsia="Times New Roman" w:hAnsi="Times New Roman" w:cs="Times New Roman"/>
          <w:lang w:val="en-US"/>
        </w:rPr>
      </w:pPr>
    </w:p>
    <w:p w:rsidR="001B2D56" w:rsidRDefault="001B2D56">
      <w:pPr>
        <w:pStyle w:val="CorpoA"/>
        <w:rPr>
          <w:rFonts w:ascii="Times New Roman" w:eastAsia="Times New Roman" w:hAnsi="Times New Roman" w:cs="Times New Roman"/>
          <w:lang w:val="en-US"/>
        </w:rPr>
      </w:pPr>
    </w:p>
    <w:p w:rsidR="001B2D56" w:rsidRDefault="001B2D56">
      <w:pPr>
        <w:pStyle w:val="CorpoA"/>
        <w:rPr>
          <w:rFonts w:ascii="Times New Roman" w:eastAsia="Times New Roman" w:hAnsi="Times New Roman" w:cs="Times New Roman"/>
          <w:lang w:val="en-US"/>
        </w:rPr>
      </w:pPr>
    </w:p>
    <w:p w:rsidR="001B2D56" w:rsidRDefault="001B2D56">
      <w:pPr>
        <w:pStyle w:val="CorpoA"/>
        <w:rPr>
          <w:rFonts w:ascii="Times New Roman" w:eastAsia="Times New Roman" w:hAnsi="Times New Roman" w:cs="Times New Roman"/>
          <w:lang w:val="en-US"/>
        </w:rPr>
      </w:pPr>
    </w:p>
    <w:p w:rsidR="001B2D56" w:rsidRDefault="001B2D56">
      <w:pPr>
        <w:pStyle w:val="CorpoA"/>
        <w:rPr>
          <w:rFonts w:ascii="Times New Roman" w:eastAsia="Times New Roman" w:hAnsi="Times New Roman" w:cs="Times New Roman"/>
          <w:lang w:val="en-US"/>
        </w:rPr>
      </w:pPr>
    </w:p>
    <w:p w:rsidR="001B2D56" w:rsidRDefault="001B2D56">
      <w:pPr>
        <w:pStyle w:val="CorpoA"/>
        <w:rPr>
          <w:rFonts w:ascii="Times New Roman" w:eastAsia="Times New Roman" w:hAnsi="Times New Roman" w:cs="Times New Roman"/>
          <w:lang w:val="en-US"/>
        </w:rPr>
      </w:pPr>
    </w:p>
    <w:p w:rsidR="001B2D56" w:rsidRDefault="001B2D56">
      <w:pPr>
        <w:jc w:val="both"/>
      </w:pPr>
    </w:p>
    <w:sectPr w:rsidR="001B2D56" w:rsidSect="001B2D56">
      <w:pgSz w:w="16840" w:h="11900" w:orient="landscape"/>
      <w:pgMar w:top="1134" w:right="1134" w:bottom="1417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ADC" w:rsidRDefault="000E4ADC" w:rsidP="001B2D56">
      <w:pPr>
        <w:spacing w:after="0" w:line="240" w:lineRule="auto"/>
      </w:pPr>
      <w:r>
        <w:separator/>
      </w:r>
    </w:p>
  </w:endnote>
  <w:endnote w:type="continuationSeparator" w:id="0">
    <w:p w:rsidR="000E4ADC" w:rsidRDefault="000E4ADC" w:rsidP="001B2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56" w:rsidRDefault="001B2D56">
    <w:pPr>
      <w:pStyle w:val="Intestazionee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ADC" w:rsidRDefault="000E4ADC" w:rsidP="001B2D56">
      <w:pPr>
        <w:spacing w:after="0" w:line="240" w:lineRule="auto"/>
      </w:pPr>
      <w:r>
        <w:separator/>
      </w:r>
    </w:p>
  </w:footnote>
  <w:footnote w:type="continuationSeparator" w:id="0">
    <w:p w:rsidR="000E4ADC" w:rsidRDefault="000E4ADC" w:rsidP="001B2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56" w:rsidRDefault="001B2D56">
    <w:pPr>
      <w:pStyle w:val="Intestazioneepidipagin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B2D56"/>
    <w:rsid w:val="00080765"/>
    <w:rsid w:val="000E4ADC"/>
    <w:rsid w:val="001B2D56"/>
    <w:rsid w:val="00BC1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1B2D56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B2D56"/>
    <w:rPr>
      <w:u w:val="single"/>
    </w:rPr>
  </w:style>
  <w:style w:type="table" w:customStyle="1" w:styleId="TableNormal">
    <w:name w:val="Table Normal"/>
    <w:rsid w:val="001B2D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1B2D56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Stiletabella2A">
    <w:name w:val="Stile tabella 2 A"/>
    <w:rsid w:val="001B2D56"/>
    <w:pPr>
      <w:spacing w:after="200" w:line="276" w:lineRule="auto"/>
    </w:pPr>
    <w:rPr>
      <w:rFonts w:ascii="Helvetica" w:hAnsi="Helvetica" w:cs="Arial Unicode MS"/>
      <w:color w:val="000000"/>
      <w:u w:color="000000"/>
    </w:rPr>
  </w:style>
  <w:style w:type="paragraph" w:customStyle="1" w:styleId="DidefaultA">
    <w:name w:val="Di default A"/>
    <w:rsid w:val="001B2D56"/>
    <w:pPr>
      <w:spacing w:after="200" w:line="276" w:lineRule="auto"/>
    </w:pPr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CorpoA">
    <w:name w:val="Corpo A"/>
    <w:rsid w:val="001B2D56"/>
    <w:pPr>
      <w:spacing w:after="200" w:line="276" w:lineRule="auto"/>
    </w:pPr>
    <w:rPr>
      <w:rFonts w:ascii="Helvetica" w:eastAsia="Helvetica" w:hAnsi="Helvetica" w:cs="Helvetica"/>
      <w:color w:val="000000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941</Words>
  <Characters>5369</Characters>
  <Application>Microsoft Office Word</Application>
  <DocSecurity>0</DocSecurity>
  <Lines>44</Lines>
  <Paragraphs>12</Paragraphs>
  <ScaleCrop>false</ScaleCrop>
  <Company/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3</cp:revision>
  <dcterms:created xsi:type="dcterms:W3CDTF">2020-07-19T17:02:00Z</dcterms:created>
  <dcterms:modified xsi:type="dcterms:W3CDTF">2020-07-19T17:03:00Z</dcterms:modified>
</cp:coreProperties>
</file>