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C962A" w14:textId="77777777" w:rsidR="006024CE" w:rsidRPr="003D4CD0" w:rsidRDefault="006024CE" w:rsidP="006024CE">
      <w:pPr>
        <w:spacing w:after="0" w:line="480" w:lineRule="auto"/>
        <w:jc w:val="both"/>
        <w:rPr>
          <w:b/>
          <w:bCs/>
          <w:sz w:val="24"/>
          <w:szCs w:val="24"/>
          <w:lang w:val="en-US"/>
        </w:rPr>
      </w:pPr>
      <w:r w:rsidRPr="003D4CD0">
        <w:rPr>
          <w:b/>
          <w:bCs/>
          <w:sz w:val="24"/>
          <w:szCs w:val="24"/>
          <w:lang w:val="en-US"/>
        </w:rPr>
        <w:t xml:space="preserve">Supplementary Table 1. References excluded, at full-text revision, with motivations. </w:t>
      </w:r>
    </w:p>
    <w:p w14:paraId="2FF98A99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b/>
          <w:bCs/>
          <w:sz w:val="24"/>
          <w:szCs w:val="24"/>
          <w:lang w:val="en-US"/>
        </w:rPr>
        <w:t>A)    Presence of patients with conditions other than HF (n =7):</w:t>
      </w:r>
    </w:p>
    <w:p w14:paraId="1346D20C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  - Religion, risk, and medical decision making at the end of life</w:t>
      </w:r>
    </w:p>
    <w:p w14:paraId="1EF4CE42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  - Religion and Remission of Depression in Medical Inpatients</w:t>
      </w:r>
    </w:p>
    <w:p w14:paraId="309980C9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  - Spiritual well-being in patients with advanced heart and lung disease</w:t>
      </w:r>
    </w:p>
    <w:p w14:paraId="0BEE6B73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  - Addressing Patient Emotional and Existential Needs During Serious Illness Results of the Outlook Randomized     Controlled Trial</w:t>
      </w:r>
    </w:p>
    <w:p w14:paraId="549CD8BE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  - Current measures of distress may not account for what's most important in existential care interventions Results     of the outlook trial</w:t>
      </w:r>
    </w:p>
    <w:p w14:paraId="2033D32F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   - Exploring the spiritual needs of people dying of lung cancer or heart failure a prospective qualitative interview study of patients and their carers</w:t>
      </w:r>
    </w:p>
    <w:p w14:paraId="7F396399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- The Impact of Spiritual Care Education on Anxiety in Family Caregivers of Patients with Heart Failure</w:t>
      </w:r>
    </w:p>
    <w:p w14:paraId="57AEE741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 </w:t>
      </w:r>
    </w:p>
    <w:p w14:paraId="6BEAA06C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b/>
          <w:bCs/>
          <w:sz w:val="24"/>
          <w:szCs w:val="24"/>
          <w:lang w:val="en-US"/>
        </w:rPr>
        <w:t xml:space="preserve">B)    Not coherent outcomes with inclusion </w:t>
      </w:r>
      <w:proofErr w:type="gramStart"/>
      <w:r w:rsidRPr="003D4CD0">
        <w:rPr>
          <w:b/>
          <w:bCs/>
          <w:sz w:val="24"/>
          <w:szCs w:val="24"/>
          <w:lang w:val="en-US"/>
        </w:rPr>
        <w:t>criteria  (</w:t>
      </w:r>
      <w:proofErr w:type="gramEnd"/>
      <w:r w:rsidRPr="003D4CD0">
        <w:rPr>
          <w:b/>
          <w:bCs/>
          <w:sz w:val="24"/>
          <w:szCs w:val="24"/>
          <w:lang w:val="en-US"/>
        </w:rPr>
        <w:t>n =6)</w:t>
      </w:r>
    </w:p>
    <w:p w14:paraId="23193A16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- Acute heart failure presentations and outcomes during the fasting month of Ramadan an observational report from seven Middle Eastern countries</w:t>
      </w:r>
    </w:p>
    <w:p w14:paraId="19D6125F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- Effect of Spiritual Care Program on Resilience in Patients with Heart Failure: A Randomized Controlled Clinical Trial</w:t>
      </w:r>
    </w:p>
    <w:p w14:paraId="448B78B7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- Fasting during the month of Ramadan among patients with chronic kidney disease Renal and cardiovascular outcomes</w:t>
      </w:r>
    </w:p>
    <w:p w14:paraId="35A2D2C8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- Religious beliefs and well-being and distress in congestive heart failure patients</w:t>
      </w:r>
    </w:p>
    <w:p w14:paraId="427D1561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- Religious struggle as a predictor of subsequent mental and physical well-being in advanced heart failure patients</w:t>
      </w:r>
    </w:p>
    <w:p w14:paraId="53A9F218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lastRenderedPageBreak/>
        <w:t>- </w:t>
      </w:r>
      <w:r w:rsidRPr="00887556">
        <w:rPr>
          <w:sz w:val="24"/>
          <w:szCs w:val="24"/>
          <w:lang w:val="en-US"/>
        </w:rPr>
        <w:t>How Does Spiritual Well-Being Change Over Time Among US Patients with Heart Failure and What Predicts Change?</w:t>
      </w:r>
    </w:p>
    <w:p w14:paraId="39B963FA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b/>
          <w:bCs/>
          <w:sz w:val="24"/>
          <w:szCs w:val="24"/>
          <w:lang w:val="en-US"/>
        </w:rPr>
        <w:t>C)    Lack of analysis of the effect of spirituality on HF (n =2)</w:t>
      </w:r>
    </w:p>
    <w:p w14:paraId="183D3ED2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- Estimated longevity and changes in spirituality in the context of advanced congestive heart failure</w:t>
      </w:r>
    </w:p>
    <w:p w14:paraId="009FBF55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 xml:space="preserve">- Realization and personalization by facing fatality. A grounded theory of developing the view of dying in people with heart </w:t>
      </w:r>
      <w:proofErr w:type="gramStart"/>
      <w:r w:rsidRPr="003D4CD0">
        <w:rPr>
          <w:sz w:val="24"/>
          <w:szCs w:val="24"/>
          <w:lang w:val="en-US"/>
        </w:rPr>
        <w:t>failure</w:t>
      </w:r>
      <w:proofErr w:type="gramEnd"/>
    </w:p>
    <w:p w14:paraId="0B7BC678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 </w:t>
      </w:r>
      <w:r w:rsidRPr="003D4CD0">
        <w:rPr>
          <w:b/>
          <w:bCs/>
          <w:sz w:val="24"/>
          <w:szCs w:val="24"/>
          <w:lang w:val="en-US"/>
        </w:rPr>
        <w:t>D)    Congress review (n = 2)</w:t>
      </w:r>
    </w:p>
    <w:p w14:paraId="2679B1FA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>-       Religious beliefs towards the end of life among patients with chronic heart failure</w:t>
      </w:r>
    </w:p>
    <w:p w14:paraId="25AD94A2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  <w:r w:rsidRPr="003D4CD0">
        <w:rPr>
          <w:sz w:val="24"/>
          <w:szCs w:val="24"/>
          <w:lang w:val="en-US"/>
        </w:rPr>
        <w:t xml:space="preserve">-       Psychological symptoms and religiosity in patients with ventricular assist devices: A cohort study </w:t>
      </w:r>
    </w:p>
    <w:p w14:paraId="0F2BCDA7" w14:textId="77777777" w:rsidR="006024CE" w:rsidRPr="003D4CD0" w:rsidRDefault="006024CE" w:rsidP="006024CE">
      <w:pPr>
        <w:spacing w:after="0" w:line="480" w:lineRule="auto"/>
        <w:jc w:val="both"/>
        <w:rPr>
          <w:sz w:val="24"/>
          <w:szCs w:val="24"/>
          <w:lang w:val="en-US"/>
        </w:rPr>
      </w:pPr>
    </w:p>
    <w:p w14:paraId="1E7D43BE" w14:textId="77777777" w:rsidR="006024CE" w:rsidRPr="003D4CD0" w:rsidRDefault="006024CE" w:rsidP="006024CE">
      <w:pPr>
        <w:spacing w:after="0"/>
        <w:jc w:val="both"/>
        <w:rPr>
          <w:b/>
          <w:bCs/>
          <w:lang w:val="en-US"/>
        </w:rPr>
      </w:pPr>
    </w:p>
    <w:p w14:paraId="469C9778" w14:textId="77777777" w:rsidR="006024CE" w:rsidRPr="003D4CD0" w:rsidRDefault="006024CE" w:rsidP="006024CE">
      <w:pPr>
        <w:jc w:val="both"/>
        <w:rPr>
          <w:lang w:val="en-US"/>
        </w:rPr>
      </w:pPr>
    </w:p>
    <w:p w14:paraId="19BDF88F" w14:textId="77777777" w:rsidR="002D17BD" w:rsidRPr="006024CE" w:rsidRDefault="002D17BD">
      <w:pPr>
        <w:rPr>
          <w:lang w:val="en-US"/>
        </w:rPr>
      </w:pPr>
    </w:p>
    <w:sectPr w:rsidR="002D17BD" w:rsidRPr="006024CE" w:rsidSect="003C2E6E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CE"/>
    <w:rsid w:val="002D17BD"/>
    <w:rsid w:val="0060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6943"/>
  <w15:chartTrackingRefBased/>
  <w15:docId w15:val="{4F250266-A509-4996-A58B-998F2034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4CE"/>
    <w:pPr>
      <w:spacing w:after="200" w:line="276" w:lineRule="auto"/>
    </w:pPr>
    <w:rPr>
      <w:rFonts w:eastAsiaTheme="minorEastAsia"/>
      <w:kern w:val="0"/>
      <w:lang w:eastAsia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VERONESE</dc:creator>
  <cp:keywords/>
  <dc:description/>
  <cp:lastModifiedBy>NICOLA VERONESE</cp:lastModifiedBy>
  <cp:revision>1</cp:revision>
  <dcterms:created xsi:type="dcterms:W3CDTF">2023-08-09T19:20:00Z</dcterms:created>
  <dcterms:modified xsi:type="dcterms:W3CDTF">2023-08-09T19:20:00Z</dcterms:modified>
</cp:coreProperties>
</file>