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11FFC" w14:textId="0E2BCCFB" w:rsidR="002C339B" w:rsidRPr="0019700F" w:rsidRDefault="002C339B" w:rsidP="0019700F">
      <w:pPr>
        <w:jc w:val="center"/>
        <w:rPr>
          <w:rFonts w:asciiTheme="majorBidi" w:hAnsiTheme="majorBidi" w:cstheme="majorBidi"/>
          <w:sz w:val="24"/>
          <w:szCs w:val="24"/>
        </w:rPr>
      </w:pPr>
    </w:p>
    <w:tbl>
      <w:tblPr>
        <w:tblStyle w:val="TableGrid"/>
        <w:tblW w:w="5629" w:type="pct"/>
        <w:tblInd w:w="-815" w:type="dxa"/>
        <w:tblLayout w:type="fixed"/>
        <w:tblLook w:val="04A0" w:firstRow="1" w:lastRow="0" w:firstColumn="1" w:lastColumn="0" w:noHBand="0" w:noVBand="1"/>
      </w:tblPr>
      <w:tblGrid>
        <w:gridCol w:w="1889"/>
        <w:gridCol w:w="1353"/>
        <w:gridCol w:w="1350"/>
        <w:gridCol w:w="2432"/>
        <w:gridCol w:w="2607"/>
        <w:gridCol w:w="2338"/>
        <w:gridCol w:w="2610"/>
      </w:tblGrid>
      <w:tr w:rsidR="00F32585" w:rsidRPr="001714D5" w14:paraId="3A4437A8" w14:textId="77777777" w:rsidTr="00F32585">
        <w:trPr>
          <w:trHeight w:val="431"/>
        </w:trPr>
        <w:tc>
          <w:tcPr>
            <w:tcW w:w="5000" w:type="pct"/>
            <w:gridSpan w:val="7"/>
            <w:shd w:val="clear" w:color="auto" w:fill="E7E6E6" w:themeFill="background2"/>
          </w:tcPr>
          <w:p w14:paraId="10AF906C" w14:textId="4163664A" w:rsidR="00F32585" w:rsidRPr="001714D5" w:rsidRDefault="00F32585" w:rsidP="0019700F">
            <w:pPr>
              <w:jc w:val="center"/>
              <w:rPr>
                <w:rFonts w:asciiTheme="majorBidi" w:hAnsiTheme="majorBidi" w:cstheme="majorBidi"/>
                <w:sz w:val="24"/>
                <w:szCs w:val="24"/>
              </w:rPr>
            </w:pPr>
            <w:r w:rsidRPr="0019700F">
              <w:rPr>
                <w:rFonts w:asciiTheme="majorBidi" w:hAnsiTheme="majorBidi" w:cstheme="majorBidi"/>
                <w:sz w:val="24"/>
                <w:szCs w:val="24"/>
              </w:rPr>
              <w:t>Appendix 1: Summary of Included Studies</w:t>
            </w:r>
          </w:p>
        </w:tc>
      </w:tr>
      <w:tr w:rsidR="00C06567" w:rsidRPr="001714D5" w14:paraId="0EE27F01" w14:textId="73482779" w:rsidTr="00F32585">
        <w:trPr>
          <w:trHeight w:val="836"/>
        </w:trPr>
        <w:tc>
          <w:tcPr>
            <w:tcW w:w="648" w:type="pct"/>
            <w:shd w:val="clear" w:color="auto" w:fill="E7E6E6" w:themeFill="background2"/>
          </w:tcPr>
          <w:p w14:paraId="459023BE" w14:textId="1D9D01E5"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Author (Year)/ Country</w:t>
            </w:r>
          </w:p>
        </w:tc>
        <w:tc>
          <w:tcPr>
            <w:tcW w:w="464" w:type="pct"/>
            <w:shd w:val="clear" w:color="auto" w:fill="E7E6E6" w:themeFill="background2"/>
          </w:tcPr>
          <w:p w14:paraId="45B7FBDA" w14:textId="2B5E7F0A"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Study Design/ Sample Size</w:t>
            </w:r>
          </w:p>
        </w:tc>
        <w:tc>
          <w:tcPr>
            <w:tcW w:w="463" w:type="pct"/>
            <w:shd w:val="clear" w:color="auto" w:fill="E7E6E6" w:themeFill="background2"/>
          </w:tcPr>
          <w:p w14:paraId="3E45AD24" w14:textId="633C7C18"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Population</w:t>
            </w:r>
          </w:p>
        </w:tc>
        <w:tc>
          <w:tcPr>
            <w:tcW w:w="834" w:type="pct"/>
            <w:shd w:val="clear" w:color="auto" w:fill="E7E6E6" w:themeFill="background2"/>
          </w:tcPr>
          <w:p w14:paraId="12101AD8" w14:textId="3EB732E4" w:rsidR="00542226" w:rsidRPr="001714D5" w:rsidRDefault="00542226" w:rsidP="00C16299">
            <w:pPr>
              <w:jc w:val="center"/>
              <w:rPr>
                <w:rFonts w:asciiTheme="majorBidi" w:hAnsiTheme="majorBidi" w:cstheme="majorBidi"/>
                <w:sz w:val="24"/>
                <w:szCs w:val="24"/>
              </w:rPr>
            </w:pPr>
            <w:r w:rsidRPr="001714D5">
              <w:rPr>
                <w:rFonts w:asciiTheme="majorBidi" w:hAnsiTheme="majorBidi" w:cstheme="majorBidi"/>
                <w:sz w:val="24"/>
                <w:szCs w:val="24"/>
              </w:rPr>
              <w:t xml:space="preserve">Key </w:t>
            </w:r>
            <w:r w:rsidR="006D187A" w:rsidRPr="001714D5">
              <w:rPr>
                <w:rFonts w:asciiTheme="majorBidi" w:hAnsiTheme="majorBidi" w:cstheme="majorBidi"/>
                <w:sz w:val="24"/>
                <w:szCs w:val="24"/>
              </w:rPr>
              <w:t>notes</w:t>
            </w:r>
            <w:r w:rsidRPr="001714D5">
              <w:rPr>
                <w:rFonts w:asciiTheme="majorBidi" w:hAnsiTheme="majorBidi" w:cstheme="majorBidi"/>
                <w:sz w:val="24"/>
                <w:szCs w:val="24"/>
              </w:rPr>
              <w:t xml:space="preserve"> </w:t>
            </w:r>
          </w:p>
        </w:tc>
        <w:tc>
          <w:tcPr>
            <w:tcW w:w="894" w:type="pct"/>
            <w:shd w:val="clear" w:color="auto" w:fill="E7E6E6" w:themeFill="background2"/>
          </w:tcPr>
          <w:p w14:paraId="2C594F95" w14:textId="365BCD2E"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Attributes</w:t>
            </w:r>
          </w:p>
        </w:tc>
        <w:tc>
          <w:tcPr>
            <w:tcW w:w="802" w:type="pct"/>
            <w:shd w:val="clear" w:color="auto" w:fill="E7E6E6" w:themeFill="background2"/>
          </w:tcPr>
          <w:p w14:paraId="383DDB00" w14:textId="70634BA1"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Antecedents</w:t>
            </w:r>
          </w:p>
        </w:tc>
        <w:tc>
          <w:tcPr>
            <w:tcW w:w="895" w:type="pct"/>
            <w:shd w:val="clear" w:color="auto" w:fill="E7E6E6" w:themeFill="background2"/>
          </w:tcPr>
          <w:p w14:paraId="321F4D6B" w14:textId="459E29B5" w:rsidR="00542226" w:rsidRPr="001714D5" w:rsidRDefault="00542226" w:rsidP="0019700F">
            <w:pPr>
              <w:jc w:val="center"/>
              <w:rPr>
                <w:rFonts w:asciiTheme="majorBidi" w:hAnsiTheme="majorBidi" w:cstheme="majorBidi"/>
                <w:sz w:val="24"/>
                <w:szCs w:val="24"/>
              </w:rPr>
            </w:pPr>
            <w:r w:rsidRPr="001714D5">
              <w:rPr>
                <w:rFonts w:asciiTheme="majorBidi" w:hAnsiTheme="majorBidi" w:cstheme="majorBidi"/>
                <w:sz w:val="24"/>
                <w:szCs w:val="24"/>
              </w:rPr>
              <w:t>Consequences</w:t>
            </w:r>
          </w:p>
        </w:tc>
      </w:tr>
      <w:tr w:rsidR="00C540E0" w:rsidRPr="001714D5" w14:paraId="262AD731" w14:textId="77777777" w:rsidTr="00AE5C8F">
        <w:trPr>
          <w:trHeight w:val="836"/>
        </w:trPr>
        <w:tc>
          <w:tcPr>
            <w:tcW w:w="648" w:type="pct"/>
          </w:tcPr>
          <w:p w14:paraId="321E27D8" w14:textId="22435752" w:rsidR="00C540E0" w:rsidRPr="00AB7713" w:rsidRDefault="00C540E0" w:rsidP="00AB7713">
            <w:pPr>
              <w:ind w:left="360"/>
              <w:rPr>
                <w:rFonts w:asciiTheme="majorBidi" w:hAnsiTheme="majorBidi" w:cstheme="majorBidi"/>
                <w:sz w:val="24"/>
                <w:szCs w:val="24"/>
              </w:rPr>
            </w:pPr>
            <w:r w:rsidRPr="00AB7713">
              <w:rPr>
                <w:rFonts w:asciiTheme="majorBidi" w:eastAsia="Times New Roman" w:hAnsiTheme="majorBidi" w:cstheme="majorBidi"/>
              </w:rPr>
              <w:t xml:space="preserve">Newman (2007) </w:t>
            </w:r>
            <w:r w:rsidR="00981FBA" w:rsidRPr="00AB7713">
              <w:rPr>
                <w:rFonts w:asciiTheme="majorBidi" w:eastAsia="Times New Roman" w:hAnsiTheme="majorBidi" w:cstheme="majorBidi"/>
              </w:rPr>
              <w:t xml:space="preserve">/ UK </w:t>
            </w:r>
            <w:r w:rsidRPr="00AB7713">
              <w:rPr>
                <w:rFonts w:asciiTheme="majorBidi" w:eastAsia="Times New Roman" w:hAnsiTheme="majorBidi" w:cstheme="majorBidi"/>
              </w:rPr>
              <w:t>(4)</w:t>
            </w:r>
          </w:p>
        </w:tc>
        <w:tc>
          <w:tcPr>
            <w:tcW w:w="464" w:type="pct"/>
          </w:tcPr>
          <w:p w14:paraId="49EB59B7" w14:textId="4358761E" w:rsidR="00C540E0" w:rsidRPr="001714D5" w:rsidRDefault="00C540E0" w:rsidP="0019700F">
            <w:pPr>
              <w:jc w:val="center"/>
              <w:rPr>
                <w:rFonts w:asciiTheme="majorBidi" w:hAnsiTheme="majorBidi" w:cstheme="majorBidi"/>
                <w:sz w:val="24"/>
                <w:szCs w:val="24"/>
              </w:rPr>
            </w:pPr>
            <w:r w:rsidRPr="001714D5">
              <w:rPr>
                <w:rFonts w:asciiTheme="majorBidi" w:hAnsiTheme="majorBidi" w:cstheme="majorBidi"/>
                <w:sz w:val="24"/>
                <w:szCs w:val="24"/>
              </w:rPr>
              <w:t>Systematic review</w:t>
            </w:r>
          </w:p>
        </w:tc>
        <w:tc>
          <w:tcPr>
            <w:tcW w:w="463" w:type="pct"/>
          </w:tcPr>
          <w:p w14:paraId="64DDAFEC" w14:textId="7B990FF7" w:rsidR="00C540E0" w:rsidRPr="001714D5" w:rsidRDefault="00C540E0" w:rsidP="0019700F">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27B2E6E6" w14:textId="4F6E05B0" w:rsidR="00C540E0" w:rsidRPr="001714D5" w:rsidRDefault="007377DA" w:rsidP="00C16299">
            <w:pPr>
              <w:jc w:val="center"/>
              <w:rPr>
                <w:rFonts w:asciiTheme="majorBidi" w:hAnsiTheme="majorBidi" w:cstheme="majorBidi"/>
                <w:sz w:val="24"/>
                <w:szCs w:val="24"/>
              </w:rPr>
            </w:pPr>
            <w:r w:rsidRPr="001714D5">
              <w:rPr>
                <w:rFonts w:asciiTheme="majorBidi" w:hAnsiTheme="majorBidi" w:cstheme="majorBidi"/>
                <w:sz w:val="24"/>
                <w:szCs w:val="24"/>
              </w:rPr>
              <w:t>Indicates studies that don’t use control groups cannot control variables such as learning effect, thus finding a lower prevalence of POCD</w:t>
            </w:r>
          </w:p>
        </w:tc>
        <w:tc>
          <w:tcPr>
            <w:tcW w:w="894" w:type="pct"/>
          </w:tcPr>
          <w:p w14:paraId="1550CA31" w14:textId="75D5BB52" w:rsidR="00C540E0" w:rsidRPr="001714D5" w:rsidRDefault="00C540E0" w:rsidP="0019700F">
            <w:pPr>
              <w:jc w:val="center"/>
              <w:rPr>
                <w:rFonts w:asciiTheme="majorBidi" w:hAnsiTheme="majorBidi" w:cstheme="majorBidi"/>
                <w:sz w:val="24"/>
                <w:szCs w:val="24"/>
              </w:rPr>
            </w:pPr>
            <w:r w:rsidRPr="001714D5">
              <w:rPr>
                <w:rFonts w:asciiTheme="majorBidi" w:hAnsiTheme="majorBidi" w:cstheme="majorBidi"/>
                <w:sz w:val="24"/>
                <w:szCs w:val="24"/>
              </w:rPr>
              <w:t>Suggest the role of pain and medication on early postoperative period</w:t>
            </w:r>
            <w:r w:rsidR="007377DA" w:rsidRPr="001714D5">
              <w:rPr>
                <w:rFonts w:asciiTheme="majorBidi" w:hAnsiTheme="majorBidi" w:cstheme="majorBidi"/>
                <w:sz w:val="24"/>
                <w:szCs w:val="24"/>
              </w:rPr>
              <w:t xml:space="preserve"> cognitive function</w:t>
            </w:r>
          </w:p>
        </w:tc>
        <w:tc>
          <w:tcPr>
            <w:tcW w:w="802" w:type="pct"/>
          </w:tcPr>
          <w:p w14:paraId="57697BF6" w14:textId="0FCEED28" w:rsidR="00C540E0" w:rsidRPr="001714D5" w:rsidRDefault="007221CD" w:rsidP="0019700F">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04C5751F" w14:textId="3C5273C2" w:rsidR="00C540E0" w:rsidRPr="001714D5" w:rsidRDefault="007221CD" w:rsidP="0019700F">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7221CD" w:rsidRPr="001714D5" w14:paraId="33944514" w14:textId="77777777" w:rsidTr="00AE5C8F">
        <w:trPr>
          <w:trHeight w:val="836"/>
        </w:trPr>
        <w:tc>
          <w:tcPr>
            <w:tcW w:w="648" w:type="pct"/>
          </w:tcPr>
          <w:p w14:paraId="34C9AB9C" w14:textId="3115E4FF" w:rsidR="007221CD" w:rsidRPr="00AB7713" w:rsidRDefault="007221CD" w:rsidP="00AB7713">
            <w:pPr>
              <w:ind w:left="360"/>
              <w:rPr>
                <w:rFonts w:asciiTheme="majorBidi" w:hAnsiTheme="majorBidi" w:cstheme="majorBidi"/>
                <w:sz w:val="24"/>
                <w:szCs w:val="24"/>
              </w:rPr>
            </w:pPr>
            <w:proofErr w:type="spellStart"/>
            <w:r w:rsidRPr="00AB7713">
              <w:rPr>
                <w:rFonts w:asciiTheme="majorBidi" w:eastAsia="Times New Roman" w:hAnsiTheme="majorBidi" w:cstheme="majorBidi"/>
              </w:rPr>
              <w:t>Abildstrom</w:t>
            </w:r>
            <w:proofErr w:type="spellEnd"/>
            <w:r w:rsidRPr="00AB7713">
              <w:rPr>
                <w:rFonts w:asciiTheme="majorBidi" w:eastAsia="Times New Roman" w:hAnsiTheme="majorBidi" w:cstheme="majorBidi"/>
              </w:rPr>
              <w:t xml:space="preserve"> (2000) / multinational (5) </w:t>
            </w:r>
          </w:p>
        </w:tc>
        <w:tc>
          <w:tcPr>
            <w:tcW w:w="464" w:type="pct"/>
          </w:tcPr>
          <w:p w14:paraId="37C941C2" w14:textId="555F11B5" w:rsidR="007221CD" w:rsidRPr="001714D5" w:rsidRDefault="007221CD" w:rsidP="007221CD">
            <w:pPr>
              <w:jc w:val="center"/>
              <w:rPr>
                <w:rFonts w:asciiTheme="majorBidi" w:hAnsiTheme="majorBidi" w:cstheme="majorBidi"/>
                <w:sz w:val="24"/>
                <w:szCs w:val="24"/>
              </w:rPr>
            </w:pPr>
            <w:r w:rsidRPr="001714D5">
              <w:rPr>
                <w:rFonts w:asciiTheme="majorBidi" w:hAnsiTheme="majorBidi" w:cstheme="majorBidi"/>
                <w:sz w:val="24"/>
                <w:szCs w:val="24"/>
              </w:rPr>
              <w:t>Cohort / 366</w:t>
            </w:r>
          </w:p>
        </w:tc>
        <w:tc>
          <w:tcPr>
            <w:tcW w:w="463" w:type="pct"/>
          </w:tcPr>
          <w:p w14:paraId="5FE6559F" w14:textId="029F5E07" w:rsidR="007221CD" w:rsidRPr="001714D5" w:rsidRDefault="007221CD" w:rsidP="007221CD">
            <w:pPr>
              <w:jc w:val="center"/>
              <w:rPr>
                <w:rFonts w:asciiTheme="majorBidi" w:hAnsiTheme="majorBidi" w:cstheme="majorBidi"/>
                <w:sz w:val="24"/>
                <w:szCs w:val="24"/>
              </w:rPr>
            </w:pPr>
            <w:r w:rsidRPr="001714D5">
              <w:rPr>
                <w:rFonts w:asciiTheme="majorBidi" w:hAnsiTheme="majorBidi" w:cstheme="majorBidi"/>
                <w:sz w:val="24"/>
                <w:szCs w:val="24"/>
              </w:rPr>
              <w:t>&gt; 60 years</w:t>
            </w:r>
          </w:p>
          <w:p w14:paraId="3EEC9142" w14:textId="2FFEE00E" w:rsidR="007221CD" w:rsidRPr="001714D5" w:rsidRDefault="007221CD" w:rsidP="007221CD">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148D6C64" w14:textId="44C45C0B" w:rsidR="007221CD" w:rsidRPr="001714D5" w:rsidRDefault="00765371" w:rsidP="007221CD">
            <w:pPr>
              <w:jc w:val="center"/>
              <w:rPr>
                <w:rFonts w:asciiTheme="majorBidi" w:hAnsiTheme="majorBidi" w:cstheme="majorBidi"/>
                <w:sz w:val="24"/>
                <w:szCs w:val="24"/>
              </w:rPr>
            </w:pPr>
            <w:r w:rsidRPr="001714D5">
              <w:rPr>
                <w:rFonts w:asciiTheme="majorBidi" w:hAnsiTheme="majorBidi" w:cstheme="majorBidi"/>
                <w:sz w:val="24"/>
                <w:szCs w:val="24"/>
              </w:rPr>
              <w:t>Study found no relation between POCD in 3 months and 1-2 years with long-term POCD</w:t>
            </w:r>
          </w:p>
        </w:tc>
        <w:tc>
          <w:tcPr>
            <w:tcW w:w="894" w:type="pct"/>
          </w:tcPr>
          <w:p w14:paraId="108402E3" w14:textId="35251001" w:rsidR="007221CD" w:rsidRPr="001714D5" w:rsidRDefault="00765371" w:rsidP="007221CD">
            <w:pPr>
              <w:jc w:val="center"/>
              <w:rPr>
                <w:rFonts w:asciiTheme="majorBidi" w:hAnsiTheme="majorBidi" w:cstheme="majorBidi"/>
                <w:sz w:val="24"/>
                <w:szCs w:val="24"/>
              </w:rPr>
            </w:pPr>
            <w:r w:rsidRPr="001714D5">
              <w:rPr>
                <w:rFonts w:asciiTheme="majorBidi" w:hAnsiTheme="majorBidi" w:cstheme="majorBidi"/>
                <w:sz w:val="24"/>
                <w:szCs w:val="24"/>
              </w:rPr>
              <w:t>Study found POCD to be mostly reversible but also can become persistent in 1% of patients</w:t>
            </w:r>
          </w:p>
        </w:tc>
        <w:tc>
          <w:tcPr>
            <w:tcW w:w="802" w:type="pct"/>
          </w:tcPr>
          <w:p w14:paraId="336F67AD" w14:textId="7591E6A2" w:rsidR="007221CD" w:rsidRPr="001714D5" w:rsidRDefault="00765371" w:rsidP="007221CD">
            <w:pPr>
              <w:jc w:val="center"/>
              <w:rPr>
                <w:rFonts w:asciiTheme="majorBidi" w:hAnsiTheme="majorBidi" w:cstheme="majorBidi"/>
                <w:sz w:val="24"/>
                <w:szCs w:val="24"/>
              </w:rPr>
            </w:pPr>
            <w:r w:rsidRPr="001714D5">
              <w:rPr>
                <w:rFonts w:asciiTheme="majorBidi" w:hAnsiTheme="majorBidi" w:cstheme="majorBidi"/>
                <w:sz w:val="24"/>
                <w:szCs w:val="24"/>
              </w:rPr>
              <w:t>Age, early POCD and infection during 3 months postoperative were related to long-term cognitive impairment</w:t>
            </w:r>
          </w:p>
        </w:tc>
        <w:tc>
          <w:tcPr>
            <w:tcW w:w="895" w:type="pct"/>
          </w:tcPr>
          <w:p w14:paraId="53E92DF0" w14:textId="35B1755B" w:rsidR="007221CD" w:rsidRPr="001714D5" w:rsidRDefault="00765371" w:rsidP="007221CD">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7221CD" w:rsidRPr="001714D5" w14:paraId="5950B324" w14:textId="77777777" w:rsidTr="00AE5C8F">
        <w:trPr>
          <w:trHeight w:val="836"/>
        </w:trPr>
        <w:tc>
          <w:tcPr>
            <w:tcW w:w="648" w:type="pct"/>
          </w:tcPr>
          <w:p w14:paraId="2A2306E2" w14:textId="0F26C105" w:rsidR="007221CD" w:rsidRPr="00AB7713" w:rsidRDefault="00C97992" w:rsidP="00AB7713">
            <w:pPr>
              <w:ind w:left="360"/>
              <w:rPr>
                <w:rFonts w:asciiTheme="majorBidi" w:hAnsiTheme="majorBidi" w:cstheme="majorBidi"/>
                <w:sz w:val="24"/>
                <w:szCs w:val="24"/>
              </w:rPr>
            </w:pPr>
            <w:r w:rsidRPr="00AB7713">
              <w:rPr>
                <w:rFonts w:asciiTheme="majorBidi" w:eastAsia="Times New Roman" w:hAnsiTheme="majorBidi" w:cstheme="majorBidi"/>
              </w:rPr>
              <w:t xml:space="preserve">Monk (2008) / </w:t>
            </w:r>
            <w:r w:rsidR="00075966" w:rsidRPr="00AB7713">
              <w:rPr>
                <w:rFonts w:asciiTheme="majorBidi" w:eastAsia="Times New Roman" w:hAnsiTheme="majorBidi" w:cstheme="majorBidi"/>
              </w:rPr>
              <w:t>USA (6)</w:t>
            </w:r>
          </w:p>
        </w:tc>
        <w:tc>
          <w:tcPr>
            <w:tcW w:w="464" w:type="pct"/>
          </w:tcPr>
          <w:p w14:paraId="1CCBD981" w14:textId="7BC2193D" w:rsidR="007221CD" w:rsidRPr="001714D5" w:rsidRDefault="00C97992" w:rsidP="007221CD">
            <w:pPr>
              <w:jc w:val="center"/>
              <w:rPr>
                <w:rFonts w:asciiTheme="majorBidi" w:hAnsiTheme="majorBidi" w:cstheme="majorBidi"/>
                <w:sz w:val="24"/>
                <w:szCs w:val="24"/>
              </w:rPr>
            </w:pPr>
            <w:r w:rsidRPr="001714D5">
              <w:rPr>
                <w:rFonts w:asciiTheme="majorBidi" w:hAnsiTheme="majorBidi" w:cstheme="majorBidi"/>
                <w:sz w:val="24"/>
                <w:szCs w:val="24"/>
              </w:rPr>
              <w:t>Cohort / 1</w:t>
            </w:r>
            <w:r w:rsidR="009A21CB" w:rsidRPr="001714D5">
              <w:rPr>
                <w:rFonts w:asciiTheme="majorBidi" w:hAnsiTheme="majorBidi" w:cstheme="majorBidi"/>
                <w:sz w:val="24"/>
                <w:szCs w:val="24"/>
              </w:rPr>
              <w:t>,</w:t>
            </w:r>
            <w:r w:rsidRPr="001714D5">
              <w:rPr>
                <w:rFonts w:asciiTheme="majorBidi" w:hAnsiTheme="majorBidi" w:cstheme="majorBidi"/>
                <w:sz w:val="24"/>
                <w:szCs w:val="24"/>
              </w:rPr>
              <w:t>064</w:t>
            </w:r>
          </w:p>
        </w:tc>
        <w:tc>
          <w:tcPr>
            <w:tcW w:w="463" w:type="pct"/>
          </w:tcPr>
          <w:p w14:paraId="5363F5B1" w14:textId="3EBE4A59" w:rsidR="007221CD" w:rsidRPr="001714D5" w:rsidRDefault="00C97992" w:rsidP="007221CD">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3CD55A3F" w14:textId="614659AE" w:rsidR="007221CD" w:rsidRPr="001714D5" w:rsidRDefault="00C97992" w:rsidP="007221CD">
            <w:pPr>
              <w:jc w:val="center"/>
              <w:rPr>
                <w:rFonts w:asciiTheme="majorBidi" w:hAnsiTheme="majorBidi" w:cstheme="majorBidi"/>
                <w:sz w:val="24"/>
                <w:szCs w:val="24"/>
              </w:rPr>
            </w:pPr>
            <w:r w:rsidRPr="001714D5">
              <w:rPr>
                <w:rFonts w:asciiTheme="majorBidi" w:hAnsiTheme="majorBidi" w:cstheme="majorBidi"/>
                <w:sz w:val="24"/>
                <w:szCs w:val="24"/>
              </w:rPr>
              <w:t>While being common in all adults, POCD only increases the risk of long-term cognitive impairment for patients older than 60 years</w:t>
            </w:r>
          </w:p>
        </w:tc>
        <w:tc>
          <w:tcPr>
            <w:tcW w:w="894" w:type="pct"/>
          </w:tcPr>
          <w:p w14:paraId="5FF3FFA5" w14:textId="0DF03877" w:rsidR="007221CD" w:rsidRPr="001714D5" w:rsidRDefault="004E765B" w:rsidP="007221CD">
            <w:pPr>
              <w:jc w:val="center"/>
              <w:rPr>
                <w:rFonts w:asciiTheme="majorBidi" w:hAnsiTheme="majorBidi" w:cstheme="majorBidi"/>
                <w:sz w:val="24"/>
                <w:szCs w:val="24"/>
              </w:rPr>
            </w:pPr>
            <w:r w:rsidRPr="001714D5">
              <w:rPr>
                <w:rFonts w:asciiTheme="majorBidi" w:hAnsiTheme="majorBidi" w:cstheme="majorBidi"/>
                <w:sz w:val="24"/>
                <w:szCs w:val="24"/>
              </w:rPr>
              <w:t>Measurement of POCD was done at discharge from hospital and 3 months postoperative</w:t>
            </w:r>
          </w:p>
        </w:tc>
        <w:tc>
          <w:tcPr>
            <w:tcW w:w="802" w:type="pct"/>
          </w:tcPr>
          <w:p w14:paraId="2EA35833" w14:textId="049A3F06" w:rsidR="007221CD" w:rsidRPr="001714D5" w:rsidRDefault="00C97992" w:rsidP="007221CD">
            <w:pPr>
              <w:jc w:val="center"/>
              <w:rPr>
                <w:rFonts w:asciiTheme="majorBidi" w:hAnsiTheme="majorBidi" w:cstheme="majorBidi"/>
                <w:sz w:val="24"/>
                <w:szCs w:val="24"/>
              </w:rPr>
            </w:pPr>
            <w:r w:rsidRPr="001714D5">
              <w:rPr>
                <w:rFonts w:asciiTheme="majorBidi" w:hAnsiTheme="majorBidi" w:cstheme="majorBidi"/>
                <w:sz w:val="24"/>
                <w:szCs w:val="24"/>
              </w:rPr>
              <w:t>POCD at 3 months was related to higher age, lower level of education, history of cerebral vascular injury and POCD at discharge</w:t>
            </w:r>
          </w:p>
        </w:tc>
        <w:tc>
          <w:tcPr>
            <w:tcW w:w="895" w:type="pct"/>
          </w:tcPr>
          <w:p w14:paraId="4B7B6EA6" w14:textId="56A0A765" w:rsidR="007221CD" w:rsidRPr="001714D5" w:rsidRDefault="00C97992" w:rsidP="007221CD">
            <w:pPr>
              <w:jc w:val="center"/>
              <w:rPr>
                <w:rFonts w:asciiTheme="majorBidi" w:hAnsiTheme="majorBidi" w:cstheme="majorBidi"/>
                <w:sz w:val="24"/>
                <w:szCs w:val="24"/>
              </w:rPr>
            </w:pPr>
            <w:r w:rsidRPr="001714D5">
              <w:rPr>
                <w:rFonts w:asciiTheme="majorBidi" w:hAnsiTheme="majorBidi" w:cstheme="majorBidi"/>
                <w:sz w:val="24"/>
                <w:szCs w:val="24"/>
              </w:rPr>
              <w:t xml:space="preserve">POCD at discharge </w:t>
            </w:r>
            <w:r w:rsidR="00981FBA" w:rsidRPr="001714D5">
              <w:rPr>
                <w:rFonts w:asciiTheme="majorBidi" w:hAnsiTheme="majorBidi" w:cstheme="majorBidi"/>
                <w:sz w:val="24"/>
                <w:szCs w:val="24"/>
              </w:rPr>
              <w:t>and 3</w:t>
            </w:r>
            <w:r w:rsidRPr="001714D5">
              <w:rPr>
                <w:rFonts w:asciiTheme="majorBidi" w:hAnsiTheme="majorBidi" w:cstheme="majorBidi"/>
                <w:sz w:val="24"/>
                <w:szCs w:val="24"/>
              </w:rPr>
              <w:t xml:space="preserve"> months was related to higher mortality rate</w:t>
            </w:r>
          </w:p>
        </w:tc>
      </w:tr>
      <w:tr w:rsidR="00075966" w:rsidRPr="001714D5" w14:paraId="65A72305" w14:textId="77777777" w:rsidTr="00AE5C8F">
        <w:trPr>
          <w:trHeight w:val="836"/>
        </w:trPr>
        <w:tc>
          <w:tcPr>
            <w:tcW w:w="648" w:type="pct"/>
          </w:tcPr>
          <w:p w14:paraId="4397D350" w14:textId="63169216" w:rsidR="00075966" w:rsidRPr="00AB7713" w:rsidRDefault="00075966" w:rsidP="00AB7713">
            <w:pPr>
              <w:ind w:left="360"/>
              <w:rPr>
                <w:rFonts w:asciiTheme="majorBidi" w:hAnsiTheme="majorBidi" w:cstheme="majorBidi"/>
                <w:sz w:val="24"/>
                <w:szCs w:val="24"/>
              </w:rPr>
            </w:pPr>
            <w:r w:rsidRPr="00AB7713">
              <w:rPr>
                <w:rFonts w:asciiTheme="majorBidi" w:eastAsia="Times New Roman" w:hAnsiTheme="majorBidi" w:cstheme="majorBidi"/>
              </w:rPr>
              <w:t>Price (2008) / USA (8)</w:t>
            </w:r>
          </w:p>
          <w:p w14:paraId="18458998" w14:textId="77777777" w:rsidR="00075966" w:rsidRPr="001714D5" w:rsidRDefault="00075966" w:rsidP="00AB7713">
            <w:pPr>
              <w:rPr>
                <w:rFonts w:asciiTheme="majorBidi" w:hAnsiTheme="majorBidi" w:cstheme="majorBidi"/>
                <w:sz w:val="24"/>
                <w:szCs w:val="24"/>
              </w:rPr>
            </w:pPr>
          </w:p>
        </w:tc>
        <w:tc>
          <w:tcPr>
            <w:tcW w:w="464" w:type="pct"/>
          </w:tcPr>
          <w:p w14:paraId="3EBC40D2" w14:textId="1C2F2D8F"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Case- control / 417</w:t>
            </w:r>
          </w:p>
        </w:tc>
        <w:tc>
          <w:tcPr>
            <w:tcW w:w="463" w:type="pct"/>
          </w:tcPr>
          <w:p w14:paraId="570F7F65" w14:textId="47B5988E"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08972DFF" w14:textId="4D82BB2A"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Patients with executive or both executive and memory impairment had more deficits in instrumental activities of daily living</w:t>
            </w:r>
          </w:p>
        </w:tc>
        <w:tc>
          <w:tcPr>
            <w:tcW w:w="894" w:type="pct"/>
          </w:tcPr>
          <w:p w14:paraId="2ACC3D1F" w14:textId="28AEF4E0"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Patients developed cognitive function</w:t>
            </w:r>
            <w:r w:rsidR="006C354F" w:rsidRPr="001714D5">
              <w:rPr>
                <w:rFonts w:asciiTheme="majorBidi" w:hAnsiTheme="majorBidi" w:cstheme="majorBidi"/>
                <w:sz w:val="24"/>
                <w:szCs w:val="24"/>
              </w:rPr>
              <w:t xml:space="preserve"> impairment</w:t>
            </w:r>
            <w:r w:rsidRPr="001714D5">
              <w:rPr>
                <w:rFonts w:asciiTheme="majorBidi" w:hAnsiTheme="majorBidi" w:cstheme="majorBidi"/>
                <w:sz w:val="24"/>
                <w:szCs w:val="24"/>
              </w:rPr>
              <w:t xml:space="preserve"> in memory, executive function or both domains postoperative</w:t>
            </w:r>
          </w:p>
        </w:tc>
        <w:tc>
          <w:tcPr>
            <w:tcW w:w="802" w:type="pct"/>
          </w:tcPr>
          <w:p w14:paraId="78518B8D" w14:textId="631FF4C1"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6B639063" w14:textId="7B169E0E" w:rsidR="00075966" w:rsidRPr="001714D5" w:rsidRDefault="00075966" w:rsidP="00075966">
            <w:pPr>
              <w:jc w:val="center"/>
              <w:rPr>
                <w:rFonts w:asciiTheme="majorBidi" w:hAnsiTheme="majorBidi" w:cstheme="majorBidi"/>
                <w:sz w:val="24"/>
                <w:szCs w:val="24"/>
              </w:rPr>
            </w:pPr>
            <w:r w:rsidRPr="001714D5">
              <w:rPr>
                <w:rFonts w:asciiTheme="majorBidi" w:hAnsiTheme="majorBidi" w:cstheme="majorBidi"/>
                <w:sz w:val="24"/>
                <w:szCs w:val="24"/>
              </w:rPr>
              <w:t>POCD was related to greater impairment in instrumental activities of daily living</w:t>
            </w:r>
          </w:p>
        </w:tc>
      </w:tr>
      <w:tr w:rsidR="00F56E31" w:rsidRPr="001714D5" w14:paraId="64E2991F" w14:textId="77777777" w:rsidTr="00AE5C8F">
        <w:trPr>
          <w:trHeight w:val="836"/>
        </w:trPr>
        <w:tc>
          <w:tcPr>
            <w:tcW w:w="648" w:type="pct"/>
          </w:tcPr>
          <w:p w14:paraId="31710EE4" w14:textId="276CBE61"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lastRenderedPageBreak/>
              <w:t>Needham (2017) / UK (12)</w:t>
            </w:r>
          </w:p>
        </w:tc>
        <w:tc>
          <w:tcPr>
            <w:tcW w:w="464" w:type="pct"/>
          </w:tcPr>
          <w:p w14:paraId="59551DAA" w14:textId="719ADF2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315FDE9F" w14:textId="71A3660A"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NA</w:t>
            </w:r>
          </w:p>
        </w:tc>
        <w:tc>
          <w:tcPr>
            <w:tcW w:w="834" w:type="pct"/>
          </w:tcPr>
          <w:p w14:paraId="45EC47C3" w14:textId="618E48BA"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 xml:space="preserve">Study suggests a lack of accurate information for patients and also an agreed definition and assessment of POCD </w:t>
            </w:r>
          </w:p>
        </w:tc>
        <w:tc>
          <w:tcPr>
            <w:tcW w:w="894" w:type="pct"/>
          </w:tcPr>
          <w:p w14:paraId="1489E10E" w14:textId="4C51C8C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characterizes POCD to begin between 7 days and one year postoperative</w:t>
            </w:r>
          </w:p>
        </w:tc>
        <w:tc>
          <w:tcPr>
            <w:tcW w:w="802" w:type="pct"/>
          </w:tcPr>
          <w:p w14:paraId="088B8811" w14:textId="2FE17C5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discusses several risk factors</w:t>
            </w:r>
          </w:p>
        </w:tc>
        <w:tc>
          <w:tcPr>
            <w:tcW w:w="895" w:type="pct"/>
          </w:tcPr>
          <w:p w14:paraId="6BEFAD92" w14:textId="014C585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BC3EA50" w14:textId="77777777" w:rsidTr="00AE5C8F">
        <w:trPr>
          <w:trHeight w:val="836"/>
        </w:trPr>
        <w:tc>
          <w:tcPr>
            <w:tcW w:w="648" w:type="pct"/>
          </w:tcPr>
          <w:p w14:paraId="00744A63" w14:textId="2CA6E880"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t>Liu (2021) / China (13)</w:t>
            </w:r>
          </w:p>
        </w:tc>
        <w:tc>
          <w:tcPr>
            <w:tcW w:w="464" w:type="pct"/>
          </w:tcPr>
          <w:p w14:paraId="085667D9" w14:textId="237B003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75DAA5EE" w14:textId="793C54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601C8658" w14:textId="7641AB9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suggests the use of a set of neurocognitive tools that have fewer overlap for the diagnosis of POCD</w:t>
            </w:r>
          </w:p>
        </w:tc>
        <w:tc>
          <w:tcPr>
            <w:tcW w:w="894" w:type="pct"/>
          </w:tcPr>
          <w:p w14:paraId="415ACF56" w14:textId="2F335C7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3D0E943" w14:textId="7A1058A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10919313" w14:textId="02326C2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0616D675" w14:textId="77777777" w:rsidTr="00AE5C8F">
        <w:trPr>
          <w:trHeight w:val="836"/>
        </w:trPr>
        <w:tc>
          <w:tcPr>
            <w:tcW w:w="648" w:type="pct"/>
          </w:tcPr>
          <w:p w14:paraId="26C89B9B" w14:textId="76CC3CC0"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t>Yang (2022) / China (14)</w:t>
            </w:r>
          </w:p>
        </w:tc>
        <w:tc>
          <w:tcPr>
            <w:tcW w:w="464" w:type="pct"/>
          </w:tcPr>
          <w:p w14:paraId="790642B3" w14:textId="07DDCCA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0039D27B" w14:textId="6884B5A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454C5921" w14:textId="65630BA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suggests risk assessment to be done at hospital admission, during surgery and postoperatively and if POCD remains at discharge, follow-up be done</w:t>
            </w:r>
          </w:p>
        </w:tc>
        <w:tc>
          <w:tcPr>
            <w:tcW w:w="894" w:type="pct"/>
          </w:tcPr>
          <w:p w14:paraId="1D04136B" w14:textId="30D95C2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4069BC39" w14:textId="065234D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discusses preoperative, intraoperative, and postoperative risk factors of POCD</w:t>
            </w:r>
          </w:p>
        </w:tc>
        <w:tc>
          <w:tcPr>
            <w:tcW w:w="895" w:type="pct"/>
          </w:tcPr>
          <w:p w14:paraId="3366B412" w14:textId="269E033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4561D7EB" w14:textId="77777777" w:rsidTr="00AE5C8F">
        <w:trPr>
          <w:trHeight w:val="836"/>
        </w:trPr>
        <w:tc>
          <w:tcPr>
            <w:tcW w:w="648" w:type="pct"/>
          </w:tcPr>
          <w:p w14:paraId="6B64C264" w14:textId="27FD0240"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t>Steinmetz (2008) / Multinational (18)</w:t>
            </w:r>
          </w:p>
        </w:tc>
        <w:tc>
          <w:tcPr>
            <w:tcW w:w="464" w:type="pct"/>
          </w:tcPr>
          <w:p w14:paraId="138271F6" w14:textId="77FC38A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1,083</w:t>
            </w:r>
          </w:p>
        </w:tc>
        <w:tc>
          <w:tcPr>
            <w:tcW w:w="463" w:type="pct"/>
          </w:tcPr>
          <w:p w14:paraId="7CE0787F" w14:textId="7777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&gt; 60 years</w:t>
            </w:r>
          </w:p>
          <w:p w14:paraId="0E5AB91F" w14:textId="38B6297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497C8A11" w14:textId="1DE142B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Although choice reaction time showed to be significantly longer in patients with POCD it showed a low positive predictive value</w:t>
            </w:r>
          </w:p>
        </w:tc>
        <w:tc>
          <w:tcPr>
            <w:tcW w:w="894" w:type="pct"/>
          </w:tcPr>
          <w:p w14:paraId="49C983AB" w14:textId="5C93780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2CD1AA0" w14:textId="6ECB12A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21834E5C" w14:textId="69706B9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Patients with POCD showed longer reaction times</w:t>
            </w:r>
          </w:p>
        </w:tc>
      </w:tr>
      <w:tr w:rsidR="00F56E31" w:rsidRPr="001714D5" w14:paraId="5017FDFD" w14:textId="77777777" w:rsidTr="00AE5C8F">
        <w:trPr>
          <w:trHeight w:val="836"/>
        </w:trPr>
        <w:tc>
          <w:tcPr>
            <w:tcW w:w="648" w:type="pct"/>
          </w:tcPr>
          <w:p w14:paraId="2417042A" w14:textId="2D2C955A" w:rsidR="00F56E31" w:rsidRPr="00AB7713" w:rsidRDefault="00F56E31" w:rsidP="00F56E31">
            <w:pPr>
              <w:ind w:left="360"/>
              <w:rPr>
                <w:rFonts w:asciiTheme="majorBidi" w:hAnsiTheme="majorBidi" w:cstheme="majorBidi"/>
                <w:sz w:val="24"/>
                <w:szCs w:val="24"/>
              </w:rPr>
            </w:pPr>
            <w:proofErr w:type="spellStart"/>
            <w:r w:rsidRPr="00AB7713">
              <w:rPr>
                <w:rFonts w:asciiTheme="majorBidi" w:eastAsia="Times New Roman" w:hAnsiTheme="majorBidi" w:cstheme="majorBidi"/>
              </w:rPr>
              <w:t>Rundshagen</w:t>
            </w:r>
            <w:proofErr w:type="spellEnd"/>
            <w:r w:rsidRPr="00AB7713">
              <w:rPr>
                <w:rFonts w:asciiTheme="majorBidi" w:eastAsia="Times New Roman" w:hAnsiTheme="majorBidi" w:cstheme="majorBidi"/>
              </w:rPr>
              <w:t xml:space="preserve"> (2014) / Germany (20)</w:t>
            </w:r>
          </w:p>
        </w:tc>
        <w:tc>
          <w:tcPr>
            <w:tcW w:w="464" w:type="pct"/>
          </w:tcPr>
          <w:p w14:paraId="22077356" w14:textId="2E27C3B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12E066F0" w14:textId="69CE83B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45D9BD9C" w14:textId="3AD22237"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Study reviews definition, incidence, measuring tools, pathogenesis, risk factors and prevention and treatments of POCD</w:t>
            </w:r>
          </w:p>
        </w:tc>
        <w:tc>
          <w:tcPr>
            <w:tcW w:w="894" w:type="pct"/>
          </w:tcPr>
          <w:p w14:paraId="4D4BDAE5" w14:textId="4000882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Defines POCD as a new cognitive impairment happening postoperative</w:t>
            </w:r>
          </w:p>
        </w:tc>
        <w:tc>
          <w:tcPr>
            <w:tcW w:w="802" w:type="pct"/>
          </w:tcPr>
          <w:p w14:paraId="72195922" w14:textId="68E52A3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discusses several risk factors</w:t>
            </w:r>
          </w:p>
        </w:tc>
        <w:tc>
          <w:tcPr>
            <w:tcW w:w="895" w:type="pct"/>
          </w:tcPr>
          <w:p w14:paraId="517D544D" w14:textId="54B707FC"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Study discusses the role of POCD in poorer recovery, higher mortality and increased use of social financial assistance</w:t>
            </w:r>
          </w:p>
        </w:tc>
      </w:tr>
      <w:tr w:rsidR="00F56E31" w:rsidRPr="001714D5" w14:paraId="17F1C9B1" w14:textId="75E9C5AE" w:rsidTr="00AE5C8F">
        <w:trPr>
          <w:trHeight w:val="278"/>
        </w:trPr>
        <w:tc>
          <w:tcPr>
            <w:tcW w:w="648" w:type="pct"/>
          </w:tcPr>
          <w:p w14:paraId="608093F3" w14:textId="77777777" w:rsidR="00F56E31" w:rsidRPr="00AB7713" w:rsidRDefault="00F56E31" w:rsidP="00F56E31">
            <w:pPr>
              <w:ind w:left="360"/>
              <w:rPr>
                <w:rFonts w:asciiTheme="majorBidi" w:hAnsiTheme="majorBidi" w:cstheme="majorBidi"/>
              </w:rPr>
            </w:pPr>
            <w:r w:rsidRPr="00AB7713">
              <w:rPr>
                <w:rFonts w:asciiTheme="majorBidi" w:hAnsiTheme="majorBidi" w:cstheme="majorBidi"/>
              </w:rPr>
              <w:lastRenderedPageBreak/>
              <w:t>Moller (1998)/ Multinational</w:t>
            </w:r>
          </w:p>
          <w:p w14:paraId="3256C46B" w14:textId="02089F96" w:rsidR="00F56E31" w:rsidRPr="00AB7713" w:rsidRDefault="00F56E31" w:rsidP="00F56E31">
            <w:pPr>
              <w:ind w:left="360"/>
              <w:rPr>
                <w:rFonts w:asciiTheme="majorBidi" w:hAnsiTheme="majorBidi" w:cstheme="majorBidi"/>
              </w:rPr>
            </w:pPr>
            <w:r w:rsidRPr="00AB7713">
              <w:rPr>
                <w:rFonts w:asciiTheme="majorBidi" w:hAnsiTheme="majorBidi" w:cstheme="majorBidi"/>
              </w:rPr>
              <w:t>(23)</w:t>
            </w:r>
          </w:p>
        </w:tc>
        <w:tc>
          <w:tcPr>
            <w:tcW w:w="464" w:type="pct"/>
          </w:tcPr>
          <w:p w14:paraId="45BA0F84" w14:textId="2F47A78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Prospective Cohort/ 1,539</w:t>
            </w:r>
          </w:p>
        </w:tc>
        <w:tc>
          <w:tcPr>
            <w:tcW w:w="463" w:type="pct"/>
          </w:tcPr>
          <w:p w14:paraId="5AF49D97" w14:textId="236F7D3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60 years</w:t>
            </w:r>
          </w:p>
          <w:p w14:paraId="1177E56E" w14:textId="07D28D9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Major non-cardiac surgery</w:t>
            </w:r>
          </w:p>
          <w:p w14:paraId="0DF22235" w14:textId="45C291DB" w:rsidR="00F56E31" w:rsidRPr="001714D5" w:rsidRDefault="00F56E31" w:rsidP="00F56E31">
            <w:pPr>
              <w:jc w:val="center"/>
              <w:rPr>
                <w:rFonts w:asciiTheme="majorBidi" w:hAnsiTheme="majorBidi" w:cstheme="majorBidi"/>
                <w:sz w:val="24"/>
                <w:szCs w:val="24"/>
              </w:rPr>
            </w:pPr>
          </w:p>
        </w:tc>
        <w:tc>
          <w:tcPr>
            <w:tcW w:w="834" w:type="pct"/>
          </w:tcPr>
          <w:p w14:paraId="1D170A45" w14:textId="4CB25DB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out of the risk factors measured only higher age was related to late (3 months) POCD</w:t>
            </w:r>
          </w:p>
        </w:tc>
        <w:tc>
          <w:tcPr>
            <w:tcW w:w="894" w:type="pct"/>
          </w:tcPr>
          <w:p w14:paraId="60926D5A" w14:textId="3C8570C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Measurement of POCD was done at 1 week and 3 months. </w:t>
            </w:r>
          </w:p>
        </w:tc>
        <w:tc>
          <w:tcPr>
            <w:tcW w:w="802" w:type="pct"/>
          </w:tcPr>
          <w:p w14:paraId="10256815" w14:textId="40EDE48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Higher age and duration of anesthesia, lower education, second operation, infections and respiratory complications</w:t>
            </w:r>
          </w:p>
        </w:tc>
        <w:tc>
          <w:tcPr>
            <w:tcW w:w="895" w:type="pct"/>
          </w:tcPr>
          <w:p w14:paraId="24518CD0" w14:textId="29C4DFB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is related to decreased activity of daily living.</w:t>
            </w:r>
          </w:p>
        </w:tc>
      </w:tr>
      <w:tr w:rsidR="00F56E31" w:rsidRPr="001714D5" w14:paraId="1FC8D17C" w14:textId="6793D0EA" w:rsidTr="00AE5C8F">
        <w:trPr>
          <w:trHeight w:val="266"/>
        </w:trPr>
        <w:tc>
          <w:tcPr>
            <w:tcW w:w="648" w:type="pct"/>
          </w:tcPr>
          <w:p w14:paraId="17AC704C" w14:textId="5E1A6C8C" w:rsidR="00F56E31" w:rsidRPr="00AB7713" w:rsidRDefault="00F56E31" w:rsidP="00F56E31">
            <w:pPr>
              <w:ind w:left="360"/>
              <w:rPr>
                <w:rFonts w:asciiTheme="majorBidi" w:hAnsiTheme="majorBidi" w:cstheme="majorBidi"/>
                <w:sz w:val="24"/>
                <w:szCs w:val="24"/>
              </w:rPr>
            </w:pPr>
            <w:r w:rsidRPr="00AB7713">
              <w:rPr>
                <w:rFonts w:asciiTheme="majorBidi" w:hAnsiTheme="majorBidi" w:cstheme="majorBidi"/>
              </w:rPr>
              <w:t xml:space="preserve">Newman (2001) / USA (24) </w:t>
            </w:r>
          </w:p>
        </w:tc>
        <w:tc>
          <w:tcPr>
            <w:tcW w:w="464" w:type="pct"/>
          </w:tcPr>
          <w:p w14:paraId="4D5CCDE7" w14:textId="5E28EF8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261</w:t>
            </w:r>
          </w:p>
        </w:tc>
        <w:tc>
          <w:tcPr>
            <w:tcW w:w="463" w:type="pct"/>
          </w:tcPr>
          <w:p w14:paraId="7C53FCE4" w14:textId="2A0CBF8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rPr>
              <w:t>Elective CABG</w:t>
            </w:r>
          </w:p>
        </w:tc>
        <w:tc>
          <w:tcPr>
            <w:tcW w:w="834" w:type="pct"/>
          </w:tcPr>
          <w:p w14:paraId="3D19BF33" w14:textId="4E83CCF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High prevalence of POCD after CABG (42% after 5 years)</w:t>
            </w:r>
          </w:p>
        </w:tc>
        <w:tc>
          <w:tcPr>
            <w:tcW w:w="894" w:type="pct"/>
          </w:tcPr>
          <w:p w14:paraId="6AFDBA72" w14:textId="13B44E7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dysfunction could last 5 years.</w:t>
            </w:r>
          </w:p>
          <w:p w14:paraId="205C849C" w14:textId="16A3C5C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Change of 1 SD or more in any domain was evaluated</w:t>
            </w:r>
          </w:p>
        </w:tc>
        <w:tc>
          <w:tcPr>
            <w:tcW w:w="802" w:type="pct"/>
          </w:tcPr>
          <w:p w14:paraId="2CCABF02" w14:textId="4B5042F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decline at discharge, older age, lower education, and higher composite baseline cognitive score</w:t>
            </w:r>
          </w:p>
        </w:tc>
        <w:tc>
          <w:tcPr>
            <w:tcW w:w="895" w:type="pct"/>
          </w:tcPr>
          <w:p w14:paraId="2CC29A8B" w14:textId="32D456B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659D9AF1" w14:textId="40AF91CD" w:rsidTr="00AE5C8F">
        <w:trPr>
          <w:trHeight w:val="278"/>
        </w:trPr>
        <w:tc>
          <w:tcPr>
            <w:tcW w:w="648" w:type="pct"/>
          </w:tcPr>
          <w:p w14:paraId="5550A2C1" w14:textId="3055A23C" w:rsidR="00F56E31" w:rsidRPr="00AB7713" w:rsidRDefault="00F56E31" w:rsidP="00F56E31">
            <w:pPr>
              <w:ind w:left="360"/>
              <w:rPr>
                <w:rFonts w:asciiTheme="majorBidi" w:hAnsiTheme="majorBidi" w:cstheme="majorBidi"/>
                <w:sz w:val="24"/>
                <w:szCs w:val="24"/>
              </w:rPr>
            </w:pPr>
            <w:r w:rsidRPr="00AB7713">
              <w:rPr>
                <w:rFonts w:asciiTheme="majorBidi" w:hAnsiTheme="majorBidi" w:cstheme="majorBidi"/>
              </w:rPr>
              <w:t>Fong (2006) / USA (30)</w:t>
            </w:r>
          </w:p>
        </w:tc>
        <w:tc>
          <w:tcPr>
            <w:tcW w:w="464" w:type="pct"/>
          </w:tcPr>
          <w:p w14:paraId="118099E3" w14:textId="2400D3C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w:t>
            </w:r>
          </w:p>
        </w:tc>
        <w:tc>
          <w:tcPr>
            <w:tcW w:w="463" w:type="pct"/>
          </w:tcPr>
          <w:p w14:paraId="0D9C4FCB" w14:textId="1CB3798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40ADC64F" w14:textId="00B8B23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 difference between parenteral vs epidural anesthesia</w:t>
            </w:r>
          </w:p>
        </w:tc>
        <w:tc>
          <w:tcPr>
            <w:tcW w:w="894" w:type="pct"/>
          </w:tcPr>
          <w:p w14:paraId="09732F79" w14:textId="540A32A3" w:rsidR="00F56E31" w:rsidRPr="001714D5" w:rsidRDefault="00F56E31" w:rsidP="00F56E31">
            <w:pPr>
              <w:jc w:val="center"/>
              <w:rPr>
                <w:rFonts w:asciiTheme="majorBidi" w:hAnsiTheme="majorBidi" w:cstheme="majorBidi"/>
                <w:sz w:val="24"/>
                <w:szCs w:val="24"/>
              </w:rPr>
            </w:pPr>
            <w:commentRangeStart w:id="0"/>
            <w:r w:rsidRPr="001714D5">
              <w:rPr>
                <w:rFonts w:asciiTheme="majorBidi" w:hAnsiTheme="majorBidi" w:cstheme="majorBidi"/>
                <w:sz w:val="24"/>
                <w:szCs w:val="24"/>
              </w:rPr>
              <w:t>NA</w:t>
            </w:r>
            <w:commentRangeEnd w:id="0"/>
            <w:r w:rsidR="007A4799">
              <w:rPr>
                <w:rStyle w:val="CommentReference"/>
              </w:rPr>
              <w:commentReference w:id="0"/>
            </w:r>
          </w:p>
        </w:tc>
        <w:tc>
          <w:tcPr>
            <w:tcW w:w="802" w:type="pct"/>
          </w:tcPr>
          <w:p w14:paraId="05216B07" w14:textId="48E25F2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Meperidine was the only opioid </w:t>
            </w:r>
            <w:r w:rsidR="007A4799">
              <w:rPr>
                <w:rFonts w:asciiTheme="majorBidi" w:hAnsiTheme="majorBidi" w:cstheme="majorBidi"/>
                <w:sz w:val="24"/>
                <w:szCs w:val="24"/>
              </w:rPr>
              <w:t xml:space="preserve">found to be </w:t>
            </w:r>
            <w:r w:rsidRPr="001714D5">
              <w:rPr>
                <w:rFonts w:asciiTheme="majorBidi" w:hAnsiTheme="majorBidi" w:cstheme="majorBidi"/>
                <w:sz w:val="24"/>
                <w:szCs w:val="24"/>
              </w:rPr>
              <w:t>related to POCD.</w:t>
            </w:r>
          </w:p>
          <w:p w14:paraId="3C4D8208" w14:textId="2CA731EA" w:rsidR="00F56E31" w:rsidRPr="001714D5" w:rsidRDefault="00F56E31" w:rsidP="00F56E31">
            <w:pPr>
              <w:jc w:val="center"/>
              <w:rPr>
                <w:rFonts w:asciiTheme="majorBidi" w:hAnsiTheme="majorBidi" w:cstheme="majorBidi"/>
                <w:sz w:val="24"/>
                <w:szCs w:val="24"/>
              </w:rPr>
            </w:pPr>
          </w:p>
        </w:tc>
        <w:tc>
          <w:tcPr>
            <w:tcW w:w="895" w:type="pct"/>
          </w:tcPr>
          <w:p w14:paraId="2A792E01" w14:textId="54CF0C9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21120E7B" w14:textId="05E6AF9D" w:rsidTr="00AE5C8F">
        <w:trPr>
          <w:trHeight w:val="278"/>
        </w:trPr>
        <w:tc>
          <w:tcPr>
            <w:tcW w:w="648" w:type="pct"/>
          </w:tcPr>
          <w:p w14:paraId="69548753" w14:textId="440D5FC4" w:rsidR="00F56E31" w:rsidRPr="00AB7713" w:rsidRDefault="00F56E31" w:rsidP="00F56E31">
            <w:pPr>
              <w:ind w:left="360"/>
              <w:rPr>
                <w:rFonts w:asciiTheme="majorBidi" w:hAnsiTheme="majorBidi" w:cstheme="majorBidi"/>
                <w:sz w:val="24"/>
                <w:szCs w:val="24"/>
              </w:rPr>
            </w:pPr>
            <w:r w:rsidRPr="00AB7713">
              <w:rPr>
                <w:rFonts w:asciiTheme="majorBidi" w:hAnsiTheme="majorBidi" w:cstheme="majorBidi"/>
              </w:rPr>
              <w:t>Krenk (2010) / Denmark (31)</w:t>
            </w:r>
          </w:p>
        </w:tc>
        <w:tc>
          <w:tcPr>
            <w:tcW w:w="464" w:type="pct"/>
          </w:tcPr>
          <w:p w14:paraId="6AD87C2D" w14:textId="25D4860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0E20C250" w14:textId="54F9242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19CB2333" w14:textId="2BFF0F0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Intervention, hospital associated, preoperative and postoperative factors are related to POCD</w:t>
            </w:r>
          </w:p>
        </w:tc>
        <w:tc>
          <w:tcPr>
            <w:tcW w:w="894" w:type="pct"/>
          </w:tcPr>
          <w:p w14:paraId="0FE6726E" w14:textId="01DEFD5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is more subtle and long lasting than delirium</w:t>
            </w:r>
          </w:p>
        </w:tc>
        <w:tc>
          <w:tcPr>
            <w:tcW w:w="802" w:type="pct"/>
          </w:tcPr>
          <w:p w14:paraId="1400A926" w14:textId="4D8184A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Age, pre-existing disease, low level of education and cognitive function,</w:t>
            </w:r>
            <w:r w:rsidRPr="001714D5">
              <w:rPr>
                <w:rFonts w:asciiTheme="majorBidi" w:hAnsiTheme="majorBidi" w:cstheme="majorBidi"/>
              </w:rPr>
              <w:t xml:space="preserve"> minimal invasive surgery, pain control, early discharge, pharmacological sleep improvement and reduction in nighttime noise</w:t>
            </w:r>
          </w:p>
        </w:tc>
        <w:tc>
          <w:tcPr>
            <w:tcW w:w="895" w:type="pct"/>
          </w:tcPr>
          <w:p w14:paraId="7DEBC5F1" w14:textId="4184D06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D1A5C65" w14:textId="77777777" w:rsidTr="00AE5C8F">
        <w:trPr>
          <w:trHeight w:val="278"/>
        </w:trPr>
        <w:tc>
          <w:tcPr>
            <w:tcW w:w="648" w:type="pct"/>
          </w:tcPr>
          <w:p w14:paraId="558C7293" w14:textId="3FEB37A8" w:rsidR="00F56E31" w:rsidRPr="00AB7713" w:rsidRDefault="00F56E31" w:rsidP="00F56E31">
            <w:pPr>
              <w:ind w:left="360"/>
              <w:rPr>
                <w:rFonts w:asciiTheme="majorBidi" w:hAnsiTheme="majorBidi" w:cstheme="majorBidi"/>
              </w:rPr>
            </w:pPr>
            <w:r w:rsidRPr="00AB7713">
              <w:rPr>
                <w:rFonts w:asciiTheme="majorBidi" w:hAnsiTheme="majorBidi" w:cstheme="majorBidi"/>
              </w:rPr>
              <w:t>Rasmussen (2006) / Denmark (32)</w:t>
            </w:r>
          </w:p>
        </w:tc>
        <w:tc>
          <w:tcPr>
            <w:tcW w:w="464" w:type="pct"/>
          </w:tcPr>
          <w:p w14:paraId="081464B9" w14:textId="53F18EA1"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Narrative review</w:t>
            </w:r>
          </w:p>
        </w:tc>
        <w:tc>
          <w:tcPr>
            <w:tcW w:w="463" w:type="pct"/>
          </w:tcPr>
          <w:p w14:paraId="1168BAB1" w14:textId="27BD9A30"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NA</w:t>
            </w:r>
          </w:p>
        </w:tc>
        <w:tc>
          <w:tcPr>
            <w:tcW w:w="834" w:type="pct"/>
          </w:tcPr>
          <w:p w14:paraId="79CED597" w14:textId="60AB5A44"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Study suggest data from control groups to be beneficial because it can help to interpret variability in results</w:t>
            </w:r>
          </w:p>
        </w:tc>
        <w:tc>
          <w:tcPr>
            <w:tcW w:w="894" w:type="pct"/>
          </w:tcPr>
          <w:p w14:paraId="0EE4F207" w14:textId="4F4E68B5"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POCD is a subtle change in cognitive function needing neuropsychological testing to be detected</w:t>
            </w:r>
          </w:p>
        </w:tc>
        <w:tc>
          <w:tcPr>
            <w:tcW w:w="802" w:type="pct"/>
          </w:tcPr>
          <w:p w14:paraId="0025A6E0" w14:textId="3CB9C7F8"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Several risk factors were discussed</w:t>
            </w:r>
          </w:p>
        </w:tc>
        <w:tc>
          <w:tcPr>
            <w:tcW w:w="895" w:type="pct"/>
          </w:tcPr>
          <w:p w14:paraId="3F7F98EC" w14:textId="354E72C0"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NA</w:t>
            </w:r>
          </w:p>
        </w:tc>
      </w:tr>
      <w:tr w:rsidR="00F56E31" w:rsidRPr="001714D5" w14:paraId="30A0A8D6" w14:textId="59159953" w:rsidTr="00AE5C8F">
        <w:trPr>
          <w:trHeight w:val="278"/>
        </w:trPr>
        <w:tc>
          <w:tcPr>
            <w:tcW w:w="648" w:type="pct"/>
          </w:tcPr>
          <w:p w14:paraId="36FAC096" w14:textId="1698548E" w:rsidR="00F56E31" w:rsidRPr="00AB7713" w:rsidRDefault="00F56E31" w:rsidP="00F56E31">
            <w:pPr>
              <w:ind w:left="360"/>
              <w:rPr>
                <w:rFonts w:asciiTheme="majorBidi" w:hAnsiTheme="majorBidi" w:cstheme="majorBidi"/>
                <w:sz w:val="24"/>
                <w:szCs w:val="24"/>
              </w:rPr>
            </w:pPr>
            <w:r w:rsidRPr="00AB7713">
              <w:rPr>
                <w:rFonts w:asciiTheme="majorBidi" w:hAnsiTheme="majorBidi" w:cstheme="majorBidi"/>
              </w:rPr>
              <w:t>Christopher (2004) / USA (33)</w:t>
            </w:r>
          </w:p>
        </w:tc>
        <w:tc>
          <w:tcPr>
            <w:tcW w:w="464" w:type="pct"/>
          </w:tcPr>
          <w:p w14:paraId="4CBB0E43" w14:textId="49F970A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w:t>
            </w:r>
          </w:p>
        </w:tc>
        <w:tc>
          <w:tcPr>
            <w:tcW w:w="463" w:type="pct"/>
          </w:tcPr>
          <w:p w14:paraId="3F1EFD07" w14:textId="0469A3C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22DDC378" w14:textId="37B84DD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Many concerns with assessment of </w:t>
            </w:r>
            <w:r w:rsidRPr="001714D5">
              <w:rPr>
                <w:rFonts w:asciiTheme="majorBidi" w:hAnsiTheme="majorBidi" w:cstheme="majorBidi"/>
                <w:sz w:val="24"/>
                <w:szCs w:val="24"/>
              </w:rPr>
              <w:lastRenderedPageBreak/>
              <w:t>cognitive function and tests in studies.</w:t>
            </w:r>
          </w:p>
        </w:tc>
        <w:tc>
          <w:tcPr>
            <w:tcW w:w="894" w:type="pct"/>
          </w:tcPr>
          <w:p w14:paraId="7604ACC5" w14:textId="65C2D2C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c>
          <w:tcPr>
            <w:tcW w:w="802" w:type="pct"/>
          </w:tcPr>
          <w:p w14:paraId="762A6583" w14:textId="005C1FB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No difference between General vs </w:t>
            </w:r>
            <w:r w:rsidRPr="001714D5">
              <w:rPr>
                <w:rFonts w:asciiTheme="majorBidi" w:hAnsiTheme="majorBidi" w:cstheme="majorBidi"/>
                <w:sz w:val="24"/>
                <w:szCs w:val="24"/>
              </w:rPr>
              <w:lastRenderedPageBreak/>
              <w:t>neuraxial anesthesia in POCD</w:t>
            </w:r>
          </w:p>
        </w:tc>
        <w:tc>
          <w:tcPr>
            <w:tcW w:w="895" w:type="pct"/>
          </w:tcPr>
          <w:p w14:paraId="2CA7D8D9" w14:textId="4036AAA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r>
      <w:tr w:rsidR="00F56E31" w:rsidRPr="001714D5" w14:paraId="0CC3180F" w14:textId="3E36D28D" w:rsidTr="00AE5C8F">
        <w:trPr>
          <w:trHeight w:val="278"/>
        </w:trPr>
        <w:tc>
          <w:tcPr>
            <w:tcW w:w="648" w:type="pct"/>
          </w:tcPr>
          <w:p w14:paraId="30029042" w14:textId="4CDA0BDF" w:rsidR="00F56E31" w:rsidRPr="00AB7713" w:rsidRDefault="00F56E31" w:rsidP="00F56E31">
            <w:pPr>
              <w:ind w:left="360"/>
              <w:rPr>
                <w:rFonts w:asciiTheme="majorBidi" w:hAnsiTheme="majorBidi" w:cstheme="majorBidi"/>
                <w:sz w:val="24"/>
                <w:szCs w:val="24"/>
              </w:rPr>
            </w:pPr>
            <w:proofErr w:type="spellStart"/>
            <w:r w:rsidRPr="00AB7713">
              <w:rPr>
                <w:rFonts w:asciiTheme="majorBidi" w:eastAsia="Times New Roman" w:hAnsiTheme="majorBidi" w:cstheme="majorBidi"/>
              </w:rPr>
              <w:t>Terrando</w:t>
            </w:r>
            <w:proofErr w:type="spellEnd"/>
            <w:r w:rsidRPr="00AB7713">
              <w:rPr>
                <w:rFonts w:asciiTheme="majorBidi" w:eastAsia="Times New Roman" w:hAnsiTheme="majorBidi" w:cstheme="majorBidi"/>
              </w:rPr>
              <w:t xml:space="preserve"> (2011) / USA (34)</w:t>
            </w:r>
          </w:p>
        </w:tc>
        <w:tc>
          <w:tcPr>
            <w:tcW w:w="464" w:type="pct"/>
          </w:tcPr>
          <w:p w14:paraId="6D6507AB" w14:textId="3346C0E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Review </w:t>
            </w:r>
          </w:p>
        </w:tc>
        <w:tc>
          <w:tcPr>
            <w:tcW w:w="463" w:type="pct"/>
          </w:tcPr>
          <w:p w14:paraId="57E42734" w14:textId="3C2869E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66C0C7EF" w14:textId="366EA28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proposes a road map for further investigations covering different aspects of POCD</w:t>
            </w:r>
          </w:p>
        </w:tc>
        <w:tc>
          <w:tcPr>
            <w:tcW w:w="894" w:type="pct"/>
          </w:tcPr>
          <w:p w14:paraId="3915FEEB" w14:textId="08AB0D9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is more subtle and prolonged than POD.</w:t>
            </w:r>
          </w:p>
        </w:tc>
        <w:tc>
          <w:tcPr>
            <w:tcW w:w="802" w:type="pct"/>
          </w:tcPr>
          <w:p w14:paraId="3B9B14F1" w14:textId="12BA6FA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is a more than expected decline in different domains of cognition.</w:t>
            </w:r>
          </w:p>
        </w:tc>
        <w:tc>
          <w:tcPr>
            <w:tcW w:w="895" w:type="pct"/>
          </w:tcPr>
          <w:p w14:paraId="58383D45" w14:textId="2E90E20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E12D6E6" w14:textId="009355F0" w:rsidTr="00AE5C8F">
        <w:trPr>
          <w:trHeight w:val="278"/>
        </w:trPr>
        <w:tc>
          <w:tcPr>
            <w:tcW w:w="648" w:type="pct"/>
          </w:tcPr>
          <w:p w14:paraId="4D283171" w14:textId="6A8A2053" w:rsidR="00F56E31" w:rsidRPr="00AB7713" w:rsidRDefault="00F56E31" w:rsidP="00F56E31">
            <w:pPr>
              <w:ind w:left="360"/>
              <w:rPr>
                <w:rFonts w:asciiTheme="majorBidi" w:hAnsiTheme="majorBidi" w:cstheme="majorBidi"/>
                <w:sz w:val="24"/>
                <w:szCs w:val="24"/>
              </w:rPr>
            </w:pPr>
            <w:r w:rsidRPr="00AB7713">
              <w:rPr>
                <w:rFonts w:asciiTheme="majorBidi" w:hAnsiTheme="majorBidi" w:cstheme="majorBidi"/>
              </w:rPr>
              <w:t>Steinmetz (2009)/ Denmark (35)</w:t>
            </w:r>
          </w:p>
        </w:tc>
        <w:tc>
          <w:tcPr>
            <w:tcW w:w="464" w:type="pct"/>
          </w:tcPr>
          <w:p w14:paraId="19FDACBF" w14:textId="0BEB9E1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Cohort/701</w:t>
            </w:r>
          </w:p>
        </w:tc>
        <w:tc>
          <w:tcPr>
            <w:tcW w:w="463" w:type="pct"/>
          </w:tcPr>
          <w:p w14:paraId="33D8D60F" w14:textId="41B2B0B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2098B98B" w14:textId="1913AF1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rPr>
              <w:t xml:space="preserve">No association between mortality and POCD 1 week after surgery, but significant for POCD at 3 months. </w:t>
            </w:r>
          </w:p>
        </w:tc>
        <w:tc>
          <w:tcPr>
            <w:tcW w:w="894" w:type="pct"/>
          </w:tcPr>
          <w:p w14:paraId="2EBBE5B7" w14:textId="62D19AA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Measurement done at 1 week and 3 months.</w:t>
            </w:r>
          </w:p>
        </w:tc>
        <w:tc>
          <w:tcPr>
            <w:tcW w:w="802" w:type="pct"/>
          </w:tcPr>
          <w:p w14:paraId="790D465D" w14:textId="435BD54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2F5491CF" w14:textId="2552BF0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Increased mortality, risk of leaving labor market, prevalence of receiving social transfer payments.</w:t>
            </w:r>
          </w:p>
        </w:tc>
      </w:tr>
      <w:tr w:rsidR="00F56E31" w:rsidRPr="001714D5" w14:paraId="459EA61E" w14:textId="5A6A7FD3" w:rsidTr="00AE5C8F">
        <w:trPr>
          <w:trHeight w:val="266"/>
        </w:trPr>
        <w:tc>
          <w:tcPr>
            <w:tcW w:w="648" w:type="pct"/>
          </w:tcPr>
          <w:p w14:paraId="7BF03139" w14:textId="29AD46AE" w:rsidR="00F56E31" w:rsidRPr="00AB7713" w:rsidRDefault="00F56E31" w:rsidP="00F56E31">
            <w:pPr>
              <w:ind w:left="360"/>
              <w:rPr>
                <w:rFonts w:asciiTheme="majorBidi" w:hAnsiTheme="majorBidi" w:cstheme="majorBidi"/>
                <w:sz w:val="24"/>
                <w:szCs w:val="24"/>
              </w:rPr>
            </w:pPr>
            <w:bookmarkStart w:id="1" w:name="_Hlk152966787"/>
            <w:r w:rsidRPr="00AB7713">
              <w:rPr>
                <w:rFonts w:asciiTheme="majorBidi" w:hAnsiTheme="majorBidi" w:cstheme="majorBidi"/>
              </w:rPr>
              <w:t xml:space="preserve">Steinmetz </w:t>
            </w:r>
            <w:bookmarkEnd w:id="1"/>
            <w:r w:rsidRPr="00AB7713">
              <w:rPr>
                <w:rFonts w:asciiTheme="majorBidi" w:hAnsiTheme="majorBidi" w:cstheme="majorBidi"/>
              </w:rPr>
              <w:t>(2013) / Denmark (36)</w:t>
            </w:r>
          </w:p>
        </w:tc>
        <w:tc>
          <w:tcPr>
            <w:tcW w:w="464" w:type="pct"/>
          </w:tcPr>
          <w:p w14:paraId="489D61E0" w14:textId="47466A5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686</w:t>
            </w:r>
          </w:p>
        </w:tc>
        <w:tc>
          <w:tcPr>
            <w:tcW w:w="463" w:type="pct"/>
          </w:tcPr>
          <w:p w14:paraId="58C0A61D" w14:textId="416127F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71B19B45" w14:textId="53D1AA5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 association between POCD and dementia or depression after 11 years was found.</w:t>
            </w:r>
          </w:p>
        </w:tc>
        <w:tc>
          <w:tcPr>
            <w:tcW w:w="894" w:type="pct"/>
          </w:tcPr>
          <w:p w14:paraId="32F0AD6D" w14:textId="7F42F48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is largely reversible</w:t>
            </w:r>
          </w:p>
        </w:tc>
        <w:tc>
          <w:tcPr>
            <w:tcW w:w="802" w:type="pct"/>
          </w:tcPr>
          <w:p w14:paraId="06A6580B" w14:textId="1797218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42B6ADE3" w14:textId="3BEB55C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65AAC936" w14:textId="7539B2BB" w:rsidTr="00AE5C8F">
        <w:trPr>
          <w:trHeight w:val="278"/>
        </w:trPr>
        <w:tc>
          <w:tcPr>
            <w:tcW w:w="648" w:type="pct"/>
          </w:tcPr>
          <w:p w14:paraId="5110E070" w14:textId="49DB4705"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t>Berger (2018) / USA (37)</w:t>
            </w:r>
          </w:p>
        </w:tc>
        <w:tc>
          <w:tcPr>
            <w:tcW w:w="464" w:type="pct"/>
          </w:tcPr>
          <w:p w14:paraId="0F7F1796" w14:textId="697EAA2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19B88260" w14:textId="60037E6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566E6F25" w14:textId="5B54800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proposes development of “bundle” protocols to tackle POCD.</w:t>
            </w:r>
          </w:p>
        </w:tc>
        <w:tc>
          <w:tcPr>
            <w:tcW w:w="894" w:type="pct"/>
          </w:tcPr>
          <w:p w14:paraId="3FB6F034" w14:textId="5B8ABF6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rate declines over time.</w:t>
            </w:r>
          </w:p>
          <w:p w14:paraId="095759E6" w14:textId="4DDAF81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decline can occur in single or multiple domains</w:t>
            </w:r>
          </w:p>
        </w:tc>
        <w:tc>
          <w:tcPr>
            <w:tcW w:w="802" w:type="pct"/>
          </w:tcPr>
          <w:p w14:paraId="3DA31D36" w14:textId="5BA2A60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Several risk factors discussed</w:t>
            </w:r>
          </w:p>
        </w:tc>
        <w:tc>
          <w:tcPr>
            <w:tcW w:w="895" w:type="pct"/>
          </w:tcPr>
          <w:p w14:paraId="418AA4E6" w14:textId="0E4B752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49E8CBB" w14:textId="77777777" w:rsidTr="00AE5C8F">
        <w:trPr>
          <w:trHeight w:val="278"/>
        </w:trPr>
        <w:tc>
          <w:tcPr>
            <w:tcW w:w="648" w:type="pct"/>
          </w:tcPr>
          <w:p w14:paraId="7BA4A365" w14:textId="3211B0BB" w:rsidR="00F56E31" w:rsidRPr="00AB7713" w:rsidRDefault="00F56E31" w:rsidP="00F56E31">
            <w:pPr>
              <w:ind w:left="360"/>
              <w:rPr>
                <w:rFonts w:asciiTheme="majorBidi" w:eastAsia="Times New Roman" w:hAnsiTheme="majorBidi" w:cstheme="majorBidi"/>
                <w:highlight w:val="yellow"/>
              </w:rPr>
            </w:pPr>
            <w:r w:rsidRPr="00AB7713">
              <w:rPr>
                <w:rFonts w:asciiTheme="majorBidi" w:eastAsia="Times New Roman" w:hAnsiTheme="majorBidi" w:cstheme="majorBidi"/>
              </w:rPr>
              <w:t>Evered (2016) / Australia (38)</w:t>
            </w:r>
          </w:p>
        </w:tc>
        <w:tc>
          <w:tcPr>
            <w:tcW w:w="464" w:type="pct"/>
          </w:tcPr>
          <w:p w14:paraId="761D6308" w14:textId="4217207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326(276)</w:t>
            </w:r>
          </w:p>
        </w:tc>
        <w:tc>
          <w:tcPr>
            <w:tcW w:w="463" w:type="pct"/>
          </w:tcPr>
          <w:p w14:paraId="606D2829" w14:textId="6C02CA4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Elective CABG</w:t>
            </w:r>
          </w:p>
        </w:tc>
        <w:tc>
          <w:tcPr>
            <w:tcW w:w="834" w:type="pct"/>
          </w:tcPr>
          <w:p w14:paraId="56AA8948" w14:textId="7F57F988"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See attributes column</w:t>
            </w:r>
          </w:p>
        </w:tc>
        <w:tc>
          <w:tcPr>
            <w:tcW w:w="894" w:type="pct"/>
          </w:tcPr>
          <w:p w14:paraId="67616792" w14:textId="3F4DE85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in 32.8% of patients after 7.5 years</w:t>
            </w:r>
          </w:p>
        </w:tc>
        <w:tc>
          <w:tcPr>
            <w:tcW w:w="802" w:type="pct"/>
          </w:tcPr>
          <w:p w14:paraId="1ECF32C5" w14:textId="2F978E7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Early POCD is related to long term POCD</w:t>
            </w:r>
          </w:p>
        </w:tc>
        <w:tc>
          <w:tcPr>
            <w:tcW w:w="895" w:type="pct"/>
          </w:tcPr>
          <w:p w14:paraId="0DDB642B" w14:textId="7904216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Increased risk of mortality</w:t>
            </w:r>
          </w:p>
        </w:tc>
      </w:tr>
      <w:tr w:rsidR="00F56E31" w:rsidRPr="001714D5" w14:paraId="6EB23F68" w14:textId="77777777" w:rsidTr="00AE5C8F">
        <w:trPr>
          <w:trHeight w:val="278"/>
        </w:trPr>
        <w:tc>
          <w:tcPr>
            <w:tcW w:w="648" w:type="pct"/>
          </w:tcPr>
          <w:p w14:paraId="2832FA3F" w14:textId="149AF73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Newman (2001) / USA (39)</w:t>
            </w:r>
          </w:p>
        </w:tc>
        <w:tc>
          <w:tcPr>
            <w:tcW w:w="464" w:type="pct"/>
          </w:tcPr>
          <w:p w14:paraId="46B709EB" w14:textId="23B2C62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261</w:t>
            </w:r>
          </w:p>
        </w:tc>
        <w:tc>
          <w:tcPr>
            <w:tcW w:w="463" w:type="pct"/>
          </w:tcPr>
          <w:p w14:paraId="77045DB3" w14:textId="0EB7292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Elective CABG </w:t>
            </w:r>
          </w:p>
        </w:tc>
        <w:tc>
          <w:tcPr>
            <w:tcW w:w="834" w:type="pct"/>
          </w:tcPr>
          <w:p w14:paraId="7D8B9A5A" w14:textId="47C986F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42% of patients had a cognitive decline of at least 1 SD in one domain after 5 years.</w:t>
            </w:r>
          </w:p>
        </w:tc>
        <w:tc>
          <w:tcPr>
            <w:tcW w:w="894" w:type="pct"/>
          </w:tcPr>
          <w:p w14:paraId="37F5E0E3" w14:textId="1E1CCDB3" w:rsidR="00F56E31" w:rsidRPr="001714D5" w:rsidRDefault="002D58CA" w:rsidP="00F56E31">
            <w:pPr>
              <w:jc w:val="center"/>
              <w:rPr>
                <w:rFonts w:asciiTheme="majorBidi" w:hAnsiTheme="majorBidi" w:cstheme="majorBidi"/>
                <w:sz w:val="24"/>
                <w:szCs w:val="24"/>
              </w:rPr>
            </w:pPr>
            <w:r>
              <w:rPr>
                <w:rFonts w:asciiTheme="majorBidi" w:hAnsiTheme="majorBidi" w:cstheme="majorBidi"/>
                <w:sz w:val="24"/>
                <w:szCs w:val="24"/>
              </w:rPr>
              <w:t>Neurocognitive testing was done 7 days, 6 weeks, 6 months and 5 years postoperative</w:t>
            </w:r>
          </w:p>
        </w:tc>
        <w:tc>
          <w:tcPr>
            <w:tcW w:w="802" w:type="pct"/>
          </w:tcPr>
          <w:p w14:paraId="6FAD787C" w14:textId="7D5E2BA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6CF42EBF" w14:textId="33440FE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Lower 5-year cognitive function correlates with lower quality of life score.</w:t>
            </w:r>
          </w:p>
        </w:tc>
      </w:tr>
      <w:tr w:rsidR="00F56E31" w:rsidRPr="001714D5" w14:paraId="650AF5E2" w14:textId="77777777" w:rsidTr="00AE5C8F">
        <w:trPr>
          <w:trHeight w:val="278"/>
        </w:trPr>
        <w:tc>
          <w:tcPr>
            <w:tcW w:w="648" w:type="pct"/>
          </w:tcPr>
          <w:p w14:paraId="39CB677A" w14:textId="323E6F8B" w:rsidR="00F56E31" w:rsidRPr="00AB7713" w:rsidRDefault="00F56E31" w:rsidP="00F56E31">
            <w:pPr>
              <w:ind w:left="360"/>
              <w:rPr>
                <w:rFonts w:asciiTheme="majorBidi" w:hAnsiTheme="majorBidi" w:cstheme="majorBidi"/>
                <w:sz w:val="24"/>
                <w:szCs w:val="24"/>
              </w:rPr>
            </w:pPr>
            <w:r w:rsidRPr="00AB7713">
              <w:rPr>
                <w:rFonts w:asciiTheme="majorBidi" w:eastAsia="Times New Roman" w:hAnsiTheme="majorBidi" w:cstheme="majorBidi"/>
              </w:rPr>
              <w:t>O’Gara (2020)/ Israel (40)</w:t>
            </w:r>
          </w:p>
        </w:tc>
        <w:tc>
          <w:tcPr>
            <w:tcW w:w="464" w:type="pct"/>
          </w:tcPr>
          <w:p w14:paraId="4B4D81EB" w14:textId="6FCFC49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RCT/45</w:t>
            </w:r>
          </w:p>
        </w:tc>
        <w:tc>
          <w:tcPr>
            <w:tcW w:w="463" w:type="pct"/>
          </w:tcPr>
          <w:p w14:paraId="64011FB5" w14:textId="7777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60-90 years</w:t>
            </w:r>
          </w:p>
          <w:p w14:paraId="777E02F6" w14:textId="3B9D939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Cardiac surgery</w:t>
            </w:r>
          </w:p>
        </w:tc>
        <w:tc>
          <w:tcPr>
            <w:tcW w:w="834" w:type="pct"/>
          </w:tcPr>
          <w:p w14:paraId="38449B77" w14:textId="30103C7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Overall incidence of POCD at discharge was 44%</w:t>
            </w:r>
          </w:p>
        </w:tc>
        <w:tc>
          <w:tcPr>
            <w:tcW w:w="894" w:type="pct"/>
          </w:tcPr>
          <w:p w14:paraId="02BA3377" w14:textId="601C6EA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3B0D0710" w14:textId="25EE0B3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training couldn’t reduce POCD incidence.</w:t>
            </w:r>
          </w:p>
        </w:tc>
        <w:tc>
          <w:tcPr>
            <w:tcW w:w="895" w:type="pct"/>
          </w:tcPr>
          <w:p w14:paraId="7DD4BAB0" w14:textId="5345558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7F19D5D3" w14:textId="77777777" w:rsidTr="00AE5C8F">
        <w:trPr>
          <w:trHeight w:val="278"/>
        </w:trPr>
        <w:tc>
          <w:tcPr>
            <w:tcW w:w="648" w:type="pct"/>
          </w:tcPr>
          <w:p w14:paraId="651C050E" w14:textId="32F00D34" w:rsidR="00F56E31" w:rsidRPr="00AB7713" w:rsidRDefault="00F56E31" w:rsidP="00F56E31">
            <w:pPr>
              <w:ind w:left="360"/>
              <w:rPr>
                <w:rFonts w:asciiTheme="majorBidi" w:eastAsia="Times New Roman" w:hAnsiTheme="majorBidi" w:cstheme="majorBidi"/>
              </w:rPr>
            </w:pPr>
            <w:r w:rsidRPr="00AB7713">
              <w:rPr>
                <w:rFonts w:asciiTheme="majorBidi" w:hAnsiTheme="majorBidi" w:cstheme="majorBidi"/>
              </w:rPr>
              <w:t>Belrose (2019) / Canada (41)</w:t>
            </w:r>
          </w:p>
        </w:tc>
        <w:tc>
          <w:tcPr>
            <w:tcW w:w="464" w:type="pct"/>
          </w:tcPr>
          <w:p w14:paraId="7EFAD1B5" w14:textId="2C7A01C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774C14F8" w14:textId="4B6F788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3CCD76FD" w14:textId="44A60932" w:rsidR="00F56E31" w:rsidRPr="001714D5" w:rsidRDefault="00B5691F" w:rsidP="00F56E31">
            <w:pPr>
              <w:jc w:val="center"/>
              <w:rPr>
                <w:rFonts w:asciiTheme="majorBidi" w:hAnsiTheme="majorBidi" w:cstheme="majorBidi"/>
                <w:sz w:val="24"/>
                <w:szCs w:val="24"/>
              </w:rPr>
            </w:pPr>
            <w:r>
              <w:rPr>
                <w:rFonts w:asciiTheme="majorBidi" w:hAnsiTheme="majorBidi" w:cstheme="majorBidi"/>
                <w:sz w:val="24"/>
                <w:szCs w:val="24"/>
              </w:rPr>
              <w:t xml:space="preserve">Reviews the role of Alzheimer’s disease and other similar diseases in POCD </w:t>
            </w:r>
            <w:r>
              <w:rPr>
                <w:rFonts w:asciiTheme="majorBidi" w:hAnsiTheme="majorBidi" w:cstheme="majorBidi"/>
                <w:sz w:val="24"/>
                <w:szCs w:val="24"/>
              </w:rPr>
              <w:lastRenderedPageBreak/>
              <w:t xml:space="preserve">incidence and underlying </w:t>
            </w:r>
            <w:r w:rsidR="00F828EC">
              <w:rPr>
                <w:rFonts w:asciiTheme="majorBidi" w:hAnsiTheme="majorBidi" w:cstheme="majorBidi"/>
                <w:sz w:val="24"/>
                <w:szCs w:val="24"/>
              </w:rPr>
              <w:t>m</w:t>
            </w:r>
            <w:r>
              <w:rPr>
                <w:rFonts w:asciiTheme="majorBidi" w:hAnsiTheme="majorBidi" w:cstheme="majorBidi"/>
                <w:sz w:val="24"/>
                <w:szCs w:val="24"/>
              </w:rPr>
              <w:t>echanism</w:t>
            </w:r>
          </w:p>
        </w:tc>
        <w:tc>
          <w:tcPr>
            <w:tcW w:w="894" w:type="pct"/>
          </w:tcPr>
          <w:p w14:paraId="315A9C5B" w14:textId="7D2F78D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 xml:space="preserve">Defines POCD from expected recovery (30 days) to 12 months postoperative and </w:t>
            </w:r>
            <w:r w:rsidRPr="001714D5">
              <w:rPr>
                <w:rFonts w:asciiTheme="majorBidi" w:hAnsiTheme="majorBidi" w:cstheme="majorBidi"/>
                <w:sz w:val="24"/>
                <w:szCs w:val="24"/>
              </w:rPr>
              <w:lastRenderedPageBreak/>
              <w:t>mentions a mild and major subtype</w:t>
            </w:r>
          </w:p>
        </w:tc>
        <w:tc>
          <w:tcPr>
            <w:tcW w:w="802" w:type="pct"/>
          </w:tcPr>
          <w:p w14:paraId="7C2D1DBB" w14:textId="265F340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Several risk factors discussed</w:t>
            </w:r>
          </w:p>
        </w:tc>
        <w:tc>
          <w:tcPr>
            <w:tcW w:w="895" w:type="pct"/>
          </w:tcPr>
          <w:p w14:paraId="69DA847E" w14:textId="3346B4F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25814844" w14:textId="77777777" w:rsidTr="00AE5C8F">
        <w:trPr>
          <w:trHeight w:val="278"/>
        </w:trPr>
        <w:tc>
          <w:tcPr>
            <w:tcW w:w="648" w:type="pct"/>
          </w:tcPr>
          <w:p w14:paraId="071B2674" w14:textId="3923390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Li (2015)/ China (42)</w:t>
            </w:r>
          </w:p>
        </w:tc>
        <w:tc>
          <w:tcPr>
            <w:tcW w:w="464" w:type="pct"/>
          </w:tcPr>
          <w:p w14:paraId="379ED6CE" w14:textId="223ACA0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RCT/ 80</w:t>
            </w:r>
          </w:p>
        </w:tc>
        <w:tc>
          <w:tcPr>
            <w:tcW w:w="463" w:type="pct"/>
          </w:tcPr>
          <w:p w14:paraId="1AC035E6" w14:textId="6EFFA9A3" w:rsidR="00F56E31" w:rsidRPr="001714D5" w:rsidRDefault="00F56E31" w:rsidP="00F56E31">
            <w:pPr>
              <w:jc w:val="center"/>
              <w:rPr>
                <w:rFonts w:asciiTheme="majorBidi" w:hAnsiTheme="majorBidi" w:cstheme="majorBidi"/>
              </w:rPr>
            </w:pPr>
            <w:r w:rsidRPr="001714D5">
              <w:rPr>
                <w:rFonts w:asciiTheme="majorBidi" w:hAnsiTheme="majorBidi" w:cstheme="majorBidi"/>
              </w:rPr>
              <w:t>&gt; 65 years</w:t>
            </w:r>
          </w:p>
          <w:p w14:paraId="63A36C2F" w14:textId="4DCBB3D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rPr>
              <w:t>spine surgery</w:t>
            </w:r>
          </w:p>
        </w:tc>
        <w:tc>
          <w:tcPr>
            <w:tcW w:w="834" w:type="pct"/>
          </w:tcPr>
          <w:p w14:paraId="0F7A2EA1" w14:textId="3363A9E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Lidocaine suppresses IL-6, S100b, and NSE thus may be an effective neuroprotective agent in POCD prevention</w:t>
            </w:r>
          </w:p>
        </w:tc>
        <w:tc>
          <w:tcPr>
            <w:tcW w:w="894" w:type="pct"/>
          </w:tcPr>
          <w:p w14:paraId="5D5B8B03" w14:textId="5C4D0BA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was measured 3 days postoperative</w:t>
            </w:r>
          </w:p>
        </w:tc>
        <w:tc>
          <w:tcPr>
            <w:tcW w:w="802" w:type="pct"/>
          </w:tcPr>
          <w:p w14:paraId="1BF0D898" w14:textId="215401F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Lidocaine administration during anaesthesia resulted in better cognitive function than control postoperative 3</w:t>
            </w:r>
          </w:p>
        </w:tc>
        <w:tc>
          <w:tcPr>
            <w:tcW w:w="895" w:type="pct"/>
          </w:tcPr>
          <w:p w14:paraId="01B20548" w14:textId="3701692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48D514DA" w14:textId="77777777" w:rsidTr="00AE5C8F">
        <w:trPr>
          <w:trHeight w:val="278"/>
        </w:trPr>
        <w:tc>
          <w:tcPr>
            <w:tcW w:w="648" w:type="pct"/>
          </w:tcPr>
          <w:p w14:paraId="39F762F3" w14:textId="13369E83"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Feinkohl</w:t>
            </w:r>
            <w:proofErr w:type="spellEnd"/>
            <w:r w:rsidRPr="00AB7713">
              <w:rPr>
                <w:rFonts w:asciiTheme="majorBidi" w:eastAsia="Times New Roman" w:hAnsiTheme="majorBidi" w:cstheme="majorBidi"/>
              </w:rPr>
              <w:t xml:space="preserve"> (2017) / Germany (43)</w:t>
            </w:r>
          </w:p>
        </w:tc>
        <w:tc>
          <w:tcPr>
            <w:tcW w:w="464" w:type="pct"/>
          </w:tcPr>
          <w:p w14:paraId="629BDC04" w14:textId="7A0E754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5,104</w:t>
            </w:r>
          </w:p>
        </w:tc>
        <w:tc>
          <w:tcPr>
            <w:tcW w:w="463" w:type="pct"/>
          </w:tcPr>
          <w:p w14:paraId="10547A32" w14:textId="7FD24A6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13E0837E" w14:textId="376F7D0A" w:rsidR="00F56E31" w:rsidRPr="001714D5" w:rsidRDefault="00ED26A6" w:rsidP="00F56E31">
            <w:pPr>
              <w:jc w:val="center"/>
              <w:rPr>
                <w:rFonts w:asciiTheme="majorBidi" w:hAnsiTheme="majorBidi" w:cstheme="majorBidi"/>
                <w:sz w:val="24"/>
                <w:szCs w:val="24"/>
              </w:rPr>
            </w:pPr>
            <w:r>
              <w:rPr>
                <w:rFonts w:asciiTheme="majorBidi" w:hAnsiTheme="majorBidi" w:cstheme="majorBidi"/>
                <w:sz w:val="24"/>
                <w:szCs w:val="24"/>
              </w:rPr>
              <w:t xml:space="preserve">See </w:t>
            </w:r>
            <w:proofErr w:type="gramStart"/>
            <w:r>
              <w:rPr>
                <w:rFonts w:asciiTheme="majorBidi" w:hAnsiTheme="majorBidi" w:cstheme="majorBidi"/>
                <w:sz w:val="24"/>
                <w:szCs w:val="24"/>
              </w:rPr>
              <w:t>antecedents</w:t>
            </w:r>
            <w:proofErr w:type="gramEnd"/>
            <w:r>
              <w:rPr>
                <w:rFonts w:asciiTheme="majorBidi" w:hAnsiTheme="majorBidi" w:cstheme="majorBidi"/>
                <w:sz w:val="24"/>
                <w:szCs w:val="24"/>
              </w:rPr>
              <w:t xml:space="preserve"> column </w:t>
            </w:r>
          </w:p>
        </w:tc>
        <w:tc>
          <w:tcPr>
            <w:tcW w:w="894" w:type="pct"/>
          </w:tcPr>
          <w:p w14:paraId="27213C83" w14:textId="6DB18B9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411B28DC" w14:textId="17F4C2D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Lower education was related to higher POCD incidence </w:t>
            </w:r>
          </w:p>
        </w:tc>
        <w:tc>
          <w:tcPr>
            <w:tcW w:w="895" w:type="pct"/>
          </w:tcPr>
          <w:p w14:paraId="49FB4D66" w14:textId="3EAEA1F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49DDB7D" w14:textId="77777777" w:rsidTr="00AE5C8F">
        <w:trPr>
          <w:trHeight w:val="278"/>
        </w:trPr>
        <w:tc>
          <w:tcPr>
            <w:tcW w:w="648" w:type="pct"/>
          </w:tcPr>
          <w:p w14:paraId="7AB2718D" w14:textId="538DB9AB"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Ancelin (2001)/ France (44)</w:t>
            </w:r>
          </w:p>
        </w:tc>
        <w:tc>
          <w:tcPr>
            <w:tcW w:w="464" w:type="pct"/>
          </w:tcPr>
          <w:p w14:paraId="2ABB2BCE" w14:textId="40E8B5F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140</w:t>
            </w:r>
          </w:p>
        </w:tc>
        <w:tc>
          <w:tcPr>
            <w:tcW w:w="463" w:type="pct"/>
          </w:tcPr>
          <w:p w14:paraId="519A3B23" w14:textId="541425F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&gt; 64 years</w:t>
            </w:r>
          </w:p>
          <w:p w14:paraId="698C41CB" w14:textId="2A8BD5E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Programmed orthopedic surgery </w:t>
            </w:r>
          </w:p>
        </w:tc>
        <w:tc>
          <w:tcPr>
            <w:tcW w:w="834" w:type="pct"/>
          </w:tcPr>
          <w:p w14:paraId="44C4FF48" w14:textId="20ABD15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Domains of cognition were deteriorated differently, secondary and implicit memory, visuospatial and linguistic were affected more.</w:t>
            </w:r>
          </w:p>
        </w:tc>
        <w:tc>
          <w:tcPr>
            <w:tcW w:w="894" w:type="pct"/>
          </w:tcPr>
          <w:p w14:paraId="548254A2" w14:textId="45DD2AD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function was measured at 9 days and at 3 months postop.</w:t>
            </w:r>
          </w:p>
        </w:tc>
        <w:tc>
          <w:tcPr>
            <w:tcW w:w="802" w:type="pct"/>
          </w:tcPr>
          <w:p w14:paraId="26F59EC6" w14:textId="7FDA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Patients with lower education, higher age, preoperative depression and history of cognitive deterioration showed highest cognitive decline.</w:t>
            </w:r>
          </w:p>
        </w:tc>
        <w:tc>
          <w:tcPr>
            <w:tcW w:w="895" w:type="pct"/>
          </w:tcPr>
          <w:p w14:paraId="37D8D631" w14:textId="520D327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BE9CE1B" w14:textId="77777777" w:rsidTr="00AE5C8F">
        <w:trPr>
          <w:trHeight w:val="278"/>
        </w:trPr>
        <w:tc>
          <w:tcPr>
            <w:tcW w:w="648" w:type="pct"/>
          </w:tcPr>
          <w:p w14:paraId="4D907782" w14:textId="4AE7E55C"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Ghoneim (2012) / USA (45)</w:t>
            </w:r>
          </w:p>
        </w:tc>
        <w:tc>
          <w:tcPr>
            <w:tcW w:w="464" w:type="pct"/>
          </w:tcPr>
          <w:p w14:paraId="3A458294" w14:textId="1E1C4FF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17AF4521" w14:textId="38EC34B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39FBC2E7" w14:textId="1F78232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discusses benefits of dichotomization vs. continuous measurement of cognitive decline</w:t>
            </w:r>
          </w:p>
        </w:tc>
        <w:tc>
          <w:tcPr>
            <w:tcW w:w="894" w:type="pct"/>
          </w:tcPr>
          <w:p w14:paraId="0A70EF70" w14:textId="0059274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Proposes testing within first week postop</w:t>
            </w:r>
          </w:p>
        </w:tc>
        <w:tc>
          <w:tcPr>
            <w:tcW w:w="802" w:type="pct"/>
          </w:tcPr>
          <w:p w14:paraId="299E5529" w14:textId="03D95CF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Several risk factors discussed (age, education, vascular disease, type of anesthesia and surgery)</w:t>
            </w:r>
          </w:p>
        </w:tc>
        <w:tc>
          <w:tcPr>
            <w:tcW w:w="895" w:type="pct"/>
          </w:tcPr>
          <w:p w14:paraId="3A35C596" w14:textId="1E23364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A016556" w14:textId="77777777" w:rsidTr="00AE5C8F">
        <w:trPr>
          <w:trHeight w:val="278"/>
        </w:trPr>
        <w:tc>
          <w:tcPr>
            <w:tcW w:w="648" w:type="pct"/>
          </w:tcPr>
          <w:p w14:paraId="3543210E" w14:textId="3D56DCB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Hudetz (2007) / USA (46)</w:t>
            </w:r>
          </w:p>
        </w:tc>
        <w:tc>
          <w:tcPr>
            <w:tcW w:w="464" w:type="pct"/>
          </w:tcPr>
          <w:p w14:paraId="6B57EF79" w14:textId="37CFFDBE" w:rsidR="00F56E31" w:rsidRPr="001714D5" w:rsidRDefault="00F56E31" w:rsidP="00F56E31">
            <w:pPr>
              <w:jc w:val="center"/>
              <w:rPr>
                <w:rFonts w:asciiTheme="majorBidi" w:hAnsiTheme="majorBidi" w:cstheme="majorBidi"/>
                <w:sz w:val="24"/>
                <w:szCs w:val="24"/>
                <w:highlight w:val="yellow"/>
              </w:rPr>
            </w:pPr>
            <w:r w:rsidRPr="008A6B94">
              <w:rPr>
                <w:rFonts w:asciiTheme="majorBidi" w:hAnsiTheme="majorBidi" w:cstheme="majorBidi"/>
                <w:sz w:val="24"/>
                <w:szCs w:val="24"/>
              </w:rPr>
              <w:t>Cohort/ 56</w:t>
            </w:r>
          </w:p>
        </w:tc>
        <w:tc>
          <w:tcPr>
            <w:tcW w:w="463" w:type="pct"/>
          </w:tcPr>
          <w:p w14:paraId="1ED4B52F" w14:textId="7777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55-81 years</w:t>
            </w:r>
          </w:p>
          <w:p w14:paraId="278AE98C" w14:textId="3B72324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 surgeries</w:t>
            </w:r>
          </w:p>
        </w:tc>
        <w:tc>
          <w:tcPr>
            <w:tcW w:w="834" w:type="pct"/>
          </w:tcPr>
          <w:p w14:paraId="172E6B9D" w14:textId="38F8E57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Decline in visuospatial recent memory was greater than executive function.</w:t>
            </w:r>
          </w:p>
        </w:tc>
        <w:tc>
          <w:tcPr>
            <w:tcW w:w="894" w:type="pct"/>
          </w:tcPr>
          <w:p w14:paraId="6AE33203" w14:textId="28C17BE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29027DF9" w14:textId="233FA0B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Alcohol abuse related POCD was associated with history of diabetes mellitus (DM), depression, ICU or ward administration and high blood loss.</w:t>
            </w:r>
          </w:p>
        </w:tc>
        <w:tc>
          <w:tcPr>
            <w:tcW w:w="895" w:type="pct"/>
          </w:tcPr>
          <w:p w14:paraId="5FA78E0D" w14:textId="22D93D0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BC27F55" w14:textId="77777777" w:rsidTr="00AE5C8F">
        <w:trPr>
          <w:trHeight w:val="278"/>
        </w:trPr>
        <w:tc>
          <w:tcPr>
            <w:tcW w:w="648" w:type="pct"/>
          </w:tcPr>
          <w:p w14:paraId="26087C92" w14:textId="03E92C2C"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lastRenderedPageBreak/>
              <w:t>Hudetz (2009) / USA (47)</w:t>
            </w:r>
          </w:p>
        </w:tc>
        <w:tc>
          <w:tcPr>
            <w:tcW w:w="464" w:type="pct"/>
          </w:tcPr>
          <w:p w14:paraId="2E9FA576" w14:textId="3332ECF9" w:rsidR="00F56E31" w:rsidRPr="001714D5" w:rsidRDefault="00F56E31" w:rsidP="00F56E31">
            <w:pPr>
              <w:jc w:val="center"/>
              <w:rPr>
                <w:rFonts w:asciiTheme="majorBidi" w:hAnsiTheme="majorBidi" w:cstheme="majorBidi"/>
                <w:sz w:val="24"/>
                <w:szCs w:val="24"/>
                <w:highlight w:val="yellow"/>
              </w:rPr>
            </w:pPr>
            <w:r>
              <w:rPr>
                <w:rFonts w:asciiTheme="majorBidi" w:hAnsiTheme="majorBidi" w:cstheme="majorBidi"/>
                <w:sz w:val="24"/>
                <w:szCs w:val="24"/>
              </w:rPr>
              <w:t>Cohort</w:t>
            </w:r>
            <w:r w:rsidRPr="001714D5">
              <w:rPr>
                <w:rFonts w:asciiTheme="majorBidi" w:hAnsiTheme="majorBidi" w:cstheme="majorBidi"/>
                <w:sz w:val="24"/>
                <w:szCs w:val="24"/>
              </w:rPr>
              <w:t xml:space="preserve"> / 103</w:t>
            </w:r>
          </w:p>
        </w:tc>
        <w:tc>
          <w:tcPr>
            <w:tcW w:w="463" w:type="pct"/>
          </w:tcPr>
          <w:p w14:paraId="4D60075F" w14:textId="7777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&gt; 55</w:t>
            </w:r>
          </w:p>
          <w:p w14:paraId="3D9B7117" w14:textId="4151D09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Cardiac surgery</w:t>
            </w:r>
          </w:p>
        </w:tc>
        <w:tc>
          <w:tcPr>
            <w:tcW w:w="834" w:type="pct"/>
          </w:tcPr>
          <w:p w14:paraId="0F4E554D" w14:textId="27F7A3A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Preoperative alcohol induced cognitive function doesn’t affect postoperative cognitive function.</w:t>
            </w:r>
          </w:p>
        </w:tc>
        <w:tc>
          <w:tcPr>
            <w:tcW w:w="894" w:type="pct"/>
          </w:tcPr>
          <w:p w14:paraId="4B2B2B8F" w14:textId="46A33C3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POCD was measured 3 and 7 days postoperative</w:t>
            </w:r>
          </w:p>
        </w:tc>
        <w:tc>
          <w:tcPr>
            <w:tcW w:w="802" w:type="pct"/>
          </w:tcPr>
          <w:p w14:paraId="5232FCD1" w14:textId="48A2610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Alcohol abuse requiring hospitalization is associated with POCD.</w:t>
            </w:r>
          </w:p>
        </w:tc>
        <w:tc>
          <w:tcPr>
            <w:tcW w:w="895" w:type="pct"/>
          </w:tcPr>
          <w:p w14:paraId="0919BF09" w14:textId="5381ECD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25B17C7D" w14:textId="77777777" w:rsidTr="00AE5C8F">
        <w:trPr>
          <w:trHeight w:val="278"/>
        </w:trPr>
        <w:tc>
          <w:tcPr>
            <w:tcW w:w="648" w:type="pct"/>
          </w:tcPr>
          <w:p w14:paraId="56FA1D99" w14:textId="4F866723"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Schenning (2019) / USA (48)</w:t>
            </w:r>
          </w:p>
        </w:tc>
        <w:tc>
          <w:tcPr>
            <w:tcW w:w="464" w:type="pct"/>
          </w:tcPr>
          <w:p w14:paraId="544E4D6C" w14:textId="5B9D47D8" w:rsidR="00F56E31" w:rsidRPr="001714D5" w:rsidRDefault="00F56E31" w:rsidP="00F56E31">
            <w:pPr>
              <w:jc w:val="center"/>
              <w:rPr>
                <w:rFonts w:asciiTheme="majorBidi" w:hAnsiTheme="majorBidi" w:cstheme="majorBidi"/>
                <w:sz w:val="24"/>
                <w:szCs w:val="24"/>
                <w:highlight w:val="yellow"/>
              </w:rPr>
            </w:pPr>
            <w:r w:rsidRPr="001714D5">
              <w:rPr>
                <w:rFonts w:asciiTheme="majorBidi" w:hAnsiTheme="majorBidi" w:cstheme="majorBidi"/>
                <w:sz w:val="24"/>
                <w:szCs w:val="24"/>
              </w:rPr>
              <w:t>Retrospective analysis of multiple cohorts/ 1,033</w:t>
            </w:r>
          </w:p>
        </w:tc>
        <w:tc>
          <w:tcPr>
            <w:tcW w:w="463" w:type="pct"/>
          </w:tcPr>
          <w:p w14:paraId="5AFD1614" w14:textId="288380F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NR</w:t>
            </w:r>
          </w:p>
        </w:tc>
        <w:tc>
          <w:tcPr>
            <w:tcW w:w="834" w:type="pct"/>
          </w:tcPr>
          <w:p w14:paraId="3A44E20B" w14:textId="273D3F5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Differences between sex and POCD incidence is related to APOE4 allele.</w:t>
            </w:r>
          </w:p>
        </w:tc>
        <w:tc>
          <w:tcPr>
            <w:tcW w:w="894" w:type="pct"/>
          </w:tcPr>
          <w:p w14:paraId="7FA0A598" w14:textId="76159ED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0FDC41C" w14:textId="3F8E888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Men with APOE4 allele had more POCD incidence and severity.</w:t>
            </w:r>
          </w:p>
        </w:tc>
        <w:tc>
          <w:tcPr>
            <w:tcW w:w="895" w:type="pct"/>
          </w:tcPr>
          <w:p w14:paraId="325944CF" w14:textId="34A044B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512FC523" w14:textId="77777777" w:rsidTr="00AE5C8F">
        <w:trPr>
          <w:trHeight w:val="278"/>
        </w:trPr>
        <w:tc>
          <w:tcPr>
            <w:tcW w:w="648" w:type="pct"/>
          </w:tcPr>
          <w:p w14:paraId="24290407" w14:textId="148EEAE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Silbert (2015) / Australia (49)</w:t>
            </w:r>
          </w:p>
        </w:tc>
        <w:tc>
          <w:tcPr>
            <w:tcW w:w="464" w:type="pct"/>
          </w:tcPr>
          <w:p w14:paraId="548C3FDB" w14:textId="66B6E85A" w:rsidR="00F56E31" w:rsidRPr="001714D5" w:rsidRDefault="00F56E31" w:rsidP="00F56E31">
            <w:pPr>
              <w:jc w:val="center"/>
              <w:rPr>
                <w:rFonts w:asciiTheme="majorBidi" w:hAnsiTheme="majorBidi" w:cstheme="majorBidi"/>
                <w:sz w:val="24"/>
                <w:szCs w:val="24"/>
                <w:highlight w:val="yellow"/>
              </w:rPr>
            </w:pPr>
            <w:r w:rsidRPr="001714D5">
              <w:rPr>
                <w:rFonts w:asciiTheme="majorBidi" w:hAnsiTheme="majorBidi" w:cstheme="majorBidi"/>
                <w:sz w:val="24"/>
                <w:szCs w:val="24"/>
              </w:rPr>
              <w:t>Prospective observational trial/ 300</w:t>
            </w:r>
          </w:p>
        </w:tc>
        <w:tc>
          <w:tcPr>
            <w:tcW w:w="463" w:type="pct"/>
          </w:tcPr>
          <w:p w14:paraId="43B082CE" w14:textId="6596F94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60 years</w:t>
            </w:r>
          </w:p>
          <w:p w14:paraId="237AA10F" w14:textId="2523D12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Elective total hip replacement</w:t>
            </w:r>
          </w:p>
        </w:tc>
        <w:tc>
          <w:tcPr>
            <w:tcW w:w="834" w:type="pct"/>
          </w:tcPr>
          <w:p w14:paraId="32817087" w14:textId="7E7044EB" w:rsidR="00F56E31" w:rsidRPr="001714D5" w:rsidRDefault="00F56E31" w:rsidP="00F56E31">
            <w:pPr>
              <w:jc w:val="center"/>
              <w:rPr>
                <w:rFonts w:asciiTheme="majorBidi" w:hAnsiTheme="majorBidi" w:cstheme="majorBidi"/>
                <w:sz w:val="24"/>
                <w:szCs w:val="24"/>
              </w:rPr>
            </w:pPr>
            <w:proofErr w:type="spellStart"/>
            <w:r w:rsidRPr="001714D5">
              <w:rPr>
                <w:rFonts w:asciiTheme="majorBidi" w:hAnsiTheme="majorBidi" w:cstheme="majorBidi"/>
                <w:sz w:val="24"/>
                <w:szCs w:val="24"/>
              </w:rPr>
              <w:t>PreCI</w:t>
            </w:r>
            <w:proofErr w:type="spellEnd"/>
            <w:r w:rsidRPr="001714D5">
              <w:rPr>
                <w:rFonts w:asciiTheme="majorBidi" w:hAnsiTheme="majorBidi" w:cstheme="majorBidi"/>
                <w:sz w:val="24"/>
                <w:szCs w:val="24"/>
              </w:rPr>
              <w:t xml:space="preserve"> is a good predictor of POCD</w:t>
            </w:r>
          </w:p>
        </w:tc>
        <w:tc>
          <w:tcPr>
            <w:tcW w:w="894" w:type="pct"/>
          </w:tcPr>
          <w:p w14:paraId="2AC6A7BD" w14:textId="6A2DCBA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Measurement was done at 7 days, 3 and 12 months after.</w:t>
            </w:r>
          </w:p>
        </w:tc>
        <w:tc>
          <w:tcPr>
            <w:tcW w:w="802" w:type="pct"/>
          </w:tcPr>
          <w:p w14:paraId="221DB615" w14:textId="687D808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Preexisting cognitive impairment is associated with POCD.</w:t>
            </w:r>
          </w:p>
        </w:tc>
        <w:tc>
          <w:tcPr>
            <w:tcW w:w="895" w:type="pct"/>
          </w:tcPr>
          <w:p w14:paraId="68DF14D9" w14:textId="1D1C1F2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0265AEC2" w14:textId="77777777" w:rsidTr="001B5BE6">
        <w:trPr>
          <w:trHeight w:val="278"/>
        </w:trPr>
        <w:tc>
          <w:tcPr>
            <w:tcW w:w="648" w:type="pct"/>
          </w:tcPr>
          <w:p w14:paraId="0B317CB7" w14:textId="53D2A1AE" w:rsidR="00F56E31" w:rsidRPr="00AB7713" w:rsidRDefault="00F56E31" w:rsidP="00F56E31">
            <w:pPr>
              <w:ind w:left="360"/>
              <w:rPr>
                <w:rFonts w:asciiTheme="majorBidi" w:eastAsia="Times New Roman" w:hAnsiTheme="majorBidi" w:cstheme="majorBidi"/>
                <w:highlight w:val="yellow"/>
              </w:rPr>
            </w:pPr>
            <w:r w:rsidRPr="00AB7713">
              <w:rPr>
                <w:rFonts w:asciiTheme="majorBidi" w:eastAsia="Times New Roman" w:hAnsiTheme="majorBidi" w:cstheme="majorBidi"/>
              </w:rPr>
              <w:t>Farias (2009) / USA (50)</w:t>
            </w:r>
          </w:p>
        </w:tc>
        <w:tc>
          <w:tcPr>
            <w:tcW w:w="464" w:type="pct"/>
          </w:tcPr>
          <w:p w14:paraId="048A3194" w14:textId="6EAFDB30"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Cohort / 111</w:t>
            </w:r>
          </w:p>
        </w:tc>
        <w:tc>
          <w:tcPr>
            <w:tcW w:w="463" w:type="pct"/>
          </w:tcPr>
          <w:p w14:paraId="449CBDFA" w14:textId="543B9E0A"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No surgery</w:t>
            </w:r>
          </w:p>
        </w:tc>
        <w:tc>
          <w:tcPr>
            <w:tcW w:w="3425" w:type="pct"/>
            <w:gridSpan w:val="4"/>
          </w:tcPr>
          <w:p w14:paraId="550A2CCE" w14:textId="527AB4E5"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 xml:space="preserve">Study defines MCI as a state of cognitive function transitioning from normal cognition to Alzheimer’s disease and found the greater functional impairment is related to higher chance of developing dementia in patients with MCI. </w:t>
            </w:r>
            <w:r w:rsidRPr="00001CCB">
              <w:rPr>
                <w:rFonts w:asciiTheme="majorBidi" w:hAnsiTheme="majorBidi" w:cstheme="majorBidi"/>
                <w:color w:val="FF0000"/>
                <w:sz w:val="24"/>
                <w:szCs w:val="24"/>
              </w:rPr>
              <w:t xml:space="preserve">(surrogate </w:t>
            </w:r>
            <w:proofErr w:type="gramStart"/>
            <w:r w:rsidRPr="00001CCB">
              <w:rPr>
                <w:rFonts w:asciiTheme="majorBidi" w:hAnsiTheme="majorBidi" w:cstheme="majorBidi"/>
                <w:color w:val="FF0000"/>
                <w:sz w:val="24"/>
                <w:szCs w:val="24"/>
              </w:rPr>
              <w:t>term :</w:t>
            </w:r>
            <w:proofErr w:type="gramEnd"/>
            <w:r w:rsidRPr="00001CCB">
              <w:rPr>
                <w:rFonts w:asciiTheme="majorBidi" w:hAnsiTheme="majorBidi" w:cstheme="majorBidi"/>
                <w:color w:val="FF0000"/>
                <w:sz w:val="24"/>
                <w:szCs w:val="24"/>
              </w:rPr>
              <w:t xml:space="preserve"> MCI)</w:t>
            </w:r>
          </w:p>
        </w:tc>
      </w:tr>
      <w:tr w:rsidR="00F56E31" w:rsidRPr="001714D5" w14:paraId="5D64773D" w14:textId="77777777" w:rsidTr="00AE5C8F">
        <w:trPr>
          <w:trHeight w:val="278"/>
        </w:trPr>
        <w:tc>
          <w:tcPr>
            <w:tcW w:w="648" w:type="pct"/>
          </w:tcPr>
          <w:p w14:paraId="06BF6CE2" w14:textId="058E72EC"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Kadoi</w:t>
            </w:r>
            <w:proofErr w:type="spellEnd"/>
            <w:r w:rsidRPr="00AB7713">
              <w:rPr>
                <w:rFonts w:asciiTheme="majorBidi" w:eastAsia="Times New Roman" w:hAnsiTheme="majorBidi" w:cstheme="majorBidi"/>
              </w:rPr>
              <w:t xml:space="preserve"> (2011) / Japan (51)</w:t>
            </w:r>
          </w:p>
        </w:tc>
        <w:tc>
          <w:tcPr>
            <w:tcW w:w="464" w:type="pct"/>
          </w:tcPr>
          <w:p w14:paraId="78C0CF99" w14:textId="78CC9D8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100</w:t>
            </w:r>
          </w:p>
        </w:tc>
        <w:tc>
          <w:tcPr>
            <w:tcW w:w="463" w:type="pct"/>
          </w:tcPr>
          <w:p w14:paraId="17E914F3" w14:textId="672F699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63D56533" w14:textId="090153A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Preoperative depression is associated with short-term and long-term POCD</w:t>
            </w:r>
          </w:p>
        </w:tc>
        <w:tc>
          <w:tcPr>
            <w:tcW w:w="894" w:type="pct"/>
          </w:tcPr>
          <w:p w14:paraId="0C9834D7" w14:textId="55C144D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Measurement was done at 7 days and 6 months after.</w:t>
            </w:r>
          </w:p>
        </w:tc>
        <w:tc>
          <w:tcPr>
            <w:tcW w:w="802" w:type="pct"/>
          </w:tcPr>
          <w:p w14:paraId="678EABE6" w14:textId="32A13C0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Age, hypertension, depression, jugular venous oxygen saturation,</w:t>
            </w:r>
            <w:r w:rsidRPr="001714D5">
              <w:rPr>
                <w:rFonts w:asciiTheme="majorBidi" w:hAnsiTheme="majorBidi" w:cstheme="majorBidi"/>
              </w:rPr>
              <w:t xml:space="preserve"> </w:t>
            </w:r>
            <w:r w:rsidRPr="001714D5">
              <w:rPr>
                <w:rFonts w:asciiTheme="majorBidi" w:hAnsiTheme="majorBidi" w:cstheme="majorBidi"/>
                <w:sz w:val="24"/>
                <w:szCs w:val="24"/>
              </w:rPr>
              <w:t>ascending aorta atherosclerosis, diabetic retinopathy,</w:t>
            </w:r>
          </w:p>
          <w:p w14:paraId="462FD161" w14:textId="23A957F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insulin therapy and HbA1c were associated with POCD</w:t>
            </w:r>
          </w:p>
        </w:tc>
        <w:tc>
          <w:tcPr>
            <w:tcW w:w="895" w:type="pct"/>
          </w:tcPr>
          <w:p w14:paraId="338055B3" w14:textId="6A0BDFE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B2D74EF" w14:textId="77777777" w:rsidTr="00AE5C8F">
        <w:trPr>
          <w:trHeight w:val="278"/>
        </w:trPr>
        <w:tc>
          <w:tcPr>
            <w:tcW w:w="648" w:type="pct"/>
          </w:tcPr>
          <w:p w14:paraId="054CD883" w14:textId="099BB211" w:rsidR="00F56E31" w:rsidRPr="00AB7713" w:rsidRDefault="00F56E31" w:rsidP="00F56E31">
            <w:pPr>
              <w:ind w:left="360"/>
              <w:rPr>
                <w:rFonts w:asciiTheme="majorBidi" w:eastAsia="Times New Roman" w:hAnsiTheme="majorBidi" w:cstheme="majorBidi"/>
              </w:rPr>
            </w:pPr>
            <w:r w:rsidRPr="00AB7713">
              <w:rPr>
                <w:rFonts w:asciiTheme="majorBidi" w:hAnsiTheme="majorBidi" w:cstheme="majorBidi"/>
              </w:rPr>
              <w:t>Greaves</w:t>
            </w:r>
            <w:r w:rsidRPr="00AB7713">
              <w:rPr>
                <w:rFonts w:asciiTheme="majorBidi" w:eastAsia="Times New Roman" w:hAnsiTheme="majorBidi" w:cstheme="majorBidi"/>
              </w:rPr>
              <w:t xml:space="preserve"> (2020) / Australia (52)</w:t>
            </w:r>
          </w:p>
        </w:tc>
        <w:tc>
          <w:tcPr>
            <w:tcW w:w="464" w:type="pct"/>
          </w:tcPr>
          <w:p w14:paraId="701AC113" w14:textId="3BD9FD8A" w:rsidR="00F56E31" w:rsidRPr="001714D5" w:rsidRDefault="00F56E31" w:rsidP="00F56E31">
            <w:pPr>
              <w:jc w:val="center"/>
              <w:rPr>
                <w:rFonts w:asciiTheme="majorBidi" w:hAnsiTheme="majorBidi" w:cstheme="majorBidi"/>
                <w:sz w:val="24"/>
                <w:szCs w:val="24"/>
              </w:rPr>
            </w:pPr>
            <w:proofErr w:type="spellStart"/>
            <w:r w:rsidRPr="001714D5">
              <w:rPr>
                <w:rFonts w:asciiTheme="majorBidi" w:hAnsiTheme="majorBidi" w:cstheme="majorBidi"/>
                <w:sz w:val="24"/>
                <w:szCs w:val="24"/>
              </w:rPr>
              <w:t>Systemaic</w:t>
            </w:r>
            <w:proofErr w:type="spellEnd"/>
            <w:r w:rsidRPr="001714D5">
              <w:rPr>
                <w:rFonts w:asciiTheme="majorBidi" w:hAnsiTheme="majorBidi" w:cstheme="majorBidi"/>
                <w:sz w:val="24"/>
                <w:szCs w:val="24"/>
              </w:rPr>
              <w:t xml:space="preserve"> review and meta-analysis / 60,479</w:t>
            </w:r>
          </w:p>
        </w:tc>
        <w:tc>
          <w:tcPr>
            <w:tcW w:w="463" w:type="pct"/>
          </w:tcPr>
          <w:p w14:paraId="4D6DEB8A" w14:textId="4AB98DC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0CF1EDDE" w14:textId="3B0E3E9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Identifying modifiable risk factor of POCD can reduce incidence</w:t>
            </w:r>
          </w:p>
        </w:tc>
        <w:tc>
          <w:tcPr>
            <w:tcW w:w="894" w:type="pct"/>
          </w:tcPr>
          <w:p w14:paraId="383F243B" w14:textId="622C3B0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95DC951" w14:textId="26F3662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History of stroke, hypertension, DM, older age and higher </w:t>
            </w:r>
            <w:proofErr w:type="spellStart"/>
            <w:r w:rsidRPr="001714D5">
              <w:rPr>
                <w:rFonts w:asciiTheme="majorBidi" w:hAnsiTheme="majorBidi" w:cstheme="majorBidi"/>
                <w:sz w:val="24"/>
                <w:szCs w:val="24"/>
              </w:rPr>
              <w:t>EuroSCORE</w:t>
            </w:r>
            <w:proofErr w:type="spellEnd"/>
            <w:r w:rsidRPr="001714D5">
              <w:rPr>
                <w:rFonts w:asciiTheme="majorBidi" w:hAnsiTheme="majorBidi" w:cstheme="majorBidi"/>
                <w:sz w:val="24"/>
                <w:szCs w:val="24"/>
              </w:rPr>
              <w:t xml:space="preserve"> to acute-(until 1months postop</w:t>
            </w:r>
            <w:r w:rsidRPr="006B7F67">
              <w:rPr>
                <w:rFonts w:asciiTheme="majorBidi" w:hAnsiTheme="majorBidi" w:cstheme="majorBidi"/>
                <w:sz w:val="24"/>
                <w:szCs w:val="24"/>
              </w:rPr>
              <w:t xml:space="preserve">), preoperative depression and higher cognitive test scores </w:t>
            </w:r>
            <w:r w:rsidRPr="006B7F67">
              <w:rPr>
                <w:rFonts w:asciiTheme="majorBidi" w:hAnsiTheme="majorBidi" w:cstheme="majorBidi"/>
                <w:sz w:val="24"/>
                <w:szCs w:val="24"/>
              </w:rPr>
              <w:lastRenderedPageBreak/>
              <w:t>to mid-term (1-6 months postop</w:t>
            </w:r>
            <w:r w:rsidRPr="001714D5">
              <w:rPr>
                <w:rFonts w:asciiTheme="majorBidi" w:hAnsiTheme="majorBidi" w:cstheme="majorBidi"/>
                <w:sz w:val="24"/>
                <w:szCs w:val="24"/>
              </w:rPr>
              <w:t xml:space="preserve">), while no significant risk factors to long-term (12-15 months postop) cognitive decline were related  </w:t>
            </w:r>
          </w:p>
        </w:tc>
        <w:tc>
          <w:tcPr>
            <w:tcW w:w="895" w:type="pct"/>
          </w:tcPr>
          <w:p w14:paraId="4E01191E" w14:textId="4463D66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r>
      <w:tr w:rsidR="00F56E31" w:rsidRPr="001714D5" w14:paraId="38A3AF46" w14:textId="77777777" w:rsidTr="00AE5C8F">
        <w:trPr>
          <w:trHeight w:val="278"/>
        </w:trPr>
        <w:tc>
          <w:tcPr>
            <w:tcW w:w="648" w:type="pct"/>
          </w:tcPr>
          <w:p w14:paraId="3315ECF7" w14:textId="33E4A1EE"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Chen (2021)/ China (53)</w:t>
            </w:r>
          </w:p>
        </w:tc>
        <w:tc>
          <w:tcPr>
            <w:tcW w:w="464" w:type="pct"/>
          </w:tcPr>
          <w:p w14:paraId="6B309200" w14:textId="20359F5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13,286</w:t>
            </w:r>
          </w:p>
        </w:tc>
        <w:tc>
          <w:tcPr>
            <w:tcW w:w="463" w:type="pct"/>
          </w:tcPr>
          <w:p w14:paraId="415DF4C6" w14:textId="666A125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Cardiac surgery</w:t>
            </w:r>
          </w:p>
        </w:tc>
        <w:tc>
          <w:tcPr>
            <w:tcW w:w="3425" w:type="pct"/>
            <w:gridSpan w:val="4"/>
          </w:tcPr>
          <w:p w14:paraId="305143D2" w14:textId="73B05B8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defines delirium as a disturbance in attention and awareness with a fluctuating form, with an additional disturbance in cognition all of which can’t be better explained by another neurocognitive disorder. Delirium is classified in 3 subtypes: hypoactive, hyperactive, and mixed form</w:t>
            </w:r>
            <w:r>
              <w:rPr>
                <w:rFonts w:asciiTheme="majorBidi" w:hAnsiTheme="majorBidi" w:cstheme="majorBidi"/>
                <w:sz w:val="24"/>
                <w:szCs w:val="24"/>
              </w:rPr>
              <w:t>.</w:t>
            </w:r>
          </w:p>
        </w:tc>
      </w:tr>
      <w:tr w:rsidR="00F56E31" w:rsidRPr="001714D5" w14:paraId="7C8FB23E" w14:textId="77777777" w:rsidTr="00AE5C8F">
        <w:trPr>
          <w:trHeight w:val="278"/>
        </w:trPr>
        <w:tc>
          <w:tcPr>
            <w:tcW w:w="648" w:type="pct"/>
          </w:tcPr>
          <w:p w14:paraId="1D33BD5A" w14:textId="3F31B3ED"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Vassilaki</w:t>
            </w:r>
            <w:proofErr w:type="spellEnd"/>
            <w:r w:rsidRPr="00AB7713">
              <w:rPr>
                <w:rFonts w:asciiTheme="majorBidi" w:eastAsia="Times New Roman" w:hAnsiTheme="majorBidi" w:cstheme="majorBidi"/>
              </w:rPr>
              <w:t xml:space="preserve"> (2022) / USA (54)</w:t>
            </w:r>
          </w:p>
        </w:tc>
        <w:tc>
          <w:tcPr>
            <w:tcW w:w="464" w:type="pct"/>
          </w:tcPr>
          <w:p w14:paraId="64F3EB01" w14:textId="34E0695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5,550</w:t>
            </w:r>
          </w:p>
        </w:tc>
        <w:tc>
          <w:tcPr>
            <w:tcW w:w="463" w:type="pct"/>
          </w:tcPr>
          <w:p w14:paraId="7C8B5FE0" w14:textId="2D3C46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Total hip or knee arthroplasty </w:t>
            </w:r>
          </w:p>
        </w:tc>
        <w:tc>
          <w:tcPr>
            <w:tcW w:w="834" w:type="pct"/>
          </w:tcPr>
          <w:p w14:paraId="09E9FE67" w14:textId="4F1950D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Annual Cognitive decline of patients with and without joint arthroplasty didn’t differ significantly, except for patients &gt; 80 years with knee arthroplasty.</w:t>
            </w:r>
          </w:p>
        </w:tc>
        <w:tc>
          <w:tcPr>
            <w:tcW w:w="894" w:type="pct"/>
          </w:tcPr>
          <w:p w14:paraId="70D169CA" w14:textId="2DB43A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2CD46950" w14:textId="352B805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Patients older than 80 years undergoing total knee arthroplasty showed slightly faster cognitive decline.</w:t>
            </w:r>
          </w:p>
        </w:tc>
        <w:tc>
          <w:tcPr>
            <w:tcW w:w="895" w:type="pct"/>
          </w:tcPr>
          <w:p w14:paraId="6BD8F083" w14:textId="53E2E3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37C6E817" w14:textId="77777777" w:rsidTr="00AE5C8F">
        <w:trPr>
          <w:trHeight w:val="278"/>
        </w:trPr>
        <w:tc>
          <w:tcPr>
            <w:tcW w:w="648" w:type="pct"/>
          </w:tcPr>
          <w:p w14:paraId="64C5B79F" w14:textId="3D6F85C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Lin (2021) / China (55)</w:t>
            </w:r>
          </w:p>
        </w:tc>
        <w:tc>
          <w:tcPr>
            <w:tcW w:w="464" w:type="pct"/>
          </w:tcPr>
          <w:p w14:paraId="10222CE0" w14:textId="1E6F79B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214</w:t>
            </w:r>
          </w:p>
        </w:tc>
        <w:tc>
          <w:tcPr>
            <w:tcW w:w="463" w:type="pct"/>
          </w:tcPr>
          <w:p w14:paraId="2F7F21DF" w14:textId="169BA87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&gt; 40 years</w:t>
            </w:r>
          </w:p>
          <w:p w14:paraId="0A204640" w14:textId="2F92255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Total hip replacement</w:t>
            </w:r>
          </w:p>
        </w:tc>
        <w:tc>
          <w:tcPr>
            <w:tcW w:w="3425" w:type="pct"/>
            <w:gridSpan w:val="4"/>
          </w:tcPr>
          <w:p w14:paraId="343D893E" w14:textId="3DED58B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found that subjective cognitive decline (i.e. cognitive decline of an individual has declined compared to previous stat while neuropsychological test is normal) is a risk factor for POD</w:t>
            </w:r>
            <w:r>
              <w:rPr>
                <w:rFonts w:asciiTheme="majorBidi" w:hAnsiTheme="majorBidi" w:cstheme="majorBidi"/>
                <w:sz w:val="24"/>
                <w:szCs w:val="24"/>
              </w:rPr>
              <w:t>.</w:t>
            </w:r>
          </w:p>
        </w:tc>
      </w:tr>
      <w:tr w:rsidR="00F56E31" w:rsidRPr="001714D5" w14:paraId="69311695" w14:textId="77777777" w:rsidTr="00AE5C8F">
        <w:trPr>
          <w:trHeight w:val="278"/>
        </w:trPr>
        <w:tc>
          <w:tcPr>
            <w:tcW w:w="648" w:type="pct"/>
          </w:tcPr>
          <w:p w14:paraId="15AF2244" w14:textId="0617AE5F"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Gaudet (2009) / USA (56)</w:t>
            </w:r>
          </w:p>
        </w:tc>
        <w:tc>
          <w:tcPr>
            <w:tcW w:w="464" w:type="pct"/>
          </w:tcPr>
          <w:p w14:paraId="7AC24059" w14:textId="2DA9814E" w:rsidR="00F56E31" w:rsidRPr="007119D0" w:rsidRDefault="00F56E31" w:rsidP="00F56E31">
            <w:pPr>
              <w:jc w:val="center"/>
              <w:rPr>
                <w:rFonts w:asciiTheme="majorBidi" w:hAnsiTheme="majorBidi" w:cstheme="majorBidi"/>
                <w:sz w:val="24"/>
                <w:szCs w:val="24"/>
              </w:rPr>
            </w:pPr>
            <w:r w:rsidRPr="007119D0">
              <w:rPr>
                <w:rFonts w:asciiTheme="majorBidi" w:hAnsiTheme="majorBidi" w:cstheme="majorBidi"/>
                <w:sz w:val="24"/>
                <w:szCs w:val="24"/>
              </w:rPr>
              <w:t>Cohort/ 47</w:t>
            </w:r>
          </w:p>
        </w:tc>
        <w:tc>
          <w:tcPr>
            <w:tcW w:w="463" w:type="pct"/>
          </w:tcPr>
          <w:p w14:paraId="092B98A3" w14:textId="0A49289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rPr>
              <w:t>elective carotid artery stenting</w:t>
            </w:r>
          </w:p>
        </w:tc>
        <w:tc>
          <w:tcPr>
            <w:tcW w:w="834" w:type="pct"/>
          </w:tcPr>
          <w:p w14:paraId="49FB527A" w14:textId="0915F9C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carotid artery stenting is associated with decline of cognitive function.</w:t>
            </w:r>
          </w:p>
          <w:p w14:paraId="62DEA2FD" w14:textId="77777777" w:rsidR="00F56E31" w:rsidRPr="001714D5" w:rsidRDefault="00F56E31" w:rsidP="00F56E31">
            <w:pPr>
              <w:rPr>
                <w:rFonts w:asciiTheme="majorBidi" w:hAnsiTheme="majorBidi" w:cstheme="majorBidi"/>
                <w:sz w:val="24"/>
                <w:szCs w:val="24"/>
              </w:rPr>
            </w:pPr>
          </w:p>
          <w:p w14:paraId="659416A6" w14:textId="77777777" w:rsidR="00F56E31" w:rsidRPr="001714D5" w:rsidRDefault="00F56E31" w:rsidP="00F56E31">
            <w:pPr>
              <w:rPr>
                <w:rFonts w:asciiTheme="majorBidi" w:hAnsiTheme="majorBidi" w:cstheme="majorBidi"/>
                <w:sz w:val="24"/>
                <w:szCs w:val="24"/>
              </w:rPr>
            </w:pPr>
          </w:p>
          <w:p w14:paraId="688B53E5" w14:textId="77777777" w:rsidR="00F56E31" w:rsidRPr="001714D5" w:rsidRDefault="00F56E31" w:rsidP="00F56E31">
            <w:pPr>
              <w:rPr>
                <w:rFonts w:asciiTheme="majorBidi" w:hAnsiTheme="majorBidi" w:cstheme="majorBidi"/>
                <w:sz w:val="24"/>
                <w:szCs w:val="24"/>
              </w:rPr>
            </w:pPr>
          </w:p>
        </w:tc>
        <w:tc>
          <w:tcPr>
            <w:tcW w:w="894" w:type="pct"/>
          </w:tcPr>
          <w:p w14:paraId="441E5840" w14:textId="370B99C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Measurement was done 1 day and 1 month after. Most patients improved between measurements.</w:t>
            </w:r>
          </w:p>
        </w:tc>
        <w:tc>
          <w:tcPr>
            <w:tcW w:w="802" w:type="pct"/>
          </w:tcPr>
          <w:p w14:paraId="5B2C63D8" w14:textId="043524E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Statin medication reduces POCD. POCD is independent of age or previous neurological events.</w:t>
            </w:r>
          </w:p>
        </w:tc>
        <w:tc>
          <w:tcPr>
            <w:tcW w:w="895" w:type="pct"/>
          </w:tcPr>
          <w:p w14:paraId="50FF3214" w14:textId="3AADEF6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1B25288" w14:textId="77777777" w:rsidTr="00AE5C8F">
        <w:trPr>
          <w:trHeight w:val="278"/>
        </w:trPr>
        <w:tc>
          <w:tcPr>
            <w:tcW w:w="648" w:type="pct"/>
          </w:tcPr>
          <w:p w14:paraId="109ACFF4" w14:textId="1BA8DB68"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Lattanzi (2018) / Italy (57)</w:t>
            </w:r>
          </w:p>
        </w:tc>
        <w:tc>
          <w:tcPr>
            <w:tcW w:w="464" w:type="pct"/>
          </w:tcPr>
          <w:p w14:paraId="1E287193" w14:textId="66EDBAF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137</w:t>
            </w:r>
          </w:p>
        </w:tc>
        <w:tc>
          <w:tcPr>
            <w:tcW w:w="463" w:type="pct"/>
          </w:tcPr>
          <w:p w14:paraId="1099D525" w14:textId="2858904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carotid endarterectomy</w:t>
            </w:r>
          </w:p>
        </w:tc>
        <w:tc>
          <w:tcPr>
            <w:tcW w:w="834" w:type="pct"/>
          </w:tcPr>
          <w:p w14:paraId="78929D84" w14:textId="183033B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Carotid endarterectomy improved cognitive function 6 months after surgery in </w:t>
            </w:r>
            <w:r w:rsidRPr="001714D5">
              <w:rPr>
                <w:rFonts w:asciiTheme="majorBidi" w:hAnsiTheme="majorBidi" w:cstheme="majorBidi"/>
                <w:sz w:val="24"/>
                <w:szCs w:val="24"/>
              </w:rPr>
              <w:lastRenderedPageBreak/>
              <w:t>patients with a history of TIA and ipsilateral high-grade ICA stenosis.</w:t>
            </w:r>
          </w:p>
        </w:tc>
        <w:tc>
          <w:tcPr>
            <w:tcW w:w="894" w:type="pct"/>
          </w:tcPr>
          <w:p w14:paraId="2BB1D02F" w14:textId="7496FDE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c>
          <w:tcPr>
            <w:tcW w:w="802" w:type="pct"/>
          </w:tcPr>
          <w:p w14:paraId="5F8C5F08" w14:textId="70FD6687" w:rsidR="00F56E31" w:rsidRPr="001714D5" w:rsidRDefault="00A25350" w:rsidP="00F56E31">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2726AC72" w14:textId="5442BD4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483B00A9" w14:textId="77777777" w:rsidTr="00AE5C8F">
        <w:trPr>
          <w:trHeight w:val="278"/>
        </w:trPr>
        <w:tc>
          <w:tcPr>
            <w:tcW w:w="648" w:type="pct"/>
          </w:tcPr>
          <w:p w14:paraId="7F2F1DFB" w14:textId="0B08253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Heyer (2015) / USA (58)</w:t>
            </w:r>
          </w:p>
        </w:tc>
        <w:tc>
          <w:tcPr>
            <w:tcW w:w="464" w:type="pct"/>
          </w:tcPr>
          <w:p w14:paraId="4D9E27CF" w14:textId="76C1429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Post</w:t>
            </w:r>
            <w:r>
              <w:rPr>
                <w:rFonts w:asciiTheme="majorBidi" w:hAnsiTheme="majorBidi" w:cstheme="majorBidi"/>
                <w:sz w:val="24"/>
                <w:szCs w:val="24"/>
              </w:rPr>
              <w:t xml:space="preserve"> </w:t>
            </w:r>
            <w:r w:rsidRPr="001714D5">
              <w:rPr>
                <w:rFonts w:asciiTheme="majorBidi" w:hAnsiTheme="majorBidi" w:cstheme="majorBidi"/>
                <w:sz w:val="24"/>
                <w:szCs w:val="24"/>
              </w:rPr>
              <w:t>hoc analysis of a prospective observational study / 558</w:t>
            </w:r>
          </w:p>
        </w:tc>
        <w:tc>
          <w:tcPr>
            <w:tcW w:w="463" w:type="pct"/>
          </w:tcPr>
          <w:p w14:paraId="476A1354" w14:textId="25046F1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60 years Elective carotid endarterectomy</w:t>
            </w:r>
          </w:p>
        </w:tc>
        <w:tc>
          <w:tcPr>
            <w:tcW w:w="834" w:type="pct"/>
          </w:tcPr>
          <w:p w14:paraId="4B746345" w14:textId="0DFEDDA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Early cognitive dysfunction is an important factor for overall health, comorbidity, and neurological vulnerability.</w:t>
            </w:r>
          </w:p>
        </w:tc>
        <w:tc>
          <w:tcPr>
            <w:tcW w:w="894" w:type="pct"/>
          </w:tcPr>
          <w:p w14:paraId="4B111B2B" w14:textId="7CEF16F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A4C16F0" w14:textId="4E434960" w:rsidR="00F56E31" w:rsidRPr="001714D5" w:rsidRDefault="00A25350" w:rsidP="00F56E31">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0418D89F" w14:textId="6F85DA7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Early cognitive dysfunction is associated with lower survival in patients without using statin medication.</w:t>
            </w:r>
          </w:p>
        </w:tc>
      </w:tr>
      <w:tr w:rsidR="00F56E31" w:rsidRPr="001714D5" w14:paraId="6B2EA101" w14:textId="77777777" w:rsidTr="00AE5C8F">
        <w:trPr>
          <w:trHeight w:val="278"/>
        </w:trPr>
        <w:tc>
          <w:tcPr>
            <w:tcW w:w="648" w:type="pct"/>
          </w:tcPr>
          <w:p w14:paraId="2CD6B813" w14:textId="350AE036"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Kulason</w:t>
            </w:r>
            <w:proofErr w:type="spellEnd"/>
            <w:r w:rsidRPr="00AB7713">
              <w:rPr>
                <w:rFonts w:asciiTheme="majorBidi" w:eastAsia="Times New Roman" w:hAnsiTheme="majorBidi" w:cstheme="majorBidi"/>
              </w:rPr>
              <w:t xml:space="preserve"> (2017)/ Japan (59)</w:t>
            </w:r>
          </w:p>
        </w:tc>
        <w:tc>
          <w:tcPr>
            <w:tcW w:w="464" w:type="pct"/>
          </w:tcPr>
          <w:p w14:paraId="44608BDE" w14:textId="7E3EF86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Cohort / 12</w:t>
            </w:r>
          </w:p>
        </w:tc>
        <w:tc>
          <w:tcPr>
            <w:tcW w:w="463" w:type="pct"/>
          </w:tcPr>
          <w:p w14:paraId="46E28AC1" w14:textId="1B03136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Major thoracic surgery </w:t>
            </w:r>
          </w:p>
        </w:tc>
        <w:tc>
          <w:tcPr>
            <w:tcW w:w="834" w:type="pct"/>
          </w:tcPr>
          <w:p w14:paraId="7BF1F669" w14:textId="5B9DE27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Preoperative mental wellbeing is a possible predictor of POCD.</w:t>
            </w:r>
          </w:p>
        </w:tc>
        <w:tc>
          <w:tcPr>
            <w:tcW w:w="894" w:type="pct"/>
          </w:tcPr>
          <w:p w14:paraId="0C87145B" w14:textId="1493DBD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Cognitive decline is significant in attention and psychomotor function domains</w:t>
            </w:r>
          </w:p>
        </w:tc>
        <w:tc>
          <w:tcPr>
            <w:tcW w:w="802" w:type="pct"/>
          </w:tcPr>
          <w:p w14:paraId="480BCB66" w14:textId="7777777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Longer anaesthesia is related to decline in attention and working memory postoperative.</w:t>
            </w:r>
          </w:p>
          <w:p w14:paraId="3524A46D" w14:textId="068464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Age and gender are not related to POCD.</w:t>
            </w:r>
          </w:p>
        </w:tc>
        <w:tc>
          <w:tcPr>
            <w:tcW w:w="895" w:type="pct"/>
          </w:tcPr>
          <w:p w14:paraId="59C4BA5E" w14:textId="731C1C4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547D8C31" w14:textId="77777777" w:rsidTr="00AE5C8F">
        <w:trPr>
          <w:trHeight w:val="278"/>
        </w:trPr>
        <w:tc>
          <w:tcPr>
            <w:tcW w:w="648" w:type="pct"/>
          </w:tcPr>
          <w:p w14:paraId="537706D5" w14:textId="3DC8C6D5"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Lin (2020) / China (60)</w:t>
            </w:r>
          </w:p>
        </w:tc>
        <w:tc>
          <w:tcPr>
            <w:tcW w:w="464" w:type="pct"/>
          </w:tcPr>
          <w:p w14:paraId="184E08CD" w14:textId="34BE93F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04B457C6" w14:textId="49B892D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1597FC5B" w14:textId="3B2135A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discusses the role of peripheral (e.g. inflammation and immune activation), central (e.g. neurons and neurotoxicity), microbiome and brain regions in POCD pathophysiology</w:t>
            </w:r>
          </w:p>
        </w:tc>
        <w:tc>
          <w:tcPr>
            <w:tcW w:w="894" w:type="pct"/>
          </w:tcPr>
          <w:p w14:paraId="02B8F618" w14:textId="42B8F75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0CC5B1B1" w14:textId="6F852AA2" w:rsidR="00F56E31" w:rsidRPr="001714D5" w:rsidRDefault="00A25350" w:rsidP="00F56E31">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173E84E9" w14:textId="4335055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7DF0D664" w14:textId="77777777" w:rsidTr="00AE5C8F">
        <w:trPr>
          <w:trHeight w:val="278"/>
        </w:trPr>
        <w:tc>
          <w:tcPr>
            <w:tcW w:w="648" w:type="pct"/>
          </w:tcPr>
          <w:p w14:paraId="7314C66A" w14:textId="68BD62D8"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Sun (2012) / China (61)</w:t>
            </w:r>
          </w:p>
        </w:tc>
        <w:tc>
          <w:tcPr>
            <w:tcW w:w="464" w:type="pct"/>
          </w:tcPr>
          <w:p w14:paraId="7F0CC9F7" w14:textId="442DE48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2,326</w:t>
            </w:r>
          </w:p>
        </w:tc>
        <w:tc>
          <w:tcPr>
            <w:tcW w:w="463" w:type="pct"/>
          </w:tcPr>
          <w:p w14:paraId="28ACF381" w14:textId="3A69A3F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0E066F90" w14:textId="2BF4D34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Although significantly different at early stage, no difference between of-pump and conventional CABG related to POCD incidence was found at 6 and 12 months postop.</w:t>
            </w:r>
          </w:p>
        </w:tc>
        <w:tc>
          <w:tcPr>
            <w:tcW w:w="894" w:type="pct"/>
          </w:tcPr>
          <w:p w14:paraId="27F296AB" w14:textId="6920583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208AF02B" w14:textId="3DC9B1A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Off-pump coronary artery bypass compared to conventional CABG has lower risk of POCD measured 1-2 weeks and 3 months postop.</w:t>
            </w:r>
          </w:p>
        </w:tc>
        <w:tc>
          <w:tcPr>
            <w:tcW w:w="895" w:type="pct"/>
          </w:tcPr>
          <w:p w14:paraId="0D2C777E" w14:textId="3210B90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5C3FBE9E" w14:textId="77777777" w:rsidTr="00AE5C8F">
        <w:trPr>
          <w:trHeight w:val="278"/>
        </w:trPr>
        <w:tc>
          <w:tcPr>
            <w:tcW w:w="648" w:type="pct"/>
          </w:tcPr>
          <w:p w14:paraId="7E681B96" w14:textId="7BFDFCDD"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lastRenderedPageBreak/>
              <w:t>Jensen (2008) / Denmark (62)</w:t>
            </w:r>
          </w:p>
        </w:tc>
        <w:tc>
          <w:tcPr>
            <w:tcW w:w="464" w:type="pct"/>
          </w:tcPr>
          <w:p w14:paraId="7AF7468B" w14:textId="1D8F9DC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Sub-study of RCT / 120</w:t>
            </w:r>
          </w:p>
        </w:tc>
        <w:tc>
          <w:tcPr>
            <w:tcW w:w="463" w:type="pct"/>
          </w:tcPr>
          <w:p w14:paraId="442C7487" w14:textId="4A5A658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55 years</w:t>
            </w:r>
          </w:p>
          <w:p w14:paraId="7B5A48D7" w14:textId="2F4B4C1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Elective or subacute CABG</w:t>
            </w:r>
          </w:p>
        </w:tc>
        <w:tc>
          <w:tcPr>
            <w:tcW w:w="834" w:type="pct"/>
          </w:tcPr>
          <w:p w14:paraId="51A9542B" w14:textId="273FCA4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No significant difference between on- and off-pump surgery in 1-year cognitive function </w:t>
            </w:r>
          </w:p>
        </w:tc>
        <w:tc>
          <w:tcPr>
            <w:tcW w:w="894" w:type="pct"/>
          </w:tcPr>
          <w:p w14:paraId="70CD2423" w14:textId="5F98472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p w14:paraId="036558AE" w14:textId="77777777" w:rsidR="00F56E31" w:rsidRPr="001714D5" w:rsidRDefault="00F56E31" w:rsidP="00F56E31">
            <w:pPr>
              <w:rPr>
                <w:rFonts w:asciiTheme="majorBidi" w:hAnsiTheme="majorBidi" w:cstheme="majorBidi"/>
                <w:sz w:val="24"/>
                <w:szCs w:val="24"/>
              </w:rPr>
            </w:pPr>
          </w:p>
          <w:p w14:paraId="680EDD65" w14:textId="77777777" w:rsidR="00F56E31" w:rsidRPr="001714D5" w:rsidRDefault="00F56E31" w:rsidP="00F56E31">
            <w:pPr>
              <w:jc w:val="center"/>
              <w:rPr>
                <w:rFonts w:asciiTheme="majorBidi" w:hAnsiTheme="majorBidi" w:cstheme="majorBidi"/>
                <w:sz w:val="24"/>
                <w:szCs w:val="24"/>
              </w:rPr>
            </w:pPr>
          </w:p>
        </w:tc>
        <w:tc>
          <w:tcPr>
            <w:tcW w:w="802" w:type="pct"/>
          </w:tcPr>
          <w:p w14:paraId="1D505B7D" w14:textId="2584BDAE" w:rsidR="00F56E31" w:rsidRPr="001714D5" w:rsidRDefault="00A25350" w:rsidP="00F56E31">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2ED27E30" w14:textId="1D1FA3E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DC8F7B4" w14:textId="77777777" w:rsidTr="00AE5C8F">
        <w:trPr>
          <w:trHeight w:val="278"/>
        </w:trPr>
        <w:tc>
          <w:tcPr>
            <w:tcW w:w="648" w:type="pct"/>
          </w:tcPr>
          <w:p w14:paraId="5E28977D" w14:textId="5133466B"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Linassi</w:t>
            </w:r>
            <w:proofErr w:type="spellEnd"/>
            <w:r w:rsidRPr="00AB7713">
              <w:rPr>
                <w:rFonts w:asciiTheme="majorBidi" w:eastAsia="Times New Roman" w:hAnsiTheme="majorBidi" w:cstheme="majorBidi"/>
              </w:rPr>
              <w:t xml:space="preserve"> (2022) / Italy (63)</w:t>
            </w:r>
          </w:p>
        </w:tc>
        <w:tc>
          <w:tcPr>
            <w:tcW w:w="464" w:type="pct"/>
          </w:tcPr>
          <w:p w14:paraId="56486CF4" w14:textId="2FA503C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9,609</w:t>
            </w:r>
          </w:p>
        </w:tc>
        <w:tc>
          <w:tcPr>
            <w:tcW w:w="463" w:type="pct"/>
          </w:tcPr>
          <w:p w14:paraId="33889E9D" w14:textId="02E4514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Cardiac surgery</w:t>
            </w:r>
          </w:p>
        </w:tc>
        <w:tc>
          <w:tcPr>
            <w:tcW w:w="834" w:type="pct"/>
          </w:tcPr>
          <w:p w14:paraId="1B39BBF0" w14:textId="439E151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Temperature, mean arterial pressure (MAP), and surgery type were no related to POCD</w:t>
            </w:r>
          </w:p>
        </w:tc>
        <w:tc>
          <w:tcPr>
            <w:tcW w:w="894" w:type="pct"/>
          </w:tcPr>
          <w:p w14:paraId="10EBA3EE" w14:textId="552C6D6B"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3AFCAEB6" w14:textId="5F2CEFF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Neurocognitive decline was lower in normothermic and targeted MAP &gt; 70 cardiopulmonary bypass surgeries</w:t>
            </w:r>
          </w:p>
        </w:tc>
        <w:tc>
          <w:tcPr>
            <w:tcW w:w="895" w:type="pct"/>
          </w:tcPr>
          <w:p w14:paraId="0AC76060" w14:textId="40FC5F3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793EE910" w14:textId="77777777" w:rsidTr="00AE5C8F">
        <w:trPr>
          <w:trHeight w:val="278"/>
        </w:trPr>
        <w:tc>
          <w:tcPr>
            <w:tcW w:w="648" w:type="pct"/>
          </w:tcPr>
          <w:p w14:paraId="22548B45" w14:textId="490418F6"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Kiabi</w:t>
            </w:r>
            <w:proofErr w:type="spellEnd"/>
            <w:r w:rsidRPr="00AB7713">
              <w:rPr>
                <w:rFonts w:asciiTheme="majorBidi" w:eastAsia="Times New Roman" w:hAnsiTheme="majorBidi" w:cstheme="majorBidi"/>
              </w:rPr>
              <w:t xml:space="preserve"> (2019) / Iran (64)</w:t>
            </w:r>
          </w:p>
        </w:tc>
        <w:tc>
          <w:tcPr>
            <w:tcW w:w="464" w:type="pct"/>
          </w:tcPr>
          <w:p w14:paraId="206FA1D2" w14:textId="5C614DD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731</w:t>
            </w:r>
          </w:p>
        </w:tc>
        <w:tc>
          <w:tcPr>
            <w:tcW w:w="463" w:type="pct"/>
          </w:tcPr>
          <w:p w14:paraId="759FC143" w14:textId="0FBF2AFA"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Cardiopulmonary bypass surgery</w:t>
            </w:r>
          </w:p>
        </w:tc>
        <w:tc>
          <w:tcPr>
            <w:tcW w:w="834" w:type="pct"/>
          </w:tcPr>
          <w:p w14:paraId="0CC62E97" w14:textId="1B1921E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Low MAP surgery doesn’t reduce POCD incidence</w:t>
            </w:r>
          </w:p>
        </w:tc>
        <w:tc>
          <w:tcPr>
            <w:tcW w:w="894" w:type="pct"/>
          </w:tcPr>
          <w:p w14:paraId="29F60517" w14:textId="5EAD59F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E2DF99A" w14:textId="10F4E65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Lower surgery time, and older age in low MAP surgeries is related to POCD </w:t>
            </w:r>
          </w:p>
        </w:tc>
        <w:tc>
          <w:tcPr>
            <w:tcW w:w="895" w:type="pct"/>
          </w:tcPr>
          <w:p w14:paraId="24CD7645" w14:textId="00698D6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3DC693C7" w14:textId="77777777" w:rsidTr="00AE5C8F">
        <w:trPr>
          <w:trHeight w:val="278"/>
        </w:trPr>
        <w:tc>
          <w:tcPr>
            <w:tcW w:w="648" w:type="pct"/>
          </w:tcPr>
          <w:p w14:paraId="225F0EB0" w14:textId="4635473A"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Larsen (2020)/ Denmark (65)</w:t>
            </w:r>
          </w:p>
        </w:tc>
        <w:tc>
          <w:tcPr>
            <w:tcW w:w="464" w:type="pct"/>
          </w:tcPr>
          <w:p w14:paraId="33C32990" w14:textId="2F839F5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RCT/ 197</w:t>
            </w:r>
          </w:p>
        </w:tc>
        <w:tc>
          <w:tcPr>
            <w:tcW w:w="463" w:type="pct"/>
          </w:tcPr>
          <w:p w14:paraId="611E58EB" w14:textId="790E2FF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Cardiopulmonary bypass surgery</w:t>
            </w:r>
          </w:p>
        </w:tc>
        <w:tc>
          <w:tcPr>
            <w:tcW w:w="834" w:type="pct"/>
          </w:tcPr>
          <w:p w14:paraId="644626E1" w14:textId="1F4A7C9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No significant difference in POCD between patients with high or low target blood pressure during surgery </w:t>
            </w:r>
          </w:p>
        </w:tc>
        <w:tc>
          <w:tcPr>
            <w:tcW w:w="894" w:type="pct"/>
          </w:tcPr>
          <w:p w14:paraId="724E7B13" w14:textId="55D0D46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47D472FA" w14:textId="49F797EF"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3C4BAA07" w14:textId="70F3182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2D7DFDE2" w14:textId="77777777" w:rsidTr="00AE5C8F">
        <w:trPr>
          <w:trHeight w:val="278"/>
        </w:trPr>
        <w:tc>
          <w:tcPr>
            <w:tcW w:w="648" w:type="pct"/>
          </w:tcPr>
          <w:p w14:paraId="799B30EA" w14:textId="6079387C"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Feng (2020) / China (66)</w:t>
            </w:r>
          </w:p>
        </w:tc>
        <w:tc>
          <w:tcPr>
            <w:tcW w:w="464" w:type="pct"/>
          </w:tcPr>
          <w:p w14:paraId="51B08987" w14:textId="06EFFB1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701</w:t>
            </w:r>
          </w:p>
        </w:tc>
        <w:tc>
          <w:tcPr>
            <w:tcW w:w="463" w:type="pct"/>
          </w:tcPr>
          <w:p w14:paraId="7C98D815" w14:textId="6BAE5A1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0EA687E1" w14:textId="2BE418A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significant relation between intraoperative hypotension and POCD</w:t>
            </w:r>
          </w:p>
        </w:tc>
        <w:tc>
          <w:tcPr>
            <w:tcW w:w="894" w:type="pct"/>
          </w:tcPr>
          <w:p w14:paraId="25B78C18" w14:textId="104C2F8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0D8647E4" w14:textId="174E40F9"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7380C121" w14:textId="1D8BEFE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21C42C66" w14:textId="77777777" w:rsidTr="00AE5C8F">
        <w:trPr>
          <w:trHeight w:val="278"/>
        </w:trPr>
        <w:tc>
          <w:tcPr>
            <w:tcW w:w="648" w:type="pct"/>
          </w:tcPr>
          <w:p w14:paraId="19FB91ED" w14:textId="0CB22299"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Mason (2010) UK (67)</w:t>
            </w:r>
          </w:p>
        </w:tc>
        <w:tc>
          <w:tcPr>
            <w:tcW w:w="464" w:type="pct"/>
          </w:tcPr>
          <w:p w14:paraId="6319E53F" w14:textId="49A636B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Systematic review and meta-analysis / </w:t>
            </w:r>
          </w:p>
        </w:tc>
        <w:tc>
          <w:tcPr>
            <w:tcW w:w="463" w:type="pct"/>
          </w:tcPr>
          <w:p w14:paraId="737C8BE8" w14:textId="732A306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0C104450" w14:textId="03812AD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significant relation between type of anaesthesia and POCD was found</w:t>
            </w:r>
          </w:p>
        </w:tc>
        <w:tc>
          <w:tcPr>
            <w:tcW w:w="894" w:type="pct"/>
          </w:tcPr>
          <w:p w14:paraId="67195C72" w14:textId="21704F5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2FC61C5" w14:textId="588A8BE9"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373FB309" w14:textId="5B519D0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77A2FED4" w14:textId="77777777" w:rsidTr="00AE5C8F">
        <w:trPr>
          <w:trHeight w:val="278"/>
        </w:trPr>
        <w:tc>
          <w:tcPr>
            <w:tcW w:w="648" w:type="pct"/>
          </w:tcPr>
          <w:p w14:paraId="340CFE87" w14:textId="122789E9" w:rsidR="00A25350" w:rsidRPr="00AB7713" w:rsidRDefault="00A25350" w:rsidP="00A25350">
            <w:pPr>
              <w:ind w:left="360"/>
              <w:rPr>
                <w:rFonts w:asciiTheme="majorBidi" w:eastAsia="Times New Roman" w:hAnsiTheme="majorBidi" w:cstheme="majorBidi"/>
              </w:rPr>
            </w:pPr>
            <w:r w:rsidRPr="00AB7713">
              <w:rPr>
                <w:rFonts w:asciiTheme="majorBidi" w:hAnsiTheme="majorBidi" w:cstheme="majorBidi"/>
              </w:rPr>
              <w:t>Bhushan</w:t>
            </w:r>
            <w:r w:rsidRPr="00AB7713">
              <w:rPr>
                <w:rFonts w:asciiTheme="majorBidi" w:eastAsia="Times New Roman" w:hAnsiTheme="majorBidi" w:cstheme="majorBidi"/>
              </w:rPr>
              <w:t xml:space="preserve"> (2022) / China (68)</w:t>
            </w:r>
          </w:p>
        </w:tc>
        <w:tc>
          <w:tcPr>
            <w:tcW w:w="464" w:type="pct"/>
          </w:tcPr>
          <w:p w14:paraId="718D3F9B" w14:textId="688EE95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Systematic review and meta-analysis / </w:t>
            </w:r>
            <w:r w:rsidRPr="001714D5">
              <w:rPr>
                <w:rFonts w:asciiTheme="majorBidi" w:hAnsiTheme="majorBidi" w:cstheme="majorBidi"/>
              </w:rPr>
              <w:t>3,555</w:t>
            </w:r>
          </w:p>
        </w:tc>
        <w:tc>
          <w:tcPr>
            <w:tcW w:w="463" w:type="pct"/>
          </w:tcPr>
          <w:p w14:paraId="6218BA13"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&gt; 65 years</w:t>
            </w:r>
          </w:p>
          <w:p w14:paraId="52CE10D9" w14:textId="13B885F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Hip fracture surgery</w:t>
            </w:r>
          </w:p>
        </w:tc>
        <w:tc>
          <w:tcPr>
            <w:tcW w:w="834" w:type="pct"/>
          </w:tcPr>
          <w:p w14:paraId="46693244" w14:textId="0481A04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No significant difference between general and regional anaesthesia for the </w:t>
            </w:r>
            <w:r w:rsidRPr="001714D5">
              <w:rPr>
                <w:rFonts w:asciiTheme="majorBidi" w:hAnsiTheme="majorBidi" w:cstheme="majorBidi"/>
                <w:sz w:val="24"/>
                <w:szCs w:val="24"/>
              </w:rPr>
              <w:lastRenderedPageBreak/>
              <w:t>incidence of POD / POCD observed</w:t>
            </w:r>
          </w:p>
        </w:tc>
        <w:tc>
          <w:tcPr>
            <w:tcW w:w="894" w:type="pct"/>
          </w:tcPr>
          <w:p w14:paraId="4CBA47F3" w14:textId="1F52A48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c>
          <w:tcPr>
            <w:tcW w:w="802" w:type="pct"/>
          </w:tcPr>
          <w:p w14:paraId="216708AD" w14:textId="791B041D"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08C48EB2" w14:textId="711BD34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59F11923" w14:textId="77777777" w:rsidTr="00AE5C8F">
        <w:trPr>
          <w:trHeight w:val="278"/>
        </w:trPr>
        <w:tc>
          <w:tcPr>
            <w:tcW w:w="648" w:type="pct"/>
          </w:tcPr>
          <w:p w14:paraId="11F1329D" w14:textId="62CEEB5C"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Negrini (2022) / Brazil (69)</w:t>
            </w:r>
          </w:p>
        </w:tc>
        <w:tc>
          <w:tcPr>
            <w:tcW w:w="464" w:type="pct"/>
          </w:tcPr>
          <w:p w14:paraId="6D2F74B1" w14:textId="4D9ABF1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3,390</w:t>
            </w:r>
          </w:p>
        </w:tc>
        <w:tc>
          <w:tcPr>
            <w:tcW w:w="463" w:type="pct"/>
          </w:tcPr>
          <w:p w14:paraId="509CAB54" w14:textId="7319A6F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25658744" w14:textId="77DDE1C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Study found a heterogeneity of criteria for POCD incidence 1 to 12 months postoperative in papers.</w:t>
            </w:r>
          </w:p>
        </w:tc>
        <w:tc>
          <w:tcPr>
            <w:tcW w:w="894" w:type="pct"/>
          </w:tcPr>
          <w:p w14:paraId="4302F5B3" w14:textId="1534496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3989E21" w14:textId="6F5D16A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At 30 days postoperative total intravenous anaesthesia is related to lower POCD rates compared to inhalational anaesthesia</w:t>
            </w:r>
          </w:p>
        </w:tc>
        <w:tc>
          <w:tcPr>
            <w:tcW w:w="895" w:type="pct"/>
          </w:tcPr>
          <w:p w14:paraId="70F74A7A" w14:textId="3BDA12A2"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245D3202" w14:textId="77777777" w:rsidTr="00AE5C8F">
        <w:trPr>
          <w:trHeight w:val="278"/>
        </w:trPr>
        <w:tc>
          <w:tcPr>
            <w:tcW w:w="648" w:type="pct"/>
          </w:tcPr>
          <w:p w14:paraId="5F42059B" w14:textId="65E56F90"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Zhang (2018)/ China (70)</w:t>
            </w:r>
          </w:p>
        </w:tc>
        <w:tc>
          <w:tcPr>
            <w:tcW w:w="464" w:type="pct"/>
          </w:tcPr>
          <w:p w14:paraId="02DDE2C1" w14:textId="04A74FE1"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RCT/ 387</w:t>
            </w:r>
          </w:p>
        </w:tc>
        <w:tc>
          <w:tcPr>
            <w:tcW w:w="463" w:type="pct"/>
          </w:tcPr>
          <w:p w14:paraId="1550B89E" w14:textId="7180E02A"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Cancer surgery</w:t>
            </w:r>
          </w:p>
        </w:tc>
        <w:tc>
          <w:tcPr>
            <w:tcW w:w="834" w:type="pct"/>
          </w:tcPr>
          <w:p w14:paraId="54C74936" w14:textId="160E6228" w:rsidR="00F56E31" w:rsidRPr="001714D5" w:rsidRDefault="00F56E31" w:rsidP="00F56E31">
            <w:pPr>
              <w:jc w:val="center"/>
              <w:rPr>
                <w:rFonts w:asciiTheme="majorBidi" w:hAnsiTheme="majorBidi" w:cstheme="majorBidi"/>
                <w:sz w:val="24"/>
                <w:szCs w:val="24"/>
              </w:rPr>
            </w:pPr>
            <w:r>
              <w:rPr>
                <w:rFonts w:asciiTheme="majorBidi" w:hAnsiTheme="majorBidi" w:cstheme="majorBidi"/>
                <w:sz w:val="24"/>
                <w:szCs w:val="24"/>
              </w:rPr>
              <w:t xml:space="preserve">Anesthesia based on propofol compared to sevoflurane is associated with reduced risk of delayed cognitive deficits after cancer surgery. </w:t>
            </w:r>
          </w:p>
        </w:tc>
        <w:tc>
          <w:tcPr>
            <w:tcW w:w="894" w:type="pct"/>
          </w:tcPr>
          <w:p w14:paraId="7C5075DA" w14:textId="4E9D0360" w:rsidR="00F56E31" w:rsidRPr="00240F17" w:rsidRDefault="005E67C2" w:rsidP="00F56E31">
            <w:pPr>
              <w:jc w:val="center"/>
              <w:rPr>
                <w:rFonts w:asciiTheme="majorBidi" w:hAnsiTheme="majorBidi" w:cstheme="majorBidi"/>
                <w:sz w:val="24"/>
                <w:szCs w:val="24"/>
                <w:highlight w:val="yellow"/>
              </w:rPr>
            </w:pPr>
            <w:r w:rsidRPr="005E67C2">
              <w:rPr>
                <w:rFonts w:asciiTheme="majorBidi" w:hAnsiTheme="majorBidi" w:cstheme="majorBidi"/>
                <w:sz w:val="24"/>
                <w:szCs w:val="24"/>
              </w:rPr>
              <w:t>Neurocognitive assessment was done 1 week postoperative</w:t>
            </w:r>
            <w:r>
              <w:rPr>
                <w:rFonts w:asciiTheme="majorBidi" w:hAnsiTheme="majorBidi" w:cstheme="majorBidi"/>
                <w:sz w:val="24"/>
                <w:szCs w:val="24"/>
              </w:rPr>
              <w:t xml:space="preserve"> for patients and controls</w:t>
            </w:r>
            <w:r w:rsidRPr="005E67C2">
              <w:rPr>
                <w:rFonts w:asciiTheme="majorBidi" w:hAnsiTheme="majorBidi" w:cstheme="majorBidi"/>
                <w:sz w:val="24"/>
                <w:szCs w:val="24"/>
              </w:rPr>
              <w:t xml:space="preserve"> and diagnosis was done using ISPOCD1 definition</w:t>
            </w:r>
          </w:p>
        </w:tc>
        <w:tc>
          <w:tcPr>
            <w:tcW w:w="802" w:type="pct"/>
          </w:tcPr>
          <w:p w14:paraId="35C63936" w14:textId="0A58E484" w:rsidR="00F56E31" w:rsidRPr="005E67C2" w:rsidRDefault="005E67C2" w:rsidP="00F56E31">
            <w:pPr>
              <w:jc w:val="center"/>
              <w:rPr>
                <w:rFonts w:asciiTheme="majorBidi" w:hAnsiTheme="majorBidi" w:cstheme="majorBidi"/>
                <w:sz w:val="24"/>
                <w:szCs w:val="24"/>
              </w:rPr>
            </w:pPr>
            <w:r w:rsidRPr="005E67C2">
              <w:rPr>
                <w:rFonts w:asciiTheme="majorBidi" w:hAnsiTheme="majorBidi" w:cstheme="majorBidi"/>
                <w:sz w:val="24"/>
                <w:szCs w:val="24"/>
              </w:rPr>
              <w:t>Propofol compared to sevoflurane has a lower risk of delayed cognitive recovery</w:t>
            </w:r>
          </w:p>
        </w:tc>
        <w:tc>
          <w:tcPr>
            <w:tcW w:w="895" w:type="pct"/>
          </w:tcPr>
          <w:p w14:paraId="108DA0C4" w14:textId="780BB2D6" w:rsidR="00F56E31" w:rsidRPr="00240F17" w:rsidRDefault="005E67C2" w:rsidP="00F56E31">
            <w:pPr>
              <w:jc w:val="center"/>
              <w:rPr>
                <w:rFonts w:asciiTheme="majorBidi" w:hAnsiTheme="majorBidi" w:cstheme="majorBidi"/>
                <w:sz w:val="24"/>
                <w:szCs w:val="24"/>
                <w:highlight w:val="yellow"/>
              </w:rPr>
            </w:pPr>
            <w:r w:rsidRPr="005E67C2">
              <w:rPr>
                <w:rFonts w:asciiTheme="majorBidi" w:hAnsiTheme="majorBidi" w:cstheme="majorBidi"/>
                <w:sz w:val="24"/>
                <w:szCs w:val="24"/>
              </w:rPr>
              <w:t>NA</w:t>
            </w:r>
          </w:p>
        </w:tc>
      </w:tr>
      <w:tr w:rsidR="00F56E31" w:rsidRPr="001714D5" w14:paraId="4EAE81D4" w14:textId="77777777" w:rsidTr="00AE5C8F">
        <w:trPr>
          <w:trHeight w:val="278"/>
        </w:trPr>
        <w:tc>
          <w:tcPr>
            <w:tcW w:w="648" w:type="pct"/>
          </w:tcPr>
          <w:p w14:paraId="1FCF7736" w14:textId="325B6934"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Xu (2012) / China (71)</w:t>
            </w:r>
          </w:p>
        </w:tc>
        <w:tc>
          <w:tcPr>
            <w:tcW w:w="464" w:type="pct"/>
          </w:tcPr>
          <w:p w14:paraId="751D0305" w14:textId="44A0D0C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1,854</w:t>
            </w:r>
          </w:p>
        </w:tc>
        <w:tc>
          <w:tcPr>
            <w:tcW w:w="463" w:type="pct"/>
          </w:tcPr>
          <w:p w14:paraId="7509BDB1" w14:textId="583D0E8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Non-cardiac surgery</w:t>
            </w:r>
          </w:p>
        </w:tc>
        <w:tc>
          <w:tcPr>
            <w:tcW w:w="834" w:type="pct"/>
          </w:tcPr>
          <w:p w14:paraId="11BF1847" w14:textId="5960A9CB" w:rsidR="00F56E31" w:rsidRPr="001714D5" w:rsidRDefault="00ED26A6" w:rsidP="00F56E31">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6B1321B3" w14:textId="1F0B367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800BBEC" w14:textId="4E7EEE6E" w:rsidR="00F56E31" w:rsidRPr="001714D5" w:rsidRDefault="00F56E31" w:rsidP="00F56E31">
            <w:pPr>
              <w:jc w:val="center"/>
              <w:rPr>
                <w:rFonts w:asciiTheme="majorBidi" w:hAnsiTheme="majorBidi" w:cstheme="majorBidi"/>
                <w:sz w:val="24"/>
                <w:szCs w:val="24"/>
                <w:rtl/>
                <w:lang w:bidi="fa-IR"/>
              </w:rPr>
            </w:pPr>
            <w:r w:rsidRPr="001714D5">
              <w:rPr>
                <w:rFonts w:asciiTheme="majorBidi" w:hAnsiTheme="majorBidi" w:cstheme="majorBidi"/>
                <w:sz w:val="24"/>
                <w:szCs w:val="24"/>
              </w:rPr>
              <w:t>Propofol compared to inhalational anaesthesia is related to lower POCD in 2-6 days postop.</w:t>
            </w:r>
          </w:p>
        </w:tc>
        <w:tc>
          <w:tcPr>
            <w:tcW w:w="895" w:type="pct"/>
          </w:tcPr>
          <w:p w14:paraId="2F363C27" w14:textId="777DD34E"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4F086D3F" w14:textId="77777777" w:rsidTr="00AE5C8F">
        <w:trPr>
          <w:trHeight w:val="278"/>
        </w:trPr>
        <w:tc>
          <w:tcPr>
            <w:tcW w:w="648" w:type="pct"/>
          </w:tcPr>
          <w:p w14:paraId="254FF2B3" w14:textId="2938DDA2"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Pang (2021) / China (72)</w:t>
            </w:r>
          </w:p>
        </w:tc>
        <w:tc>
          <w:tcPr>
            <w:tcW w:w="464" w:type="pct"/>
          </w:tcPr>
          <w:p w14:paraId="071E7C58" w14:textId="687762A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Meta-analysis / 1,626</w:t>
            </w:r>
          </w:p>
        </w:tc>
        <w:tc>
          <w:tcPr>
            <w:tcW w:w="463" w:type="pct"/>
          </w:tcPr>
          <w:p w14:paraId="4B9F1626" w14:textId="3A569CA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&gt; 60 years </w:t>
            </w:r>
          </w:p>
          <w:p w14:paraId="3795021A" w14:textId="2BD93E2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A7E79E2" w14:textId="5B8F7ACB" w:rsidR="00F56E31" w:rsidRPr="001714D5" w:rsidRDefault="00ED26A6" w:rsidP="00F56E31">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1116B629" w14:textId="60E7CB4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2F56FB51" w14:textId="0AF2678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Perioperative administration of dexmedetomidine in elderly reduces POCD incidence compared to placebo</w:t>
            </w:r>
          </w:p>
        </w:tc>
        <w:tc>
          <w:tcPr>
            <w:tcW w:w="895" w:type="pct"/>
          </w:tcPr>
          <w:p w14:paraId="36F423A6" w14:textId="077B267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72926B7A" w14:textId="77777777" w:rsidTr="00AE5C8F">
        <w:trPr>
          <w:trHeight w:val="278"/>
        </w:trPr>
        <w:tc>
          <w:tcPr>
            <w:tcW w:w="648" w:type="pct"/>
          </w:tcPr>
          <w:p w14:paraId="56892942" w14:textId="5F945DD9"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Li (2021) / China (73)</w:t>
            </w:r>
          </w:p>
        </w:tc>
        <w:tc>
          <w:tcPr>
            <w:tcW w:w="464" w:type="pct"/>
          </w:tcPr>
          <w:p w14:paraId="6700A43D" w14:textId="471159A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Meta-analysis / 2,902</w:t>
            </w:r>
          </w:p>
        </w:tc>
        <w:tc>
          <w:tcPr>
            <w:tcW w:w="463" w:type="pct"/>
          </w:tcPr>
          <w:p w14:paraId="1EA99B25" w14:textId="0F69EB8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BB18BE4" w14:textId="3F6189AE" w:rsidR="00F56E31" w:rsidRPr="001714D5" w:rsidRDefault="00ED26A6" w:rsidP="00F56E31">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1550A58A" w14:textId="5D3F094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1EB4E69" w14:textId="2053AB5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Dexmedetomidine reduces POCD incidence on the 1</w:t>
            </w:r>
            <w:r w:rsidRPr="001714D5">
              <w:rPr>
                <w:rFonts w:asciiTheme="majorBidi" w:hAnsiTheme="majorBidi" w:cstheme="majorBidi"/>
                <w:sz w:val="24"/>
                <w:szCs w:val="24"/>
                <w:vertAlign w:val="superscript"/>
              </w:rPr>
              <w:t>st</w:t>
            </w:r>
            <w:r w:rsidRPr="001714D5">
              <w:rPr>
                <w:rFonts w:asciiTheme="majorBidi" w:hAnsiTheme="majorBidi" w:cstheme="majorBidi"/>
                <w:sz w:val="24"/>
                <w:szCs w:val="24"/>
              </w:rPr>
              <w:t>, 3</w:t>
            </w:r>
            <w:r w:rsidRPr="001714D5">
              <w:rPr>
                <w:rFonts w:asciiTheme="majorBidi" w:hAnsiTheme="majorBidi" w:cstheme="majorBidi"/>
                <w:sz w:val="24"/>
                <w:szCs w:val="24"/>
                <w:vertAlign w:val="superscript"/>
              </w:rPr>
              <w:t>rd</w:t>
            </w:r>
            <w:r w:rsidRPr="001714D5">
              <w:rPr>
                <w:rFonts w:asciiTheme="majorBidi" w:hAnsiTheme="majorBidi" w:cstheme="majorBidi"/>
                <w:sz w:val="24"/>
                <w:szCs w:val="24"/>
              </w:rPr>
              <w:t>, and 7</w:t>
            </w:r>
            <w:r w:rsidRPr="001714D5">
              <w:rPr>
                <w:rFonts w:asciiTheme="majorBidi" w:hAnsiTheme="majorBidi" w:cstheme="majorBidi"/>
                <w:sz w:val="24"/>
                <w:szCs w:val="24"/>
                <w:vertAlign w:val="superscript"/>
              </w:rPr>
              <w:t>th</w:t>
            </w:r>
            <w:r w:rsidRPr="001714D5">
              <w:rPr>
                <w:rFonts w:asciiTheme="majorBidi" w:hAnsiTheme="majorBidi" w:cstheme="majorBidi"/>
                <w:sz w:val="24"/>
                <w:szCs w:val="24"/>
              </w:rPr>
              <w:t xml:space="preserve"> postoperative day and improves </w:t>
            </w:r>
            <w:r w:rsidRPr="001714D5">
              <w:rPr>
                <w:rFonts w:asciiTheme="majorBidi" w:hAnsiTheme="majorBidi" w:cstheme="majorBidi"/>
                <w:sz w:val="24"/>
                <w:szCs w:val="24"/>
              </w:rPr>
              <w:lastRenderedPageBreak/>
              <w:t>postoperative MMSE score</w:t>
            </w:r>
          </w:p>
        </w:tc>
        <w:tc>
          <w:tcPr>
            <w:tcW w:w="895" w:type="pct"/>
          </w:tcPr>
          <w:p w14:paraId="4B2C0396" w14:textId="1E64E22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r>
      <w:tr w:rsidR="00F56E31" w:rsidRPr="001714D5" w14:paraId="697426BC" w14:textId="77777777" w:rsidTr="00AE5C8F">
        <w:trPr>
          <w:trHeight w:val="278"/>
        </w:trPr>
        <w:tc>
          <w:tcPr>
            <w:tcW w:w="648" w:type="pct"/>
          </w:tcPr>
          <w:p w14:paraId="6827BAFD" w14:textId="49E7B4AD"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Govêia</w:t>
            </w:r>
            <w:proofErr w:type="spellEnd"/>
            <w:r w:rsidRPr="00AB7713">
              <w:rPr>
                <w:rFonts w:asciiTheme="majorBidi" w:eastAsia="Times New Roman" w:hAnsiTheme="majorBidi" w:cstheme="majorBidi"/>
              </w:rPr>
              <w:t xml:space="preserve"> (2021) / Brazil (74)</w:t>
            </w:r>
          </w:p>
        </w:tc>
        <w:tc>
          <w:tcPr>
            <w:tcW w:w="464" w:type="pct"/>
          </w:tcPr>
          <w:p w14:paraId="573D5FDD" w14:textId="7FA8DDC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Meta-analysis / 2,183</w:t>
            </w:r>
          </w:p>
        </w:tc>
        <w:tc>
          <w:tcPr>
            <w:tcW w:w="463" w:type="pct"/>
          </w:tcPr>
          <w:p w14:paraId="689386F6" w14:textId="40A2DD8F"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Non- cardiac</w:t>
            </w:r>
          </w:p>
        </w:tc>
        <w:tc>
          <w:tcPr>
            <w:tcW w:w="834" w:type="pct"/>
          </w:tcPr>
          <w:p w14:paraId="7EAD77DC" w14:textId="0F459B55"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There is no recommended timing for dexmedetomidine administration (e.g. Induction, intraoperative, postop)</w:t>
            </w:r>
          </w:p>
        </w:tc>
        <w:tc>
          <w:tcPr>
            <w:tcW w:w="894" w:type="pct"/>
          </w:tcPr>
          <w:p w14:paraId="5FDC33B9" w14:textId="3A7AD78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1DB92357" w14:textId="53B47A1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Dexmedetomidine administration reduces chance of postoperative cognitive and behavioral dysfunction</w:t>
            </w:r>
          </w:p>
        </w:tc>
        <w:tc>
          <w:tcPr>
            <w:tcW w:w="895" w:type="pct"/>
          </w:tcPr>
          <w:p w14:paraId="628D7FFE" w14:textId="346CF030"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6AD59479" w14:textId="77777777" w:rsidTr="00AE5C8F">
        <w:trPr>
          <w:trHeight w:val="278"/>
        </w:trPr>
        <w:tc>
          <w:tcPr>
            <w:tcW w:w="648" w:type="pct"/>
          </w:tcPr>
          <w:p w14:paraId="69EF0DCF" w14:textId="4751F1DF" w:rsidR="00F56E31" w:rsidRPr="00AB7713" w:rsidRDefault="00F56E31" w:rsidP="00F56E31">
            <w:pPr>
              <w:ind w:left="360"/>
              <w:rPr>
                <w:rFonts w:asciiTheme="majorBidi" w:eastAsia="Times New Roman" w:hAnsiTheme="majorBidi" w:cstheme="majorBidi"/>
              </w:rPr>
            </w:pPr>
            <w:proofErr w:type="spellStart"/>
            <w:r w:rsidRPr="00AB7713">
              <w:rPr>
                <w:rFonts w:asciiTheme="majorBidi" w:eastAsia="Times New Roman" w:hAnsiTheme="majorBidi" w:cstheme="majorBidi"/>
              </w:rPr>
              <w:t>Hovaguimian</w:t>
            </w:r>
            <w:proofErr w:type="spellEnd"/>
            <w:r w:rsidRPr="00AB7713">
              <w:rPr>
                <w:rFonts w:asciiTheme="majorBidi" w:eastAsia="Times New Roman" w:hAnsiTheme="majorBidi" w:cstheme="majorBidi"/>
              </w:rPr>
              <w:t xml:space="preserve"> (2018) / Switzerland (75)</w:t>
            </w:r>
          </w:p>
        </w:tc>
        <w:tc>
          <w:tcPr>
            <w:tcW w:w="464" w:type="pct"/>
          </w:tcPr>
          <w:p w14:paraId="12F1C06D" w14:textId="02FD7C5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163</w:t>
            </w:r>
          </w:p>
        </w:tc>
        <w:tc>
          <w:tcPr>
            <w:tcW w:w="463" w:type="pct"/>
          </w:tcPr>
          <w:p w14:paraId="5F6FE399" w14:textId="7C0E89B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27B41CB" w14:textId="57CEEE21"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While effective against POCD, intraoperative ketamine effect in preventing POD is insignificant</w:t>
            </w:r>
          </w:p>
        </w:tc>
        <w:tc>
          <w:tcPr>
            <w:tcW w:w="894" w:type="pct"/>
          </w:tcPr>
          <w:p w14:paraId="2D97E117" w14:textId="6ECAB7A9"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36A2E8C0" w14:textId="4608EFE7"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Ketamine administration intraoperative is protective against POCD incidence</w:t>
            </w:r>
          </w:p>
        </w:tc>
        <w:tc>
          <w:tcPr>
            <w:tcW w:w="895" w:type="pct"/>
          </w:tcPr>
          <w:p w14:paraId="22C7ECD6" w14:textId="5F306576"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F56E31" w:rsidRPr="001714D5" w14:paraId="1362AD42" w14:textId="77777777" w:rsidTr="00AE5C8F">
        <w:trPr>
          <w:trHeight w:val="278"/>
        </w:trPr>
        <w:tc>
          <w:tcPr>
            <w:tcW w:w="648" w:type="pct"/>
          </w:tcPr>
          <w:p w14:paraId="6A4741FA" w14:textId="4A77257A" w:rsidR="00F56E31" w:rsidRPr="00AB7713" w:rsidRDefault="00F56E31" w:rsidP="00F56E31">
            <w:pPr>
              <w:ind w:left="360"/>
              <w:rPr>
                <w:rFonts w:asciiTheme="majorBidi" w:eastAsia="Times New Roman" w:hAnsiTheme="majorBidi" w:cstheme="majorBidi"/>
              </w:rPr>
            </w:pPr>
            <w:r w:rsidRPr="00AB7713">
              <w:rPr>
                <w:rFonts w:asciiTheme="majorBidi" w:eastAsia="Times New Roman" w:hAnsiTheme="majorBidi" w:cstheme="majorBidi"/>
              </w:rPr>
              <w:t>Bocskai (2020) / Hungary (76)</w:t>
            </w:r>
          </w:p>
        </w:tc>
        <w:tc>
          <w:tcPr>
            <w:tcW w:w="464" w:type="pct"/>
          </w:tcPr>
          <w:p w14:paraId="4ABB0C88" w14:textId="529E558D"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1985</w:t>
            </w:r>
          </w:p>
        </w:tc>
        <w:tc>
          <w:tcPr>
            <w:tcW w:w="463" w:type="pct"/>
          </w:tcPr>
          <w:p w14:paraId="04DC88CA" w14:textId="487AD448"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1B785685" w14:textId="72FC544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 xml:space="preserve">Although use of Bispectral index monitoring (BIS) was protective against POCD at 12 weeks but wasn’t found significant at 1 week postop. </w:t>
            </w:r>
          </w:p>
        </w:tc>
        <w:tc>
          <w:tcPr>
            <w:tcW w:w="894" w:type="pct"/>
          </w:tcPr>
          <w:p w14:paraId="729BFB70" w14:textId="4F0A11D3"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509F0B2" w14:textId="23F7D0BC"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Use of BIS is associated with lower POCD incidence at 12 weeks postop.</w:t>
            </w:r>
          </w:p>
        </w:tc>
        <w:tc>
          <w:tcPr>
            <w:tcW w:w="895" w:type="pct"/>
          </w:tcPr>
          <w:p w14:paraId="4963C3FD" w14:textId="41A837A4" w:rsidR="00F56E31" w:rsidRPr="001714D5" w:rsidRDefault="00F56E31" w:rsidP="00F56E31">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182141F6" w14:textId="77777777" w:rsidTr="00AE5C8F">
        <w:trPr>
          <w:trHeight w:val="278"/>
        </w:trPr>
        <w:tc>
          <w:tcPr>
            <w:tcW w:w="648" w:type="pct"/>
          </w:tcPr>
          <w:p w14:paraId="0AA1A1AB" w14:textId="6E0E9463"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Lu (2018) / China (77)</w:t>
            </w:r>
          </w:p>
        </w:tc>
        <w:tc>
          <w:tcPr>
            <w:tcW w:w="464" w:type="pct"/>
          </w:tcPr>
          <w:p w14:paraId="75C3D0BF" w14:textId="371594F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Meta-analysis / 340</w:t>
            </w:r>
          </w:p>
        </w:tc>
        <w:tc>
          <w:tcPr>
            <w:tcW w:w="463" w:type="pct"/>
          </w:tcPr>
          <w:p w14:paraId="742C25FC" w14:textId="19E3B6D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5CBA3A25" w14:textId="40BF20C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difference between low and high BIS anaesthesia</w:t>
            </w:r>
          </w:p>
        </w:tc>
        <w:tc>
          <w:tcPr>
            <w:tcW w:w="894" w:type="pct"/>
          </w:tcPr>
          <w:p w14:paraId="6F55722F" w14:textId="071F422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3C0A5F9F" w14:textId="6ACFF185"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75033BFD" w14:textId="65BC873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6EC4BB94" w14:textId="77777777" w:rsidTr="00AE5C8F">
        <w:trPr>
          <w:trHeight w:val="278"/>
        </w:trPr>
        <w:tc>
          <w:tcPr>
            <w:tcW w:w="648" w:type="pct"/>
          </w:tcPr>
          <w:p w14:paraId="07B4F072" w14:textId="69278D32"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Ding (2020) / China (78)</w:t>
            </w:r>
          </w:p>
        </w:tc>
        <w:tc>
          <w:tcPr>
            <w:tcW w:w="464" w:type="pct"/>
          </w:tcPr>
          <w:p w14:paraId="43790ADF" w14:textId="0C50855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6,356</w:t>
            </w:r>
          </w:p>
        </w:tc>
        <w:tc>
          <w:tcPr>
            <w:tcW w:w="463" w:type="pct"/>
          </w:tcPr>
          <w:p w14:paraId="15A2F577" w14:textId="3838868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27AF91A7" w14:textId="4AB204B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Use of intraoperative EEG- monitoring was insignificant in early POCD prevention but significant up to 3 months </w:t>
            </w:r>
          </w:p>
        </w:tc>
        <w:tc>
          <w:tcPr>
            <w:tcW w:w="894" w:type="pct"/>
          </w:tcPr>
          <w:p w14:paraId="157368B8" w14:textId="6636419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07852567" w14:textId="62AF38B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Intraoperative regional cerebral oxygen saturation and EEG- monitoring of anaesthesia reduces POCD incidence.</w:t>
            </w:r>
          </w:p>
        </w:tc>
        <w:tc>
          <w:tcPr>
            <w:tcW w:w="895" w:type="pct"/>
          </w:tcPr>
          <w:p w14:paraId="19F889A2" w14:textId="2AB9F1D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0745165D" w14:textId="77777777" w:rsidTr="00AE5C8F">
        <w:trPr>
          <w:trHeight w:val="278"/>
        </w:trPr>
        <w:tc>
          <w:tcPr>
            <w:tcW w:w="648" w:type="pct"/>
          </w:tcPr>
          <w:p w14:paraId="0C5D11A8" w14:textId="7457C87F"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Lachmann (2018) / Germany (79)</w:t>
            </w:r>
          </w:p>
        </w:tc>
        <w:tc>
          <w:tcPr>
            <w:tcW w:w="464" w:type="pct"/>
          </w:tcPr>
          <w:p w14:paraId="697B1B4B" w14:textId="08182C0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Secondary analysis of 3 RCTs / 1,034</w:t>
            </w:r>
          </w:p>
        </w:tc>
        <w:tc>
          <w:tcPr>
            <w:tcW w:w="463" w:type="pct"/>
          </w:tcPr>
          <w:p w14:paraId="32D2EE1B" w14:textId="217E57D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1053DD3" w14:textId="71DE3AB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Obesity or hypertension were not associated with POCD</w:t>
            </w:r>
          </w:p>
        </w:tc>
        <w:tc>
          <w:tcPr>
            <w:tcW w:w="894" w:type="pct"/>
          </w:tcPr>
          <w:p w14:paraId="2121B473" w14:textId="59EAAED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43FDC32" w14:textId="152BB9E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DM was associated to POCD incidence</w:t>
            </w:r>
          </w:p>
          <w:p w14:paraId="25146FBA" w14:textId="3E52E3C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(1.84-fold)</w:t>
            </w:r>
          </w:p>
        </w:tc>
        <w:tc>
          <w:tcPr>
            <w:tcW w:w="895" w:type="pct"/>
          </w:tcPr>
          <w:p w14:paraId="1C0F0525" w14:textId="333992A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6C416502" w14:textId="77777777" w:rsidTr="00AE5C8F">
        <w:trPr>
          <w:trHeight w:val="278"/>
        </w:trPr>
        <w:tc>
          <w:tcPr>
            <w:tcW w:w="648" w:type="pct"/>
          </w:tcPr>
          <w:p w14:paraId="0077B0ED" w14:textId="11185EAD"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lastRenderedPageBreak/>
              <w:t>Feinkohl</w:t>
            </w:r>
            <w:proofErr w:type="spellEnd"/>
            <w:r w:rsidRPr="00AB7713">
              <w:rPr>
                <w:rFonts w:asciiTheme="majorBidi" w:eastAsia="Times New Roman" w:hAnsiTheme="majorBidi" w:cstheme="majorBidi"/>
              </w:rPr>
              <w:t xml:space="preserve"> (2017) / Germany (80)</w:t>
            </w:r>
          </w:p>
        </w:tc>
        <w:tc>
          <w:tcPr>
            <w:tcW w:w="464" w:type="pct"/>
          </w:tcPr>
          <w:p w14:paraId="0ACB1DFC" w14:textId="225ED99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2,518</w:t>
            </w:r>
          </w:p>
        </w:tc>
        <w:tc>
          <w:tcPr>
            <w:tcW w:w="463" w:type="pct"/>
          </w:tcPr>
          <w:p w14:paraId="2D4A14A1" w14:textId="728AE31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0E063FCB" w14:textId="3934CFC3"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20C9FBAB" w14:textId="2C13D74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7FC891B1" w14:textId="3AB9227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DM was associated with POCD incidence (1.26-fold)</w:t>
            </w:r>
          </w:p>
        </w:tc>
        <w:tc>
          <w:tcPr>
            <w:tcW w:w="895" w:type="pct"/>
          </w:tcPr>
          <w:p w14:paraId="4C8A2F32" w14:textId="5CDA81C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60F2AF8A" w14:textId="77777777" w:rsidTr="00AE5C8F">
        <w:trPr>
          <w:trHeight w:val="278"/>
        </w:trPr>
        <w:tc>
          <w:tcPr>
            <w:tcW w:w="648" w:type="pct"/>
          </w:tcPr>
          <w:p w14:paraId="23CCE162" w14:textId="21FFE84D"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Kadoi</w:t>
            </w:r>
            <w:proofErr w:type="spellEnd"/>
            <w:r w:rsidRPr="00AB7713">
              <w:rPr>
                <w:rFonts w:asciiTheme="majorBidi" w:eastAsia="Times New Roman" w:hAnsiTheme="majorBidi" w:cstheme="majorBidi"/>
              </w:rPr>
              <w:t xml:space="preserve"> (2005) / Japan (81)</w:t>
            </w:r>
          </w:p>
        </w:tc>
        <w:tc>
          <w:tcPr>
            <w:tcW w:w="464" w:type="pct"/>
          </w:tcPr>
          <w:p w14:paraId="05EF368F" w14:textId="3D55B241"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Cohort</w:t>
            </w:r>
            <w:r w:rsidRPr="001714D5">
              <w:rPr>
                <w:rFonts w:asciiTheme="majorBidi" w:hAnsiTheme="majorBidi" w:cstheme="majorBidi"/>
                <w:sz w:val="24"/>
                <w:szCs w:val="24"/>
              </w:rPr>
              <w:t xml:space="preserve"> / 200</w:t>
            </w:r>
          </w:p>
        </w:tc>
        <w:tc>
          <w:tcPr>
            <w:tcW w:w="463" w:type="pct"/>
          </w:tcPr>
          <w:p w14:paraId="450CCA24" w14:textId="255BDC7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Elective CABG</w:t>
            </w:r>
          </w:p>
        </w:tc>
        <w:tc>
          <w:tcPr>
            <w:tcW w:w="834" w:type="pct"/>
          </w:tcPr>
          <w:p w14:paraId="17D42AAA" w14:textId="62A6A1A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Hypertension, reduced SvO2, and ascending aorta atherosclerosis was related to early ( 7 days postop) POCD.</w:t>
            </w:r>
          </w:p>
          <w:p w14:paraId="16B397C7" w14:textId="06247E3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Insulin therapy, diabetic retinopathy, and HbA1c was related to late (6 months postop) POCD.</w:t>
            </w:r>
          </w:p>
        </w:tc>
        <w:tc>
          <w:tcPr>
            <w:tcW w:w="894" w:type="pct"/>
          </w:tcPr>
          <w:p w14:paraId="02D278D3" w14:textId="52C97C3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5F71EDB9" w14:textId="668FC4B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Higher age, type 2 DM, hypertension, lower jugular venous oxygen saturation, ascending aorta atherosclerosis, diabetic retinopathy and HbA1c and insulin therapy were associated to POCD</w:t>
            </w:r>
          </w:p>
        </w:tc>
        <w:tc>
          <w:tcPr>
            <w:tcW w:w="895" w:type="pct"/>
          </w:tcPr>
          <w:p w14:paraId="30B9BF75" w14:textId="3063A91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52AC61E5" w14:textId="77777777" w:rsidTr="00AE5C8F">
        <w:trPr>
          <w:trHeight w:val="278"/>
        </w:trPr>
        <w:tc>
          <w:tcPr>
            <w:tcW w:w="648" w:type="pct"/>
          </w:tcPr>
          <w:p w14:paraId="59451846" w14:textId="74467FF3"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Seven (2022) / Turkey (82)</w:t>
            </w:r>
          </w:p>
        </w:tc>
        <w:tc>
          <w:tcPr>
            <w:tcW w:w="464" w:type="pct"/>
          </w:tcPr>
          <w:p w14:paraId="4AC118C9" w14:textId="7C83C92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Prospective case-control / 50</w:t>
            </w:r>
          </w:p>
        </w:tc>
        <w:tc>
          <w:tcPr>
            <w:tcW w:w="463" w:type="pct"/>
          </w:tcPr>
          <w:p w14:paraId="6C45B7BE" w14:textId="099F80C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&lt; 70 years</w:t>
            </w:r>
          </w:p>
          <w:p w14:paraId="6CE0AB50" w14:textId="6AF24B7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Elective laparoscopic cholecystectomy</w:t>
            </w:r>
          </w:p>
        </w:tc>
        <w:tc>
          <w:tcPr>
            <w:tcW w:w="834" w:type="pct"/>
          </w:tcPr>
          <w:p w14:paraId="0219032B" w14:textId="12B0B5D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with diabetes showed lower MMSE and MoCA postop</w:t>
            </w:r>
          </w:p>
        </w:tc>
        <w:tc>
          <w:tcPr>
            <w:tcW w:w="894" w:type="pct"/>
          </w:tcPr>
          <w:p w14:paraId="149B39B4" w14:textId="0AD9A83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POCD was measured at 4</w:t>
            </w:r>
            <w:r w:rsidRPr="001714D5">
              <w:rPr>
                <w:rFonts w:asciiTheme="majorBidi" w:hAnsiTheme="majorBidi" w:cstheme="majorBidi"/>
                <w:sz w:val="24"/>
                <w:szCs w:val="24"/>
                <w:vertAlign w:val="superscript"/>
              </w:rPr>
              <w:t>th</w:t>
            </w:r>
            <w:r w:rsidRPr="001714D5">
              <w:rPr>
                <w:rFonts w:asciiTheme="majorBidi" w:hAnsiTheme="majorBidi" w:cstheme="majorBidi"/>
                <w:sz w:val="24"/>
                <w:szCs w:val="24"/>
              </w:rPr>
              <w:t xml:space="preserve"> and 24</w:t>
            </w:r>
            <w:r w:rsidRPr="001714D5">
              <w:rPr>
                <w:rFonts w:asciiTheme="majorBidi" w:hAnsiTheme="majorBidi" w:cstheme="majorBidi"/>
                <w:sz w:val="24"/>
                <w:szCs w:val="24"/>
                <w:vertAlign w:val="superscript"/>
              </w:rPr>
              <w:t>th</w:t>
            </w:r>
            <w:r w:rsidRPr="001714D5">
              <w:rPr>
                <w:rFonts w:asciiTheme="majorBidi" w:hAnsiTheme="majorBidi" w:cstheme="majorBidi"/>
                <w:sz w:val="24"/>
                <w:szCs w:val="24"/>
              </w:rPr>
              <w:t xml:space="preserve"> hours postop</w:t>
            </w:r>
          </w:p>
        </w:tc>
        <w:tc>
          <w:tcPr>
            <w:tcW w:w="802" w:type="pct"/>
          </w:tcPr>
          <w:p w14:paraId="220160E6" w14:textId="203C4D6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DM is related to higher POCD incidence</w:t>
            </w:r>
          </w:p>
        </w:tc>
        <w:tc>
          <w:tcPr>
            <w:tcW w:w="895" w:type="pct"/>
          </w:tcPr>
          <w:p w14:paraId="29EF0C02" w14:textId="0BBBBDB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4C71AD8B" w14:textId="77777777" w:rsidTr="00AE5C8F">
        <w:trPr>
          <w:trHeight w:val="278"/>
        </w:trPr>
        <w:tc>
          <w:tcPr>
            <w:tcW w:w="648" w:type="pct"/>
          </w:tcPr>
          <w:p w14:paraId="3A347EBC" w14:textId="427381E9"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Soenarto</w:t>
            </w:r>
            <w:proofErr w:type="spellEnd"/>
            <w:r w:rsidRPr="00AB7713">
              <w:rPr>
                <w:rFonts w:asciiTheme="majorBidi" w:eastAsia="Times New Roman" w:hAnsiTheme="majorBidi" w:cstheme="majorBidi"/>
              </w:rPr>
              <w:t xml:space="preserve"> (2018) / Indonesia (83)</w:t>
            </w:r>
          </w:p>
        </w:tc>
        <w:tc>
          <w:tcPr>
            <w:tcW w:w="464" w:type="pct"/>
          </w:tcPr>
          <w:p w14:paraId="0AEEC565" w14:textId="2669EE0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54</w:t>
            </w:r>
          </w:p>
        </w:tc>
        <w:tc>
          <w:tcPr>
            <w:tcW w:w="463" w:type="pct"/>
          </w:tcPr>
          <w:p w14:paraId="05177808" w14:textId="0DC1473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Open heart surgery</w:t>
            </w:r>
          </w:p>
        </w:tc>
        <w:tc>
          <w:tcPr>
            <w:tcW w:w="834" w:type="pct"/>
          </w:tcPr>
          <w:p w14:paraId="70647131" w14:textId="04EB494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Education, DM, duration of cardiopulmonary bypass and cross-clamp were not related to POCD</w:t>
            </w:r>
          </w:p>
        </w:tc>
        <w:tc>
          <w:tcPr>
            <w:tcW w:w="894" w:type="pct"/>
          </w:tcPr>
          <w:p w14:paraId="58575E09" w14:textId="7799538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2ABF5537" w14:textId="47D5225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older than 65 years had higher chance of cognitive decline</w:t>
            </w:r>
          </w:p>
        </w:tc>
        <w:tc>
          <w:tcPr>
            <w:tcW w:w="895" w:type="pct"/>
          </w:tcPr>
          <w:p w14:paraId="0934DF93" w14:textId="6253473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7BBABFD4" w14:textId="77777777" w:rsidTr="00AE5C8F">
        <w:trPr>
          <w:trHeight w:val="278"/>
        </w:trPr>
        <w:tc>
          <w:tcPr>
            <w:tcW w:w="648" w:type="pct"/>
          </w:tcPr>
          <w:p w14:paraId="401B8E9A" w14:textId="2035EF83"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Feinkohl</w:t>
            </w:r>
            <w:proofErr w:type="spellEnd"/>
            <w:r w:rsidRPr="00AB7713">
              <w:rPr>
                <w:rFonts w:asciiTheme="majorBidi" w:eastAsia="Times New Roman" w:hAnsiTheme="majorBidi" w:cstheme="majorBidi"/>
              </w:rPr>
              <w:t xml:space="preserve"> (2017) / Germany (84)</w:t>
            </w:r>
          </w:p>
        </w:tc>
        <w:tc>
          <w:tcPr>
            <w:tcW w:w="464" w:type="pct"/>
          </w:tcPr>
          <w:p w14:paraId="7C3A935E" w14:textId="2BCD90A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4,317</w:t>
            </w:r>
          </w:p>
        </w:tc>
        <w:tc>
          <w:tcPr>
            <w:tcW w:w="463" w:type="pct"/>
          </w:tcPr>
          <w:p w14:paraId="6E346CCA" w14:textId="18D7732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C3E7418" w14:textId="55E57A0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Hypertension is not associated with POCD</w:t>
            </w:r>
          </w:p>
        </w:tc>
        <w:tc>
          <w:tcPr>
            <w:tcW w:w="894" w:type="pct"/>
          </w:tcPr>
          <w:p w14:paraId="32F8C085" w14:textId="7C6DF0E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 NA</w:t>
            </w:r>
          </w:p>
        </w:tc>
        <w:tc>
          <w:tcPr>
            <w:tcW w:w="802" w:type="pct"/>
          </w:tcPr>
          <w:p w14:paraId="0BFE7547" w14:textId="7742C7A4"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3BE5D8CB" w14:textId="6F69EE2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3C7E5DA4" w14:textId="77777777" w:rsidTr="00AE5C8F">
        <w:trPr>
          <w:trHeight w:val="278"/>
        </w:trPr>
        <w:tc>
          <w:tcPr>
            <w:tcW w:w="648" w:type="pct"/>
          </w:tcPr>
          <w:p w14:paraId="465E3149" w14:textId="5E1B38AB"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Puskas (2007) / USA (85)</w:t>
            </w:r>
          </w:p>
        </w:tc>
        <w:tc>
          <w:tcPr>
            <w:tcW w:w="464" w:type="pct"/>
          </w:tcPr>
          <w:p w14:paraId="26958E5E" w14:textId="0C71FFE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525</w:t>
            </w:r>
          </w:p>
        </w:tc>
        <w:tc>
          <w:tcPr>
            <w:tcW w:w="463" w:type="pct"/>
          </w:tcPr>
          <w:p w14:paraId="5283859D" w14:textId="597E750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1AA9AD3B" w14:textId="4700C7F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Although related in nondiabetic patients, hyperglycemia in </w:t>
            </w:r>
            <w:r w:rsidRPr="001714D5">
              <w:rPr>
                <w:rFonts w:asciiTheme="majorBidi" w:hAnsiTheme="majorBidi" w:cstheme="majorBidi"/>
                <w:sz w:val="24"/>
                <w:szCs w:val="24"/>
              </w:rPr>
              <w:lastRenderedPageBreak/>
              <w:t xml:space="preserve">diabetic patients is not related to POCD </w:t>
            </w:r>
          </w:p>
        </w:tc>
        <w:tc>
          <w:tcPr>
            <w:tcW w:w="894" w:type="pct"/>
          </w:tcPr>
          <w:p w14:paraId="7A677810" w14:textId="400D35C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Cognitive function measured 6 weeks postop</w:t>
            </w:r>
          </w:p>
        </w:tc>
        <w:tc>
          <w:tcPr>
            <w:tcW w:w="802" w:type="pct"/>
          </w:tcPr>
          <w:p w14:paraId="6E75F086" w14:textId="07A38EA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In nondiabetic patients, intraoperative </w:t>
            </w:r>
            <w:r w:rsidRPr="001714D5">
              <w:rPr>
                <w:rFonts w:asciiTheme="majorBidi" w:hAnsiTheme="majorBidi" w:cstheme="majorBidi"/>
                <w:sz w:val="24"/>
                <w:szCs w:val="24"/>
              </w:rPr>
              <w:lastRenderedPageBreak/>
              <w:t>hyperglycemia is related to POCD incidence</w:t>
            </w:r>
          </w:p>
        </w:tc>
        <w:tc>
          <w:tcPr>
            <w:tcW w:w="895" w:type="pct"/>
          </w:tcPr>
          <w:p w14:paraId="3D99487B" w14:textId="7E219AF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r>
      <w:tr w:rsidR="00A25350" w:rsidRPr="001714D5" w14:paraId="05A74385" w14:textId="77777777" w:rsidTr="00AE5C8F">
        <w:trPr>
          <w:trHeight w:val="278"/>
        </w:trPr>
        <w:tc>
          <w:tcPr>
            <w:tcW w:w="648" w:type="pct"/>
          </w:tcPr>
          <w:p w14:paraId="56DB36F1" w14:textId="228CAE6F"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Butterworth (2005) / USA (86)</w:t>
            </w:r>
          </w:p>
        </w:tc>
        <w:tc>
          <w:tcPr>
            <w:tcW w:w="464" w:type="pct"/>
          </w:tcPr>
          <w:p w14:paraId="32D797A4" w14:textId="7C9EADC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381</w:t>
            </w:r>
          </w:p>
        </w:tc>
        <w:tc>
          <w:tcPr>
            <w:tcW w:w="463" w:type="pct"/>
          </w:tcPr>
          <w:p w14:paraId="731812E2" w14:textId="1162B7F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35 – 80 years</w:t>
            </w:r>
          </w:p>
          <w:p w14:paraId="13E12B20" w14:textId="5A43B8D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4040151C" w14:textId="5446A0C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Intraoperative Control of hyperglycemia doesn’t affect short- or long- term outcomes</w:t>
            </w:r>
          </w:p>
        </w:tc>
        <w:tc>
          <w:tcPr>
            <w:tcW w:w="894" w:type="pct"/>
          </w:tcPr>
          <w:p w14:paraId="7576ACA2" w14:textId="6FBD9A6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Measurement done at 4-8 days, 6 weeks and 6 months postop</w:t>
            </w:r>
          </w:p>
        </w:tc>
        <w:tc>
          <w:tcPr>
            <w:tcW w:w="802" w:type="pct"/>
          </w:tcPr>
          <w:p w14:paraId="64C9BE68" w14:textId="5F2FD2E9"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key notes</w:t>
            </w:r>
          </w:p>
        </w:tc>
        <w:tc>
          <w:tcPr>
            <w:tcW w:w="895" w:type="pct"/>
          </w:tcPr>
          <w:p w14:paraId="2A9A89DA" w14:textId="6DFC8A8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46ABF9F7" w14:textId="77777777" w:rsidTr="00AE5C8F">
        <w:trPr>
          <w:trHeight w:val="278"/>
        </w:trPr>
        <w:tc>
          <w:tcPr>
            <w:tcW w:w="648" w:type="pct"/>
          </w:tcPr>
          <w:p w14:paraId="7CD5F830" w14:textId="076B1B44"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He (2019) / China (87)</w:t>
            </w:r>
          </w:p>
        </w:tc>
        <w:tc>
          <w:tcPr>
            <w:tcW w:w="464" w:type="pct"/>
          </w:tcPr>
          <w:p w14:paraId="379F5674" w14:textId="402DA5F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124</w:t>
            </w:r>
          </w:p>
        </w:tc>
        <w:tc>
          <w:tcPr>
            <w:tcW w:w="463" w:type="pct"/>
          </w:tcPr>
          <w:p w14:paraId="1F380FAA"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&gt; 60 years</w:t>
            </w:r>
          </w:p>
          <w:p w14:paraId="76C47448" w14:textId="6DDEA55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Gastrointestinal surgery</w:t>
            </w:r>
          </w:p>
        </w:tc>
        <w:tc>
          <w:tcPr>
            <w:tcW w:w="834" w:type="pct"/>
          </w:tcPr>
          <w:p w14:paraId="69ADEDAF" w14:textId="1E672D5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with POCD performed worse in Visuospatial Memory, Trail Making Test, and Digit Span Test.</w:t>
            </w:r>
          </w:p>
        </w:tc>
        <w:tc>
          <w:tcPr>
            <w:tcW w:w="894" w:type="pct"/>
          </w:tcPr>
          <w:p w14:paraId="50843268" w14:textId="6F2B9D9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Measurement was done 7 days postop</w:t>
            </w:r>
          </w:p>
        </w:tc>
        <w:tc>
          <w:tcPr>
            <w:tcW w:w="802" w:type="pct"/>
          </w:tcPr>
          <w:p w14:paraId="7A8EA5D5" w14:textId="5A869DA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Insulin resistance is associated with POCD </w:t>
            </w:r>
          </w:p>
        </w:tc>
        <w:tc>
          <w:tcPr>
            <w:tcW w:w="895" w:type="pct"/>
          </w:tcPr>
          <w:p w14:paraId="4D7CC55A" w14:textId="583A5F8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6DB51C20" w14:textId="77777777" w:rsidTr="00AE5C8F">
        <w:trPr>
          <w:trHeight w:val="278"/>
        </w:trPr>
        <w:tc>
          <w:tcPr>
            <w:tcW w:w="648" w:type="pct"/>
          </w:tcPr>
          <w:p w14:paraId="4EA164A0" w14:textId="09C7A82C"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Daiello (2019) / USA (88)</w:t>
            </w:r>
          </w:p>
        </w:tc>
        <w:tc>
          <w:tcPr>
            <w:tcW w:w="464" w:type="pct"/>
          </w:tcPr>
          <w:p w14:paraId="209E3D8C" w14:textId="4D5133F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560</w:t>
            </w:r>
          </w:p>
        </w:tc>
        <w:tc>
          <w:tcPr>
            <w:tcW w:w="463" w:type="pct"/>
          </w:tcPr>
          <w:p w14:paraId="330E0CAA"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&gt; 70 years</w:t>
            </w:r>
          </w:p>
          <w:p w14:paraId="71ABDB27" w14:textId="0828B4A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9036951" w14:textId="22B64CD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POD and POCD are potentially different neurocognitive events because POCD was present more in patients without POD at each measurement</w:t>
            </w:r>
          </w:p>
        </w:tc>
        <w:tc>
          <w:tcPr>
            <w:tcW w:w="894" w:type="pct"/>
          </w:tcPr>
          <w:p w14:paraId="42EC35E5" w14:textId="46E6AFB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Measurement was done 1, 2 and 6 months postop</w:t>
            </w:r>
          </w:p>
        </w:tc>
        <w:tc>
          <w:tcPr>
            <w:tcW w:w="802" w:type="pct"/>
          </w:tcPr>
          <w:p w14:paraId="7ADC7A7D" w14:textId="7D03F5D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POD only in the first month postoperative is related to POCD</w:t>
            </w:r>
          </w:p>
        </w:tc>
        <w:tc>
          <w:tcPr>
            <w:tcW w:w="895" w:type="pct"/>
          </w:tcPr>
          <w:p w14:paraId="7754079D" w14:textId="69F01C9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47DAEF62" w14:textId="77777777" w:rsidTr="00AE5C8F">
        <w:trPr>
          <w:trHeight w:val="278"/>
        </w:trPr>
        <w:tc>
          <w:tcPr>
            <w:tcW w:w="648" w:type="pct"/>
          </w:tcPr>
          <w:p w14:paraId="5804EED6" w14:textId="40D11DAE"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Deiner (2009) / USA (89)</w:t>
            </w:r>
          </w:p>
        </w:tc>
        <w:tc>
          <w:tcPr>
            <w:tcW w:w="464" w:type="pct"/>
          </w:tcPr>
          <w:p w14:paraId="504B6148" w14:textId="59C08FF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76DFE351" w14:textId="1885B42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0620844E" w14:textId="36E552DE"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 xml:space="preserve">Study reviews definition, pathophysiology, </w:t>
            </w:r>
            <w:proofErr w:type="spellStart"/>
            <w:r>
              <w:rPr>
                <w:rFonts w:asciiTheme="majorBidi" w:hAnsiTheme="majorBidi" w:cstheme="majorBidi"/>
                <w:sz w:val="24"/>
                <w:szCs w:val="24"/>
              </w:rPr>
              <w:t>aetiology</w:t>
            </w:r>
            <w:proofErr w:type="spellEnd"/>
            <w:r>
              <w:rPr>
                <w:rFonts w:asciiTheme="majorBidi" w:hAnsiTheme="majorBidi" w:cstheme="majorBidi"/>
                <w:sz w:val="24"/>
                <w:szCs w:val="24"/>
              </w:rPr>
              <w:t>, treatment and prevention of POD and POCD</w:t>
            </w:r>
          </w:p>
        </w:tc>
        <w:tc>
          <w:tcPr>
            <w:tcW w:w="894" w:type="pct"/>
          </w:tcPr>
          <w:p w14:paraId="28804AC7" w14:textId="30DA106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Defines POCD as a temporary deterioration in cognition, affecting one or more domains of cognition.</w:t>
            </w:r>
          </w:p>
        </w:tc>
        <w:tc>
          <w:tcPr>
            <w:tcW w:w="802" w:type="pct"/>
          </w:tcPr>
          <w:p w14:paraId="5CC16EBC" w14:textId="61F3AAA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Several risk factors were discussed</w:t>
            </w:r>
          </w:p>
        </w:tc>
        <w:tc>
          <w:tcPr>
            <w:tcW w:w="895" w:type="pct"/>
          </w:tcPr>
          <w:p w14:paraId="03C21637" w14:textId="5EE98E6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195C991A" w14:textId="77777777" w:rsidTr="00AE5C8F">
        <w:trPr>
          <w:trHeight w:val="278"/>
        </w:trPr>
        <w:tc>
          <w:tcPr>
            <w:tcW w:w="648" w:type="pct"/>
          </w:tcPr>
          <w:p w14:paraId="351E4D4E" w14:textId="2D694B35"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Goldberg (2020) / USA (90)</w:t>
            </w:r>
          </w:p>
        </w:tc>
        <w:tc>
          <w:tcPr>
            <w:tcW w:w="464" w:type="pct"/>
          </w:tcPr>
          <w:p w14:paraId="668886D8" w14:textId="08323B1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meta-analysis / 4,317</w:t>
            </w:r>
          </w:p>
        </w:tc>
        <w:tc>
          <w:tcPr>
            <w:tcW w:w="463" w:type="pct"/>
          </w:tcPr>
          <w:p w14:paraId="0B426C87"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p w14:paraId="1EAA00AF" w14:textId="77777777" w:rsidR="00A25350" w:rsidRPr="001714D5" w:rsidRDefault="00A25350" w:rsidP="00A25350">
            <w:pPr>
              <w:jc w:val="center"/>
              <w:rPr>
                <w:rFonts w:asciiTheme="majorBidi" w:hAnsiTheme="majorBidi" w:cstheme="majorBidi"/>
                <w:sz w:val="24"/>
                <w:szCs w:val="24"/>
              </w:rPr>
            </w:pPr>
          </w:p>
        </w:tc>
        <w:tc>
          <w:tcPr>
            <w:tcW w:w="834" w:type="pct"/>
          </w:tcPr>
          <w:p w14:paraId="7AE908D8" w14:textId="0EB0098B"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59054D6A" w14:textId="05994A2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3B77BA98" w14:textId="3128180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Long- term cognitive decline was related to POD</w:t>
            </w:r>
          </w:p>
        </w:tc>
        <w:tc>
          <w:tcPr>
            <w:tcW w:w="895" w:type="pct"/>
          </w:tcPr>
          <w:p w14:paraId="7B3E1FF3" w14:textId="32F0692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30D22AB2" w14:textId="77777777" w:rsidTr="00AE5C8F">
        <w:trPr>
          <w:trHeight w:val="278"/>
        </w:trPr>
        <w:tc>
          <w:tcPr>
            <w:tcW w:w="648" w:type="pct"/>
          </w:tcPr>
          <w:p w14:paraId="106A3C9C" w14:textId="6AF420E4"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Mashour</w:t>
            </w:r>
            <w:proofErr w:type="spellEnd"/>
            <w:r w:rsidRPr="00AB7713">
              <w:rPr>
                <w:rFonts w:asciiTheme="majorBidi" w:eastAsia="Times New Roman" w:hAnsiTheme="majorBidi" w:cstheme="majorBidi"/>
              </w:rPr>
              <w:t xml:space="preserve"> (2015) / USA (91)</w:t>
            </w:r>
          </w:p>
        </w:tc>
        <w:tc>
          <w:tcPr>
            <w:tcW w:w="464" w:type="pct"/>
          </w:tcPr>
          <w:p w14:paraId="56A3EF0F" w14:textId="5DA349F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0E4A3F34"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p w14:paraId="6A16E9BD" w14:textId="77777777" w:rsidR="00A25350" w:rsidRPr="001714D5" w:rsidRDefault="00A25350" w:rsidP="00A25350">
            <w:pPr>
              <w:jc w:val="center"/>
              <w:rPr>
                <w:rFonts w:asciiTheme="majorBidi" w:hAnsiTheme="majorBidi" w:cstheme="majorBidi"/>
                <w:sz w:val="24"/>
                <w:szCs w:val="24"/>
              </w:rPr>
            </w:pPr>
          </w:p>
        </w:tc>
        <w:tc>
          <w:tcPr>
            <w:tcW w:w="834" w:type="pct"/>
          </w:tcPr>
          <w:p w14:paraId="0C11E8F5" w14:textId="7425605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Study argues the need for matched control groups to better understand the underlying reasons </w:t>
            </w:r>
            <w:r w:rsidRPr="001714D5">
              <w:rPr>
                <w:rFonts w:asciiTheme="majorBidi" w:hAnsiTheme="majorBidi" w:cstheme="majorBidi"/>
                <w:sz w:val="24"/>
                <w:szCs w:val="24"/>
              </w:rPr>
              <w:lastRenderedPageBreak/>
              <w:t>resulting in POCD incidence</w:t>
            </w:r>
          </w:p>
        </w:tc>
        <w:tc>
          <w:tcPr>
            <w:tcW w:w="894" w:type="pct"/>
          </w:tcPr>
          <w:p w14:paraId="2622A4B2" w14:textId="1BC0FE9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c>
          <w:tcPr>
            <w:tcW w:w="802" w:type="pct"/>
          </w:tcPr>
          <w:p w14:paraId="1A150227" w14:textId="6ED34A0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Several risk factors were discussed</w:t>
            </w:r>
          </w:p>
        </w:tc>
        <w:tc>
          <w:tcPr>
            <w:tcW w:w="895" w:type="pct"/>
          </w:tcPr>
          <w:p w14:paraId="33006291" w14:textId="734C9522"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Several postoperative complications were briefly reviewed</w:t>
            </w:r>
          </w:p>
        </w:tc>
      </w:tr>
      <w:tr w:rsidR="00A25350" w:rsidRPr="001714D5" w14:paraId="46DB9DC0" w14:textId="77777777" w:rsidTr="00AE5C8F">
        <w:trPr>
          <w:trHeight w:val="278"/>
        </w:trPr>
        <w:tc>
          <w:tcPr>
            <w:tcW w:w="648" w:type="pct"/>
          </w:tcPr>
          <w:p w14:paraId="09BCB639" w14:textId="2A5F6446"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Gold (2019) / UK (92)</w:t>
            </w:r>
          </w:p>
        </w:tc>
        <w:tc>
          <w:tcPr>
            <w:tcW w:w="464" w:type="pct"/>
          </w:tcPr>
          <w:p w14:paraId="27A76E18" w14:textId="7464403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5D3749D6" w14:textId="4F1E08C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2D187CA5" w14:textId="51D63CD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believes methodological problems (e.g., the lack of universal definition and measurement of POCD) impeding research and meta- analysis to be done to a comprehension</w:t>
            </w:r>
          </w:p>
        </w:tc>
        <w:tc>
          <w:tcPr>
            <w:tcW w:w="894" w:type="pct"/>
          </w:tcPr>
          <w:p w14:paraId="1F72A0FB" w14:textId="324270E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Defines POCD as a postoperative relative decline in different domains of cognition, that while missable, can affect daily functions </w:t>
            </w:r>
          </w:p>
        </w:tc>
        <w:tc>
          <w:tcPr>
            <w:tcW w:w="802" w:type="pct"/>
          </w:tcPr>
          <w:p w14:paraId="0B968B43" w14:textId="421F93B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Several risk factors were discussed</w:t>
            </w:r>
          </w:p>
        </w:tc>
        <w:tc>
          <w:tcPr>
            <w:tcW w:w="895" w:type="pct"/>
          </w:tcPr>
          <w:p w14:paraId="29694728" w14:textId="1E630F5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11397E8E" w14:textId="77777777" w:rsidTr="00AE5C8F">
        <w:trPr>
          <w:trHeight w:val="278"/>
        </w:trPr>
        <w:tc>
          <w:tcPr>
            <w:tcW w:w="648" w:type="pct"/>
          </w:tcPr>
          <w:p w14:paraId="723FAEE1" w14:textId="7DB6C298"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Phillips-Bute (2006) / USA (93)</w:t>
            </w:r>
          </w:p>
        </w:tc>
        <w:tc>
          <w:tcPr>
            <w:tcW w:w="464" w:type="pct"/>
          </w:tcPr>
          <w:p w14:paraId="1024EFAB" w14:textId="2DE741A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732</w:t>
            </w:r>
          </w:p>
        </w:tc>
        <w:tc>
          <w:tcPr>
            <w:tcW w:w="463" w:type="pct"/>
          </w:tcPr>
          <w:p w14:paraId="740B2565" w14:textId="3FD601B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CABG</w:t>
            </w:r>
          </w:p>
        </w:tc>
        <w:tc>
          <w:tcPr>
            <w:tcW w:w="834" w:type="pct"/>
          </w:tcPr>
          <w:p w14:paraId="6AA68F52" w14:textId="7852AE1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found no single domain of cognitive function to be related to quality of life (QOL) but found the effect to be composite of the different domains</w:t>
            </w:r>
          </w:p>
        </w:tc>
        <w:tc>
          <w:tcPr>
            <w:tcW w:w="894" w:type="pct"/>
          </w:tcPr>
          <w:p w14:paraId="12D531E8" w14:textId="522480C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Measurement was done 6 weeks and 1 year after surgery</w:t>
            </w:r>
          </w:p>
        </w:tc>
        <w:tc>
          <w:tcPr>
            <w:tcW w:w="802" w:type="pct"/>
          </w:tcPr>
          <w:p w14:paraId="17E84117" w14:textId="39C4D12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4415BE7C" w14:textId="6C9C531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POCD is associated with decline in QOL (e.g., lower functional capacity and activities of daily living, more depression and self-reported mental difficulties)</w:t>
            </w:r>
          </w:p>
        </w:tc>
      </w:tr>
      <w:tr w:rsidR="00A25350" w:rsidRPr="001714D5" w14:paraId="43685EF1" w14:textId="77777777" w:rsidTr="00AE5C8F">
        <w:trPr>
          <w:trHeight w:val="278"/>
        </w:trPr>
        <w:tc>
          <w:tcPr>
            <w:tcW w:w="648" w:type="pct"/>
          </w:tcPr>
          <w:p w14:paraId="582FAF10" w14:textId="717A747A"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Schenning (2016) / USA (94)</w:t>
            </w:r>
          </w:p>
        </w:tc>
        <w:tc>
          <w:tcPr>
            <w:tcW w:w="464" w:type="pct"/>
          </w:tcPr>
          <w:p w14:paraId="385BDC8B" w14:textId="1C534BC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Retrospective analysis of 2 cohorts / 522</w:t>
            </w:r>
          </w:p>
        </w:tc>
        <w:tc>
          <w:tcPr>
            <w:tcW w:w="463" w:type="pct"/>
          </w:tcPr>
          <w:p w14:paraId="37289145" w14:textId="7EAFBD0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2A59D690" w14:textId="28FED93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relation between surgery/ anaesthesia and decline in executive function but association with  memory decline was found</w:t>
            </w:r>
          </w:p>
        </w:tc>
        <w:tc>
          <w:tcPr>
            <w:tcW w:w="894" w:type="pct"/>
          </w:tcPr>
          <w:p w14:paraId="53892BA0" w14:textId="1824DE9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exposed to surgery were reported to have a more rapid deterioration on cognitive function</w:t>
            </w:r>
          </w:p>
        </w:tc>
        <w:tc>
          <w:tcPr>
            <w:tcW w:w="802" w:type="pct"/>
          </w:tcPr>
          <w:p w14:paraId="505B86BF" w14:textId="30D6B4B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Exposure to surgery/ general anaesthesia, presence of APOE4 allele were found to have a synergistic effect in POCD incidence</w:t>
            </w:r>
          </w:p>
        </w:tc>
        <w:tc>
          <w:tcPr>
            <w:tcW w:w="895" w:type="pct"/>
          </w:tcPr>
          <w:p w14:paraId="624D1D42" w14:textId="419D9BE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347FF4BA" w14:textId="77777777" w:rsidTr="00AE5C8F">
        <w:trPr>
          <w:trHeight w:val="278"/>
        </w:trPr>
        <w:tc>
          <w:tcPr>
            <w:tcW w:w="648" w:type="pct"/>
          </w:tcPr>
          <w:p w14:paraId="426A09EC" w14:textId="6B2E806C"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 xml:space="preserve">Inouye (2016) / USA (95) </w:t>
            </w:r>
          </w:p>
        </w:tc>
        <w:tc>
          <w:tcPr>
            <w:tcW w:w="464" w:type="pct"/>
          </w:tcPr>
          <w:p w14:paraId="790B705B" w14:textId="4A6AD29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Cohort / 560 </w:t>
            </w:r>
          </w:p>
        </w:tc>
        <w:tc>
          <w:tcPr>
            <w:tcW w:w="463" w:type="pct"/>
          </w:tcPr>
          <w:p w14:paraId="7CC4BE41"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&gt; 70 years</w:t>
            </w:r>
          </w:p>
          <w:p w14:paraId="46E25A27" w14:textId="159A7EB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74A97730" w14:textId="1AA2B29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While patients with POD showed a significant 1 month decline in cognition, when measured at 2 months, no significant difference was found</w:t>
            </w:r>
          </w:p>
        </w:tc>
        <w:tc>
          <w:tcPr>
            <w:tcW w:w="894" w:type="pct"/>
          </w:tcPr>
          <w:p w14:paraId="244E514B" w14:textId="76C9C3C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Cognitive function postoperative was measured until 36 months showing a gradual decline in cognition postop</w:t>
            </w:r>
          </w:p>
        </w:tc>
        <w:tc>
          <w:tcPr>
            <w:tcW w:w="802" w:type="pct"/>
          </w:tcPr>
          <w:p w14:paraId="6B91709A" w14:textId="341D47E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Patients with POD developed a greater cognitive impairment in 1 month and 36 months postoperative </w:t>
            </w:r>
          </w:p>
        </w:tc>
        <w:tc>
          <w:tcPr>
            <w:tcW w:w="895" w:type="pct"/>
          </w:tcPr>
          <w:p w14:paraId="4599B34A" w14:textId="7B3D794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2A37B932" w14:textId="77777777" w:rsidTr="00AE5C8F">
        <w:trPr>
          <w:trHeight w:val="278"/>
        </w:trPr>
        <w:tc>
          <w:tcPr>
            <w:tcW w:w="648" w:type="pct"/>
          </w:tcPr>
          <w:p w14:paraId="23599FBB" w14:textId="6F539AF6"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Berger (2014) / USA (96)</w:t>
            </w:r>
          </w:p>
        </w:tc>
        <w:tc>
          <w:tcPr>
            <w:tcW w:w="464" w:type="pct"/>
          </w:tcPr>
          <w:p w14:paraId="405198E2" w14:textId="01E71D2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1562E8AD" w14:textId="1EA35D7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0E84EEC5" w14:textId="010614D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Study discusses the association between </w:t>
            </w:r>
            <w:r w:rsidRPr="001714D5">
              <w:rPr>
                <w:rFonts w:asciiTheme="majorBidi" w:hAnsiTheme="majorBidi" w:cstheme="majorBidi"/>
                <w:sz w:val="24"/>
                <w:szCs w:val="24"/>
              </w:rPr>
              <w:lastRenderedPageBreak/>
              <w:t>perioperative care, POD, POCD and Alzheimer’s disease</w:t>
            </w:r>
          </w:p>
        </w:tc>
        <w:tc>
          <w:tcPr>
            <w:tcW w:w="894" w:type="pct"/>
          </w:tcPr>
          <w:p w14:paraId="1CC8BEB4" w14:textId="45AC5A0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c>
          <w:tcPr>
            <w:tcW w:w="802" w:type="pct"/>
          </w:tcPr>
          <w:p w14:paraId="5C48CFA3" w14:textId="4F3334A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Study suggest an important role for </w:t>
            </w:r>
            <w:r w:rsidRPr="001714D5">
              <w:rPr>
                <w:rFonts w:asciiTheme="majorBidi" w:hAnsiTheme="majorBidi" w:cstheme="majorBidi"/>
                <w:sz w:val="24"/>
                <w:szCs w:val="24"/>
              </w:rPr>
              <w:lastRenderedPageBreak/>
              <w:t>Alzheimer’s disease in POCD development</w:t>
            </w:r>
          </w:p>
        </w:tc>
        <w:tc>
          <w:tcPr>
            <w:tcW w:w="895" w:type="pct"/>
          </w:tcPr>
          <w:p w14:paraId="70528EA8" w14:textId="21E9A7D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NA</w:t>
            </w:r>
          </w:p>
        </w:tc>
      </w:tr>
      <w:tr w:rsidR="00A25350" w:rsidRPr="001714D5" w14:paraId="587F6C18" w14:textId="77777777" w:rsidTr="00AE5C8F">
        <w:trPr>
          <w:trHeight w:val="278"/>
        </w:trPr>
        <w:tc>
          <w:tcPr>
            <w:tcW w:w="648" w:type="pct"/>
          </w:tcPr>
          <w:p w14:paraId="3622912C" w14:textId="3EAE1151"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Lundström (2003) / Sweden (97)</w:t>
            </w:r>
          </w:p>
        </w:tc>
        <w:tc>
          <w:tcPr>
            <w:tcW w:w="464" w:type="pct"/>
          </w:tcPr>
          <w:p w14:paraId="67282737" w14:textId="005AC2C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100</w:t>
            </w:r>
          </w:p>
        </w:tc>
        <w:tc>
          <w:tcPr>
            <w:tcW w:w="463" w:type="pct"/>
          </w:tcPr>
          <w:p w14:paraId="0A7547D8" w14:textId="73DB29C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Femoral neck fracture surgery</w:t>
            </w:r>
          </w:p>
        </w:tc>
        <w:tc>
          <w:tcPr>
            <w:tcW w:w="834" w:type="pct"/>
          </w:tcPr>
          <w:p w14:paraId="5051DB4C" w14:textId="74823044"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antecedents column</w:t>
            </w:r>
          </w:p>
        </w:tc>
        <w:tc>
          <w:tcPr>
            <w:tcW w:w="894" w:type="pct"/>
          </w:tcPr>
          <w:p w14:paraId="6F56C46E" w14:textId="2DF405E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EBA9749" w14:textId="582DE59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with POD, DM and worse preoperative cognitive score developed higher rates of dementia 5 years postop</w:t>
            </w:r>
          </w:p>
        </w:tc>
        <w:tc>
          <w:tcPr>
            <w:tcW w:w="895" w:type="pct"/>
          </w:tcPr>
          <w:p w14:paraId="15146D22" w14:textId="013A599D"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See antecedents</w:t>
            </w:r>
          </w:p>
          <w:p w14:paraId="074AB7F2" w14:textId="77777777" w:rsidR="00A25350" w:rsidRPr="001714D5" w:rsidRDefault="00A25350" w:rsidP="00A25350">
            <w:pPr>
              <w:jc w:val="center"/>
              <w:rPr>
                <w:rFonts w:asciiTheme="majorBidi" w:hAnsiTheme="majorBidi" w:cstheme="majorBidi"/>
                <w:sz w:val="24"/>
                <w:szCs w:val="24"/>
              </w:rPr>
            </w:pPr>
          </w:p>
        </w:tc>
      </w:tr>
      <w:tr w:rsidR="00A25350" w:rsidRPr="001714D5" w14:paraId="2809BE6E" w14:textId="77777777" w:rsidTr="00AE5C8F">
        <w:trPr>
          <w:trHeight w:val="278"/>
        </w:trPr>
        <w:tc>
          <w:tcPr>
            <w:tcW w:w="648" w:type="pct"/>
          </w:tcPr>
          <w:p w14:paraId="00FEAE4D" w14:textId="1D3D703C"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 xml:space="preserve">Pietzsch (2021) / Germany (98) </w:t>
            </w:r>
          </w:p>
        </w:tc>
        <w:tc>
          <w:tcPr>
            <w:tcW w:w="464" w:type="pct"/>
          </w:tcPr>
          <w:p w14:paraId="45717792" w14:textId="2D759C9C"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Model analysis</w:t>
            </w:r>
          </w:p>
        </w:tc>
        <w:tc>
          <w:tcPr>
            <w:tcW w:w="463" w:type="pct"/>
          </w:tcPr>
          <w:p w14:paraId="2D04ED57" w14:textId="20A5FDE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3111E49E" w14:textId="527A431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POCD has a substantial burden on the long- term care insurance</w:t>
            </w:r>
          </w:p>
        </w:tc>
        <w:tc>
          <w:tcPr>
            <w:tcW w:w="894" w:type="pct"/>
          </w:tcPr>
          <w:p w14:paraId="46F8BF7D" w14:textId="539D330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p w14:paraId="0706C985" w14:textId="77777777" w:rsidR="00A25350" w:rsidRPr="001714D5" w:rsidRDefault="00A25350" w:rsidP="00A25350">
            <w:pPr>
              <w:rPr>
                <w:rFonts w:asciiTheme="majorBidi" w:hAnsiTheme="majorBidi" w:cstheme="majorBidi"/>
                <w:sz w:val="24"/>
                <w:szCs w:val="24"/>
              </w:rPr>
            </w:pPr>
          </w:p>
          <w:p w14:paraId="4906C98D" w14:textId="77777777" w:rsidR="00A25350" w:rsidRPr="001714D5" w:rsidRDefault="00A25350" w:rsidP="00A25350">
            <w:pPr>
              <w:rPr>
                <w:rFonts w:asciiTheme="majorBidi" w:hAnsiTheme="majorBidi" w:cstheme="majorBidi"/>
                <w:sz w:val="24"/>
                <w:szCs w:val="24"/>
              </w:rPr>
            </w:pPr>
          </w:p>
          <w:p w14:paraId="517C1652" w14:textId="77777777" w:rsidR="00A25350" w:rsidRPr="001714D5" w:rsidRDefault="00A25350" w:rsidP="00A25350">
            <w:pPr>
              <w:rPr>
                <w:rFonts w:asciiTheme="majorBidi" w:hAnsiTheme="majorBidi" w:cstheme="majorBidi"/>
                <w:sz w:val="24"/>
                <w:szCs w:val="24"/>
              </w:rPr>
            </w:pPr>
          </w:p>
          <w:p w14:paraId="2F438DBD" w14:textId="77777777" w:rsidR="00A25350" w:rsidRPr="001714D5" w:rsidRDefault="00A25350" w:rsidP="00A25350">
            <w:pPr>
              <w:rPr>
                <w:rFonts w:asciiTheme="majorBidi" w:hAnsiTheme="majorBidi" w:cstheme="majorBidi"/>
                <w:sz w:val="24"/>
                <w:szCs w:val="24"/>
              </w:rPr>
            </w:pPr>
          </w:p>
          <w:p w14:paraId="42A31DFA" w14:textId="77777777" w:rsidR="00A25350" w:rsidRPr="001714D5" w:rsidRDefault="00A25350" w:rsidP="00A25350">
            <w:pPr>
              <w:rPr>
                <w:rFonts w:asciiTheme="majorBidi" w:hAnsiTheme="majorBidi" w:cstheme="majorBidi"/>
                <w:sz w:val="24"/>
                <w:szCs w:val="24"/>
              </w:rPr>
            </w:pPr>
          </w:p>
          <w:p w14:paraId="167C5C37" w14:textId="77777777" w:rsidR="00A25350" w:rsidRPr="001714D5" w:rsidRDefault="00A25350" w:rsidP="00A25350">
            <w:pPr>
              <w:ind w:firstLine="720"/>
              <w:rPr>
                <w:rFonts w:asciiTheme="majorBidi" w:hAnsiTheme="majorBidi" w:cstheme="majorBidi"/>
                <w:sz w:val="24"/>
                <w:szCs w:val="24"/>
              </w:rPr>
            </w:pPr>
          </w:p>
        </w:tc>
        <w:tc>
          <w:tcPr>
            <w:tcW w:w="802" w:type="pct"/>
          </w:tcPr>
          <w:p w14:paraId="3BEA6327" w14:textId="3FC50CC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29EA9959" w14:textId="5313CA5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Study estimated 288,375 cases of POCD yearly, with a financial yearly burden of 1.6 billion EUR for Germany </w:t>
            </w:r>
          </w:p>
        </w:tc>
      </w:tr>
      <w:tr w:rsidR="00A25350" w:rsidRPr="001714D5" w14:paraId="3CCF0434" w14:textId="77777777" w:rsidTr="00AE5C8F">
        <w:trPr>
          <w:trHeight w:val="278"/>
        </w:trPr>
        <w:tc>
          <w:tcPr>
            <w:tcW w:w="648" w:type="pct"/>
          </w:tcPr>
          <w:p w14:paraId="2A301B4B" w14:textId="52E74F7A"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Boone (2020) / USA (99)</w:t>
            </w:r>
          </w:p>
        </w:tc>
        <w:tc>
          <w:tcPr>
            <w:tcW w:w="464" w:type="pct"/>
          </w:tcPr>
          <w:p w14:paraId="1293D860" w14:textId="7C8B9F5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2,380,473</w:t>
            </w:r>
          </w:p>
        </w:tc>
        <w:tc>
          <w:tcPr>
            <w:tcW w:w="463" w:type="pct"/>
          </w:tcPr>
          <w:p w14:paraId="4CE0A355" w14:textId="3E2822C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834" w:type="pct"/>
          </w:tcPr>
          <w:p w14:paraId="60E6C027" w14:textId="7271CAD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Postoperative neurocognitive disorder (PND) development increases costs 17,275 USD during the 1- year postop</w:t>
            </w:r>
          </w:p>
        </w:tc>
        <w:tc>
          <w:tcPr>
            <w:tcW w:w="894" w:type="pct"/>
          </w:tcPr>
          <w:p w14:paraId="0F6694ED" w14:textId="5C70E47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02" w:type="pct"/>
          </w:tcPr>
          <w:p w14:paraId="6D6C0C21" w14:textId="75F33AE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651A4B7E" w14:textId="315565C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Patients with PND had longer hospital stay and 1- year mortality and were less likely to be discharged home</w:t>
            </w:r>
          </w:p>
        </w:tc>
      </w:tr>
      <w:tr w:rsidR="00A25350" w:rsidRPr="001714D5" w14:paraId="28291010" w14:textId="77777777" w:rsidTr="00AE5C8F">
        <w:trPr>
          <w:trHeight w:val="278"/>
        </w:trPr>
        <w:tc>
          <w:tcPr>
            <w:tcW w:w="648" w:type="pct"/>
          </w:tcPr>
          <w:p w14:paraId="6A1EC1EE" w14:textId="0E82558E"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Schmitt (2015) / USA (100)</w:t>
            </w:r>
          </w:p>
        </w:tc>
        <w:tc>
          <w:tcPr>
            <w:tcW w:w="464" w:type="pct"/>
          </w:tcPr>
          <w:p w14:paraId="3902BC20" w14:textId="584AD85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566</w:t>
            </w:r>
          </w:p>
        </w:tc>
        <w:tc>
          <w:tcPr>
            <w:tcW w:w="463" w:type="pct"/>
          </w:tcPr>
          <w:p w14:paraId="72CEA7D4"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70 years</w:t>
            </w:r>
          </w:p>
          <w:p w14:paraId="38F7EA59" w14:textId="5B3A8B3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3425" w:type="pct"/>
            <w:gridSpan w:val="4"/>
          </w:tcPr>
          <w:p w14:paraId="019765CD" w14:textId="5B1081CC" w:rsidR="00A25350" w:rsidRPr="001714D5" w:rsidRDefault="00A25350" w:rsidP="00A25350">
            <w:pPr>
              <w:jc w:val="center"/>
              <w:rPr>
                <w:rFonts w:asciiTheme="majorBidi" w:hAnsiTheme="majorBidi" w:cstheme="majorBidi"/>
                <w:sz w:val="24"/>
                <w:szCs w:val="24"/>
                <w:highlight w:val="yellow"/>
              </w:rPr>
            </w:pPr>
            <w:r w:rsidRPr="001714D5">
              <w:rPr>
                <w:rFonts w:asciiTheme="majorBidi" w:hAnsiTheme="majorBidi" w:cstheme="majorBidi"/>
                <w:sz w:val="24"/>
                <w:szCs w:val="24"/>
              </w:rPr>
              <w:t>Assessment of POD was done using CAM and DSI and severity by CAM-S</w:t>
            </w:r>
          </w:p>
        </w:tc>
      </w:tr>
      <w:tr w:rsidR="00A25350" w:rsidRPr="001714D5" w14:paraId="7772E48F" w14:textId="77777777" w:rsidTr="00AE5C8F">
        <w:trPr>
          <w:trHeight w:val="278"/>
        </w:trPr>
        <w:tc>
          <w:tcPr>
            <w:tcW w:w="648" w:type="pct"/>
          </w:tcPr>
          <w:p w14:paraId="4D14C8F7" w14:textId="7A562F4F"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Kimchi (2017) / USA (101)</w:t>
            </w:r>
          </w:p>
        </w:tc>
        <w:tc>
          <w:tcPr>
            <w:tcW w:w="464" w:type="pct"/>
          </w:tcPr>
          <w:p w14:paraId="316E8DBD" w14:textId="4B0ED91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Systematic review </w:t>
            </w:r>
          </w:p>
        </w:tc>
        <w:tc>
          <w:tcPr>
            <w:tcW w:w="463" w:type="pct"/>
          </w:tcPr>
          <w:p w14:paraId="7940559C" w14:textId="3DE6AEC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surgery</w:t>
            </w:r>
          </w:p>
        </w:tc>
        <w:tc>
          <w:tcPr>
            <w:tcW w:w="3425" w:type="pct"/>
            <w:gridSpan w:val="4"/>
          </w:tcPr>
          <w:p w14:paraId="561825E7" w14:textId="614AD70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Study noted the variability in diagnosing dementia and MCI in other studies and provides recommendation for expert panel constitution, providing data to said panel, decision process and validity diagnosis </w:t>
            </w:r>
          </w:p>
        </w:tc>
      </w:tr>
      <w:tr w:rsidR="00A25350" w:rsidRPr="001714D5" w14:paraId="0FBD61A4" w14:textId="77777777" w:rsidTr="00AE5C8F">
        <w:trPr>
          <w:trHeight w:val="278"/>
        </w:trPr>
        <w:tc>
          <w:tcPr>
            <w:tcW w:w="648" w:type="pct"/>
          </w:tcPr>
          <w:p w14:paraId="0CFEF1F0" w14:textId="57E7CD42"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Whitlock (2011) / USA (102)</w:t>
            </w:r>
          </w:p>
        </w:tc>
        <w:tc>
          <w:tcPr>
            <w:tcW w:w="464" w:type="pct"/>
          </w:tcPr>
          <w:p w14:paraId="2B943485" w14:textId="1BE4622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6FAF8BDC" w14:textId="2221626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3C9563F1" w14:textId="19D80920" w:rsidR="00A25350" w:rsidRPr="001714D5" w:rsidRDefault="00A25350" w:rsidP="00A25350">
            <w:pPr>
              <w:jc w:val="center"/>
              <w:rPr>
                <w:rFonts w:asciiTheme="majorBidi" w:hAnsiTheme="majorBidi" w:cstheme="majorBidi"/>
                <w:sz w:val="24"/>
                <w:szCs w:val="24"/>
              </w:rPr>
            </w:pPr>
            <w:r>
              <w:rPr>
                <w:rFonts w:asciiTheme="majorBidi" w:hAnsiTheme="majorBidi" w:cstheme="majorBidi"/>
                <w:sz w:val="24"/>
                <w:szCs w:val="24"/>
              </w:rPr>
              <w:t>Reviews POD’s epidemiology, diagnosis, prevention and treatment</w:t>
            </w:r>
          </w:p>
        </w:tc>
        <w:tc>
          <w:tcPr>
            <w:tcW w:w="894" w:type="pct"/>
          </w:tcPr>
          <w:p w14:paraId="4A27F97B" w14:textId="2734CC0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discusses the use of CAM, and CAM-ICU for measuring POD</w:t>
            </w:r>
          </w:p>
        </w:tc>
        <w:tc>
          <w:tcPr>
            <w:tcW w:w="802" w:type="pct"/>
          </w:tcPr>
          <w:p w14:paraId="7A9AB0DB" w14:textId="7981092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discusses the relation between POD and POCD</w:t>
            </w:r>
          </w:p>
        </w:tc>
        <w:tc>
          <w:tcPr>
            <w:tcW w:w="895" w:type="pct"/>
          </w:tcPr>
          <w:p w14:paraId="1B7FC536" w14:textId="7E1C2770" w:rsidR="00A25350" w:rsidRPr="001714D5" w:rsidRDefault="00A25350" w:rsidP="00A25350">
            <w:pPr>
              <w:jc w:val="center"/>
              <w:rPr>
                <w:rFonts w:asciiTheme="majorBidi" w:hAnsiTheme="majorBidi" w:cstheme="majorBidi"/>
                <w:sz w:val="24"/>
                <w:szCs w:val="24"/>
              </w:rPr>
            </w:pP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POD</w:t>
            </w:r>
            <w:r w:rsidRPr="00EF741E">
              <w:rPr>
                <w:rFonts w:asciiTheme="majorBidi" w:hAnsiTheme="majorBidi" w:cstheme="majorBidi"/>
                <w:color w:val="FF0000"/>
                <w:sz w:val="24"/>
                <w:szCs w:val="24"/>
              </w:rPr>
              <w:t>).</w:t>
            </w:r>
          </w:p>
        </w:tc>
      </w:tr>
      <w:tr w:rsidR="00A25350" w:rsidRPr="001714D5" w14:paraId="2C5F36B1" w14:textId="77777777" w:rsidTr="00AE5C8F">
        <w:trPr>
          <w:trHeight w:val="278"/>
        </w:trPr>
        <w:tc>
          <w:tcPr>
            <w:tcW w:w="648" w:type="pct"/>
          </w:tcPr>
          <w:p w14:paraId="596E9F76" w14:textId="6034BDBD"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 xml:space="preserve">Schubert (2018) / </w:t>
            </w:r>
            <w:r w:rsidRPr="00AB7713">
              <w:rPr>
                <w:rFonts w:asciiTheme="majorBidi" w:eastAsia="Times New Roman" w:hAnsiTheme="majorBidi" w:cstheme="majorBidi"/>
              </w:rPr>
              <w:lastRenderedPageBreak/>
              <w:t xml:space="preserve">Switzerland (103) </w:t>
            </w:r>
          </w:p>
        </w:tc>
        <w:tc>
          <w:tcPr>
            <w:tcW w:w="464" w:type="pct"/>
          </w:tcPr>
          <w:p w14:paraId="03E867BC" w14:textId="7D4EC1A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lastRenderedPageBreak/>
              <w:t>Cohort / 10,906</w:t>
            </w:r>
          </w:p>
        </w:tc>
        <w:tc>
          <w:tcPr>
            <w:tcW w:w="463" w:type="pct"/>
          </w:tcPr>
          <w:p w14:paraId="05E04010" w14:textId="3D259D7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Some had surgery</w:t>
            </w:r>
          </w:p>
        </w:tc>
        <w:tc>
          <w:tcPr>
            <w:tcW w:w="3425" w:type="pct"/>
            <w:gridSpan w:val="4"/>
          </w:tcPr>
          <w:p w14:paraId="5CC9AED7" w14:textId="7777777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Delirium incidence was found to be 24.8 %</w:t>
            </w:r>
          </w:p>
          <w:p w14:paraId="426EB694" w14:textId="40CA3CD1" w:rsidR="00A25350" w:rsidRPr="001714D5" w:rsidRDefault="00A25350" w:rsidP="00A25350">
            <w:pPr>
              <w:jc w:val="center"/>
              <w:rPr>
                <w:rFonts w:asciiTheme="majorBidi" w:hAnsiTheme="majorBidi" w:cstheme="majorBidi"/>
                <w:sz w:val="24"/>
                <w:szCs w:val="24"/>
                <w:highlight w:val="yellow"/>
              </w:rPr>
            </w:pPr>
            <w:r w:rsidRPr="00A55909">
              <w:rPr>
                <w:rFonts w:asciiTheme="majorBidi" w:hAnsiTheme="majorBidi" w:cstheme="majorBidi"/>
                <w:sz w:val="24"/>
                <w:szCs w:val="24"/>
              </w:rPr>
              <w:lastRenderedPageBreak/>
              <w:t>Defines delirium as an acute mental change which affects consciousness, attention, cognition and psychomotor behavior and emotions</w:t>
            </w:r>
            <w:r>
              <w:rPr>
                <w:rFonts w:asciiTheme="majorBidi" w:hAnsiTheme="majorBidi" w:cstheme="majorBidi"/>
                <w:sz w:val="24"/>
                <w:szCs w:val="24"/>
              </w:rPr>
              <w:t xml:space="preserve"> </w:t>
            </w: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POD</w:t>
            </w:r>
            <w:r w:rsidRPr="00EF741E">
              <w:rPr>
                <w:rFonts w:asciiTheme="majorBidi" w:hAnsiTheme="majorBidi" w:cstheme="majorBidi"/>
                <w:color w:val="FF0000"/>
                <w:sz w:val="24"/>
                <w:szCs w:val="24"/>
              </w:rPr>
              <w:t>).</w:t>
            </w:r>
          </w:p>
        </w:tc>
      </w:tr>
      <w:tr w:rsidR="00A25350" w:rsidRPr="001714D5" w14:paraId="56EA524F" w14:textId="77777777" w:rsidTr="00AE5C8F">
        <w:trPr>
          <w:trHeight w:val="278"/>
        </w:trPr>
        <w:tc>
          <w:tcPr>
            <w:tcW w:w="648" w:type="pct"/>
          </w:tcPr>
          <w:p w14:paraId="283BDCD0" w14:textId="16954C5D" w:rsidR="00A25350" w:rsidRPr="00AB7713" w:rsidRDefault="00A25350" w:rsidP="00A25350">
            <w:pPr>
              <w:ind w:left="360"/>
              <w:rPr>
                <w:rFonts w:asciiTheme="majorBidi" w:eastAsia="Times New Roman" w:hAnsiTheme="majorBidi" w:cstheme="majorBidi"/>
                <w:highlight w:val="yellow"/>
              </w:rPr>
            </w:pPr>
            <w:r w:rsidRPr="00AB7713">
              <w:rPr>
                <w:rFonts w:asciiTheme="majorBidi" w:eastAsia="Times New Roman" w:hAnsiTheme="majorBidi" w:cstheme="majorBidi"/>
              </w:rPr>
              <w:lastRenderedPageBreak/>
              <w:t>Ho (2021) / Australia (104)</w:t>
            </w:r>
          </w:p>
        </w:tc>
        <w:tc>
          <w:tcPr>
            <w:tcW w:w="464" w:type="pct"/>
          </w:tcPr>
          <w:p w14:paraId="1B92D5C1" w14:textId="39152D4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Systematic review and meta- analysis / 3,533</w:t>
            </w:r>
          </w:p>
        </w:tc>
        <w:tc>
          <w:tcPr>
            <w:tcW w:w="463" w:type="pct"/>
          </w:tcPr>
          <w:p w14:paraId="6B1F1DCF" w14:textId="0ECE175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Various</w:t>
            </w:r>
          </w:p>
        </w:tc>
        <w:tc>
          <w:tcPr>
            <w:tcW w:w="3425" w:type="pct"/>
            <w:gridSpan w:val="4"/>
          </w:tcPr>
          <w:p w14:paraId="2D48A4E3" w14:textId="5A6816B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CAM and CAM-ICU was found to be the most prevalent tools used to assess POD. CAM was used in more than half of the studies and was also suggested to be the most efficient tool while being less time-consuming</w:t>
            </w:r>
            <w:r>
              <w:rPr>
                <w:rFonts w:asciiTheme="majorBidi" w:hAnsiTheme="majorBidi" w:cstheme="majorBidi"/>
                <w:sz w:val="24"/>
                <w:szCs w:val="24"/>
              </w:rPr>
              <w:t xml:space="preserve">. </w:t>
            </w:r>
            <w:r w:rsidRPr="001714D5">
              <w:rPr>
                <w:rFonts w:asciiTheme="majorBidi" w:hAnsiTheme="majorBidi" w:cstheme="majorBidi"/>
                <w:sz w:val="24"/>
                <w:szCs w:val="24"/>
              </w:rPr>
              <w:t>Study also found the total incidence of POD to be 24%</w:t>
            </w:r>
            <w:r>
              <w:rPr>
                <w:rFonts w:asciiTheme="majorBidi" w:hAnsiTheme="majorBidi" w:cstheme="majorBidi"/>
                <w:sz w:val="24"/>
                <w:szCs w:val="24"/>
              </w:rPr>
              <w:t xml:space="preserve"> </w:t>
            </w: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POD</w:t>
            </w:r>
            <w:r w:rsidRPr="00EF741E">
              <w:rPr>
                <w:rFonts w:asciiTheme="majorBidi" w:hAnsiTheme="majorBidi" w:cstheme="majorBidi"/>
                <w:color w:val="FF0000"/>
                <w:sz w:val="24"/>
                <w:szCs w:val="24"/>
              </w:rPr>
              <w:t>).</w:t>
            </w:r>
          </w:p>
        </w:tc>
      </w:tr>
      <w:tr w:rsidR="00A25350" w:rsidRPr="001714D5" w14:paraId="66687B41" w14:textId="77777777" w:rsidTr="00AE5C8F">
        <w:trPr>
          <w:trHeight w:val="278"/>
        </w:trPr>
        <w:tc>
          <w:tcPr>
            <w:tcW w:w="648" w:type="pct"/>
          </w:tcPr>
          <w:p w14:paraId="04E5B1B3" w14:textId="13816547"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 xml:space="preserve">Funder (2010) / Denmark (105) </w:t>
            </w:r>
          </w:p>
        </w:tc>
        <w:tc>
          <w:tcPr>
            <w:tcW w:w="464" w:type="pct"/>
          </w:tcPr>
          <w:p w14:paraId="326DEF0E" w14:textId="7D89A33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p w14:paraId="7ADEC5F0" w14:textId="77777777" w:rsidR="00A25350" w:rsidRPr="001714D5" w:rsidRDefault="00A25350" w:rsidP="00A25350">
            <w:pPr>
              <w:rPr>
                <w:rFonts w:asciiTheme="majorBidi" w:hAnsiTheme="majorBidi" w:cstheme="majorBidi"/>
                <w:sz w:val="24"/>
                <w:szCs w:val="24"/>
              </w:rPr>
            </w:pPr>
          </w:p>
        </w:tc>
        <w:tc>
          <w:tcPr>
            <w:tcW w:w="463" w:type="pct"/>
          </w:tcPr>
          <w:p w14:paraId="4F5C84F1" w14:textId="0CB9AD7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34" w:type="pct"/>
          </w:tcPr>
          <w:p w14:paraId="2B64FC07" w14:textId="1D1E334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discusses the methodological problems in neuropsychological testing (e.g. floor-ceiling effect, learning effect, loss to follow- up, drug effect, reliability of preoperative test and timing of preoperative testing</w:t>
            </w:r>
          </w:p>
        </w:tc>
        <w:tc>
          <w:tcPr>
            <w:tcW w:w="894" w:type="pct"/>
          </w:tcPr>
          <w:p w14:paraId="7F04DB6A" w14:textId="230E947A"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POD is an acute confusional state that is reversible and may present with altered level of consciousness.</w:t>
            </w:r>
          </w:p>
          <w:p w14:paraId="5C25504A" w14:textId="7D05708E"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Dementia may present also with behavioral and personality changes and should at least last 6 months </w:t>
            </w:r>
          </w:p>
        </w:tc>
        <w:tc>
          <w:tcPr>
            <w:tcW w:w="802" w:type="pct"/>
          </w:tcPr>
          <w:p w14:paraId="1E86061E" w14:textId="3B315F5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895" w:type="pct"/>
          </w:tcPr>
          <w:p w14:paraId="16A58192" w14:textId="3B154DE0"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r>
      <w:tr w:rsidR="00A25350" w:rsidRPr="001714D5" w14:paraId="3D77B7A2" w14:textId="77777777" w:rsidTr="00AE5C8F">
        <w:trPr>
          <w:trHeight w:val="278"/>
        </w:trPr>
        <w:tc>
          <w:tcPr>
            <w:tcW w:w="648" w:type="pct"/>
          </w:tcPr>
          <w:p w14:paraId="47923A28" w14:textId="27D4ADAC"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Gale (2018) / USA (106)</w:t>
            </w:r>
          </w:p>
        </w:tc>
        <w:tc>
          <w:tcPr>
            <w:tcW w:w="464" w:type="pct"/>
          </w:tcPr>
          <w:p w14:paraId="4FCDF802" w14:textId="2AB74A5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2BB038A6" w14:textId="652B773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5B6143ED" w14:textId="7E6EA9E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Describes dementia as a syndrome which interferes with a person’s functioning because of a decline in cognitive function, which can be in essence reversible or irreversible </w:t>
            </w:r>
            <w:r w:rsidRPr="00257877">
              <w:rPr>
                <w:rFonts w:asciiTheme="majorBidi" w:hAnsiTheme="majorBidi" w:cstheme="majorBidi"/>
                <w:color w:val="FF0000"/>
                <w:sz w:val="24"/>
                <w:szCs w:val="24"/>
              </w:rPr>
              <w:t xml:space="preserve">(surrogate term: </w:t>
            </w:r>
            <w:r w:rsidRPr="00257877">
              <w:rPr>
                <w:rFonts w:ascii="Times New Roman" w:hAnsi="Times New Roman" w:cs="Times New Roman"/>
                <w:i/>
                <w:iCs/>
                <w:color w:val="FF0000"/>
              </w:rPr>
              <w:t>Major Neurocognitive Disorder (Dementia)</w:t>
            </w:r>
            <w:r w:rsidRPr="00257877">
              <w:rPr>
                <w:rFonts w:asciiTheme="majorBidi" w:hAnsiTheme="majorBidi" w:cstheme="majorBidi"/>
                <w:color w:val="FF0000"/>
                <w:sz w:val="24"/>
                <w:szCs w:val="24"/>
              </w:rPr>
              <w:t>).</w:t>
            </w:r>
          </w:p>
        </w:tc>
      </w:tr>
      <w:tr w:rsidR="00A25350" w:rsidRPr="001714D5" w14:paraId="2DE8ADCF" w14:textId="77777777" w:rsidTr="00AE5C8F">
        <w:trPr>
          <w:trHeight w:val="278"/>
        </w:trPr>
        <w:tc>
          <w:tcPr>
            <w:tcW w:w="648" w:type="pct"/>
          </w:tcPr>
          <w:p w14:paraId="580B3403" w14:textId="2170B3A9"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Arvanitakis (2019) / USA (107)</w:t>
            </w:r>
          </w:p>
        </w:tc>
        <w:tc>
          <w:tcPr>
            <w:tcW w:w="464" w:type="pct"/>
          </w:tcPr>
          <w:p w14:paraId="40D74F20" w14:textId="6177986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1F035804" w14:textId="314541E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15425CA4" w14:textId="1D091E5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finds that evaluating dementia requires medical history taking along neurologic examination and history should consist of nature, magnitude and course of cognitive decline</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257877">
              <w:rPr>
                <w:rFonts w:ascii="Times New Roman" w:hAnsi="Times New Roman" w:cs="Times New Roman"/>
                <w:i/>
                <w:iCs/>
                <w:color w:val="FF0000"/>
              </w:rPr>
              <w:t>Major Neurocognitive Disorder (Dementia)</w:t>
            </w:r>
            <w:r w:rsidRPr="00257877">
              <w:rPr>
                <w:rFonts w:asciiTheme="majorBidi" w:hAnsiTheme="majorBidi" w:cstheme="majorBidi"/>
                <w:color w:val="FF0000"/>
                <w:sz w:val="24"/>
                <w:szCs w:val="24"/>
              </w:rPr>
              <w:t>).</w:t>
            </w:r>
          </w:p>
        </w:tc>
      </w:tr>
      <w:tr w:rsidR="00A25350" w:rsidRPr="001714D5" w14:paraId="4D8540BF" w14:textId="77777777" w:rsidTr="00AE5C8F">
        <w:trPr>
          <w:trHeight w:val="278"/>
        </w:trPr>
        <w:tc>
          <w:tcPr>
            <w:tcW w:w="648" w:type="pct"/>
          </w:tcPr>
          <w:p w14:paraId="6CEE5A61" w14:textId="5FF1E33B"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Smits (2015) / Netherlands (108)</w:t>
            </w:r>
          </w:p>
        </w:tc>
        <w:tc>
          <w:tcPr>
            <w:tcW w:w="464" w:type="pct"/>
          </w:tcPr>
          <w:p w14:paraId="0F0E293C" w14:textId="0D23293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270</w:t>
            </w:r>
          </w:p>
        </w:tc>
        <w:tc>
          <w:tcPr>
            <w:tcW w:w="463" w:type="pct"/>
          </w:tcPr>
          <w:p w14:paraId="2D50AF26" w14:textId="3CCEF99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surgery</w:t>
            </w:r>
          </w:p>
        </w:tc>
        <w:tc>
          <w:tcPr>
            <w:tcW w:w="3425" w:type="pct"/>
            <w:gridSpan w:val="4"/>
          </w:tcPr>
          <w:p w14:paraId="1FEC765B" w14:textId="4EC95D9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 xml:space="preserve">Baseline cognitive function was found to be impaired in all subtypes of dementia inspected (Alzheimer’s disease, vascular dementia, </w:t>
            </w:r>
            <w:proofErr w:type="spellStart"/>
            <w:r w:rsidRPr="001714D5">
              <w:rPr>
                <w:rFonts w:asciiTheme="majorBidi" w:hAnsiTheme="majorBidi" w:cstheme="majorBidi"/>
                <w:sz w:val="24"/>
                <w:szCs w:val="24"/>
              </w:rPr>
              <w:t>lewy</w:t>
            </w:r>
            <w:proofErr w:type="spellEnd"/>
            <w:r w:rsidRPr="001714D5">
              <w:rPr>
                <w:rFonts w:asciiTheme="majorBidi" w:hAnsiTheme="majorBidi" w:cstheme="majorBidi"/>
                <w:sz w:val="24"/>
                <w:szCs w:val="24"/>
              </w:rPr>
              <w:t xml:space="preserve"> body dementia, frontotemporal dementia) in all cognitive domains but visuospatial functioning was only affected in </w:t>
            </w:r>
            <w:proofErr w:type="spellStart"/>
            <w:r w:rsidRPr="001714D5">
              <w:rPr>
                <w:rFonts w:asciiTheme="majorBidi" w:hAnsiTheme="majorBidi" w:cstheme="majorBidi"/>
                <w:sz w:val="24"/>
                <w:szCs w:val="24"/>
              </w:rPr>
              <w:t>lewy</w:t>
            </w:r>
            <w:proofErr w:type="spellEnd"/>
            <w:r w:rsidRPr="001714D5">
              <w:rPr>
                <w:rFonts w:asciiTheme="majorBidi" w:hAnsiTheme="majorBidi" w:cstheme="majorBidi"/>
                <w:sz w:val="24"/>
                <w:szCs w:val="24"/>
              </w:rPr>
              <w:t xml:space="preserve"> body dementia and Alzheimer’s disease. In follow-up various results were obtained in different subtypes of dementia regarding the cognitive domain which decline happened</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257877">
              <w:rPr>
                <w:rFonts w:ascii="Times New Roman" w:hAnsi="Times New Roman" w:cs="Times New Roman"/>
                <w:i/>
                <w:iCs/>
                <w:color w:val="FF0000"/>
              </w:rPr>
              <w:t>Major Neurocognitive Disorder (Dementia)</w:t>
            </w:r>
            <w:r w:rsidRPr="00257877">
              <w:rPr>
                <w:rFonts w:asciiTheme="majorBidi" w:hAnsiTheme="majorBidi" w:cstheme="majorBidi"/>
                <w:color w:val="FF0000"/>
                <w:sz w:val="24"/>
                <w:szCs w:val="24"/>
              </w:rPr>
              <w:t>).</w:t>
            </w:r>
          </w:p>
        </w:tc>
      </w:tr>
      <w:tr w:rsidR="00A25350" w:rsidRPr="001714D5" w14:paraId="1F251917" w14:textId="77777777" w:rsidTr="00AE5C8F">
        <w:trPr>
          <w:trHeight w:val="278"/>
        </w:trPr>
        <w:tc>
          <w:tcPr>
            <w:tcW w:w="648" w:type="pct"/>
          </w:tcPr>
          <w:p w14:paraId="70EBB7A1" w14:textId="00F7E9F9"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 xml:space="preserve">Petersen (2004) / USA (109) </w:t>
            </w:r>
          </w:p>
        </w:tc>
        <w:tc>
          <w:tcPr>
            <w:tcW w:w="464" w:type="pct"/>
          </w:tcPr>
          <w:p w14:paraId="1DF08511" w14:textId="3AB7295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2F2D8E1B" w14:textId="30F8E0E1"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28BE147F" w14:textId="3BC551D6"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proposes a procedure for diagnosing MCI consisting of these steps: first determining the patient is neither demented nor of normal cognitive functioning, secondly through history taking cognitive decline could be found, then checking whether daily functioning is intact and lastly after considering MCI, the search for its subtypes (amnestic vs. non- amnestic) should be probed</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E1117E">
              <w:rPr>
                <w:rFonts w:ascii="Times New Roman" w:hAnsi="Times New Roman" w:cs="Times New Roman"/>
                <w:i/>
                <w:iCs/>
                <w:color w:val="FF0000"/>
              </w:rPr>
              <w:t>Mild Neurocognitive Disorder</w:t>
            </w:r>
            <w:r w:rsidRPr="00257877">
              <w:rPr>
                <w:rFonts w:asciiTheme="majorBidi" w:hAnsiTheme="majorBidi" w:cstheme="majorBidi"/>
                <w:color w:val="FF0000"/>
                <w:sz w:val="24"/>
                <w:szCs w:val="24"/>
              </w:rPr>
              <w:t>).</w:t>
            </w:r>
          </w:p>
        </w:tc>
      </w:tr>
      <w:tr w:rsidR="00A25350" w:rsidRPr="001714D5" w14:paraId="2B510571" w14:textId="77777777" w:rsidTr="00AE5C8F">
        <w:trPr>
          <w:trHeight w:val="278"/>
        </w:trPr>
        <w:tc>
          <w:tcPr>
            <w:tcW w:w="648" w:type="pct"/>
          </w:tcPr>
          <w:p w14:paraId="00B6C579" w14:textId="1A469D67"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lastRenderedPageBreak/>
              <w:t xml:space="preserve">Petersen (2018) / USA (110) </w:t>
            </w:r>
          </w:p>
        </w:tc>
        <w:tc>
          <w:tcPr>
            <w:tcW w:w="464" w:type="pct"/>
          </w:tcPr>
          <w:p w14:paraId="7EC264EF" w14:textId="70680153"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Guideline</w:t>
            </w:r>
          </w:p>
        </w:tc>
        <w:tc>
          <w:tcPr>
            <w:tcW w:w="463" w:type="pct"/>
          </w:tcPr>
          <w:p w14:paraId="02A71016" w14:textId="54762CA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5E20CC78" w14:textId="15F6918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MCI prevalence was found to be 6.7% for ages 60 – 64 years and prevalence increased by age to 25.2% for ages 80 - 84 years. MCI was more common in people with higher age and lower education. Although MCI can be reversible, people with MCI have a higher chance of progressing to dementia</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E1117E">
              <w:rPr>
                <w:rFonts w:ascii="Times New Roman" w:hAnsi="Times New Roman" w:cs="Times New Roman"/>
                <w:i/>
                <w:iCs/>
                <w:color w:val="FF0000"/>
              </w:rPr>
              <w:t>Mild Neurocognitive Disorder</w:t>
            </w:r>
            <w:r w:rsidRPr="00257877">
              <w:rPr>
                <w:rFonts w:asciiTheme="majorBidi" w:hAnsiTheme="majorBidi" w:cstheme="majorBidi"/>
                <w:color w:val="FF0000"/>
                <w:sz w:val="24"/>
                <w:szCs w:val="24"/>
              </w:rPr>
              <w:t>).</w:t>
            </w:r>
          </w:p>
        </w:tc>
      </w:tr>
      <w:tr w:rsidR="00A25350" w:rsidRPr="001714D5" w14:paraId="3C757C8E" w14:textId="77777777" w:rsidTr="00AE5C8F">
        <w:trPr>
          <w:trHeight w:val="278"/>
        </w:trPr>
        <w:tc>
          <w:tcPr>
            <w:tcW w:w="648" w:type="pct"/>
          </w:tcPr>
          <w:p w14:paraId="269ACAD0" w14:textId="315C86E8"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Domínguez (2019) / Mexico (111)</w:t>
            </w:r>
          </w:p>
        </w:tc>
        <w:tc>
          <w:tcPr>
            <w:tcW w:w="464" w:type="pct"/>
          </w:tcPr>
          <w:p w14:paraId="1B634563" w14:textId="30181228"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Concept analysis</w:t>
            </w:r>
          </w:p>
        </w:tc>
        <w:tc>
          <w:tcPr>
            <w:tcW w:w="463" w:type="pct"/>
          </w:tcPr>
          <w:p w14:paraId="4A69A6CE" w14:textId="30D5237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5230FD62" w14:textId="6BE5D29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defines MCI as a possible reversible cognitive state somewhere between what is normal for age and early stages of dementia, where patient is capable of instrumental daily living activities while also impairment in cognitive domains is evident</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E1117E">
              <w:rPr>
                <w:rFonts w:ascii="Times New Roman" w:hAnsi="Times New Roman" w:cs="Times New Roman"/>
                <w:i/>
                <w:iCs/>
                <w:color w:val="FF0000"/>
              </w:rPr>
              <w:t>Mild Neurocognitive Disorder</w:t>
            </w:r>
            <w:r w:rsidRPr="00257877">
              <w:rPr>
                <w:rFonts w:asciiTheme="majorBidi" w:hAnsiTheme="majorBidi" w:cstheme="majorBidi"/>
                <w:color w:val="FF0000"/>
                <w:sz w:val="24"/>
                <w:szCs w:val="24"/>
              </w:rPr>
              <w:t>).</w:t>
            </w:r>
          </w:p>
        </w:tc>
      </w:tr>
      <w:tr w:rsidR="00A25350" w:rsidRPr="001714D5" w14:paraId="13905E50" w14:textId="77777777" w:rsidTr="00AE5C8F">
        <w:trPr>
          <w:trHeight w:val="278"/>
        </w:trPr>
        <w:tc>
          <w:tcPr>
            <w:tcW w:w="648" w:type="pct"/>
          </w:tcPr>
          <w:p w14:paraId="414FA449" w14:textId="1E0DB695"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Jongsiriyanyong</w:t>
            </w:r>
            <w:proofErr w:type="spellEnd"/>
            <w:r w:rsidRPr="00AB7713">
              <w:rPr>
                <w:rFonts w:asciiTheme="majorBidi" w:eastAsia="Times New Roman" w:hAnsiTheme="majorBidi" w:cstheme="majorBidi"/>
              </w:rPr>
              <w:t xml:space="preserve"> (2018) / Thailand (112)</w:t>
            </w:r>
          </w:p>
        </w:tc>
        <w:tc>
          <w:tcPr>
            <w:tcW w:w="464" w:type="pct"/>
          </w:tcPr>
          <w:p w14:paraId="275E5691" w14:textId="0E7729C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692BCE8B" w14:textId="48BB1E1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509F8A7B" w14:textId="438AD82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argues the outcome of MCI (reversing to normal, stabilizing or progressing to dementia) to be a result of the underlying problem, thus recommends investigations be done to discover the pathology leading to MCI in order to revers or procrastinate cognitive decline</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E1117E">
              <w:rPr>
                <w:rFonts w:ascii="Times New Roman" w:hAnsi="Times New Roman" w:cs="Times New Roman"/>
                <w:i/>
                <w:iCs/>
                <w:color w:val="FF0000"/>
              </w:rPr>
              <w:t>Mild Neurocognitive Disorder</w:t>
            </w:r>
            <w:r w:rsidRPr="00257877">
              <w:rPr>
                <w:rFonts w:asciiTheme="majorBidi" w:hAnsiTheme="majorBidi" w:cstheme="majorBidi"/>
                <w:color w:val="FF0000"/>
                <w:sz w:val="24"/>
                <w:szCs w:val="24"/>
              </w:rPr>
              <w:t>).</w:t>
            </w:r>
          </w:p>
        </w:tc>
      </w:tr>
      <w:tr w:rsidR="00A25350" w:rsidRPr="001714D5" w14:paraId="7430B69C" w14:textId="77777777" w:rsidTr="00AE5C8F">
        <w:trPr>
          <w:trHeight w:val="278"/>
        </w:trPr>
        <w:tc>
          <w:tcPr>
            <w:tcW w:w="648" w:type="pct"/>
          </w:tcPr>
          <w:p w14:paraId="5C40614F" w14:textId="5ECC95CC"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Tangalos</w:t>
            </w:r>
            <w:proofErr w:type="spellEnd"/>
            <w:r w:rsidRPr="00AB7713">
              <w:rPr>
                <w:rFonts w:asciiTheme="majorBidi" w:eastAsia="Times New Roman" w:hAnsiTheme="majorBidi" w:cstheme="majorBidi"/>
              </w:rPr>
              <w:t xml:space="preserve"> (2018) / USA (113)</w:t>
            </w:r>
          </w:p>
        </w:tc>
        <w:tc>
          <w:tcPr>
            <w:tcW w:w="464" w:type="pct"/>
          </w:tcPr>
          <w:p w14:paraId="2CE1F628" w14:textId="38C080C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Narrative review</w:t>
            </w:r>
          </w:p>
        </w:tc>
        <w:tc>
          <w:tcPr>
            <w:tcW w:w="463" w:type="pct"/>
          </w:tcPr>
          <w:p w14:paraId="73AD29EE" w14:textId="5D4A0FF7"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552E81A7" w14:textId="696C15B2"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argues that although diagnosing MCI requires a thorough examination consisting of neuropsychiatric testing and imaging, primarily to diagnose and secondly to search for the pathology, ultimately it should be understood that diagnosing MCI is a clinical matter, especially noteworthy in patients with a previously higher intellectual function that is currently complaining with a decrease in cognitive ability but cognitive testing provides normal for age results</w:t>
            </w:r>
            <w:r>
              <w:rPr>
                <w:rFonts w:asciiTheme="majorBidi" w:hAnsiTheme="majorBidi" w:cstheme="majorBidi"/>
                <w:sz w:val="24"/>
                <w:szCs w:val="24"/>
              </w:rPr>
              <w:t xml:space="preserve"> </w:t>
            </w:r>
            <w:r w:rsidRPr="00257877">
              <w:rPr>
                <w:rFonts w:asciiTheme="majorBidi" w:hAnsiTheme="majorBidi" w:cstheme="majorBidi"/>
                <w:color w:val="FF0000"/>
                <w:sz w:val="24"/>
                <w:szCs w:val="24"/>
              </w:rPr>
              <w:t xml:space="preserve">(surrogate term: </w:t>
            </w:r>
            <w:r w:rsidRPr="00E1117E">
              <w:rPr>
                <w:rFonts w:ascii="Times New Roman" w:hAnsi="Times New Roman" w:cs="Times New Roman"/>
                <w:i/>
                <w:iCs/>
                <w:color w:val="FF0000"/>
              </w:rPr>
              <w:t>Mild Neurocognitive Disorder</w:t>
            </w:r>
            <w:r w:rsidRPr="00257877">
              <w:rPr>
                <w:rFonts w:asciiTheme="majorBidi" w:hAnsiTheme="majorBidi" w:cstheme="majorBidi"/>
                <w:color w:val="FF0000"/>
                <w:sz w:val="24"/>
                <w:szCs w:val="24"/>
              </w:rPr>
              <w:t>).</w:t>
            </w:r>
          </w:p>
        </w:tc>
      </w:tr>
      <w:tr w:rsidR="00A25350" w:rsidRPr="001714D5" w14:paraId="45ADAB01" w14:textId="77777777" w:rsidTr="00AE5C8F">
        <w:trPr>
          <w:trHeight w:val="278"/>
        </w:trPr>
        <w:tc>
          <w:tcPr>
            <w:tcW w:w="648" w:type="pct"/>
          </w:tcPr>
          <w:p w14:paraId="0BDB735F" w14:textId="77297F43" w:rsidR="00A25350" w:rsidRPr="00AB7713" w:rsidRDefault="00A25350" w:rsidP="00A25350">
            <w:pPr>
              <w:ind w:left="360"/>
              <w:rPr>
                <w:rFonts w:asciiTheme="majorBidi" w:eastAsia="Times New Roman" w:hAnsiTheme="majorBidi" w:cstheme="majorBidi"/>
              </w:rPr>
            </w:pPr>
            <w:proofErr w:type="spellStart"/>
            <w:r w:rsidRPr="00AB7713">
              <w:rPr>
                <w:rFonts w:asciiTheme="majorBidi" w:eastAsia="Times New Roman" w:hAnsiTheme="majorBidi" w:cstheme="majorBidi"/>
              </w:rPr>
              <w:t>Harerimana</w:t>
            </w:r>
            <w:proofErr w:type="spellEnd"/>
            <w:r w:rsidRPr="00AB7713">
              <w:rPr>
                <w:rFonts w:asciiTheme="majorBidi" w:eastAsia="Times New Roman" w:hAnsiTheme="majorBidi" w:cstheme="majorBidi"/>
              </w:rPr>
              <w:t xml:space="preserve"> (2020) / Canada (114)</w:t>
            </w:r>
          </w:p>
        </w:tc>
        <w:tc>
          <w:tcPr>
            <w:tcW w:w="464" w:type="pct"/>
          </w:tcPr>
          <w:p w14:paraId="7CE5CA77" w14:textId="23D1F784"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Concept analysis</w:t>
            </w:r>
          </w:p>
        </w:tc>
        <w:tc>
          <w:tcPr>
            <w:tcW w:w="463" w:type="pct"/>
          </w:tcPr>
          <w:p w14:paraId="169537F6" w14:textId="1DE82BC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tc>
        <w:tc>
          <w:tcPr>
            <w:tcW w:w="3425" w:type="pct"/>
            <w:gridSpan w:val="4"/>
          </w:tcPr>
          <w:p w14:paraId="75908E3D" w14:textId="549B863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Defines cognitive vitality the ability for an individual to adapt to cognitive changes while also being able to sustain life satisfaction, independent living and optimal cognitive functioning. This cognitive vitality acts as a protective compensating factor to cognitive decline during aging</w:t>
            </w:r>
            <w:r>
              <w:rPr>
                <w:rFonts w:asciiTheme="majorBidi" w:hAnsiTheme="majorBidi" w:cstheme="majorBidi"/>
                <w:sz w:val="24"/>
                <w:szCs w:val="24"/>
              </w:rPr>
              <w:t xml:space="preserve"> (</w:t>
            </w: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Cognitive Vitality</w:t>
            </w:r>
            <w:r w:rsidRPr="00EF741E">
              <w:rPr>
                <w:rFonts w:asciiTheme="majorBidi" w:hAnsiTheme="majorBidi" w:cstheme="majorBidi"/>
                <w:color w:val="FF0000"/>
                <w:sz w:val="24"/>
                <w:szCs w:val="24"/>
              </w:rPr>
              <w:t>).</w:t>
            </w:r>
            <w:r w:rsidRPr="001714D5">
              <w:rPr>
                <w:rFonts w:asciiTheme="majorBidi" w:hAnsiTheme="majorBidi" w:cstheme="majorBidi"/>
                <w:sz w:val="24"/>
                <w:szCs w:val="24"/>
              </w:rPr>
              <w:t xml:space="preserve"> </w:t>
            </w:r>
          </w:p>
        </w:tc>
      </w:tr>
      <w:tr w:rsidR="00A25350" w:rsidRPr="001714D5" w14:paraId="510F9A39" w14:textId="77777777" w:rsidTr="00AE5C8F">
        <w:trPr>
          <w:trHeight w:val="278"/>
        </w:trPr>
        <w:tc>
          <w:tcPr>
            <w:tcW w:w="648" w:type="pct"/>
          </w:tcPr>
          <w:p w14:paraId="4FA1E405" w14:textId="28D3764D"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McDonough (2015) / USA (115)</w:t>
            </w:r>
          </w:p>
        </w:tc>
        <w:tc>
          <w:tcPr>
            <w:tcW w:w="464" w:type="pct"/>
          </w:tcPr>
          <w:p w14:paraId="10B5717B" w14:textId="26F983F5"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39</w:t>
            </w:r>
          </w:p>
        </w:tc>
        <w:tc>
          <w:tcPr>
            <w:tcW w:w="463" w:type="pct"/>
          </w:tcPr>
          <w:p w14:paraId="1BCF311C" w14:textId="4EE22EA9"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No surgery</w:t>
            </w:r>
          </w:p>
        </w:tc>
        <w:tc>
          <w:tcPr>
            <w:tcW w:w="3425" w:type="pct"/>
            <w:gridSpan w:val="4"/>
          </w:tcPr>
          <w:p w14:paraId="769BC633" w14:textId="7D7994EB"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found that engaging in challenging tasks improves cognitive domains such as attention and semantic processing by increasing the neural efficiency in temporal and parietal cortex</w:t>
            </w:r>
            <w:r>
              <w:rPr>
                <w:rFonts w:asciiTheme="majorBidi" w:hAnsiTheme="majorBidi" w:cstheme="majorBidi"/>
                <w:sz w:val="24"/>
                <w:szCs w:val="24"/>
              </w:rPr>
              <w:t xml:space="preserve"> </w:t>
            </w: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Cognitive Vitality</w:t>
            </w:r>
            <w:r w:rsidRPr="00EF741E">
              <w:rPr>
                <w:rFonts w:asciiTheme="majorBidi" w:hAnsiTheme="majorBidi" w:cstheme="majorBidi"/>
                <w:color w:val="FF0000"/>
                <w:sz w:val="24"/>
                <w:szCs w:val="24"/>
              </w:rPr>
              <w:t>).</w:t>
            </w:r>
          </w:p>
        </w:tc>
      </w:tr>
      <w:tr w:rsidR="00A25350" w:rsidRPr="001714D5" w14:paraId="0DDDF5A7" w14:textId="77777777" w:rsidTr="00AE5C8F">
        <w:trPr>
          <w:trHeight w:val="278"/>
        </w:trPr>
        <w:tc>
          <w:tcPr>
            <w:tcW w:w="648" w:type="pct"/>
          </w:tcPr>
          <w:p w14:paraId="5D351A24" w14:textId="75598C33" w:rsidR="00A25350" w:rsidRPr="00AB7713" w:rsidRDefault="00A25350" w:rsidP="00A25350">
            <w:pPr>
              <w:ind w:left="360"/>
              <w:rPr>
                <w:rFonts w:asciiTheme="majorBidi" w:eastAsia="Times New Roman" w:hAnsiTheme="majorBidi" w:cstheme="majorBidi"/>
              </w:rPr>
            </w:pPr>
            <w:r w:rsidRPr="00AB7713">
              <w:rPr>
                <w:rFonts w:asciiTheme="majorBidi" w:eastAsia="Times New Roman" w:hAnsiTheme="majorBidi" w:cstheme="majorBidi"/>
              </w:rPr>
              <w:t>Gow (2005) / Scotland (116)</w:t>
            </w:r>
          </w:p>
        </w:tc>
        <w:tc>
          <w:tcPr>
            <w:tcW w:w="464" w:type="pct"/>
          </w:tcPr>
          <w:p w14:paraId="5938B5DC" w14:textId="2842F00F"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Cohort / 1921</w:t>
            </w:r>
          </w:p>
        </w:tc>
        <w:tc>
          <w:tcPr>
            <w:tcW w:w="463" w:type="pct"/>
          </w:tcPr>
          <w:p w14:paraId="1C2C1D46" w14:textId="360CF35C"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NA</w:t>
            </w:r>
          </w:p>
          <w:p w14:paraId="6FA5B081" w14:textId="77777777" w:rsidR="00A25350" w:rsidRPr="001714D5" w:rsidRDefault="00A25350" w:rsidP="00A25350">
            <w:pPr>
              <w:rPr>
                <w:rFonts w:asciiTheme="majorBidi" w:hAnsiTheme="majorBidi" w:cstheme="majorBidi"/>
                <w:sz w:val="24"/>
                <w:szCs w:val="24"/>
              </w:rPr>
            </w:pPr>
          </w:p>
        </w:tc>
        <w:tc>
          <w:tcPr>
            <w:tcW w:w="3425" w:type="pct"/>
            <w:gridSpan w:val="4"/>
          </w:tcPr>
          <w:p w14:paraId="4271412B" w14:textId="07AF419D" w:rsidR="00A25350" w:rsidRPr="001714D5" w:rsidRDefault="00A25350" w:rsidP="00A25350">
            <w:pPr>
              <w:jc w:val="center"/>
              <w:rPr>
                <w:rFonts w:asciiTheme="majorBidi" w:hAnsiTheme="majorBidi" w:cstheme="majorBidi"/>
                <w:sz w:val="24"/>
                <w:szCs w:val="24"/>
              </w:rPr>
            </w:pPr>
            <w:r w:rsidRPr="001714D5">
              <w:rPr>
                <w:rFonts w:asciiTheme="majorBidi" w:hAnsiTheme="majorBidi" w:cstheme="majorBidi"/>
                <w:sz w:val="24"/>
                <w:szCs w:val="24"/>
              </w:rPr>
              <w:t>Study found that happiness in non-demented elderly is not related to patients’ cognitive ability at age 11 and 79</w:t>
            </w:r>
            <w:r>
              <w:rPr>
                <w:rFonts w:asciiTheme="majorBidi" w:hAnsiTheme="majorBidi" w:cstheme="majorBidi"/>
                <w:sz w:val="24"/>
                <w:szCs w:val="24"/>
              </w:rPr>
              <w:t xml:space="preserve"> </w:t>
            </w:r>
            <w:r w:rsidRPr="00EF741E">
              <w:rPr>
                <w:rFonts w:asciiTheme="majorBidi" w:hAnsiTheme="majorBidi" w:cstheme="majorBidi"/>
                <w:color w:val="FF0000"/>
                <w:sz w:val="24"/>
                <w:szCs w:val="24"/>
              </w:rPr>
              <w:t xml:space="preserve">(surrogate term: </w:t>
            </w:r>
            <w:r w:rsidRPr="00EF741E">
              <w:rPr>
                <w:rFonts w:ascii="Times New Roman" w:hAnsi="Times New Roman" w:cs="Times New Roman"/>
                <w:i/>
                <w:iCs/>
                <w:color w:val="FF0000"/>
              </w:rPr>
              <w:t>Cognitive Vitality</w:t>
            </w:r>
            <w:r w:rsidRPr="00EF741E">
              <w:rPr>
                <w:rFonts w:asciiTheme="majorBidi" w:hAnsiTheme="majorBidi" w:cstheme="majorBidi"/>
                <w:color w:val="FF0000"/>
                <w:sz w:val="24"/>
                <w:szCs w:val="24"/>
              </w:rPr>
              <w:t xml:space="preserve">). </w:t>
            </w:r>
          </w:p>
        </w:tc>
      </w:tr>
    </w:tbl>
    <w:p w14:paraId="5CC7DD3F" w14:textId="77777777" w:rsidR="00001CCB" w:rsidRPr="0019700F" w:rsidRDefault="00001CCB" w:rsidP="00AF4D0D">
      <w:pPr>
        <w:rPr>
          <w:rFonts w:asciiTheme="majorBidi" w:hAnsiTheme="majorBidi" w:cstheme="majorBidi"/>
          <w:sz w:val="24"/>
          <w:szCs w:val="24"/>
        </w:rPr>
      </w:pPr>
    </w:p>
    <w:sectPr w:rsidR="00001CCB" w:rsidRPr="0019700F" w:rsidSect="00AE5C8F">
      <w:pgSz w:w="15840" w:h="12240" w:orient="landscape"/>
      <w:pgMar w:top="72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oosha.farhadi1378@gmail.com" w:date="2023-12-19T15:26:00Z" w:initials="A">
    <w:p w14:paraId="200CE503" w14:textId="0E4C954F" w:rsidR="007A4799" w:rsidRDefault="007A4799">
      <w:pPr>
        <w:pStyle w:val="CommentText"/>
      </w:pPr>
      <w:r>
        <w:rPr>
          <w:rStyle w:val="CommentReference"/>
        </w:rPr>
        <w:annotationRef/>
      </w:r>
      <w:r>
        <w:t>Cited in the defining attributes but I found nothing to put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0CE5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E4FA6B" w16cex:dateUtc="2023-12-19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CE503" w16cid:durableId="5FE4FA6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6397A"/>
    <w:multiLevelType w:val="hybridMultilevel"/>
    <w:tmpl w:val="68DAF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B17D7D"/>
    <w:multiLevelType w:val="hybridMultilevel"/>
    <w:tmpl w:val="E1E4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889891">
    <w:abstractNumId w:val="0"/>
  </w:num>
  <w:num w:numId="2" w16cid:durableId="15467942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osha.farhadi1378@gmail.com">
    <w15:presenceInfo w15:providerId="Windows Live" w15:userId="2a0f2dd712e0e8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C2"/>
    <w:rsid w:val="00001CCB"/>
    <w:rsid w:val="00006712"/>
    <w:rsid w:val="000114E6"/>
    <w:rsid w:val="00011DE8"/>
    <w:rsid w:val="00024A4D"/>
    <w:rsid w:val="00031CF6"/>
    <w:rsid w:val="00050162"/>
    <w:rsid w:val="00053FFC"/>
    <w:rsid w:val="00062D4C"/>
    <w:rsid w:val="00067681"/>
    <w:rsid w:val="000719FD"/>
    <w:rsid w:val="000731DF"/>
    <w:rsid w:val="00074FC8"/>
    <w:rsid w:val="00075966"/>
    <w:rsid w:val="00082BE1"/>
    <w:rsid w:val="00092D0B"/>
    <w:rsid w:val="00096F12"/>
    <w:rsid w:val="000A1CC5"/>
    <w:rsid w:val="000C2BB7"/>
    <w:rsid w:val="000C3D58"/>
    <w:rsid w:val="000D46BD"/>
    <w:rsid w:val="000F2439"/>
    <w:rsid w:val="000F2511"/>
    <w:rsid w:val="00105C0C"/>
    <w:rsid w:val="00113CBC"/>
    <w:rsid w:val="00114A65"/>
    <w:rsid w:val="00133A45"/>
    <w:rsid w:val="001444F3"/>
    <w:rsid w:val="001555D2"/>
    <w:rsid w:val="001575C6"/>
    <w:rsid w:val="001714D5"/>
    <w:rsid w:val="00172CA7"/>
    <w:rsid w:val="00177848"/>
    <w:rsid w:val="00181350"/>
    <w:rsid w:val="00184547"/>
    <w:rsid w:val="00190B2C"/>
    <w:rsid w:val="0019533B"/>
    <w:rsid w:val="0019700F"/>
    <w:rsid w:val="001A4DC7"/>
    <w:rsid w:val="001A664D"/>
    <w:rsid w:val="001B10DF"/>
    <w:rsid w:val="001B5BE6"/>
    <w:rsid w:val="001B711D"/>
    <w:rsid w:val="001C1C35"/>
    <w:rsid w:val="001D57B1"/>
    <w:rsid w:val="001E72BE"/>
    <w:rsid w:val="001F2F2D"/>
    <w:rsid w:val="001F3524"/>
    <w:rsid w:val="002154E9"/>
    <w:rsid w:val="002229AA"/>
    <w:rsid w:val="00240F17"/>
    <w:rsid w:val="00246192"/>
    <w:rsid w:val="0025054E"/>
    <w:rsid w:val="00257877"/>
    <w:rsid w:val="00262DE2"/>
    <w:rsid w:val="00275236"/>
    <w:rsid w:val="00275847"/>
    <w:rsid w:val="0028152F"/>
    <w:rsid w:val="00283B09"/>
    <w:rsid w:val="00295C73"/>
    <w:rsid w:val="002A4DD4"/>
    <w:rsid w:val="002B2AD2"/>
    <w:rsid w:val="002B639A"/>
    <w:rsid w:val="002B7076"/>
    <w:rsid w:val="002C312F"/>
    <w:rsid w:val="002C339B"/>
    <w:rsid w:val="002D2911"/>
    <w:rsid w:val="002D58CA"/>
    <w:rsid w:val="002E66BA"/>
    <w:rsid w:val="00307675"/>
    <w:rsid w:val="00307D6C"/>
    <w:rsid w:val="00330EB4"/>
    <w:rsid w:val="00330F94"/>
    <w:rsid w:val="003379CF"/>
    <w:rsid w:val="00337D8F"/>
    <w:rsid w:val="00361D87"/>
    <w:rsid w:val="00376710"/>
    <w:rsid w:val="00390C3D"/>
    <w:rsid w:val="003932A9"/>
    <w:rsid w:val="0039537E"/>
    <w:rsid w:val="003B578F"/>
    <w:rsid w:val="003B637D"/>
    <w:rsid w:val="003C2031"/>
    <w:rsid w:val="003C796E"/>
    <w:rsid w:val="003D4437"/>
    <w:rsid w:val="004222B2"/>
    <w:rsid w:val="0043034B"/>
    <w:rsid w:val="004477B2"/>
    <w:rsid w:val="004529DD"/>
    <w:rsid w:val="00461637"/>
    <w:rsid w:val="004618B4"/>
    <w:rsid w:val="00465EAB"/>
    <w:rsid w:val="004931FB"/>
    <w:rsid w:val="004A09D6"/>
    <w:rsid w:val="004B04F9"/>
    <w:rsid w:val="004B5128"/>
    <w:rsid w:val="004D0D98"/>
    <w:rsid w:val="004E1A7B"/>
    <w:rsid w:val="004E3F79"/>
    <w:rsid w:val="004E6C46"/>
    <w:rsid w:val="004E6D3F"/>
    <w:rsid w:val="004E765B"/>
    <w:rsid w:val="004F6F23"/>
    <w:rsid w:val="00501693"/>
    <w:rsid w:val="005128FB"/>
    <w:rsid w:val="0051506E"/>
    <w:rsid w:val="00522A49"/>
    <w:rsid w:val="00527273"/>
    <w:rsid w:val="00530369"/>
    <w:rsid w:val="00531DED"/>
    <w:rsid w:val="00537791"/>
    <w:rsid w:val="0054039E"/>
    <w:rsid w:val="00542226"/>
    <w:rsid w:val="00552708"/>
    <w:rsid w:val="005563A5"/>
    <w:rsid w:val="0055789F"/>
    <w:rsid w:val="00557B9C"/>
    <w:rsid w:val="00560758"/>
    <w:rsid w:val="00560FA5"/>
    <w:rsid w:val="00565588"/>
    <w:rsid w:val="0056569E"/>
    <w:rsid w:val="00572A5F"/>
    <w:rsid w:val="00572F60"/>
    <w:rsid w:val="005748A4"/>
    <w:rsid w:val="00586295"/>
    <w:rsid w:val="005964C4"/>
    <w:rsid w:val="005A68BF"/>
    <w:rsid w:val="005B07FB"/>
    <w:rsid w:val="005B1E78"/>
    <w:rsid w:val="005B48DB"/>
    <w:rsid w:val="005B7F32"/>
    <w:rsid w:val="005D586F"/>
    <w:rsid w:val="005D69FD"/>
    <w:rsid w:val="005D7A5D"/>
    <w:rsid w:val="005E67C2"/>
    <w:rsid w:val="00607233"/>
    <w:rsid w:val="00614D27"/>
    <w:rsid w:val="00617AC2"/>
    <w:rsid w:val="0062380D"/>
    <w:rsid w:val="00630D1E"/>
    <w:rsid w:val="00632886"/>
    <w:rsid w:val="00633854"/>
    <w:rsid w:val="00642775"/>
    <w:rsid w:val="00655291"/>
    <w:rsid w:val="006560FB"/>
    <w:rsid w:val="00657908"/>
    <w:rsid w:val="00662C75"/>
    <w:rsid w:val="00667AB4"/>
    <w:rsid w:val="00672023"/>
    <w:rsid w:val="00676C07"/>
    <w:rsid w:val="00682674"/>
    <w:rsid w:val="006A3CFC"/>
    <w:rsid w:val="006A5168"/>
    <w:rsid w:val="006A720E"/>
    <w:rsid w:val="006B1B2A"/>
    <w:rsid w:val="006B23AD"/>
    <w:rsid w:val="006B7F67"/>
    <w:rsid w:val="006C354F"/>
    <w:rsid w:val="006C6DF8"/>
    <w:rsid w:val="006D0BEC"/>
    <w:rsid w:val="006D0D35"/>
    <w:rsid w:val="006D187A"/>
    <w:rsid w:val="006F47B6"/>
    <w:rsid w:val="006F5D97"/>
    <w:rsid w:val="007119D0"/>
    <w:rsid w:val="00716F51"/>
    <w:rsid w:val="007221CD"/>
    <w:rsid w:val="0072419E"/>
    <w:rsid w:val="007377DA"/>
    <w:rsid w:val="007413FC"/>
    <w:rsid w:val="00753CB1"/>
    <w:rsid w:val="00765371"/>
    <w:rsid w:val="00770CC0"/>
    <w:rsid w:val="00774742"/>
    <w:rsid w:val="00777F70"/>
    <w:rsid w:val="007902C8"/>
    <w:rsid w:val="007A3288"/>
    <w:rsid w:val="007A35C1"/>
    <w:rsid w:val="007A4799"/>
    <w:rsid w:val="007A5397"/>
    <w:rsid w:val="007B060F"/>
    <w:rsid w:val="007B52ED"/>
    <w:rsid w:val="007B71EB"/>
    <w:rsid w:val="007C1148"/>
    <w:rsid w:val="007C61C2"/>
    <w:rsid w:val="007D4307"/>
    <w:rsid w:val="007D4803"/>
    <w:rsid w:val="007D4E52"/>
    <w:rsid w:val="007D722C"/>
    <w:rsid w:val="007F2CB6"/>
    <w:rsid w:val="00815A89"/>
    <w:rsid w:val="008165A1"/>
    <w:rsid w:val="0081735F"/>
    <w:rsid w:val="0082004A"/>
    <w:rsid w:val="00862714"/>
    <w:rsid w:val="00865153"/>
    <w:rsid w:val="00870310"/>
    <w:rsid w:val="00884C35"/>
    <w:rsid w:val="00892173"/>
    <w:rsid w:val="008A6B94"/>
    <w:rsid w:val="008B5DCF"/>
    <w:rsid w:val="008D0CF3"/>
    <w:rsid w:val="008E3026"/>
    <w:rsid w:val="008F67F8"/>
    <w:rsid w:val="00904A30"/>
    <w:rsid w:val="009061A8"/>
    <w:rsid w:val="00906A7C"/>
    <w:rsid w:val="0092267C"/>
    <w:rsid w:val="00930FB9"/>
    <w:rsid w:val="00946471"/>
    <w:rsid w:val="009561E7"/>
    <w:rsid w:val="0095668E"/>
    <w:rsid w:val="00957AFE"/>
    <w:rsid w:val="00966958"/>
    <w:rsid w:val="00966D6F"/>
    <w:rsid w:val="009748E3"/>
    <w:rsid w:val="00981FBA"/>
    <w:rsid w:val="009836D6"/>
    <w:rsid w:val="009A0EE2"/>
    <w:rsid w:val="009A21CB"/>
    <w:rsid w:val="009C4205"/>
    <w:rsid w:val="009C537A"/>
    <w:rsid w:val="009D01E6"/>
    <w:rsid w:val="009D20A1"/>
    <w:rsid w:val="009D3CBE"/>
    <w:rsid w:val="009E2E1A"/>
    <w:rsid w:val="009F61F3"/>
    <w:rsid w:val="00A25350"/>
    <w:rsid w:val="00A301F1"/>
    <w:rsid w:val="00A30A99"/>
    <w:rsid w:val="00A433B0"/>
    <w:rsid w:val="00A468D4"/>
    <w:rsid w:val="00A47C79"/>
    <w:rsid w:val="00A55909"/>
    <w:rsid w:val="00A60B39"/>
    <w:rsid w:val="00A7038F"/>
    <w:rsid w:val="00A729DF"/>
    <w:rsid w:val="00A743E3"/>
    <w:rsid w:val="00A904FB"/>
    <w:rsid w:val="00AA05A1"/>
    <w:rsid w:val="00AA458C"/>
    <w:rsid w:val="00AB1B9E"/>
    <w:rsid w:val="00AB7713"/>
    <w:rsid w:val="00AC56C5"/>
    <w:rsid w:val="00AD183A"/>
    <w:rsid w:val="00AE5C8F"/>
    <w:rsid w:val="00AF3752"/>
    <w:rsid w:val="00AF4D0D"/>
    <w:rsid w:val="00AF5149"/>
    <w:rsid w:val="00AF5DF8"/>
    <w:rsid w:val="00AF7493"/>
    <w:rsid w:val="00B02849"/>
    <w:rsid w:val="00B075C5"/>
    <w:rsid w:val="00B13454"/>
    <w:rsid w:val="00B1426E"/>
    <w:rsid w:val="00B15577"/>
    <w:rsid w:val="00B21498"/>
    <w:rsid w:val="00B35740"/>
    <w:rsid w:val="00B5660B"/>
    <w:rsid w:val="00B5691F"/>
    <w:rsid w:val="00B57594"/>
    <w:rsid w:val="00B60B49"/>
    <w:rsid w:val="00B64A43"/>
    <w:rsid w:val="00B73F94"/>
    <w:rsid w:val="00B941D7"/>
    <w:rsid w:val="00BC5C89"/>
    <w:rsid w:val="00BD5EAF"/>
    <w:rsid w:val="00BF162D"/>
    <w:rsid w:val="00C06567"/>
    <w:rsid w:val="00C16299"/>
    <w:rsid w:val="00C22D5F"/>
    <w:rsid w:val="00C23DDA"/>
    <w:rsid w:val="00C27DC8"/>
    <w:rsid w:val="00C33C99"/>
    <w:rsid w:val="00C346A0"/>
    <w:rsid w:val="00C478AB"/>
    <w:rsid w:val="00C47BC2"/>
    <w:rsid w:val="00C540E0"/>
    <w:rsid w:val="00C563FA"/>
    <w:rsid w:val="00C66BDE"/>
    <w:rsid w:val="00C71739"/>
    <w:rsid w:val="00C7734D"/>
    <w:rsid w:val="00C97992"/>
    <w:rsid w:val="00CA07C6"/>
    <w:rsid w:val="00CA218D"/>
    <w:rsid w:val="00CB1063"/>
    <w:rsid w:val="00CB18DF"/>
    <w:rsid w:val="00CC6793"/>
    <w:rsid w:val="00CD2FA2"/>
    <w:rsid w:val="00CF64FD"/>
    <w:rsid w:val="00D00242"/>
    <w:rsid w:val="00D00EB4"/>
    <w:rsid w:val="00D03864"/>
    <w:rsid w:val="00D041E1"/>
    <w:rsid w:val="00D20A60"/>
    <w:rsid w:val="00D235AB"/>
    <w:rsid w:val="00D302B7"/>
    <w:rsid w:val="00D36E2C"/>
    <w:rsid w:val="00D545D5"/>
    <w:rsid w:val="00D628E7"/>
    <w:rsid w:val="00D657EC"/>
    <w:rsid w:val="00D74EF9"/>
    <w:rsid w:val="00D824DB"/>
    <w:rsid w:val="00D84C67"/>
    <w:rsid w:val="00D8597C"/>
    <w:rsid w:val="00D86188"/>
    <w:rsid w:val="00D94329"/>
    <w:rsid w:val="00DC5A79"/>
    <w:rsid w:val="00DD00D9"/>
    <w:rsid w:val="00DD50AB"/>
    <w:rsid w:val="00DD74E5"/>
    <w:rsid w:val="00DD7709"/>
    <w:rsid w:val="00DE1E2B"/>
    <w:rsid w:val="00DE5C3C"/>
    <w:rsid w:val="00DF6284"/>
    <w:rsid w:val="00E1117E"/>
    <w:rsid w:val="00E1451C"/>
    <w:rsid w:val="00E20DFF"/>
    <w:rsid w:val="00E21280"/>
    <w:rsid w:val="00E74B08"/>
    <w:rsid w:val="00E80379"/>
    <w:rsid w:val="00E90877"/>
    <w:rsid w:val="00EA3804"/>
    <w:rsid w:val="00EA5CAF"/>
    <w:rsid w:val="00EA7E67"/>
    <w:rsid w:val="00EB1DB3"/>
    <w:rsid w:val="00EB6558"/>
    <w:rsid w:val="00EC1D22"/>
    <w:rsid w:val="00ED26A6"/>
    <w:rsid w:val="00EE7F69"/>
    <w:rsid w:val="00EF0208"/>
    <w:rsid w:val="00EF5965"/>
    <w:rsid w:val="00EF741E"/>
    <w:rsid w:val="00F03A71"/>
    <w:rsid w:val="00F208A8"/>
    <w:rsid w:val="00F32585"/>
    <w:rsid w:val="00F34A02"/>
    <w:rsid w:val="00F40BF1"/>
    <w:rsid w:val="00F41215"/>
    <w:rsid w:val="00F42F03"/>
    <w:rsid w:val="00F5186B"/>
    <w:rsid w:val="00F56E31"/>
    <w:rsid w:val="00F71459"/>
    <w:rsid w:val="00F71960"/>
    <w:rsid w:val="00F828EC"/>
    <w:rsid w:val="00F95D6A"/>
    <w:rsid w:val="00FB0588"/>
    <w:rsid w:val="00FB702E"/>
    <w:rsid w:val="00FB74A4"/>
    <w:rsid w:val="00FC6ACB"/>
    <w:rsid w:val="00FE01B8"/>
    <w:rsid w:val="00FF1F1C"/>
    <w:rsid w:val="00FF5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4A11"/>
  <w15:chartTrackingRefBased/>
  <w15:docId w15:val="{5CD5D4E7-CEF5-4BF8-8904-33A9290B6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51C"/>
    <w:pPr>
      <w:ind w:left="720"/>
      <w:contextualSpacing/>
    </w:pPr>
  </w:style>
  <w:style w:type="character" w:styleId="CommentReference">
    <w:name w:val="annotation reference"/>
    <w:basedOn w:val="DefaultParagraphFont"/>
    <w:uiPriority w:val="99"/>
    <w:semiHidden/>
    <w:unhideWhenUsed/>
    <w:rsid w:val="007A4799"/>
    <w:rPr>
      <w:sz w:val="16"/>
      <w:szCs w:val="16"/>
    </w:rPr>
  </w:style>
  <w:style w:type="paragraph" w:styleId="CommentText">
    <w:name w:val="annotation text"/>
    <w:basedOn w:val="Normal"/>
    <w:link w:val="CommentTextChar"/>
    <w:uiPriority w:val="99"/>
    <w:semiHidden/>
    <w:unhideWhenUsed/>
    <w:rsid w:val="007A4799"/>
    <w:pPr>
      <w:spacing w:line="240" w:lineRule="auto"/>
    </w:pPr>
    <w:rPr>
      <w:sz w:val="20"/>
      <w:szCs w:val="20"/>
    </w:rPr>
  </w:style>
  <w:style w:type="character" w:customStyle="1" w:styleId="CommentTextChar">
    <w:name w:val="Comment Text Char"/>
    <w:basedOn w:val="DefaultParagraphFont"/>
    <w:link w:val="CommentText"/>
    <w:uiPriority w:val="99"/>
    <w:semiHidden/>
    <w:rsid w:val="007A4799"/>
    <w:rPr>
      <w:sz w:val="20"/>
      <w:szCs w:val="20"/>
    </w:rPr>
  </w:style>
  <w:style w:type="paragraph" w:styleId="CommentSubject">
    <w:name w:val="annotation subject"/>
    <w:basedOn w:val="CommentText"/>
    <w:next w:val="CommentText"/>
    <w:link w:val="CommentSubjectChar"/>
    <w:uiPriority w:val="99"/>
    <w:semiHidden/>
    <w:unhideWhenUsed/>
    <w:rsid w:val="007A4799"/>
    <w:rPr>
      <w:b/>
      <w:bCs/>
    </w:rPr>
  </w:style>
  <w:style w:type="character" w:customStyle="1" w:styleId="CommentSubjectChar">
    <w:name w:val="Comment Subject Char"/>
    <w:basedOn w:val="CommentTextChar"/>
    <w:link w:val="CommentSubject"/>
    <w:uiPriority w:val="99"/>
    <w:semiHidden/>
    <w:rsid w:val="007A47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2309</TotalTime>
  <Pages>17</Pages>
  <Words>4277</Words>
  <Characters>24382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Hesam aldin Varpaei</dc:creator>
  <cp:keywords/>
  <dc:description/>
  <cp:lastModifiedBy>koosha.farhadi1378@gmail.com</cp:lastModifiedBy>
  <cp:revision>196</cp:revision>
  <dcterms:created xsi:type="dcterms:W3CDTF">2023-11-28T04:30:00Z</dcterms:created>
  <dcterms:modified xsi:type="dcterms:W3CDTF">2023-12-19T13:51:00Z</dcterms:modified>
</cp:coreProperties>
</file>