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 w:val="0"/>
          <w:color w:val="auto"/>
          <w:sz w:val="18"/>
          <w:szCs w:val="18"/>
          <w:lang w:val="en-US" w:eastAsia="zh-CN"/>
        </w:rPr>
      </w:pPr>
      <w:bookmarkStart w:id="0" w:name="OLE_LINK68"/>
      <w:bookmarkStart w:id="1" w:name="OLE_LINK26"/>
      <w:bookmarkStart w:id="2" w:name="OLE_LINK67"/>
      <w:bookmarkStart w:id="3" w:name="OLE_LINK48"/>
      <w:r>
        <w:rPr>
          <w:rFonts w:hint="default" w:ascii="Times New Roman" w:hAnsi="Times New Roman" w:cs="Times New Roman"/>
          <w:b/>
          <w:bCs w:val="0"/>
          <w:color w:val="auto"/>
          <w:sz w:val="18"/>
          <w:szCs w:val="18"/>
          <w:lang w:val="en-US" w:eastAsia="zh-CN"/>
        </w:rPr>
        <w:t>Supplementary Figures</w:t>
      </w:r>
    </w:p>
    <w:p>
      <w:pPr>
        <w:rPr>
          <w:rFonts w:hint="default" w:ascii="Times New Roman" w:hAnsi="Times New Roman" w:cs="Times New Roman"/>
          <w:b/>
          <w:bCs w:val="0"/>
          <w:color w:val="auto"/>
          <w:sz w:val="18"/>
          <w:szCs w:val="18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b/>
          <w:bCs w:val="0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18"/>
          <w:szCs w:val="18"/>
          <w:lang w:val="en-US" w:eastAsia="zh-CN"/>
        </w:rPr>
        <w:t>Journal: Aging Clinical and Experimental Research</w:t>
      </w:r>
    </w:p>
    <w:p>
      <w:pPr>
        <w:rPr>
          <w:rFonts w:hint="default" w:ascii="Times New Roman" w:hAnsi="Times New Roman" w:cs="Times New Roman"/>
          <w:b/>
          <w:bCs w:val="0"/>
          <w:color w:val="auto"/>
          <w:sz w:val="18"/>
          <w:szCs w:val="18"/>
        </w:rPr>
      </w:pPr>
    </w:p>
    <w:p>
      <w:pPr>
        <w:rPr>
          <w:rFonts w:hint="default" w:ascii="Times New Roman" w:hAnsi="Times New Roman" w:cs="Times New Roman"/>
          <w:b/>
          <w:bCs w:val="0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18"/>
          <w:szCs w:val="18"/>
        </w:rPr>
        <w:t>Plasma Biomarkers in Patients with Age-related Sarcopenia</w:t>
      </w:r>
      <w:bookmarkEnd w:id="0"/>
      <w:r>
        <w:rPr>
          <w:rFonts w:hint="default" w:ascii="Times New Roman" w:hAnsi="Times New Roman" w:cs="Times New Roman"/>
          <w:b/>
          <w:bCs w:val="0"/>
          <w:color w:val="auto"/>
          <w:sz w:val="18"/>
          <w:szCs w:val="18"/>
          <w:lang w:val="en-US" w:eastAsia="zh-CN"/>
        </w:rPr>
        <w:t xml:space="preserve">: A </w:t>
      </w:r>
      <w:r>
        <w:rPr>
          <w:rFonts w:hint="default" w:ascii="Times New Roman" w:hAnsi="Times New Roman" w:cs="Times New Roman"/>
          <w:b/>
          <w:bCs w:val="0"/>
          <w:color w:val="auto"/>
          <w:sz w:val="18"/>
          <w:szCs w:val="18"/>
        </w:rPr>
        <w:t xml:space="preserve">Proteomic Exploration and Experimental Validation </w:t>
      </w:r>
    </w:p>
    <w:bookmarkEnd w:id="1"/>
    <w:bookmarkEnd w:id="2"/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  <w:bookmarkStart w:id="4" w:name="OLE_LINK33"/>
      <w:r>
        <w:rPr>
          <w:rFonts w:hint="default" w:ascii="Times New Roman" w:hAnsi="Times New Roman" w:cs="Times New Roman"/>
          <w:sz w:val="18"/>
          <w:szCs w:val="18"/>
        </w:rPr>
        <w:t>Qinqing Lin</w:t>
      </w:r>
      <w:r>
        <w:rPr>
          <w:rFonts w:hint="default" w:ascii="Times New Roman" w:hAnsi="Times New Roman" w:cs="Times New Roman"/>
          <w:sz w:val="18"/>
          <w:szCs w:val="18"/>
          <w:vertAlign w:val="superscript"/>
        </w:rPr>
        <w:t>12</w:t>
      </w:r>
      <w:r>
        <w:rPr>
          <w:rFonts w:hint="default" w:ascii="Times New Roman" w:hAnsi="Times New Roman" w:cs="Times New Roman"/>
          <w:sz w:val="18"/>
          <w:szCs w:val="18"/>
        </w:rPr>
        <w:t>, Kangyong Li</w:t>
      </w:r>
      <w:r>
        <w:rPr>
          <w:rFonts w:hint="default" w:ascii="Times New Roman" w:hAnsi="Times New Roman" w:cs="Times New Roman"/>
          <w:sz w:val="18"/>
          <w:szCs w:val="18"/>
          <w:vertAlign w:val="superscript"/>
        </w:rPr>
        <w:t>34</w:t>
      </w:r>
      <w:r>
        <w:rPr>
          <w:rFonts w:hint="default" w:ascii="Times New Roman" w:hAnsi="Times New Roman" w:cs="Times New Roman"/>
          <w:sz w:val="18"/>
          <w:szCs w:val="18"/>
        </w:rPr>
        <w:t>, Liwei Li</w:t>
      </w:r>
      <w:r>
        <w:rPr>
          <w:rFonts w:hint="default"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hint="default" w:ascii="Times New Roman" w:hAnsi="Times New Roman" w:cs="Times New Roman"/>
          <w:sz w:val="18"/>
          <w:szCs w:val="18"/>
        </w:rPr>
        <w:t>, Lichang Guan</w:t>
      </w:r>
      <w:r>
        <w:rPr>
          <w:rFonts w:hint="default"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hint="default" w:ascii="Times New Roman" w:hAnsi="Times New Roman" w:cs="Times New Roman"/>
          <w:sz w:val="18"/>
          <w:szCs w:val="18"/>
        </w:rPr>
        <w:t>, Yingtong Zeng</w:t>
      </w:r>
      <w:r>
        <w:rPr>
          <w:rFonts w:hint="default" w:ascii="Times New Roman" w:hAnsi="Times New Roman" w:cs="Times New Roman"/>
          <w:sz w:val="18"/>
          <w:szCs w:val="18"/>
          <w:vertAlign w:val="superscript"/>
        </w:rPr>
        <w:t>3</w:t>
      </w:r>
      <w:r>
        <w:rPr>
          <w:rFonts w:hint="default" w:ascii="Times New Roman" w:hAnsi="Times New Roman" w:cs="Times New Roman"/>
          <w:sz w:val="18"/>
          <w:szCs w:val="18"/>
        </w:rPr>
        <w:t>, Dake Cai</w:t>
      </w:r>
      <w:r>
        <w:rPr>
          <w:rFonts w:hint="default" w:ascii="Times New Roman" w:hAnsi="Times New Roman" w:cs="Times New Roman"/>
          <w:sz w:val="18"/>
          <w:szCs w:val="18"/>
          <w:vertAlign w:val="superscript"/>
        </w:rPr>
        <w:t>3</w:t>
      </w:r>
      <w:r>
        <w:rPr>
          <w:rFonts w:hint="default" w:ascii="Times New Roman" w:hAnsi="Times New Roman" w:cs="Times New Roman"/>
          <w:sz w:val="18"/>
          <w:szCs w:val="18"/>
        </w:rPr>
        <w:t>, Jing Zhou</w:t>
      </w:r>
      <w:r>
        <w:rPr>
          <w:rFonts w:hint="default" w:ascii="Times New Roman" w:hAnsi="Times New Roman" w:cs="Times New Roman"/>
          <w:sz w:val="18"/>
          <w:szCs w:val="18"/>
          <w:vertAlign w:val="superscript"/>
        </w:rPr>
        <w:t>13</w:t>
      </w:r>
      <w:r>
        <w:rPr>
          <w:rFonts w:hint="default" w:ascii="Times New Roman" w:hAnsi="Times New Roman" w:cs="Times New Roman"/>
          <w:sz w:val="18"/>
          <w:szCs w:val="18"/>
        </w:rPr>
        <w:t>*, Lishu Xu</w:t>
      </w:r>
      <w:r>
        <w:rPr>
          <w:rFonts w:hint="default" w:ascii="Times New Roman" w:hAnsi="Times New Roman" w:cs="Times New Roman"/>
          <w:sz w:val="18"/>
          <w:szCs w:val="18"/>
          <w:vertAlign w:val="superscript"/>
        </w:rPr>
        <w:t>15</w:t>
      </w:r>
      <w:r>
        <w:rPr>
          <w:rFonts w:hint="default" w:ascii="Times New Roman" w:hAnsi="Times New Roman" w:cs="Times New Roman"/>
          <w:sz w:val="18"/>
          <w:szCs w:val="18"/>
        </w:rPr>
        <w:t>*</w:t>
      </w:r>
    </w:p>
    <w:bookmarkEnd w:id="4"/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  <w:bookmarkStart w:id="5" w:name="OLE_LINK41"/>
      <w:r>
        <w:rPr>
          <w:rFonts w:hint="default" w:ascii="Times New Roman" w:hAnsi="Times New Roman" w:cs="Times New Roman"/>
          <w:sz w:val="18"/>
          <w:szCs w:val="18"/>
        </w:rPr>
        <w:t xml:space="preserve">1 Department of Geriatric Gastroenterology, </w:t>
      </w:r>
      <w:bookmarkStart w:id="6" w:name="OLE_LINK76"/>
      <w:r>
        <w:rPr>
          <w:rFonts w:hint="default" w:ascii="Times New Roman" w:hAnsi="Times New Roman" w:cs="Times New Roman"/>
          <w:sz w:val="18"/>
          <w:szCs w:val="18"/>
        </w:rPr>
        <w:t>Guangdong Provincial People's Hospital</w:t>
      </w:r>
      <w:bookmarkEnd w:id="6"/>
      <w:r>
        <w:rPr>
          <w:rFonts w:hint="default" w:ascii="Times New Roman" w:hAnsi="Times New Roman" w:cs="Times New Roman"/>
          <w:sz w:val="18"/>
          <w:szCs w:val="18"/>
        </w:rPr>
        <w:t xml:space="preserve"> (Guangdong Academy of Medical Sciences), Southern Medical University, Guangzhou, China.</w:t>
      </w:r>
    </w:p>
    <w:p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2 Shantou University Medical College, Shantou, Guangdong, China.</w:t>
      </w:r>
    </w:p>
    <w:p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3 Department of Pharmacy, Guangdong Provincial People's Hospital (Guangdong Academy of Medical Sciences), Southern Medical University, Guangzhou, China.</w:t>
      </w:r>
    </w:p>
    <w:p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4 Guangzhou University of Chinese Medicine, Guangzhou, China.</w:t>
      </w:r>
    </w:p>
    <w:p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5 Guangdong Provincial Institute of Geriatrics, Guangdong Provincial People's Hospital (Guangdong Academy of Medical Sciences), Southern Medical University, Guangzhou, China.</w:t>
      </w:r>
    </w:p>
    <w:bookmarkEnd w:id="5"/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  <w:bookmarkStart w:id="7" w:name="OLE_LINK47"/>
      <w:r>
        <w:rPr>
          <w:rFonts w:hint="default" w:ascii="Times New Roman" w:hAnsi="Times New Roman" w:cs="Times New Roman"/>
          <w:sz w:val="18"/>
          <w:szCs w:val="18"/>
        </w:rPr>
        <w:t xml:space="preserve">*Correspondence to </w:t>
      </w: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Lishu Xu, xulishu@gdph.org.cn</w:t>
      </w: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Jing Zhou, </w:t>
      </w:r>
      <w:bookmarkEnd w:id="3"/>
      <w:bookmarkEnd w:id="7"/>
      <w:bookmarkStart w:id="8" w:name="OLE_LINK51"/>
      <w:r>
        <w:rPr>
          <w:rFonts w:hint="default" w:ascii="Times New Roman" w:hAnsi="Times New Roman" w:cs="Times New Roman"/>
          <w:sz w:val="18"/>
          <w:szCs w:val="18"/>
        </w:rPr>
        <w:t>zhoujing@gdph.org.cn</w:t>
      </w:r>
      <w:bookmarkEnd w:id="8"/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  <w:drawing>
          <wp:inline distT="0" distB="0" distL="114300" distR="114300">
            <wp:extent cx="2988310" cy="3229610"/>
            <wp:effectExtent l="0" t="0" r="8890" b="8890"/>
            <wp:docPr id="2" name="图片 2" descr="Figure 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1_00"/>
                    <pic:cNvPicPr>
                      <a:picLocks noChangeAspect="1"/>
                    </pic:cNvPicPr>
                  </pic:nvPicPr>
                  <pic:blipFill>
                    <a:blip r:embed="rId4"/>
                    <a:srcRect l="2464" t="13928" r="2696" b="13621"/>
                    <a:stretch>
                      <a:fillRect/>
                    </a:stretch>
                  </pic:blipFill>
                  <pic:spPr>
                    <a:xfrm>
                      <a:off x="0" y="0"/>
                      <a:ext cx="29883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18"/>
          <w:szCs w:val="18"/>
        </w:rPr>
      </w:pPr>
      <w:bookmarkStart w:id="9" w:name="OLE_LINK1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sz w:val="18"/>
          <w:szCs w:val="18"/>
        </w:rPr>
        <w:t>Figure 1</w:t>
      </w:r>
      <w:bookmarkEnd w:id="9"/>
      <w:r>
        <w:rPr>
          <w:rFonts w:hint="default" w:ascii="Times New Roman" w:hAnsi="Times New Roman" w:cs="Times New Roman"/>
          <w:sz w:val="18"/>
          <w:szCs w:val="18"/>
        </w:rPr>
        <w:t>. Flowchart of the study design for sarcopenia biomarker screening and validation. GO: Gene Ontology; KEGG: Kyoto Encyclopedia of Genes and Genomes; KOG: Eukaryotic Orthologous Groups; PPI: protein-protein interaction; AUC: area under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the</w:t>
      </w:r>
      <w:r>
        <w:rPr>
          <w:rFonts w:hint="default" w:ascii="Times New Roman" w:hAnsi="Times New Roman" w:cs="Times New Roman"/>
          <w:sz w:val="18"/>
          <w:szCs w:val="18"/>
        </w:rPr>
        <w:t xml:space="preserve"> curve.</w:t>
      </w:r>
    </w:p>
    <w:p>
      <w:pPr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  <w:drawing>
          <wp:inline distT="0" distB="0" distL="114300" distR="114300">
            <wp:extent cx="2352675" cy="1765300"/>
            <wp:effectExtent l="0" t="0" r="9525" b="0"/>
            <wp:docPr id="3" name="图片 3" descr="Suppl-Figure 1 - PLS-DA validation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-Figure 1 - PLS-DA validation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18"/>
          <w:szCs w:val="18"/>
          <w:lang w:val="en-US" w:eastAsia="zh-CN"/>
        </w:rPr>
      </w:pPr>
      <w:bookmarkStart w:id="10" w:name="OLE_LINK2"/>
      <w:r>
        <w:rPr>
          <w:rFonts w:hint="default" w:ascii="Times New Roman" w:hAnsi="Times New Roman" w:cs="Times New Roman"/>
          <w:sz w:val="18"/>
          <w:szCs w:val="18"/>
        </w:rPr>
        <w:t xml:space="preserve">Supplementary Figure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2</w:t>
      </w:r>
      <w:bookmarkEnd w:id="10"/>
      <w:r>
        <w:rPr>
          <w:rFonts w:hint="default" w:ascii="Times New Roman" w:hAnsi="Times New Roman" w:cs="Times New Roman"/>
          <w:sz w:val="18"/>
          <w:szCs w:val="18"/>
        </w:rPr>
        <w:t>. PLS-DA validation model through 200 permutation tests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 w:eastAsiaTheme="minorEastAsia"/>
          <w:sz w:val="18"/>
          <w:szCs w:val="18"/>
          <w:lang w:eastAsia="zh-CN"/>
        </w:rPr>
        <w:drawing>
          <wp:inline distT="0" distB="0" distL="114300" distR="114300">
            <wp:extent cx="4351655" cy="1899920"/>
            <wp:effectExtent l="0" t="0" r="4445" b="5080"/>
            <wp:docPr id="5" name="图片 5" descr="Suppl-Figure 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-Figure 2_00"/>
                    <pic:cNvPicPr>
                      <a:picLocks noChangeAspect="1"/>
                    </pic:cNvPicPr>
                  </pic:nvPicPr>
                  <pic:blipFill>
                    <a:blip r:embed="rId6"/>
                    <a:srcRect l="7096" t="8787" r="13854"/>
                    <a:stretch>
                      <a:fillRect/>
                    </a:stretch>
                  </pic:blipFill>
                  <pic:spPr>
                    <a:xfrm>
                      <a:off x="0" y="0"/>
                      <a:ext cx="435165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Supplementary Figure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cs="Times New Roman"/>
          <w:sz w:val="18"/>
          <w:szCs w:val="18"/>
        </w:rPr>
        <w:t xml:space="preserve">. (A) ROC analysis of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8 </w:t>
      </w:r>
      <w:r>
        <w:rPr>
          <w:rFonts w:hint="default" w:ascii="Times New Roman" w:hAnsi="Times New Roman" w:cs="Times New Roman"/>
          <w:sz w:val="18"/>
          <w:szCs w:val="18"/>
        </w:rPr>
        <w:t>selected proteins; (B) ROC analysis of IGFBP2 in combination with PON3.</w:t>
      </w:r>
    </w:p>
    <w:p>
      <w:pPr>
        <w:rPr>
          <w:rFonts w:hint="eastAsia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eastAsia" w:ascii="Times New Roman" w:hAnsi="Times New Roman" w:cs="Times New Roman" w:eastAsiaTheme="minorEastAsia"/>
          <w:sz w:val="18"/>
          <w:szCs w:val="18"/>
          <w:lang w:eastAsia="zh-CN"/>
        </w:rPr>
        <w:drawing>
          <wp:inline distT="0" distB="0" distL="114300" distR="114300">
            <wp:extent cx="5268595" cy="6113780"/>
            <wp:effectExtent l="0" t="0" r="1905" b="7620"/>
            <wp:docPr id="1" name="图片 1" descr="supp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_画板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11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Supplementary Figure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cs="Times New Roman"/>
          <w:sz w:val="18"/>
          <w:szCs w:val="18"/>
        </w:rPr>
        <w:t xml:space="preserve">.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Functional analysis and Protein-protein interaction network analysis. </w:t>
      </w:r>
      <w:r>
        <w:rPr>
          <w:rFonts w:ascii="Times New Roman" w:hAnsi="Times New Roman" w:cs="Times New Roman"/>
          <w:sz w:val="20"/>
          <w:szCs w:val="20"/>
        </w:rPr>
        <w:t>GO functional enrichment analysis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presented in scatter plot (A) and bar chart (B)</w:t>
      </w:r>
      <w:r>
        <w:rPr>
          <w:rFonts w:ascii="Times New Roman" w:hAnsi="Times New Roman" w:cs="Times New Roman"/>
          <w:sz w:val="20"/>
          <w:szCs w:val="20"/>
        </w:rPr>
        <w:t>. KEGG pathway analysis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presented in scatter plot (C) and bar chart (D)</w:t>
      </w:r>
      <w:r>
        <w:rPr>
          <w:rFonts w:ascii="Times New Roman" w:hAnsi="Times New Roman" w:cs="Times New Roman"/>
          <w:sz w:val="20"/>
          <w:szCs w:val="20"/>
        </w:rPr>
        <w:t>. IPR analysis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presented in scatter plot (E) and bar chart (F)</w:t>
      </w:r>
      <w:r>
        <w:rPr>
          <w:rFonts w:ascii="Times New Roman" w:hAnsi="Times New Roman" w:cs="Times New Roman"/>
          <w:sz w:val="20"/>
          <w:szCs w:val="20"/>
        </w:rPr>
        <w:t xml:space="preserve">. The size of the circle represented the number of DEPs in the GO/KEGG/IPR term. The color of the circle represented the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-</w:t>
      </w:r>
      <w:r>
        <w:rPr>
          <w:rFonts w:ascii="Times New Roman" w:hAnsi="Times New Roman" w:cs="Times New Roman"/>
          <w:sz w:val="20"/>
          <w:szCs w:val="20"/>
        </w:rPr>
        <w:t>value for the enrichment degree. SRCR, scavenger receptor cysteine-rich. (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G</w:t>
      </w:r>
      <w:r>
        <w:rPr>
          <w:rFonts w:ascii="Times New Roman" w:hAnsi="Times New Roman" w:cs="Times New Roman"/>
          <w:sz w:val="20"/>
          <w:szCs w:val="20"/>
        </w:rPr>
        <w:t>) Protein-protein interaction network analysis. Nodes were filled with the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known or predicted </w:t>
      </w:r>
      <w:r>
        <w:rPr>
          <w:rFonts w:ascii="Times New Roman" w:hAnsi="Times New Roman" w:cs="Times New Roman"/>
          <w:sz w:val="20"/>
          <w:szCs w:val="20"/>
        </w:rPr>
        <w:t xml:space="preserve">three-dimensional structures of the proteins. Edges represented protein-protein associations. Confidence (i.e. the strength of data support) was represented by the thickness of association line. Minimum required interaction score was set as confidence of 0.150. </w:t>
      </w:r>
    </w:p>
    <w:p>
      <w:pPr>
        <w:rPr>
          <w:rFonts w:hint="default" w:ascii="Times New Roman" w:hAnsi="Times New Roman" w:cs="Times New Roman" w:eastAsiaTheme="minorEastAsia"/>
          <w:sz w:val="18"/>
          <w:szCs w:val="18"/>
          <w:lang w:eastAsia="zh-CN"/>
        </w:rPr>
      </w:pPr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57C3291"/>
    <w:rsid w:val="12142F35"/>
    <w:rsid w:val="1DE15760"/>
    <w:rsid w:val="218659D5"/>
    <w:rsid w:val="2B351200"/>
    <w:rsid w:val="42942551"/>
    <w:rsid w:val="42C613F7"/>
    <w:rsid w:val="4C121545"/>
    <w:rsid w:val="543F00F6"/>
    <w:rsid w:val="5C6463F8"/>
    <w:rsid w:val="61E07CDC"/>
    <w:rsid w:val="625A218D"/>
    <w:rsid w:val="730438B3"/>
    <w:rsid w:val="7521338B"/>
    <w:rsid w:val="78EF7DA6"/>
    <w:rsid w:val="7A86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黑体" w:asciiTheme="minorHAnsi" w:hAnsiTheme="minorHAnsi" w:eastAsiaTheme="minorEastAsia"/>
      <w:bCs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2022-02-10T12:42:00Z</dcterms:created>
  <dc:creator>Jean L</dc:creator>
  <cp:lastModifiedBy>15016612208</cp:lastModifiedBy>
  <dcterms:modified xsi:type="dcterms:W3CDTF">2024-09-27T15:20:23Z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29A61C7E84A143CA85B1D3109C577F92</vt:lpwstr>
  </property>
</Properties>
</file>