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12777">
      <w:pPr>
        <w:pStyle w:val="5"/>
        <w:shd w:val="clear" w:color="auto" w:fill="FCFDFE"/>
        <w:spacing w:before="0" w:beforeAutospacing="0" w:after="30" w:afterAutospacing="0" w:line="315" w:lineRule="atLeast"/>
        <w:jc w:val="center"/>
        <w:rPr>
          <w:rFonts w:hint="eastAsia" w:ascii="Arial" w:hAnsi="Arial" w:cs="Arial"/>
          <w:sz w:val="16"/>
          <w:szCs w:val="16"/>
          <w:lang w:val="en-US" w:eastAsia="zh-CN"/>
        </w:rPr>
      </w:pPr>
      <w:r>
        <w:rPr>
          <w:rFonts w:hint="default" w:ascii="Times New Roman" w:hAnsi="Times New Roman" w:cs="Times New Roman"/>
          <w:b/>
          <w:sz w:val="24"/>
          <w:szCs w:val="24"/>
        </w:rPr>
        <w:t xml:space="preserve">Supplementary Table </w:t>
      </w:r>
      <w:r>
        <w:rPr>
          <w:rFonts w:hint="eastAsia" w:ascii="Times New Roman" w:hAnsi="Times New Roman" w:cs="Times New Roman"/>
          <w:b/>
          <w:sz w:val="24"/>
          <w:szCs w:val="24"/>
          <w:lang w:val="en-US" w:eastAsia="zh-CN"/>
        </w:rPr>
        <w:t>1</w:t>
      </w:r>
      <w:r>
        <w:rPr>
          <w:rFonts w:hint="default" w:ascii="Times New Roman" w:hAnsi="Times New Roman" w:cs="Times New Roman"/>
          <w:b/>
          <w:sz w:val="24"/>
          <w:szCs w:val="24"/>
          <w:lang w:val="en-US" w:eastAsia="zh-CN"/>
        </w:rPr>
        <w:t xml:space="preserve"> </w:t>
      </w:r>
      <w:r>
        <w:rPr>
          <w:rFonts w:hint="default" w:ascii="Times New Roman" w:hAnsi="Times New Roman" w:cs="Times New Roman"/>
          <w:b w:val="0"/>
          <w:bCs w:val="0"/>
          <w:sz w:val="24"/>
          <w:szCs w:val="24"/>
          <w:lang w:val="en-AU"/>
        </w:rPr>
        <w:t xml:space="preserve">ICD-9 and ICD-10 </w:t>
      </w:r>
      <w:r>
        <w:rPr>
          <w:rFonts w:hint="eastAsia" w:ascii="Times New Roman" w:hAnsi="Times New Roman" w:cs="Times New Roman"/>
          <w:b w:val="0"/>
          <w:bCs w:val="0"/>
          <w:sz w:val="24"/>
          <w:szCs w:val="24"/>
          <w:lang w:val="en-US" w:eastAsia="zh-CN"/>
        </w:rPr>
        <w:t>c</w:t>
      </w:r>
      <w:r>
        <w:rPr>
          <w:rFonts w:hint="default" w:ascii="Times New Roman" w:hAnsi="Times New Roman" w:cs="Times New Roman"/>
          <w:b w:val="0"/>
          <w:bCs w:val="0"/>
          <w:sz w:val="24"/>
          <w:szCs w:val="24"/>
          <w:lang w:val="en-AU"/>
        </w:rPr>
        <w:t xml:space="preserve">odes in </w:t>
      </w:r>
      <w:r>
        <w:rPr>
          <w:rFonts w:hint="eastAsia" w:ascii="Times New Roman" w:hAnsi="Times New Roman" w:cs="Times New Roman"/>
          <w:b w:val="0"/>
          <w:bCs w:val="0"/>
          <w:sz w:val="24"/>
          <w:szCs w:val="24"/>
          <w:lang w:val="en-US" w:eastAsia="zh-CN"/>
        </w:rPr>
        <w:t>m</w:t>
      </w:r>
      <w:r>
        <w:rPr>
          <w:rFonts w:hint="default" w:ascii="Times New Roman" w:hAnsi="Times New Roman" w:cs="Times New Roman"/>
          <w:b w:val="0"/>
          <w:bCs w:val="0"/>
          <w:sz w:val="24"/>
          <w:szCs w:val="24"/>
          <w:lang w:val="en-AU"/>
        </w:rPr>
        <w:t xml:space="preserve">odified </w:t>
      </w:r>
      <w:r>
        <w:rPr>
          <w:rFonts w:hint="eastAsia" w:ascii="Times New Roman" w:hAnsi="Times New Roman" w:cs="Times New Roman"/>
          <w:b w:val="0"/>
          <w:bCs w:val="0"/>
          <w:sz w:val="24"/>
          <w:szCs w:val="24"/>
          <w:lang w:val="en-US" w:eastAsia="zh-CN"/>
        </w:rPr>
        <w:t>f</w:t>
      </w:r>
      <w:r>
        <w:rPr>
          <w:rFonts w:hint="default" w:ascii="Times New Roman" w:hAnsi="Times New Roman" w:cs="Times New Roman"/>
          <w:b w:val="0"/>
          <w:bCs w:val="0"/>
          <w:sz w:val="24"/>
          <w:szCs w:val="24"/>
          <w:lang w:val="en-AU"/>
        </w:rPr>
        <w:t xml:space="preserve">railty </w:t>
      </w:r>
      <w:r>
        <w:rPr>
          <w:rFonts w:hint="eastAsia" w:ascii="Times New Roman" w:hAnsi="Times New Roman" w:cs="Times New Roman"/>
          <w:b w:val="0"/>
          <w:bCs w:val="0"/>
          <w:sz w:val="24"/>
          <w:szCs w:val="24"/>
          <w:lang w:val="en-US" w:eastAsia="zh-CN"/>
        </w:rPr>
        <w:t>i</w:t>
      </w:r>
      <w:r>
        <w:rPr>
          <w:rFonts w:hint="default" w:ascii="Times New Roman" w:hAnsi="Times New Roman" w:cs="Times New Roman"/>
          <w:b w:val="0"/>
          <w:bCs w:val="0"/>
          <w:sz w:val="24"/>
          <w:szCs w:val="24"/>
          <w:lang w:val="en-AU"/>
        </w:rPr>
        <w:t xml:space="preserve">ndex </w:t>
      </w:r>
      <w:r>
        <w:rPr>
          <w:rFonts w:hint="eastAsia" w:ascii="Times New Roman" w:hAnsi="Times New Roman" w:cs="Times New Roman"/>
          <w:b w:val="0"/>
          <w:bCs w:val="0"/>
          <w:sz w:val="24"/>
          <w:szCs w:val="24"/>
          <w:lang w:val="en-US" w:eastAsia="zh-CN"/>
        </w:rPr>
        <w:t>d</w:t>
      </w:r>
      <w:r>
        <w:rPr>
          <w:rFonts w:hint="default" w:ascii="Times New Roman" w:hAnsi="Times New Roman" w:cs="Times New Roman"/>
          <w:b w:val="0"/>
          <w:bCs w:val="0"/>
          <w:sz w:val="24"/>
          <w:szCs w:val="24"/>
          <w:lang w:val="en-AU"/>
        </w:rPr>
        <w:t>evelopment</w:t>
      </w:r>
    </w:p>
    <w:tbl>
      <w:tblPr>
        <w:tblStyle w:val="2"/>
        <w:tblW w:w="5268" w:type="pct"/>
        <w:jc w:val="center"/>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1098"/>
        <w:gridCol w:w="4410"/>
        <w:gridCol w:w="1430"/>
        <w:gridCol w:w="1308"/>
      </w:tblGrid>
      <w:tr w14:paraId="50836C9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408" w:type="pct"/>
            <w:tcBorders>
              <w:left w:val="nil"/>
              <w:bottom w:val="single" w:color="auto" w:sz="6" w:space="0"/>
              <w:right w:val="nil"/>
            </w:tcBorders>
            <w:shd w:val="clear" w:color="auto" w:fill="auto"/>
            <w:noWrap/>
            <w:vAlign w:val="center"/>
          </w:tcPr>
          <w:p w14:paraId="72A6059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No.</w:t>
            </w:r>
          </w:p>
        </w:tc>
        <w:tc>
          <w:tcPr>
            <w:tcW w:w="611" w:type="pct"/>
            <w:tcBorders>
              <w:left w:val="nil"/>
              <w:bottom w:val="single" w:color="auto" w:sz="6" w:space="0"/>
              <w:right w:val="nil"/>
            </w:tcBorders>
            <w:shd w:val="clear" w:color="auto" w:fill="auto"/>
            <w:vAlign w:val="center"/>
          </w:tcPr>
          <w:p w14:paraId="2DC1F2E0">
            <w:pPr>
              <w:keepNext w:val="0"/>
              <w:keepLines w:val="0"/>
              <w:widowControl/>
              <w:suppressLineNumbers w:val="0"/>
              <w:jc w:val="center"/>
              <w:textAlignment w:val="top"/>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Items</w:t>
            </w:r>
          </w:p>
        </w:tc>
        <w:tc>
          <w:tcPr>
            <w:tcW w:w="2455" w:type="pct"/>
            <w:tcBorders>
              <w:left w:val="nil"/>
              <w:bottom w:val="single" w:color="auto" w:sz="6" w:space="0"/>
              <w:right w:val="nil"/>
            </w:tcBorders>
            <w:shd w:val="clear" w:color="auto" w:fill="auto"/>
            <w:noWrap/>
            <w:vAlign w:val="center"/>
          </w:tcPr>
          <w:p w14:paraId="5B3A451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ICD-10 Description</w:t>
            </w:r>
          </w:p>
        </w:tc>
        <w:tc>
          <w:tcPr>
            <w:tcW w:w="796" w:type="pct"/>
            <w:tcBorders>
              <w:left w:val="nil"/>
              <w:bottom w:val="single" w:color="auto" w:sz="6" w:space="0"/>
              <w:right w:val="nil"/>
            </w:tcBorders>
            <w:shd w:val="clear" w:color="auto" w:fill="auto"/>
            <w:noWrap/>
            <w:vAlign w:val="center"/>
          </w:tcPr>
          <w:p w14:paraId="2A8774B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ICD-10 Code</w:t>
            </w:r>
          </w:p>
        </w:tc>
        <w:tc>
          <w:tcPr>
            <w:tcW w:w="728" w:type="pct"/>
            <w:tcBorders>
              <w:left w:val="nil"/>
              <w:bottom w:val="single" w:color="auto" w:sz="6" w:space="0"/>
              <w:right w:val="nil"/>
            </w:tcBorders>
            <w:shd w:val="clear" w:color="auto" w:fill="auto"/>
            <w:noWrap/>
            <w:vAlign w:val="center"/>
          </w:tcPr>
          <w:p w14:paraId="4C7FD82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ICD-9 Code</w:t>
            </w:r>
          </w:p>
        </w:tc>
      </w:tr>
      <w:tr w14:paraId="25A7825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trPr>
        <w:tc>
          <w:tcPr>
            <w:tcW w:w="408" w:type="pct"/>
            <w:tcBorders>
              <w:top w:val="single" w:color="auto" w:sz="6" w:space="0"/>
              <w:left w:val="nil"/>
              <w:bottom w:val="nil"/>
              <w:right w:val="nil"/>
            </w:tcBorders>
            <w:shd w:val="clear" w:color="auto" w:fill="auto"/>
            <w:noWrap/>
            <w:vAlign w:val="center"/>
          </w:tcPr>
          <w:p w14:paraId="4E6C73A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w:t>
            </w:r>
          </w:p>
        </w:tc>
        <w:tc>
          <w:tcPr>
            <w:tcW w:w="611" w:type="pct"/>
            <w:tcBorders>
              <w:top w:val="single" w:color="auto" w:sz="6" w:space="0"/>
              <w:left w:val="nil"/>
              <w:bottom w:val="nil"/>
              <w:right w:val="nil"/>
            </w:tcBorders>
            <w:shd w:val="clear" w:color="auto" w:fill="auto"/>
            <w:noWrap/>
            <w:vAlign w:val="center"/>
          </w:tcPr>
          <w:p w14:paraId="4031FA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Diabetes Mellitus</w:t>
            </w:r>
          </w:p>
        </w:tc>
        <w:tc>
          <w:tcPr>
            <w:tcW w:w="2455" w:type="pct"/>
            <w:tcBorders>
              <w:top w:val="single" w:color="auto" w:sz="6" w:space="0"/>
              <w:left w:val="nil"/>
              <w:bottom w:val="nil"/>
              <w:right w:val="nil"/>
            </w:tcBorders>
            <w:shd w:val="clear" w:color="auto" w:fill="auto"/>
            <w:vAlign w:val="center"/>
          </w:tcPr>
          <w:p w14:paraId="5B2A542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Diabetes mellitus due to underlying condition;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Drug or chemical induced diabetes mellitus;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Type 1 diabetes mellitus;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Type 2 diabetes mellitus;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specified diabetes mellitus;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Encounter for screening for diabetes mellitus.</w:t>
            </w:r>
          </w:p>
        </w:tc>
        <w:tc>
          <w:tcPr>
            <w:tcW w:w="796" w:type="pct"/>
            <w:tcBorders>
              <w:top w:val="single" w:color="auto" w:sz="6" w:space="0"/>
              <w:left w:val="nil"/>
              <w:bottom w:val="nil"/>
              <w:right w:val="nil"/>
            </w:tcBorders>
            <w:shd w:val="clear" w:color="auto" w:fill="auto"/>
            <w:noWrap/>
            <w:vAlign w:val="center"/>
          </w:tcPr>
          <w:p w14:paraId="59B235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E08* OR E09* OR E10* OR E11* OR E13* OR Z131*</w:t>
            </w:r>
          </w:p>
        </w:tc>
        <w:tc>
          <w:tcPr>
            <w:tcW w:w="728" w:type="pct"/>
            <w:tcBorders>
              <w:top w:val="single" w:color="auto" w:sz="6" w:space="0"/>
              <w:left w:val="nil"/>
              <w:bottom w:val="nil"/>
              <w:right w:val="nil"/>
            </w:tcBorders>
            <w:shd w:val="clear" w:color="auto" w:fill="auto"/>
            <w:noWrap/>
            <w:vAlign w:val="center"/>
          </w:tcPr>
          <w:p w14:paraId="05C8BFB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249* OR 250* OR 3572 OR V771</w:t>
            </w:r>
          </w:p>
        </w:tc>
      </w:tr>
      <w:tr w14:paraId="6F1DC77E">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08" w:type="pct"/>
            <w:tcBorders>
              <w:top w:val="nil"/>
              <w:left w:val="nil"/>
              <w:bottom w:val="nil"/>
              <w:right w:val="nil"/>
            </w:tcBorders>
            <w:shd w:val="clear" w:color="auto" w:fill="auto"/>
            <w:noWrap/>
            <w:vAlign w:val="center"/>
          </w:tcPr>
          <w:p w14:paraId="293A3A6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2</w:t>
            </w:r>
          </w:p>
        </w:tc>
        <w:tc>
          <w:tcPr>
            <w:tcW w:w="611" w:type="pct"/>
            <w:tcBorders>
              <w:top w:val="nil"/>
              <w:left w:val="nil"/>
              <w:bottom w:val="nil"/>
              <w:right w:val="nil"/>
            </w:tcBorders>
            <w:shd w:val="clear" w:color="auto" w:fill="auto"/>
            <w:noWrap/>
            <w:vAlign w:val="center"/>
          </w:tcPr>
          <w:p w14:paraId="20B103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Congestive Heart Failure</w:t>
            </w:r>
          </w:p>
        </w:tc>
        <w:tc>
          <w:tcPr>
            <w:tcW w:w="2455" w:type="pct"/>
            <w:tcBorders>
              <w:top w:val="nil"/>
              <w:left w:val="nil"/>
              <w:bottom w:val="nil"/>
              <w:right w:val="nil"/>
            </w:tcBorders>
            <w:shd w:val="clear" w:color="auto" w:fill="auto"/>
            <w:noWrap/>
            <w:vAlign w:val="center"/>
          </w:tcPr>
          <w:p w14:paraId="10DAD7B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Heart failure, unspecified.</w:t>
            </w:r>
          </w:p>
        </w:tc>
        <w:tc>
          <w:tcPr>
            <w:tcW w:w="796" w:type="pct"/>
            <w:tcBorders>
              <w:top w:val="nil"/>
              <w:left w:val="nil"/>
              <w:bottom w:val="nil"/>
              <w:right w:val="nil"/>
            </w:tcBorders>
            <w:shd w:val="clear" w:color="auto" w:fill="auto"/>
            <w:noWrap/>
            <w:vAlign w:val="center"/>
          </w:tcPr>
          <w:p w14:paraId="5A4ACA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I50.9</w:t>
            </w:r>
          </w:p>
        </w:tc>
        <w:tc>
          <w:tcPr>
            <w:tcW w:w="728" w:type="pct"/>
            <w:tcBorders>
              <w:top w:val="nil"/>
              <w:left w:val="nil"/>
              <w:bottom w:val="nil"/>
              <w:right w:val="nil"/>
            </w:tcBorders>
            <w:shd w:val="clear" w:color="auto" w:fill="auto"/>
            <w:noWrap/>
            <w:vAlign w:val="center"/>
          </w:tcPr>
          <w:p w14:paraId="12D6014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4280</w:t>
            </w:r>
          </w:p>
        </w:tc>
      </w:tr>
      <w:tr w14:paraId="354C164D">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08" w:type="pct"/>
            <w:tcBorders>
              <w:top w:val="nil"/>
              <w:left w:val="nil"/>
              <w:bottom w:val="nil"/>
              <w:right w:val="nil"/>
            </w:tcBorders>
            <w:shd w:val="clear" w:color="auto" w:fill="auto"/>
            <w:noWrap/>
            <w:vAlign w:val="center"/>
          </w:tcPr>
          <w:p w14:paraId="314B602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3</w:t>
            </w:r>
          </w:p>
        </w:tc>
        <w:tc>
          <w:tcPr>
            <w:tcW w:w="611" w:type="pct"/>
            <w:tcBorders>
              <w:top w:val="nil"/>
              <w:left w:val="nil"/>
              <w:bottom w:val="nil"/>
              <w:right w:val="nil"/>
            </w:tcBorders>
            <w:shd w:val="clear" w:color="auto" w:fill="auto"/>
            <w:noWrap/>
            <w:vAlign w:val="center"/>
          </w:tcPr>
          <w:p w14:paraId="7CE8FA1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Hypertension Requiring Medication</w:t>
            </w:r>
          </w:p>
        </w:tc>
        <w:tc>
          <w:tcPr>
            <w:tcW w:w="2455" w:type="pct"/>
            <w:tcBorders>
              <w:top w:val="nil"/>
              <w:left w:val="nil"/>
              <w:bottom w:val="nil"/>
              <w:right w:val="nil"/>
            </w:tcBorders>
            <w:shd w:val="clear" w:color="auto" w:fill="auto"/>
            <w:noWrap/>
            <w:vAlign w:val="center"/>
          </w:tcPr>
          <w:p w14:paraId="54701C6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Hypertensive disease.</w:t>
            </w:r>
          </w:p>
        </w:tc>
        <w:tc>
          <w:tcPr>
            <w:tcW w:w="796" w:type="pct"/>
            <w:tcBorders>
              <w:top w:val="nil"/>
              <w:left w:val="nil"/>
              <w:bottom w:val="nil"/>
              <w:right w:val="nil"/>
            </w:tcBorders>
            <w:shd w:val="clear" w:color="auto" w:fill="auto"/>
            <w:noWrap/>
            <w:vAlign w:val="center"/>
          </w:tcPr>
          <w:p w14:paraId="179DB05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I1*</w:t>
            </w:r>
          </w:p>
        </w:tc>
        <w:tc>
          <w:tcPr>
            <w:tcW w:w="728" w:type="pct"/>
            <w:tcBorders>
              <w:top w:val="nil"/>
              <w:left w:val="nil"/>
              <w:bottom w:val="nil"/>
              <w:right w:val="nil"/>
            </w:tcBorders>
            <w:shd w:val="clear" w:color="auto" w:fill="auto"/>
            <w:noWrap/>
            <w:vAlign w:val="center"/>
          </w:tcPr>
          <w:p w14:paraId="637392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r>
      <w:tr w14:paraId="38A461B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0" w:hRule="atLeast"/>
          <w:jc w:val="center"/>
        </w:trPr>
        <w:tc>
          <w:tcPr>
            <w:tcW w:w="408" w:type="pct"/>
            <w:tcBorders>
              <w:top w:val="nil"/>
              <w:left w:val="nil"/>
              <w:bottom w:val="nil"/>
              <w:right w:val="nil"/>
            </w:tcBorders>
            <w:shd w:val="clear" w:color="auto" w:fill="auto"/>
            <w:noWrap/>
            <w:vAlign w:val="center"/>
          </w:tcPr>
          <w:p w14:paraId="17AE3E5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4</w:t>
            </w:r>
          </w:p>
        </w:tc>
        <w:tc>
          <w:tcPr>
            <w:tcW w:w="611" w:type="pct"/>
            <w:tcBorders>
              <w:top w:val="nil"/>
              <w:left w:val="nil"/>
              <w:bottom w:val="nil"/>
              <w:right w:val="nil"/>
            </w:tcBorders>
            <w:shd w:val="clear" w:color="auto" w:fill="auto"/>
            <w:noWrap/>
            <w:vAlign w:val="center"/>
          </w:tcPr>
          <w:p w14:paraId="3DE6F63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either Transient Ischemic Attack or Cerebrovascular Accident</w:t>
            </w:r>
          </w:p>
        </w:tc>
        <w:tc>
          <w:tcPr>
            <w:tcW w:w="2455" w:type="pct"/>
            <w:tcBorders>
              <w:top w:val="nil"/>
              <w:left w:val="nil"/>
              <w:bottom w:val="nil"/>
              <w:right w:val="nil"/>
            </w:tcBorders>
            <w:shd w:val="clear" w:color="auto" w:fill="auto"/>
            <w:vAlign w:val="center"/>
          </w:tcPr>
          <w:p w14:paraId="126D43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Transient cerebral ischemic attacks and related syndromes;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Nontraumatic subarachnoid hemorrhage;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Nontraumatic intracerebral hemorrhage;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and unspecified nontraumatic intracranial hemorrhage;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Cerebral infarction;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Personal history of transient ischemic attack (TIA), and cerebral infarction without residual deficits.</w:t>
            </w:r>
          </w:p>
        </w:tc>
        <w:tc>
          <w:tcPr>
            <w:tcW w:w="796" w:type="pct"/>
            <w:tcBorders>
              <w:top w:val="nil"/>
              <w:left w:val="nil"/>
              <w:bottom w:val="nil"/>
              <w:right w:val="nil"/>
            </w:tcBorders>
            <w:shd w:val="clear" w:color="auto" w:fill="auto"/>
            <w:noWrap/>
            <w:vAlign w:val="center"/>
          </w:tcPr>
          <w:p w14:paraId="44DE65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G45* OR I60* OR I61* OR I62* OR I63* OR Z86.73</w:t>
            </w:r>
          </w:p>
        </w:tc>
        <w:tc>
          <w:tcPr>
            <w:tcW w:w="728" w:type="pct"/>
            <w:tcBorders>
              <w:top w:val="nil"/>
              <w:left w:val="nil"/>
              <w:bottom w:val="nil"/>
              <w:right w:val="nil"/>
            </w:tcBorders>
            <w:shd w:val="clear" w:color="auto" w:fill="auto"/>
            <w:noWrap/>
            <w:vAlign w:val="center"/>
          </w:tcPr>
          <w:p w14:paraId="7F4BD80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 OR 431 OR 432* OR 43301 OR 43311 OR 43321 OR 43331 OR 43381 OR 43391 OR 43401 OR 43411 OR 43491 OR 435* OR V1254</w:t>
            </w:r>
          </w:p>
        </w:tc>
      </w:tr>
      <w:tr w14:paraId="4058CF2F">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08" w:type="pct"/>
            <w:tcBorders>
              <w:top w:val="nil"/>
              <w:left w:val="nil"/>
              <w:bottom w:val="nil"/>
              <w:right w:val="nil"/>
            </w:tcBorders>
            <w:shd w:val="clear" w:color="auto" w:fill="auto"/>
            <w:noWrap/>
            <w:vAlign w:val="center"/>
          </w:tcPr>
          <w:p w14:paraId="34F2DB9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5</w:t>
            </w:r>
          </w:p>
        </w:tc>
        <w:tc>
          <w:tcPr>
            <w:tcW w:w="611" w:type="pct"/>
            <w:tcBorders>
              <w:top w:val="nil"/>
              <w:left w:val="nil"/>
              <w:bottom w:val="nil"/>
              <w:right w:val="nil"/>
            </w:tcBorders>
            <w:shd w:val="clear" w:color="auto" w:fill="auto"/>
            <w:noWrap/>
            <w:vAlign w:val="center"/>
          </w:tcPr>
          <w:p w14:paraId="4D41B4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Functional Status (Loss Function)</w:t>
            </w:r>
          </w:p>
        </w:tc>
        <w:tc>
          <w:tcPr>
            <w:tcW w:w="2455" w:type="pct"/>
            <w:tcBorders>
              <w:top w:val="nil"/>
              <w:left w:val="nil"/>
              <w:bottom w:val="nil"/>
              <w:right w:val="nil"/>
            </w:tcBorders>
            <w:shd w:val="clear" w:color="auto" w:fill="auto"/>
            <w:noWrap/>
            <w:vAlign w:val="center"/>
          </w:tcPr>
          <w:p w14:paraId="68D4BB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Abnormalities of gait and mobility.</w:t>
            </w:r>
          </w:p>
        </w:tc>
        <w:tc>
          <w:tcPr>
            <w:tcW w:w="796" w:type="pct"/>
            <w:tcBorders>
              <w:top w:val="nil"/>
              <w:left w:val="nil"/>
              <w:bottom w:val="nil"/>
              <w:right w:val="nil"/>
            </w:tcBorders>
            <w:shd w:val="clear" w:color="auto" w:fill="auto"/>
            <w:noWrap/>
            <w:vAlign w:val="center"/>
          </w:tcPr>
          <w:p w14:paraId="450761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R26*</w:t>
            </w:r>
          </w:p>
        </w:tc>
        <w:tc>
          <w:tcPr>
            <w:tcW w:w="728" w:type="pct"/>
            <w:tcBorders>
              <w:top w:val="nil"/>
              <w:left w:val="nil"/>
              <w:bottom w:val="nil"/>
              <w:right w:val="nil"/>
            </w:tcBorders>
            <w:shd w:val="clear" w:color="auto" w:fill="auto"/>
            <w:noWrap/>
            <w:vAlign w:val="center"/>
          </w:tcPr>
          <w:p w14:paraId="48588BA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7197 OR 7812</w:t>
            </w:r>
          </w:p>
        </w:tc>
      </w:tr>
      <w:tr w14:paraId="6950819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0" w:hRule="atLeast"/>
          <w:jc w:val="center"/>
        </w:trPr>
        <w:tc>
          <w:tcPr>
            <w:tcW w:w="408" w:type="pct"/>
            <w:tcBorders>
              <w:top w:val="nil"/>
              <w:left w:val="nil"/>
              <w:bottom w:val="nil"/>
              <w:right w:val="nil"/>
            </w:tcBorders>
            <w:shd w:val="clear" w:color="auto" w:fill="auto"/>
            <w:noWrap/>
            <w:vAlign w:val="center"/>
          </w:tcPr>
          <w:p w14:paraId="66F9C20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6</w:t>
            </w:r>
          </w:p>
        </w:tc>
        <w:tc>
          <w:tcPr>
            <w:tcW w:w="611" w:type="pct"/>
            <w:tcBorders>
              <w:top w:val="nil"/>
              <w:left w:val="nil"/>
              <w:bottom w:val="nil"/>
              <w:right w:val="nil"/>
            </w:tcBorders>
            <w:shd w:val="clear" w:color="auto" w:fill="auto"/>
            <w:noWrap/>
            <w:vAlign w:val="center"/>
          </w:tcPr>
          <w:p w14:paraId="469088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Myocardial Infarction</w:t>
            </w:r>
          </w:p>
        </w:tc>
        <w:tc>
          <w:tcPr>
            <w:tcW w:w="2455" w:type="pct"/>
            <w:tcBorders>
              <w:top w:val="nil"/>
              <w:left w:val="nil"/>
              <w:bottom w:val="nil"/>
              <w:right w:val="nil"/>
            </w:tcBorders>
            <w:shd w:val="clear" w:color="auto" w:fill="auto"/>
            <w:vAlign w:val="center"/>
          </w:tcPr>
          <w:p w14:paraId="2EC7416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 elevation (STEMI) and non-ST elevation (NSTEMI) myocardial infarction;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Subsequent ST elevation (STEMI) and non-ST elevation (NSTEMI) myocardial infarction;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Certain current complications following ST elevation (STEMI) and non-ST elevation (NSTEMI) myocardial infarction (within the 28 days period);</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Old myocardial infarction;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Cardiac septal defect, acquired.</w:t>
            </w:r>
          </w:p>
        </w:tc>
        <w:tc>
          <w:tcPr>
            <w:tcW w:w="796" w:type="pct"/>
            <w:tcBorders>
              <w:top w:val="nil"/>
              <w:left w:val="nil"/>
              <w:bottom w:val="nil"/>
              <w:right w:val="nil"/>
            </w:tcBorders>
            <w:shd w:val="clear" w:color="auto" w:fill="auto"/>
            <w:noWrap/>
            <w:vAlign w:val="center"/>
          </w:tcPr>
          <w:p w14:paraId="03ABB4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I21* OR I22* OR I23* OR I252 OR I510</w:t>
            </w:r>
          </w:p>
        </w:tc>
        <w:tc>
          <w:tcPr>
            <w:tcW w:w="728" w:type="pct"/>
            <w:tcBorders>
              <w:top w:val="nil"/>
              <w:left w:val="nil"/>
              <w:bottom w:val="nil"/>
              <w:right w:val="nil"/>
            </w:tcBorders>
            <w:shd w:val="clear" w:color="auto" w:fill="auto"/>
            <w:noWrap/>
            <w:vAlign w:val="center"/>
          </w:tcPr>
          <w:p w14:paraId="6F5A166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 OR 4110 OR 412 OR 4297*</w:t>
            </w:r>
          </w:p>
        </w:tc>
      </w:tr>
      <w:tr w14:paraId="727DD90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408" w:type="pct"/>
            <w:tcBorders>
              <w:top w:val="nil"/>
              <w:left w:val="nil"/>
              <w:bottom w:val="nil"/>
              <w:right w:val="nil"/>
            </w:tcBorders>
            <w:shd w:val="clear" w:color="auto" w:fill="auto"/>
            <w:noWrap/>
            <w:vAlign w:val="center"/>
          </w:tcPr>
          <w:p w14:paraId="743C5D7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7</w:t>
            </w:r>
          </w:p>
        </w:tc>
        <w:tc>
          <w:tcPr>
            <w:tcW w:w="611" w:type="pct"/>
            <w:tcBorders>
              <w:top w:val="nil"/>
              <w:left w:val="nil"/>
              <w:bottom w:val="nil"/>
              <w:right w:val="nil"/>
            </w:tcBorders>
            <w:shd w:val="clear" w:color="auto" w:fill="auto"/>
            <w:noWrap/>
            <w:vAlign w:val="center"/>
          </w:tcPr>
          <w:p w14:paraId="5AAAD02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either Peripheral Vascular Disease or Rest Pain</w:t>
            </w:r>
          </w:p>
        </w:tc>
        <w:tc>
          <w:tcPr>
            <w:tcW w:w="2455" w:type="pct"/>
            <w:tcBorders>
              <w:top w:val="nil"/>
              <w:left w:val="nil"/>
              <w:bottom w:val="nil"/>
              <w:right w:val="nil"/>
            </w:tcBorders>
            <w:shd w:val="clear" w:color="auto" w:fill="auto"/>
            <w:vAlign w:val="center"/>
          </w:tcPr>
          <w:p w14:paraId="47215C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Atherosclerosis of renal artery;</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native arteries of the extremities;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other arteries;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and unspecified atherosclerosis;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aneurysm;</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peripheral vascular diseases;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Embolism and thrombosis of arteries of the upper extremities;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Embolism and thrombosis of arteries of the lower extremities;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Embolism and thrombosis of arteries of extremities, unspecified;</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Embolism and thrombosis of iliac artery;</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Embolism and thrombosis of other arteries;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Embolism and thrombosis of unspecified artery;</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Atheroembolism;</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Phlebitis and thrombophlebitis;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Portal vein thrombosis;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venous embolism and thrombosis;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Varicose veins of lower extremities;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Esophageal varices;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Varicose veins of other sites;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Personal history of thrombophlebitis.</w:t>
            </w:r>
          </w:p>
        </w:tc>
        <w:tc>
          <w:tcPr>
            <w:tcW w:w="796" w:type="pct"/>
            <w:tcBorders>
              <w:top w:val="nil"/>
              <w:left w:val="nil"/>
              <w:bottom w:val="nil"/>
              <w:right w:val="nil"/>
            </w:tcBorders>
            <w:shd w:val="clear" w:color="auto" w:fill="auto"/>
            <w:noWrap/>
            <w:vAlign w:val="center"/>
          </w:tcPr>
          <w:p w14:paraId="64F40DA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I70.1 OR I70.2* OR I70.8 OR I70.9* OR I72* OR I73* OR I74.2 OR I74.3 OR I74.4 OR I74.5 OR I74.8 OR I74.9 OR I75* OR I80* OR I81* OR I82* OR I83* OR I85* OR I86* OR Z8672</w:t>
            </w:r>
          </w:p>
        </w:tc>
        <w:tc>
          <w:tcPr>
            <w:tcW w:w="728" w:type="pct"/>
            <w:tcBorders>
              <w:top w:val="nil"/>
              <w:left w:val="nil"/>
              <w:bottom w:val="nil"/>
              <w:right w:val="nil"/>
            </w:tcBorders>
            <w:shd w:val="clear" w:color="auto" w:fill="auto"/>
            <w:noWrap/>
            <w:vAlign w:val="center"/>
          </w:tcPr>
          <w:p w14:paraId="0351B8A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4401 OR 4402* OR 4404 OR 4408 OR 4409 OR 442* OR 443* OR 4442* OR 4448* OR 4449 OR 445* OR 451* OR 452* OR 453* OR 454* OR 456* OR V1252</w:t>
            </w:r>
          </w:p>
        </w:tc>
      </w:tr>
      <w:tr w14:paraId="72909F5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08" w:type="pct"/>
            <w:tcBorders>
              <w:top w:val="nil"/>
              <w:left w:val="nil"/>
              <w:bottom w:val="nil"/>
              <w:right w:val="nil"/>
            </w:tcBorders>
            <w:shd w:val="clear" w:color="auto" w:fill="auto"/>
            <w:noWrap/>
            <w:vAlign w:val="center"/>
          </w:tcPr>
          <w:p w14:paraId="3028D2A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8</w:t>
            </w:r>
          </w:p>
        </w:tc>
        <w:tc>
          <w:tcPr>
            <w:tcW w:w="611" w:type="pct"/>
            <w:tcBorders>
              <w:top w:val="nil"/>
              <w:left w:val="nil"/>
              <w:bottom w:val="nil"/>
              <w:right w:val="nil"/>
            </w:tcBorders>
            <w:shd w:val="clear" w:color="auto" w:fill="auto"/>
            <w:noWrap/>
            <w:vAlign w:val="center"/>
          </w:tcPr>
          <w:p w14:paraId="273B0C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Cerebrovascular Accident with Neurological Deficit</w:t>
            </w:r>
          </w:p>
        </w:tc>
        <w:tc>
          <w:tcPr>
            <w:tcW w:w="2455" w:type="pct"/>
            <w:tcBorders>
              <w:top w:val="nil"/>
              <w:left w:val="nil"/>
              <w:bottom w:val="nil"/>
              <w:right w:val="nil"/>
            </w:tcBorders>
            <w:shd w:val="clear" w:color="auto" w:fill="auto"/>
            <w:noWrap/>
            <w:vAlign w:val="center"/>
          </w:tcPr>
          <w:p w14:paraId="0EE29F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Sequelae of cerebrovascular disease.</w:t>
            </w:r>
          </w:p>
        </w:tc>
        <w:tc>
          <w:tcPr>
            <w:tcW w:w="796" w:type="pct"/>
            <w:tcBorders>
              <w:top w:val="nil"/>
              <w:left w:val="nil"/>
              <w:bottom w:val="nil"/>
              <w:right w:val="nil"/>
            </w:tcBorders>
            <w:shd w:val="clear" w:color="auto" w:fill="auto"/>
            <w:noWrap/>
            <w:vAlign w:val="center"/>
          </w:tcPr>
          <w:p w14:paraId="2311A88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I69*</w:t>
            </w:r>
          </w:p>
        </w:tc>
        <w:tc>
          <w:tcPr>
            <w:tcW w:w="728" w:type="pct"/>
            <w:tcBorders>
              <w:top w:val="nil"/>
              <w:left w:val="nil"/>
              <w:bottom w:val="nil"/>
              <w:right w:val="nil"/>
            </w:tcBorders>
            <w:shd w:val="clear" w:color="auto" w:fill="auto"/>
            <w:noWrap/>
            <w:vAlign w:val="center"/>
          </w:tcPr>
          <w:p w14:paraId="4BBD80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438*</w:t>
            </w:r>
          </w:p>
        </w:tc>
      </w:tr>
      <w:tr w14:paraId="278C590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0" w:hRule="atLeast"/>
          <w:jc w:val="center"/>
        </w:trPr>
        <w:tc>
          <w:tcPr>
            <w:tcW w:w="408" w:type="pct"/>
            <w:tcBorders>
              <w:top w:val="nil"/>
              <w:left w:val="nil"/>
              <w:bottom w:val="nil"/>
              <w:right w:val="nil"/>
            </w:tcBorders>
            <w:shd w:val="clear" w:color="auto" w:fill="auto"/>
            <w:noWrap/>
            <w:vAlign w:val="center"/>
          </w:tcPr>
          <w:p w14:paraId="581AD61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9</w:t>
            </w:r>
          </w:p>
        </w:tc>
        <w:tc>
          <w:tcPr>
            <w:tcW w:w="611" w:type="pct"/>
            <w:tcBorders>
              <w:top w:val="nil"/>
              <w:left w:val="nil"/>
              <w:bottom w:val="nil"/>
              <w:right w:val="nil"/>
            </w:tcBorders>
            <w:shd w:val="clear" w:color="auto" w:fill="auto"/>
            <w:noWrap/>
            <w:vAlign w:val="center"/>
          </w:tcPr>
          <w:p w14:paraId="72E722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either COPD or Pneumonia</w:t>
            </w:r>
          </w:p>
        </w:tc>
        <w:tc>
          <w:tcPr>
            <w:tcW w:w="2455" w:type="pct"/>
            <w:tcBorders>
              <w:top w:val="nil"/>
              <w:left w:val="nil"/>
              <w:bottom w:val="nil"/>
              <w:right w:val="nil"/>
            </w:tcBorders>
            <w:shd w:val="clear" w:color="auto" w:fill="auto"/>
            <w:vAlign w:val="center"/>
          </w:tcPr>
          <w:p w14:paraId="0489CA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Viral pneumonia, not elsewhere classified;</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Pneumonia due to Streptococcus pneumoniae;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Pneumonia due to Hemophilus influenzae;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Bacterial pneumonia, not elsewhere classified;</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Pneumonia due to other infectious organisms, not elsewhere classified;</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Pneumonia in diseases classified elsewhere;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Pneumonia, unspecified organism;</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Emphysema;</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chronic obstructive pulmonary disease;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Personal history of pneumonia (recurrent).</w:t>
            </w:r>
          </w:p>
        </w:tc>
        <w:tc>
          <w:tcPr>
            <w:tcW w:w="796" w:type="pct"/>
            <w:tcBorders>
              <w:top w:val="nil"/>
              <w:left w:val="nil"/>
              <w:bottom w:val="nil"/>
              <w:right w:val="nil"/>
            </w:tcBorders>
            <w:shd w:val="clear" w:color="auto" w:fill="auto"/>
            <w:noWrap/>
            <w:vAlign w:val="center"/>
          </w:tcPr>
          <w:p w14:paraId="0C3E574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J12* OR J13* OR J14* OR J15* OR J16* OR J17* OR J18* OR J43* OR J44* OR Z78.01</w:t>
            </w:r>
          </w:p>
        </w:tc>
        <w:tc>
          <w:tcPr>
            <w:tcW w:w="728" w:type="pct"/>
            <w:tcBorders>
              <w:top w:val="nil"/>
              <w:left w:val="nil"/>
              <w:bottom w:val="nil"/>
              <w:right w:val="nil"/>
            </w:tcBorders>
            <w:shd w:val="clear" w:color="auto" w:fill="auto"/>
            <w:noWrap/>
            <w:vAlign w:val="center"/>
          </w:tcPr>
          <w:p w14:paraId="2FC149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480* OR 481* OR 482* OR 483* OR 484* OR 485* OR 486* OR 491* OR 492* OR V1261</w:t>
            </w:r>
          </w:p>
        </w:tc>
      </w:tr>
      <w:tr w14:paraId="580BA8E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90" w:hRule="atLeast"/>
          <w:jc w:val="center"/>
        </w:trPr>
        <w:tc>
          <w:tcPr>
            <w:tcW w:w="408" w:type="pct"/>
            <w:tcBorders>
              <w:top w:val="nil"/>
              <w:left w:val="nil"/>
              <w:bottom w:val="nil"/>
              <w:right w:val="nil"/>
            </w:tcBorders>
            <w:shd w:val="clear" w:color="auto" w:fill="auto"/>
            <w:noWrap/>
            <w:vAlign w:val="center"/>
          </w:tcPr>
          <w:p w14:paraId="151299D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10</w:t>
            </w:r>
          </w:p>
        </w:tc>
        <w:tc>
          <w:tcPr>
            <w:tcW w:w="611" w:type="pct"/>
            <w:tcBorders>
              <w:top w:val="nil"/>
              <w:left w:val="nil"/>
              <w:bottom w:val="nil"/>
              <w:right w:val="nil"/>
            </w:tcBorders>
            <w:shd w:val="clear" w:color="auto" w:fill="auto"/>
            <w:noWrap/>
            <w:vAlign w:val="center"/>
          </w:tcPr>
          <w:p w14:paraId="7650F5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either prior PCI, CABG, or angina</w:t>
            </w:r>
          </w:p>
        </w:tc>
        <w:tc>
          <w:tcPr>
            <w:tcW w:w="2455" w:type="pct"/>
            <w:tcBorders>
              <w:top w:val="nil"/>
              <w:left w:val="nil"/>
              <w:bottom w:val="nil"/>
              <w:right w:val="nil"/>
            </w:tcBorders>
            <w:shd w:val="clear" w:color="auto" w:fill="auto"/>
            <w:vAlign w:val="center"/>
          </w:tcPr>
          <w:p w14:paraId="70006A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Atherosclerotic heart disease of native coronary artery with 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coronary artery bypass graft(s), unspecified, with 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autologous vein coronary artery bypass graft(s) with 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autologous artery coronary artery bypass graft(s) with 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non-autologous biological coronary artery bypass graft(s) with 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Atherosclerosis of other coronary artery bypass graft(s) with angina pectoris;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Presence of aortocoronary bypass graft;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Presence of coronary angioplasty implant and graft;</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Coronary angioplasty status.</w:t>
            </w:r>
          </w:p>
        </w:tc>
        <w:tc>
          <w:tcPr>
            <w:tcW w:w="796" w:type="pct"/>
            <w:tcBorders>
              <w:top w:val="nil"/>
              <w:left w:val="nil"/>
              <w:bottom w:val="nil"/>
              <w:right w:val="nil"/>
            </w:tcBorders>
            <w:shd w:val="clear" w:color="auto" w:fill="auto"/>
            <w:noWrap/>
            <w:vAlign w:val="center"/>
          </w:tcPr>
          <w:p w14:paraId="4915B4C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I20* OR I2511 OR I2570 OR I2571 OR I2572 OR I2573 OR I2579 OR Z951 OR Z955 OR Z9861</w:t>
            </w:r>
          </w:p>
        </w:tc>
        <w:tc>
          <w:tcPr>
            <w:tcW w:w="728" w:type="pct"/>
            <w:tcBorders>
              <w:top w:val="nil"/>
              <w:left w:val="nil"/>
              <w:bottom w:val="nil"/>
              <w:right w:val="nil"/>
            </w:tcBorders>
            <w:shd w:val="clear" w:color="auto" w:fill="auto"/>
            <w:noWrap/>
            <w:vAlign w:val="center"/>
          </w:tcPr>
          <w:p w14:paraId="1AA58AE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4111 OR 413* OR 41402 OR 41403 OR 41404 OR 41405 OR V4581 OR V4582 OR V472</w:t>
            </w:r>
          </w:p>
        </w:tc>
      </w:tr>
      <w:tr w14:paraId="7D41A57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408" w:type="pct"/>
            <w:tcBorders>
              <w:top w:val="nil"/>
              <w:left w:val="nil"/>
              <w:bottom w:val="single" w:color="auto" w:sz="12" w:space="0"/>
              <w:right w:val="nil"/>
            </w:tcBorders>
            <w:shd w:val="clear" w:color="auto" w:fill="auto"/>
            <w:noWrap/>
            <w:vAlign w:val="center"/>
          </w:tcPr>
          <w:p w14:paraId="06E0622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11</w:t>
            </w:r>
          </w:p>
        </w:tc>
        <w:tc>
          <w:tcPr>
            <w:tcW w:w="611" w:type="pct"/>
            <w:tcBorders>
              <w:top w:val="nil"/>
              <w:left w:val="nil"/>
              <w:bottom w:val="single" w:color="auto" w:sz="12" w:space="0"/>
              <w:right w:val="nil"/>
            </w:tcBorders>
            <w:shd w:val="clear" w:color="auto" w:fill="auto"/>
            <w:noWrap/>
            <w:vAlign w:val="center"/>
          </w:tcPr>
          <w:p w14:paraId="4DE061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Impaired Sensorium</w:t>
            </w:r>
          </w:p>
        </w:tc>
        <w:tc>
          <w:tcPr>
            <w:tcW w:w="2455" w:type="pct"/>
            <w:tcBorders>
              <w:top w:val="nil"/>
              <w:left w:val="nil"/>
              <w:bottom w:val="single" w:color="auto" w:sz="12" w:space="0"/>
              <w:right w:val="nil"/>
            </w:tcBorders>
            <w:shd w:val="clear" w:color="auto" w:fill="auto"/>
            <w:vAlign w:val="center"/>
          </w:tcPr>
          <w:p w14:paraId="26E276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Disturbances of skin sensation;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Disturbances of smell and taste;</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Visual disturbances;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Blindness and low vision;</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Conductive and sensorineural hearing loss;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Other and unspecified hearing loss;</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Dual sensory impairment.</w:t>
            </w:r>
          </w:p>
        </w:tc>
        <w:tc>
          <w:tcPr>
            <w:tcW w:w="796" w:type="pct"/>
            <w:tcBorders>
              <w:top w:val="nil"/>
              <w:left w:val="nil"/>
              <w:bottom w:val="single" w:color="auto" w:sz="12" w:space="0"/>
              <w:right w:val="nil"/>
            </w:tcBorders>
            <w:shd w:val="clear" w:color="auto" w:fill="auto"/>
            <w:noWrap/>
            <w:vAlign w:val="center"/>
          </w:tcPr>
          <w:p w14:paraId="61B94C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R20* OR R43* OR H53* OR H54* OR H90* OR H91* OR Z73.82</w:t>
            </w:r>
          </w:p>
        </w:tc>
        <w:tc>
          <w:tcPr>
            <w:tcW w:w="728" w:type="pct"/>
            <w:tcBorders>
              <w:top w:val="nil"/>
              <w:left w:val="nil"/>
              <w:bottom w:val="single" w:color="auto" w:sz="12" w:space="0"/>
              <w:right w:val="nil"/>
            </w:tcBorders>
            <w:shd w:val="clear" w:color="auto" w:fill="auto"/>
            <w:noWrap/>
            <w:vAlign w:val="center"/>
          </w:tcPr>
          <w:p w14:paraId="64744BC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7820 OR 7811 OR V415 OR 368* OR 369* OR V410 OR 389* OR 3881* OR 3882 OR V412 OR V4985 OR V484 OR V485 OR V493</w:t>
            </w:r>
          </w:p>
        </w:tc>
      </w:tr>
    </w:tbl>
    <w:p w14:paraId="0762B51A">
      <w:pPr>
        <w:jc w:val="left"/>
        <w:rPr>
          <w:rFonts w:ascii="Times New Roman" w:hAnsi="Times New Roman" w:cs="Times New Roman"/>
          <w:sz w:val="21"/>
          <w:szCs w:val="21"/>
        </w:rPr>
      </w:pPr>
    </w:p>
    <w:p w14:paraId="4B3054AE">
      <w:pPr>
        <w:jc w:val="left"/>
        <w:rPr>
          <w:rFonts w:hint="eastAsia" w:ascii="Arial" w:hAnsi="Arial" w:cs="Arial" w:eastAsiaTheme="minorEastAsia"/>
          <w:sz w:val="16"/>
          <w:szCs w:val="16"/>
          <w:lang w:val="en-US" w:eastAsia="zh-CN"/>
        </w:rPr>
      </w:pPr>
      <w:r>
        <w:rPr>
          <w:rFonts w:ascii="Times New Roman" w:hAnsi="Times New Roman" w:cs="Times New Roman"/>
          <w:sz w:val="21"/>
          <w:szCs w:val="21"/>
        </w:rPr>
        <w:t>Abbreviations:</w:t>
      </w:r>
      <w:r>
        <w:rPr>
          <w:rFonts w:hint="eastAsia" w:ascii="Times New Roman" w:hAnsi="Times New Roman" w:cs="Times New Roman"/>
          <w:sz w:val="21"/>
          <w:szCs w:val="21"/>
          <w:lang w:val="en-US" w:eastAsia="zh-CN"/>
        </w:rPr>
        <w:t xml:space="preserve"> ICD: </w:t>
      </w:r>
      <w:r>
        <w:rPr>
          <w:rFonts w:ascii="Times New Roman" w:hAnsi="Times New Roman" w:cs="Times New Roman"/>
          <w:sz w:val="21"/>
          <w:szCs w:val="21"/>
        </w:rPr>
        <w:t>International Classification of Diseases</w:t>
      </w:r>
      <w:r>
        <w:rPr>
          <w:rFonts w:hint="eastAsia" w:ascii="Times New Roman" w:hAnsi="Times New Roman" w:cs="Times New Roman"/>
          <w:sz w:val="21"/>
          <w:szCs w:val="21"/>
          <w:lang w:val="en-US" w:eastAsia="zh-CN"/>
        </w:rPr>
        <w:t>.</w:t>
      </w:r>
    </w:p>
    <w:p w14:paraId="40B58C62">
      <w:pPr>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Note: </w:t>
      </w:r>
    </w:p>
    <w:p w14:paraId="08D21B3B">
      <w:pPr>
        <w:jc w:val="left"/>
        <w:rPr>
          <w:rFonts w:hint="default" w:ascii="Times New Roman" w:hAnsi="Times New Roman" w:cs="Times New Roman"/>
          <w:sz w:val="21"/>
          <w:szCs w:val="21"/>
        </w:rPr>
      </w:pPr>
      <w:r>
        <w:rPr>
          <w:rFonts w:hint="default" w:ascii="Times New Roman" w:hAnsi="Times New Roman" w:cs="Times New Roman"/>
          <w:sz w:val="21"/>
          <w:szCs w:val="21"/>
        </w:rPr>
        <w:t>"*" means all subcodes contained in this code.</w:t>
      </w:r>
    </w:p>
    <w:p w14:paraId="599790D0">
      <w:pPr>
        <w:pStyle w:val="5"/>
        <w:shd w:val="clear" w:color="auto" w:fill="FCFDFE"/>
        <w:spacing w:before="0" w:beforeAutospacing="0" w:after="30" w:afterAutospacing="0" w:line="315" w:lineRule="atLeast"/>
        <w:rPr>
          <w:rFonts w:hint="default" w:ascii="Times New Roman" w:hAnsi="Times New Roman" w:cs="Times New Roman"/>
          <w:sz w:val="21"/>
          <w:szCs w:val="21"/>
        </w:rPr>
      </w:pPr>
      <w:r>
        <w:rPr>
          <w:rFonts w:hint="default" w:ascii="Times New Roman" w:hAnsi="Times New Roman" w:cs="Times New Roman"/>
          <w:sz w:val="21"/>
          <w:szCs w:val="21"/>
        </w:rPr>
        <w:t>"AND", "OR" and "NOT" follow the logic of Boolean operations.</w:t>
      </w:r>
    </w:p>
    <w:p w14:paraId="4D816457">
      <w:pPr>
        <w:jc w:val="left"/>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R</w:t>
      </w:r>
      <w:r>
        <w:rPr>
          <w:rFonts w:hint="default" w:ascii="Times New Roman" w:hAnsi="Times New Roman" w:cs="Times New Roman"/>
          <w:sz w:val="21"/>
          <w:szCs w:val="21"/>
          <w:lang w:val="en-US" w:eastAsia="zh-CN"/>
        </w:rPr>
        <w:t>eferences</w:t>
      </w:r>
      <w:r>
        <w:rPr>
          <w:rFonts w:hint="eastAsia" w:ascii="Times New Roman" w:hAnsi="Times New Roman" w:cs="Times New Roman"/>
          <w:sz w:val="21"/>
          <w:szCs w:val="21"/>
          <w:lang w:val="en-US" w:eastAsia="zh-CN"/>
        </w:rPr>
        <w:t>:</w:t>
      </w:r>
    </w:p>
    <w:p w14:paraId="5CDFD385">
      <w:pPr>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Hao B, Chen T, Qin J, Meng W, Bai W, Zhao L, Ou X, Liu H, Xu W. A comparison of three approaches to measuring frailty to determine adverse health outcomes in critically ill patients. Age Ageing. 2023 Jun 1;52(6):afad096. doi: 10.1093/ageing/afad096;</w:t>
      </w:r>
    </w:p>
    <w:p w14:paraId="4EAD8730">
      <w:pPr>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Cheng H, Ling Y, Li Q, Li X, Tang Y, Guo J, Li J, Wang Z, Ming WK, Lyu J. Association between modified frailty index and postoperative delirium in patients after cardiac surgery: A cohort study of 2080 older adults. CNS Neurosci Ther. 2024 Jun;30(6):e14762. doi: 10.1111/cns.14762.</w:t>
      </w:r>
    </w:p>
    <w:p w14:paraId="3D75AE2C">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br w:type="page"/>
      </w:r>
    </w:p>
    <w:p w14:paraId="682312DE">
      <w:pPr>
        <w:rPr>
          <w:rFonts w:hint="default" w:ascii="Times New Roman" w:hAnsi="Times New Roman" w:eastAsia="宋体" w:cs="Times New Roman"/>
          <w:kern w:val="0"/>
          <w:sz w:val="21"/>
          <w:szCs w:val="21"/>
          <w:lang w:val="en-US" w:eastAsia="zh-CN" w:bidi="ar-SA"/>
        </w:rPr>
      </w:pPr>
    </w:p>
    <w:p w14:paraId="26E37910">
      <w:pPr>
        <w:rPr>
          <w:rFonts w:hint="eastAsia" w:ascii="Times New Roman" w:hAnsi="Times New Roman"/>
          <w:b w:val="0"/>
          <w:bCs/>
          <w:sz w:val="24"/>
          <w:szCs w:val="24"/>
          <w:lang w:val="en-US" w:eastAsia="zh-CN"/>
        </w:rPr>
      </w:pPr>
      <w:r>
        <w:rPr>
          <w:rFonts w:hint="eastAsia" w:ascii="Times New Roman" w:hAnsi="Times New Roman"/>
          <w:b/>
          <w:sz w:val="24"/>
          <w:szCs w:val="24"/>
        </w:rPr>
        <w:t>Supplementary</w:t>
      </w:r>
      <w:r>
        <w:rPr>
          <w:rFonts w:hint="eastAsia" w:ascii="Times New Roman" w:hAnsi="Times New Roman"/>
          <w:b/>
          <w:sz w:val="24"/>
          <w:szCs w:val="24"/>
          <w:lang w:val="en-US" w:eastAsia="zh-CN"/>
        </w:rPr>
        <w:t xml:space="preserve"> </w:t>
      </w:r>
      <w:r>
        <w:rPr>
          <w:rFonts w:hint="eastAsia" w:ascii="Times New Roman" w:hAnsi="Times New Roman"/>
          <w:b/>
          <w:sz w:val="24"/>
          <w:szCs w:val="24"/>
        </w:rPr>
        <w:t xml:space="preserve">Table </w:t>
      </w:r>
      <w:r>
        <w:rPr>
          <w:rFonts w:hint="eastAsia" w:ascii="Times New Roman" w:hAnsi="Times New Roman"/>
          <w:b/>
          <w:sz w:val="24"/>
          <w:szCs w:val="24"/>
          <w:lang w:val="en-US" w:eastAsia="zh-CN"/>
        </w:rPr>
        <w:t xml:space="preserve">2 </w:t>
      </w:r>
      <w:r>
        <w:rPr>
          <w:rFonts w:hint="eastAsia" w:ascii="Times New Roman" w:hAnsi="Times New Roman"/>
          <w:b w:val="0"/>
          <w:bCs/>
          <w:sz w:val="24"/>
          <w:szCs w:val="24"/>
          <w:lang w:val="en-US" w:eastAsia="zh-CN"/>
        </w:rPr>
        <w:t>Baseline patient characteristics after propensity score matching.</w:t>
      </w:r>
    </w:p>
    <w:tbl>
      <w:tblPr>
        <w:tblStyle w:val="2"/>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78"/>
        <w:gridCol w:w="1669"/>
        <w:gridCol w:w="1812"/>
        <w:gridCol w:w="1670"/>
        <w:gridCol w:w="893"/>
      </w:tblGrid>
      <w:tr w14:paraId="5E2E20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left w:val="nil"/>
              <w:bottom w:val="single" w:color="auto" w:sz="6" w:space="0"/>
              <w:right w:val="nil"/>
            </w:tcBorders>
            <w:shd w:val="clear" w:color="auto" w:fill="auto"/>
            <w:vAlign w:val="center"/>
          </w:tcPr>
          <w:p w14:paraId="5E7AF40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Variables</w:t>
            </w:r>
          </w:p>
        </w:tc>
        <w:tc>
          <w:tcPr>
            <w:tcW w:w="979" w:type="pct"/>
            <w:tcBorders>
              <w:left w:val="nil"/>
              <w:bottom w:val="single" w:color="auto" w:sz="6" w:space="0"/>
              <w:right w:val="nil"/>
            </w:tcBorders>
            <w:shd w:val="clear" w:color="auto" w:fill="auto"/>
            <w:vAlign w:val="center"/>
          </w:tcPr>
          <w:p w14:paraId="3B2C82D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Overall (n=8992)</w:t>
            </w:r>
          </w:p>
        </w:tc>
        <w:tc>
          <w:tcPr>
            <w:tcW w:w="1062" w:type="pct"/>
            <w:tcBorders>
              <w:left w:val="nil"/>
              <w:bottom w:val="single" w:color="auto" w:sz="6" w:space="0"/>
              <w:right w:val="nil"/>
            </w:tcBorders>
            <w:shd w:val="clear" w:color="auto" w:fill="auto"/>
            <w:vAlign w:val="center"/>
          </w:tcPr>
          <w:p w14:paraId="31E88D9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Non-frail group (n=4496)</w:t>
            </w:r>
          </w:p>
        </w:tc>
        <w:tc>
          <w:tcPr>
            <w:tcW w:w="979" w:type="pct"/>
            <w:tcBorders>
              <w:left w:val="nil"/>
              <w:bottom w:val="single" w:color="auto" w:sz="6" w:space="0"/>
              <w:right w:val="nil"/>
            </w:tcBorders>
            <w:shd w:val="clear" w:color="auto" w:fill="auto"/>
            <w:vAlign w:val="center"/>
          </w:tcPr>
          <w:p w14:paraId="40F7BC3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Frail group (n=4496)</w:t>
            </w:r>
          </w:p>
        </w:tc>
        <w:tc>
          <w:tcPr>
            <w:tcW w:w="523" w:type="pct"/>
            <w:tcBorders>
              <w:left w:val="nil"/>
              <w:bottom w:val="single" w:color="auto" w:sz="6" w:space="0"/>
              <w:right w:val="nil"/>
            </w:tcBorders>
            <w:shd w:val="clear" w:color="auto" w:fill="auto"/>
            <w:vAlign w:val="center"/>
          </w:tcPr>
          <w:p w14:paraId="2A79B65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P-value</w:t>
            </w:r>
          </w:p>
        </w:tc>
      </w:tr>
      <w:tr w14:paraId="400833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single" w:color="auto" w:sz="6" w:space="0"/>
              <w:left w:val="nil"/>
              <w:bottom w:val="nil"/>
              <w:right w:val="nil"/>
            </w:tcBorders>
            <w:shd w:val="clear" w:color="auto" w:fill="auto"/>
            <w:vAlign w:val="center"/>
          </w:tcPr>
          <w:p w14:paraId="187DBAE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Personal characteristics</w:t>
            </w:r>
          </w:p>
        </w:tc>
        <w:tc>
          <w:tcPr>
            <w:tcW w:w="979" w:type="pct"/>
            <w:tcBorders>
              <w:top w:val="single" w:color="auto" w:sz="6" w:space="0"/>
              <w:left w:val="nil"/>
              <w:bottom w:val="nil"/>
              <w:right w:val="nil"/>
            </w:tcBorders>
            <w:shd w:val="clear" w:color="auto" w:fill="auto"/>
            <w:vAlign w:val="center"/>
          </w:tcPr>
          <w:p w14:paraId="0A73E346">
            <w:pPr>
              <w:jc w:val="center"/>
              <w:rPr>
                <w:rFonts w:hint="default" w:ascii="Times New Roman" w:hAnsi="Times New Roman" w:eastAsia="宋体" w:cs="Times New Roman"/>
                <w:i w:val="0"/>
                <w:iCs w:val="0"/>
                <w:color w:val="000000"/>
                <w:sz w:val="21"/>
                <w:szCs w:val="21"/>
                <w:u w:val="none"/>
              </w:rPr>
            </w:pPr>
          </w:p>
        </w:tc>
        <w:tc>
          <w:tcPr>
            <w:tcW w:w="1062" w:type="pct"/>
            <w:tcBorders>
              <w:top w:val="single" w:color="auto" w:sz="6" w:space="0"/>
              <w:left w:val="nil"/>
              <w:bottom w:val="nil"/>
              <w:right w:val="nil"/>
            </w:tcBorders>
            <w:shd w:val="clear" w:color="auto" w:fill="auto"/>
            <w:vAlign w:val="center"/>
          </w:tcPr>
          <w:p w14:paraId="4B29C9A3">
            <w:pPr>
              <w:jc w:val="center"/>
              <w:rPr>
                <w:rFonts w:hint="default" w:ascii="Times New Roman" w:hAnsi="Times New Roman" w:eastAsia="宋体" w:cs="Times New Roman"/>
                <w:i w:val="0"/>
                <w:iCs w:val="0"/>
                <w:color w:val="000000"/>
                <w:sz w:val="21"/>
                <w:szCs w:val="21"/>
                <w:u w:val="none"/>
              </w:rPr>
            </w:pPr>
          </w:p>
        </w:tc>
        <w:tc>
          <w:tcPr>
            <w:tcW w:w="979" w:type="pct"/>
            <w:tcBorders>
              <w:top w:val="single" w:color="auto" w:sz="6" w:space="0"/>
              <w:left w:val="nil"/>
              <w:bottom w:val="nil"/>
              <w:right w:val="nil"/>
            </w:tcBorders>
            <w:shd w:val="clear" w:color="auto" w:fill="auto"/>
            <w:vAlign w:val="center"/>
          </w:tcPr>
          <w:p w14:paraId="7C63F7BD">
            <w:pPr>
              <w:jc w:val="center"/>
              <w:rPr>
                <w:rFonts w:hint="default" w:ascii="Times New Roman" w:hAnsi="Times New Roman" w:eastAsia="宋体" w:cs="Times New Roman"/>
                <w:i w:val="0"/>
                <w:iCs w:val="0"/>
                <w:color w:val="000000"/>
                <w:sz w:val="21"/>
                <w:szCs w:val="21"/>
                <w:u w:val="none"/>
              </w:rPr>
            </w:pPr>
          </w:p>
        </w:tc>
        <w:tc>
          <w:tcPr>
            <w:tcW w:w="523" w:type="pct"/>
            <w:tcBorders>
              <w:top w:val="single" w:color="auto" w:sz="6" w:space="0"/>
              <w:left w:val="nil"/>
              <w:bottom w:val="nil"/>
              <w:right w:val="nil"/>
            </w:tcBorders>
            <w:shd w:val="clear" w:color="auto" w:fill="auto"/>
            <w:vAlign w:val="center"/>
          </w:tcPr>
          <w:p w14:paraId="488265B9">
            <w:pPr>
              <w:jc w:val="center"/>
              <w:rPr>
                <w:rFonts w:hint="default" w:ascii="Times New Roman" w:hAnsi="Times New Roman" w:eastAsia="宋体" w:cs="Times New Roman"/>
                <w:i w:val="0"/>
                <w:iCs w:val="0"/>
                <w:color w:val="000000"/>
                <w:sz w:val="21"/>
                <w:szCs w:val="21"/>
                <w:u w:val="none"/>
              </w:rPr>
            </w:pPr>
          </w:p>
        </w:tc>
      </w:tr>
      <w:tr w14:paraId="0CF8DA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F0692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Age (years old)</w:t>
            </w:r>
          </w:p>
        </w:tc>
        <w:tc>
          <w:tcPr>
            <w:tcW w:w="979" w:type="pct"/>
            <w:tcBorders>
              <w:top w:val="nil"/>
              <w:left w:val="nil"/>
              <w:bottom w:val="nil"/>
              <w:right w:val="nil"/>
            </w:tcBorders>
            <w:shd w:val="clear" w:color="auto" w:fill="auto"/>
            <w:vAlign w:val="center"/>
          </w:tcPr>
          <w:p w14:paraId="1D3ED2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76.81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70.82, 83.57</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1FC0C6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76.91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70.60, 83.95</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6E7AAC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76.76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71.08, 83.22</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42BBBD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0.945</w:t>
            </w:r>
          </w:p>
        </w:tc>
      </w:tr>
      <w:tr w14:paraId="764E7B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24931F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Sex (%)</w:t>
            </w:r>
          </w:p>
        </w:tc>
        <w:tc>
          <w:tcPr>
            <w:tcW w:w="979" w:type="pct"/>
            <w:tcBorders>
              <w:top w:val="nil"/>
              <w:left w:val="nil"/>
              <w:bottom w:val="nil"/>
              <w:right w:val="nil"/>
            </w:tcBorders>
            <w:shd w:val="clear" w:color="auto" w:fill="auto"/>
            <w:vAlign w:val="center"/>
          </w:tcPr>
          <w:p w14:paraId="429C957D">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6DB5A8FB">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628404BC">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4E3C16F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0.668</w:t>
            </w:r>
          </w:p>
        </w:tc>
      </w:tr>
      <w:tr w14:paraId="7E2A95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F3A7F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Male</w:t>
            </w:r>
          </w:p>
        </w:tc>
        <w:tc>
          <w:tcPr>
            <w:tcW w:w="979" w:type="pct"/>
            <w:tcBorders>
              <w:top w:val="nil"/>
              <w:left w:val="nil"/>
              <w:bottom w:val="nil"/>
              <w:right w:val="nil"/>
            </w:tcBorders>
            <w:shd w:val="clear" w:color="auto" w:fill="auto"/>
            <w:vAlign w:val="center"/>
          </w:tcPr>
          <w:p w14:paraId="497BDC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5315 (59.1)</w:t>
            </w:r>
          </w:p>
        </w:tc>
        <w:tc>
          <w:tcPr>
            <w:tcW w:w="1062" w:type="pct"/>
            <w:tcBorders>
              <w:top w:val="nil"/>
              <w:left w:val="nil"/>
              <w:bottom w:val="nil"/>
              <w:right w:val="nil"/>
            </w:tcBorders>
            <w:shd w:val="clear" w:color="auto" w:fill="auto"/>
            <w:vAlign w:val="center"/>
          </w:tcPr>
          <w:p w14:paraId="5D904A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2647 (58.9)</w:t>
            </w:r>
          </w:p>
        </w:tc>
        <w:tc>
          <w:tcPr>
            <w:tcW w:w="979" w:type="pct"/>
            <w:tcBorders>
              <w:top w:val="nil"/>
              <w:left w:val="nil"/>
              <w:bottom w:val="nil"/>
              <w:right w:val="nil"/>
            </w:tcBorders>
            <w:shd w:val="clear" w:color="auto" w:fill="auto"/>
            <w:vAlign w:val="center"/>
          </w:tcPr>
          <w:p w14:paraId="268ACF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2668 (59.3)</w:t>
            </w:r>
          </w:p>
        </w:tc>
        <w:tc>
          <w:tcPr>
            <w:tcW w:w="523" w:type="pct"/>
            <w:tcBorders>
              <w:top w:val="nil"/>
              <w:left w:val="nil"/>
              <w:bottom w:val="nil"/>
              <w:right w:val="nil"/>
            </w:tcBorders>
            <w:shd w:val="clear" w:color="auto" w:fill="auto"/>
            <w:vAlign w:val="center"/>
          </w:tcPr>
          <w:p w14:paraId="7BFAD01A">
            <w:pPr>
              <w:jc w:val="center"/>
              <w:rPr>
                <w:rFonts w:hint="default" w:ascii="Times New Roman" w:hAnsi="Times New Roman" w:eastAsia="宋体" w:cs="Times New Roman"/>
                <w:i w:val="0"/>
                <w:iCs w:val="0"/>
                <w:color w:val="000000"/>
                <w:sz w:val="21"/>
                <w:szCs w:val="21"/>
                <w:u w:val="none"/>
              </w:rPr>
            </w:pPr>
          </w:p>
        </w:tc>
      </w:tr>
      <w:tr w14:paraId="4850BA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363150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Female</w:t>
            </w:r>
          </w:p>
        </w:tc>
        <w:tc>
          <w:tcPr>
            <w:tcW w:w="979" w:type="pct"/>
            <w:tcBorders>
              <w:top w:val="nil"/>
              <w:left w:val="nil"/>
              <w:bottom w:val="nil"/>
              <w:right w:val="nil"/>
            </w:tcBorders>
            <w:shd w:val="clear" w:color="auto" w:fill="auto"/>
            <w:vAlign w:val="center"/>
          </w:tcPr>
          <w:p w14:paraId="491A5A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3677 (40.9)</w:t>
            </w:r>
          </w:p>
        </w:tc>
        <w:tc>
          <w:tcPr>
            <w:tcW w:w="1062" w:type="pct"/>
            <w:tcBorders>
              <w:top w:val="nil"/>
              <w:left w:val="nil"/>
              <w:bottom w:val="nil"/>
              <w:right w:val="nil"/>
            </w:tcBorders>
            <w:shd w:val="clear" w:color="auto" w:fill="auto"/>
            <w:vAlign w:val="center"/>
          </w:tcPr>
          <w:p w14:paraId="2D3B604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1849 (41.1)</w:t>
            </w:r>
          </w:p>
        </w:tc>
        <w:tc>
          <w:tcPr>
            <w:tcW w:w="979" w:type="pct"/>
            <w:tcBorders>
              <w:top w:val="nil"/>
              <w:left w:val="nil"/>
              <w:bottom w:val="nil"/>
              <w:right w:val="nil"/>
            </w:tcBorders>
            <w:shd w:val="clear" w:color="auto" w:fill="auto"/>
            <w:vAlign w:val="center"/>
          </w:tcPr>
          <w:p w14:paraId="20C918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1828 (40.7)</w:t>
            </w:r>
          </w:p>
        </w:tc>
        <w:tc>
          <w:tcPr>
            <w:tcW w:w="523" w:type="pct"/>
            <w:tcBorders>
              <w:top w:val="nil"/>
              <w:left w:val="nil"/>
              <w:bottom w:val="nil"/>
              <w:right w:val="nil"/>
            </w:tcBorders>
            <w:shd w:val="clear" w:color="auto" w:fill="auto"/>
            <w:vAlign w:val="center"/>
          </w:tcPr>
          <w:p w14:paraId="460FE0EC">
            <w:pPr>
              <w:jc w:val="center"/>
              <w:rPr>
                <w:rFonts w:hint="default" w:ascii="Times New Roman" w:hAnsi="Times New Roman" w:eastAsia="宋体" w:cs="Times New Roman"/>
                <w:i w:val="0"/>
                <w:iCs w:val="0"/>
                <w:color w:val="000000"/>
                <w:sz w:val="21"/>
                <w:szCs w:val="21"/>
                <w:u w:val="none"/>
              </w:rPr>
            </w:pPr>
          </w:p>
        </w:tc>
      </w:tr>
      <w:tr w14:paraId="4B783A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3D1848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Race (%)</w:t>
            </w:r>
          </w:p>
        </w:tc>
        <w:tc>
          <w:tcPr>
            <w:tcW w:w="979" w:type="pct"/>
            <w:tcBorders>
              <w:top w:val="nil"/>
              <w:left w:val="nil"/>
              <w:bottom w:val="nil"/>
              <w:right w:val="nil"/>
            </w:tcBorders>
            <w:shd w:val="clear" w:color="auto" w:fill="auto"/>
            <w:vAlign w:val="center"/>
          </w:tcPr>
          <w:p w14:paraId="7D0039D6">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62E59633">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288E7B45">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263E52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0.285</w:t>
            </w:r>
          </w:p>
        </w:tc>
      </w:tr>
      <w:tr w14:paraId="5A98F9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261B92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White</w:t>
            </w:r>
          </w:p>
        </w:tc>
        <w:tc>
          <w:tcPr>
            <w:tcW w:w="979" w:type="pct"/>
            <w:tcBorders>
              <w:top w:val="nil"/>
              <w:left w:val="nil"/>
              <w:bottom w:val="nil"/>
              <w:right w:val="nil"/>
            </w:tcBorders>
            <w:shd w:val="clear" w:color="auto" w:fill="auto"/>
            <w:vAlign w:val="center"/>
          </w:tcPr>
          <w:p w14:paraId="7ABA2C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6190 (68.8)</w:t>
            </w:r>
          </w:p>
        </w:tc>
        <w:tc>
          <w:tcPr>
            <w:tcW w:w="1062" w:type="pct"/>
            <w:tcBorders>
              <w:top w:val="nil"/>
              <w:left w:val="nil"/>
              <w:bottom w:val="nil"/>
              <w:right w:val="nil"/>
            </w:tcBorders>
            <w:shd w:val="clear" w:color="auto" w:fill="auto"/>
            <w:vAlign w:val="center"/>
          </w:tcPr>
          <w:p w14:paraId="1D1E853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3119 (69.4)</w:t>
            </w:r>
          </w:p>
        </w:tc>
        <w:tc>
          <w:tcPr>
            <w:tcW w:w="979" w:type="pct"/>
            <w:tcBorders>
              <w:top w:val="nil"/>
              <w:left w:val="nil"/>
              <w:bottom w:val="nil"/>
              <w:right w:val="nil"/>
            </w:tcBorders>
            <w:shd w:val="clear" w:color="auto" w:fill="auto"/>
            <w:vAlign w:val="center"/>
          </w:tcPr>
          <w:p w14:paraId="7A6E20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3071 (68.3)</w:t>
            </w:r>
          </w:p>
        </w:tc>
        <w:tc>
          <w:tcPr>
            <w:tcW w:w="523" w:type="pct"/>
            <w:tcBorders>
              <w:top w:val="nil"/>
              <w:left w:val="nil"/>
              <w:bottom w:val="nil"/>
              <w:right w:val="nil"/>
            </w:tcBorders>
            <w:shd w:val="clear" w:color="auto" w:fill="auto"/>
            <w:vAlign w:val="center"/>
          </w:tcPr>
          <w:p w14:paraId="25F747EB">
            <w:pPr>
              <w:jc w:val="center"/>
              <w:rPr>
                <w:rFonts w:hint="default" w:ascii="Times New Roman" w:hAnsi="Times New Roman" w:eastAsia="宋体" w:cs="Times New Roman"/>
                <w:i w:val="0"/>
                <w:iCs w:val="0"/>
                <w:color w:val="000000"/>
                <w:sz w:val="21"/>
                <w:szCs w:val="21"/>
                <w:u w:val="none"/>
              </w:rPr>
            </w:pPr>
          </w:p>
        </w:tc>
      </w:tr>
      <w:tr w14:paraId="78F40A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71FE4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w:t>
            </w:r>
          </w:p>
        </w:tc>
        <w:tc>
          <w:tcPr>
            <w:tcW w:w="979" w:type="pct"/>
            <w:tcBorders>
              <w:top w:val="nil"/>
              <w:left w:val="nil"/>
              <w:bottom w:val="nil"/>
              <w:right w:val="nil"/>
            </w:tcBorders>
            <w:shd w:val="clear" w:color="auto" w:fill="auto"/>
            <w:vAlign w:val="center"/>
          </w:tcPr>
          <w:p w14:paraId="7C07F2C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2802 (31.2)</w:t>
            </w:r>
          </w:p>
        </w:tc>
        <w:tc>
          <w:tcPr>
            <w:tcW w:w="1062" w:type="pct"/>
            <w:tcBorders>
              <w:top w:val="nil"/>
              <w:left w:val="nil"/>
              <w:bottom w:val="nil"/>
              <w:right w:val="nil"/>
            </w:tcBorders>
            <w:shd w:val="clear" w:color="auto" w:fill="auto"/>
            <w:vAlign w:val="center"/>
          </w:tcPr>
          <w:p w14:paraId="29B7CA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1377 (30.6)</w:t>
            </w:r>
          </w:p>
        </w:tc>
        <w:tc>
          <w:tcPr>
            <w:tcW w:w="979" w:type="pct"/>
            <w:tcBorders>
              <w:top w:val="nil"/>
              <w:left w:val="nil"/>
              <w:bottom w:val="nil"/>
              <w:right w:val="nil"/>
            </w:tcBorders>
            <w:shd w:val="clear" w:color="auto" w:fill="auto"/>
            <w:vAlign w:val="center"/>
          </w:tcPr>
          <w:p w14:paraId="3CC3B8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1425 (31.7)</w:t>
            </w:r>
          </w:p>
        </w:tc>
        <w:tc>
          <w:tcPr>
            <w:tcW w:w="523" w:type="pct"/>
            <w:tcBorders>
              <w:top w:val="nil"/>
              <w:left w:val="nil"/>
              <w:bottom w:val="nil"/>
              <w:right w:val="nil"/>
            </w:tcBorders>
            <w:shd w:val="clear" w:color="auto" w:fill="auto"/>
            <w:vAlign w:val="center"/>
          </w:tcPr>
          <w:p w14:paraId="342BFA1C">
            <w:pPr>
              <w:jc w:val="center"/>
              <w:rPr>
                <w:rFonts w:hint="default" w:ascii="Times New Roman" w:hAnsi="Times New Roman" w:eastAsia="宋体" w:cs="Times New Roman"/>
                <w:i w:val="0"/>
                <w:iCs w:val="0"/>
                <w:color w:val="000000"/>
                <w:sz w:val="21"/>
                <w:szCs w:val="21"/>
                <w:u w:val="none"/>
              </w:rPr>
            </w:pPr>
          </w:p>
        </w:tc>
      </w:tr>
      <w:tr w14:paraId="2ABAD3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2BF20D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Hospital LOS (days)</w:t>
            </w:r>
          </w:p>
        </w:tc>
        <w:tc>
          <w:tcPr>
            <w:tcW w:w="979" w:type="pct"/>
            <w:tcBorders>
              <w:top w:val="nil"/>
              <w:left w:val="nil"/>
              <w:bottom w:val="nil"/>
              <w:right w:val="nil"/>
            </w:tcBorders>
            <w:shd w:val="clear" w:color="auto" w:fill="auto"/>
            <w:vAlign w:val="center"/>
          </w:tcPr>
          <w:p w14:paraId="6CEFCF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9.55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5.92, 15.91</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5DA18D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8.63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5.48, 14.78</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41F046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10.52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6.48, 16.96</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42548E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C79B3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8A400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ICU LOS(days)</w:t>
            </w:r>
          </w:p>
        </w:tc>
        <w:tc>
          <w:tcPr>
            <w:tcW w:w="979" w:type="pct"/>
            <w:tcBorders>
              <w:top w:val="nil"/>
              <w:left w:val="nil"/>
              <w:bottom w:val="nil"/>
              <w:right w:val="nil"/>
            </w:tcBorders>
            <w:shd w:val="clear" w:color="auto" w:fill="auto"/>
            <w:vAlign w:val="center"/>
          </w:tcPr>
          <w:p w14:paraId="1034FAB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3.57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2.02, 7.06</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3E0A8B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3.26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1.91, 6.36</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5E1D299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3.93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2.16, 7.73</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5D1FF8B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042CF8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2C79C3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MFI</w:t>
            </w:r>
          </w:p>
        </w:tc>
        <w:tc>
          <w:tcPr>
            <w:tcW w:w="979" w:type="pct"/>
            <w:tcBorders>
              <w:top w:val="nil"/>
              <w:left w:val="nil"/>
              <w:bottom w:val="nil"/>
              <w:right w:val="nil"/>
            </w:tcBorders>
            <w:shd w:val="clear" w:color="auto" w:fill="auto"/>
            <w:vAlign w:val="center"/>
          </w:tcPr>
          <w:p w14:paraId="20B479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1, 3</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266C72F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1, 2</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23791F8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3, 4</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0746C06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265032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DD5D7D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Scores</w:t>
            </w:r>
          </w:p>
        </w:tc>
        <w:tc>
          <w:tcPr>
            <w:tcW w:w="979" w:type="pct"/>
            <w:tcBorders>
              <w:top w:val="nil"/>
              <w:left w:val="nil"/>
              <w:bottom w:val="nil"/>
              <w:right w:val="nil"/>
            </w:tcBorders>
            <w:shd w:val="clear" w:color="auto" w:fill="auto"/>
            <w:vAlign w:val="center"/>
          </w:tcPr>
          <w:p w14:paraId="4E2F67AC">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54F886B5">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22EE2110">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3B63A80">
            <w:pPr>
              <w:jc w:val="center"/>
              <w:rPr>
                <w:rFonts w:hint="default" w:ascii="Times New Roman" w:hAnsi="Times New Roman" w:eastAsia="宋体" w:cs="Times New Roman"/>
                <w:i w:val="0"/>
                <w:iCs w:val="0"/>
                <w:color w:val="000000"/>
                <w:sz w:val="21"/>
                <w:szCs w:val="21"/>
                <w:u w:val="none"/>
              </w:rPr>
            </w:pPr>
          </w:p>
        </w:tc>
      </w:tr>
      <w:tr w14:paraId="1F92E4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1DC7F48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GCS</w:t>
            </w:r>
          </w:p>
        </w:tc>
        <w:tc>
          <w:tcPr>
            <w:tcW w:w="979" w:type="pct"/>
            <w:tcBorders>
              <w:top w:val="nil"/>
              <w:left w:val="nil"/>
              <w:bottom w:val="nil"/>
              <w:right w:val="nil"/>
            </w:tcBorders>
            <w:shd w:val="clear" w:color="auto" w:fill="auto"/>
            <w:vAlign w:val="center"/>
          </w:tcPr>
          <w:p w14:paraId="5180106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9, 14</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119A8B6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9, 14</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49E1BC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9, 14</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79506E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0A443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A9EF6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Braden score</w:t>
            </w:r>
          </w:p>
        </w:tc>
        <w:tc>
          <w:tcPr>
            <w:tcW w:w="979" w:type="pct"/>
            <w:tcBorders>
              <w:top w:val="nil"/>
              <w:left w:val="nil"/>
              <w:bottom w:val="nil"/>
              <w:right w:val="nil"/>
            </w:tcBorders>
            <w:shd w:val="clear" w:color="auto" w:fill="auto"/>
            <w:vAlign w:val="center"/>
          </w:tcPr>
          <w:p w14:paraId="27FAB9C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13, 16</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017BFB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13, 16</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4C79B4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14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1, 16</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5227C6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0.083</w:t>
            </w:r>
          </w:p>
        </w:tc>
      </w:tr>
      <w:tr w14:paraId="6350AD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EB67DE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SOFA</w:t>
            </w:r>
          </w:p>
        </w:tc>
        <w:tc>
          <w:tcPr>
            <w:tcW w:w="979" w:type="pct"/>
            <w:tcBorders>
              <w:top w:val="nil"/>
              <w:left w:val="nil"/>
              <w:bottom w:val="nil"/>
              <w:right w:val="nil"/>
            </w:tcBorders>
            <w:shd w:val="clear" w:color="auto" w:fill="auto"/>
            <w:vAlign w:val="center"/>
          </w:tcPr>
          <w:p w14:paraId="28EC7D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4, 9</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53FC91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4, 9</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46CB08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4, 9</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4C45B19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0.029</w:t>
            </w:r>
          </w:p>
        </w:tc>
      </w:tr>
      <w:tr w14:paraId="011DE3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E6899D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APSIII</w:t>
            </w:r>
          </w:p>
        </w:tc>
        <w:tc>
          <w:tcPr>
            <w:tcW w:w="979" w:type="pct"/>
            <w:tcBorders>
              <w:top w:val="nil"/>
              <w:left w:val="nil"/>
              <w:bottom w:val="nil"/>
              <w:right w:val="nil"/>
            </w:tcBorders>
            <w:shd w:val="clear" w:color="auto" w:fill="auto"/>
            <w:vAlign w:val="center"/>
          </w:tcPr>
          <w:p w14:paraId="23DACB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r>
              <w:rPr>
                <w:rFonts w:hint="eastAsia" w:ascii="Times New Roman" w:hAnsi="Times New Roman" w:eastAsia="宋体" w:cs="Times New Roman"/>
                <w:i w:val="0"/>
                <w:iCs w:val="0"/>
                <w:color w:val="000000"/>
                <w:kern w:val="0"/>
                <w:sz w:val="21"/>
                <w:szCs w:val="21"/>
                <w:u w:val="none"/>
                <w:lang w:val="en-US" w:eastAsia="zh-CN" w:bidi="ar"/>
              </w:rPr>
              <w:t xml:space="preserve"> (</w:t>
            </w:r>
            <w:r>
              <w:rPr>
                <w:rFonts w:hint="default" w:ascii="Times New Roman" w:hAnsi="Times New Roman" w:eastAsia="宋体" w:cs="Times New Roman"/>
                <w:i w:val="0"/>
                <w:iCs w:val="0"/>
                <w:color w:val="000000"/>
                <w:kern w:val="0"/>
                <w:sz w:val="21"/>
                <w:szCs w:val="21"/>
                <w:u w:val="none"/>
                <w:lang w:val="en-US" w:eastAsia="zh-CN" w:bidi="ar"/>
              </w:rPr>
              <w:t>42, 72</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7822B8B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41, 71.25</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5830D0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55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43, 72</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01262CC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w:t>
            </w:r>
          </w:p>
        </w:tc>
      </w:tr>
      <w:tr w14:paraId="59925A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656B5C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Vital signs</w:t>
            </w:r>
          </w:p>
        </w:tc>
        <w:tc>
          <w:tcPr>
            <w:tcW w:w="979" w:type="pct"/>
            <w:tcBorders>
              <w:top w:val="nil"/>
              <w:left w:val="nil"/>
              <w:bottom w:val="nil"/>
              <w:right w:val="nil"/>
            </w:tcBorders>
            <w:shd w:val="clear" w:color="auto" w:fill="auto"/>
            <w:vAlign w:val="center"/>
          </w:tcPr>
          <w:p w14:paraId="74C5E875">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DD3D3A1">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07DE241B">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741B59E1">
            <w:pPr>
              <w:jc w:val="center"/>
              <w:rPr>
                <w:rFonts w:hint="default" w:ascii="Times New Roman" w:hAnsi="Times New Roman" w:eastAsia="宋体" w:cs="Times New Roman"/>
                <w:i w:val="0"/>
                <w:iCs w:val="0"/>
                <w:color w:val="000000"/>
                <w:sz w:val="21"/>
                <w:szCs w:val="21"/>
                <w:u w:val="none"/>
              </w:rPr>
            </w:pPr>
          </w:p>
        </w:tc>
      </w:tr>
      <w:tr w14:paraId="4A3BD8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2616B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 xml:space="preserve">Temperature, </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0C264F5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36.72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36.44, 37.06</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3DB264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36.72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36.44, 37.06</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42DC440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36.72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36.44, 37.06</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310B37C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0.736</w:t>
            </w:r>
          </w:p>
        </w:tc>
      </w:tr>
      <w:tr w14:paraId="30FB96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433447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Heart rate, beats/min</w:t>
            </w:r>
          </w:p>
        </w:tc>
        <w:tc>
          <w:tcPr>
            <w:tcW w:w="979" w:type="pct"/>
            <w:tcBorders>
              <w:top w:val="nil"/>
              <w:left w:val="nil"/>
              <w:bottom w:val="nil"/>
              <w:right w:val="nil"/>
            </w:tcBorders>
            <w:shd w:val="clear" w:color="auto" w:fill="auto"/>
            <w:vAlign w:val="center"/>
          </w:tcPr>
          <w:p w14:paraId="58327C3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74, 100</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5EC83A5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74, 100</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011B8CC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86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74, 100</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269D6E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0.79</w:t>
            </w:r>
          </w:p>
        </w:tc>
      </w:tr>
      <w:tr w14:paraId="364226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9CE943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MBP, mmHg</w:t>
            </w:r>
          </w:p>
        </w:tc>
        <w:tc>
          <w:tcPr>
            <w:tcW w:w="979" w:type="pct"/>
            <w:tcBorders>
              <w:top w:val="nil"/>
              <w:left w:val="nil"/>
              <w:bottom w:val="nil"/>
              <w:right w:val="nil"/>
            </w:tcBorders>
            <w:shd w:val="clear" w:color="auto" w:fill="auto"/>
            <w:vAlign w:val="center"/>
          </w:tcPr>
          <w:p w14:paraId="65B54D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79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68, 92</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3BA83E0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79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68, 92</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3461002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79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69, 92</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3A3DAA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0.228</w:t>
            </w:r>
          </w:p>
        </w:tc>
      </w:tr>
      <w:tr w14:paraId="57047C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B04D0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Respiration rate, breaths/min</w:t>
            </w:r>
          </w:p>
        </w:tc>
        <w:tc>
          <w:tcPr>
            <w:tcW w:w="979" w:type="pct"/>
            <w:tcBorders>
              <w:top w:val="nil"/>
              <w:left w:val="nil"/>
              <w:bottom w:val="nil"/>
              <w:right w:val="nil"/>
            </w:tcBorders>
            <w:shd w:val="clear" w:color="auto" w:fill="auto"/>
            <w:vAlign w:val="center"/>
          </w:tcPr>
          <w:p w14:paraId="0AD4B9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16, 24</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01683A4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16, 24</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6C6185F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20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16, 24</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481B03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0.071</w:t>
            </w:r>
          </w:p>
        </w:tc>
      </w:tr>
      <w:tr w14:paraId="4477DC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2AE331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Laboratory parameters</w:t>
            </w:r>
          </w:p>
        </w:tc>
        <w:tc>
          <w:tcPr>
            <w:tcW w:w="979" w:type="pct"/>
            <w:tcBorders>
              <w:top w:val="nil"/>
              <w:left w:val="nil"/>
              <w:bottom w:val="nil"/>
              <w:right w:val="nil"/>
            </w:tcBorders>
            <w:shd w:val="clear" w:color="auto" w:fill="auto"/>
            <w:vAlign w:val="center"/>
          </w:tcPr>
          <w:p w14:paraId="69DEB64C">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1719A738">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3F9FB226">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647CD718">
            <w:pPr>
              <w:jc w:val="center"/>
              <w:rPr>
                <w:rFonts w:hint="default" w:ascii="Times New Roman" w:hAnsi="Times New Roman" w:eastAsia="宋体" w:cs="Times New Roman"/>
                <w:i w:val="0"/>
                <w:iCs w:val="0"/>
                <w:color w:val="000000"/>
                <w:sz w:val="21"/>
                <w:szCs w:val="21"/>
                <w:u w:val="none"/>
              </w:rPr>
            </w:pPr>
          </w:p>
        </w:tc>
      </w:tr>
      <w:tr w14:paraId="169024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9CE5CE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White blood cell (10</w:t>
            </w:r>
            <w:r>
              <w:rPr>
                <w:rFonts w:hint="default" w:ascii="Times New Roman" w:hAnsi="Times New Roman" w:eastAsia="宋体" w:cs="Times New Roman"/>
                <w:i w:val="0"/>
                <w:iCs w:val="0"/>
                <w:color w:val="000000"/>
                <w:kern w:val="0"/>
                <w:sz w:val="21"/>
                <w:szCs w:val="21"/>
                <w:u w:val="none"/>
                <w:vertAlign w:val="superscript"/>
                <w:lang w:val="en-US" w:eastAsia="zh-CN" w:bidi="ar"/>
              </w:rPr>
              <w:t>9</w:t>
            </w:r>
            <w:r>
              <w:rPr>
                <w:rFonts w:hint="default" w:ascii="Times New Roman" w:hAnsi="Times New Roman" w:eastAsia="宋体" w:cs="Times New Roman"/>
                <w:i w:val="0"/>
                <w:iCs w:val="0"/>
                <w:color w:val="000000"/>
                <w:kern w:val="0"/>
                <w:sz w:val="21"/>
                <w:szCs w:val="21"/>
                <w:u w:val="none"/>
                <w:lang w:val="en-US" w:eastAsia="zh-CN" w:bidi="ar"/>
              </w:rPr>
              <w:t>/L)</w:t>
            </w:r>
          </w:p>
        </w:tc>
        <w:tc>
          <w:tcPr>
            <w:tcW w:w="979" w:type="pct"/>
            <w:tcBorders>
              <w:top w:val="nil"/>
              <w:left w:val="nil"/>
              <w:bottom w:val="nil"/>
              <w:right w:val="nil"/>
            </w:tcBorders>
            <w:shd w:val="clear" w:color="auto" w:fill="auto"/>
            <w:vAlign w:val="center"/>
          </w:tcPr>
          <w:p w14:paraId="492D5A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11.4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8.0, 16.0</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22054EA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7.8, 16.1</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77793FA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11.5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8.2, 16.0</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7601EA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0.072</w:t>
            </w:r>
          </w:p>
        </w:tc>
      </w:tr>
      <w:tr w14:paraId="731098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53EDE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Red blood cell (10</w:t>
            </w:r>
            <w:r>
              <w:rPr>
                <w:rFonts w:hint="default" w:ascii="Times New Roman" w:hAnsi="Times New Roman" w:eastAsia="宋体" w:cs="Times New Roman"/>
                <w:i w:val="0"/>
                <w:iCs w:val="0"/>
                <w:color w:val="000000"/>
                <w:kern w:val="0"/>
                <w:sz w:val="21"/>
                <w:szCs w:val="21"/>
                <w:u w:val="none"/>
                <w:vertAlign w:val="superscript"/>
                <w:lang w:val="en-US" w:eastAsia="zh-CN" w:bidi="ar"/>
              </w:rPr>
              <w:t>9</w:t>
            </w:r>
            <w:r>
              <w:rPr>
                <w:rFonts w:hint="default" w:ascii="Times New Roman" w:hAnsi="Times New Roman" w:eastAsia="宋体" w:cs="Times New Roman"/>
                <w:i w:val="0"/>
                <w:iCs w:val="0"/>
                <w:color w:val="000000"/>
                <w:kern w:val="0"/>
                <w:sz w:val="21"/>
                <w:szCs w:val="21"/>
                <w:u w:val="none"/>
                <w:lang w:val="en-US" w:eastAsia="zh-CN" w:bidi="ar"/>
              </w:rPr>
              <w:t>/L)</w:t>
            </w:r>
          </w:p>
        </w:tc>
        <w:tc>
          <w:tcPr>
            <w:tcW w:w="979" w:type="pct"/>
            <w:tcBorders>
              <w:top w:val="nil"/>
              <w:left w:val="nil"/>
              <w:bottom w:val="nil"/>
              <w:right w:val="nil"/>
            </w:tcBorders>
            <w:shd w:val="clear" w:color="auto" w:fill="auto"/>
            <w:vAlign w:val="center"/>
          </w:tcPr>
          <w:p w14:paraId="4899AA4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3.41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2.90, 3.96</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7E664AA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3.42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2.89, 3.96</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46FF5B1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3.41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2.92, 3.96</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0C1E016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0.693</w:t>
            </w:r>
          </w:p>
        </w:tc>
      </w:tr>
      <w:tr w14:paraId="4603B2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F91A6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Hemoglobin (g/L)</w:t>
            </w:r>
          </w:p>
        </w:tc>
        <w:tc>
          <w:tcPr>
            <w:tcW w:w="979" w:type="pct"/>
            <w:tcBorders>
              <w:top w:val="nil"/>
              <w:left w:val="nil"/>
              <w:bottom w:val="nil"/>
              <w:right w:val="nil"/>
            </w:tcBorders>
            <w:shd w:val="clear" w:color="auto" w:fill="auto"/>
            <w:vAlign w:val="center"/>
          </w:tcPr>
          <w:p w14:paraId="65B595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10.0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8.6, 11.7</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79E43C4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10.1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8.6, 11.7</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56E1863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10.0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8.6, 11.7</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1B7E29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0.503</w:t>
            </w:r>
          </w:p>
        </w:tc>
      </w:tr>
      <w:tr w14:paraId="1BBBF8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1D742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Platelet (10</w:t>
            </w:r>
            <w:r>
              <w:rPr>
                <w:rFonts w:hint="default" w:ascii="Times New Roman" w:hAnsi="Times New Roman" w:eastAsia="宋体" w:cs="Times New Roman"/>
                <w:i w:val="0"/>
                <w:iCs w:val="0"/>
                <w:color w:val="000000"/>
                <w:kern w:val="0"/>
                <w:sz w:val="21"/>
                <w:szCs w:val="21"/>
                <w:u w:val="none"/>
                <w:vertAlign w:val="superscript"/>
                <w:lang w:val="en-US" w:eastAsia="zh-CN" w:bidi="ar"/>
              </w:rPr>
              <w:t>9</w:t>
            </w:r>
            <w:r>
              <w:rPr>
                <w:rFonts w:hint="default" w:ascii="Times New Roman" w:hAnsi="Times New Roman" w:eastAsia="宋体" w:cs="Times New Roman"/>
                <w:i w:val="0"/>
                <w:iCs w:val="0"/>
                <w:color w:val="000000"/>
                <w:kern w:val="0"/>
                <w:sz w:val="21"/>
                <w:szCs w:val="21"/>
                <w:u w:val="none"/>
                <w:lang w:val="en-US" w:eastAsia="zh-CN" w:bidi="ar"/>
              </w:rPr>
              <w:t>/L)</w:t>
            </w:r>
          </w:p>
        </w:tc>
        <w:tc>
          <w:tcPr>
            <w:tcW w:w="979" w:type="pct"/>
            <w:tcBorders>
              <w:top w:val="nil"/>
              <w:left w:val="nil"/>
              <w:bottom w:val="nil"/>
              <w:right w:val="nil"/>
            </w:tcBorders>
            <w:shd w:val="clear" w:color="auto" w:fill="auto"/>
            <w:vAlign w:val="center"/>
          </w:tcPr>
          <w:p w14:paraId="1C8D943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188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132.75, 260</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747D16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185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129, 259</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3F50535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192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136, 262</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5FB91FA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w:t>
            </w:r>
          </w:p>
        </w:tc>
      </w:tr>
      <w:tr w14:paraId="7CB978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A32C5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Albumin (g/dL)</w:t>
            </w:r>
          </w:p>
        </w:tc>
        <w:tc>
          <w:tcPr>
            <w:tcW w:w="979" w:type="pct"/>
            <w:tcBorders>
              <w:top w:val="nil"/>
              <w:left w:val="nil"/>
              <w:bottom w:val="nil"/>
              <w:right w:val="nil"/>
            </w:tcBorders>
            <w:shd w:val="clear" w:color="auto" w:fill="auto"/>
            <w:vAlign w:val="center"/>
          </w:tcPr>
          <w:p w14:paraId="4A99894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2.8, 3.8</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216E166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2.8, 3.8</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5EFE83E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3.3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2.8, 3.8</w:t>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756D9C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0.95</w:t>
            </w:r>
          </w:p>
        </w:tc>
      </w:tr>
      <w:tr w14:paraId="272F17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5631F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Lactate (mmol/L)</w:t>
            </w:r>
          </w:p>
        </w:tc>
        <w:tc>
          <w:tcPr>
            <w:tcW w:w="979" w:type="pct"/>
            <w:tcBorders>
              <w:top w:val="nil"/>
              <w:left w:val="nil"/>
              <w:bottom w:val="nil"/>
              <w:right w:val="nil"/>
            </w:tcBorders>
            <w:shd w:val="clear" w:color="auto" w:fill="auto"/>
            <w:vAlign w:val="center"/>
          </w:tcPr>
          <w:p w14:paraId="100D6C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1.2, 2.5</w:t>
            </w:r>
            <w:r>
              <w:rPr>
                <w:rFonts w:hint="eastAsia" w:ascii="Times New Roman" w:hAnsi="Times New Roman" w:eastAsia="宋体" w:cs="Times New Roman"/>
                <w:i w:val="0"/>
                <w:iCs w:val="0"/>
                <w:color w:val="000000"/>
                <w:kern w:val="0"/>
                <w:sz w:val="21"/>
                <w:szCs w:val="21"/>
                <w:u w:val="none"/>
                <w:lang w:val="en-US" w:eastAsia="zh-CN" w:bidi="ar"/>
              </w:rPr>
              <w:t>)</w:t>
            </w:r>
          </w:p>
        </w:tc>
        <w:tc>
          <w:tcPr>
            <w:tcW w:w="1062" w:type="pct"/>
            <w:tcBorders>
              <w:top w:val="nil"/>
              <w:left w:val="nil"/>
              <w:bottom w:val="nil"/>
              <w:right w:val="nil"/>
            </w:tcBorders>
            <w:shd w:val="clear" w:color="auto" w:fill="auto"/>
            <w:vAlign w:val="center"/>
          </w:tcPr>
          <w:p w14:paraId="38812F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1.7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1.2, 2.5</w:t>
            </w:r>
            <w:r>
              <w:rPr>
                <w:rFonts w:hint="eastAsia" w:ascii="Times New Roman" w:hAnsi="Times New Roman" w:eastAsia="宋体" w:cs="Times New Roman"/>
                <w:i w:val="0"/>
                <w:iCs w:val="0"/>
                <w:color w:val="000000"/>
                <w:kern w:val="0"/>
                <w:sz w:val="21"/>
                <w:szCs w:val="21"/>
                <w:u w:val="none"/>
                <w:lang w:val="en-US" w:eastAsia="zh-CN" w:bidi="ar"/>
              </w:rPr>
              <w:t>)</w:t>
            </w:r>
          </w:p>
        </w:tc>
        <w:tc>
          <w:tcPr>
            <w:tcW w:w="979" w:type="pct"/>
            <w:tcBorders>
              <w:top w:val="nil"/>
              <w:left w:val="nil"/>
              <w:bottom w:val="nil"/>
              <w:right w:val="nil"/>
            </w:tcBorders>
            <w:shd w:val="clear" w:color="auto" w:fill="auto"/>
            <w:vAlign w:val="center"/>
          </w:tcPr>
          <w:p w14:paraId="19B00C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Times New Roman" w:hAnsi="Times New Roman" w:eastAsia="宋体" w:cs="Times New Roman"/>
                <w:i w:val="0"/>
                <w:iCs w:val="0"/>
                <w:color w:val="000000"/>
                <w:kern w:val="0"/>
                <w:sz w:val="21"/>
                <w:szCs w:val="21"/>
                <w:u w:val="none"/>
                <w:lang w:val="en-US" w:eastAsia="zh-CN" w:bidi="ar"/>
              </w:rPr>
              <w:t>7</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1.2, 2.5</w:t>
            </w:r>
            <w:r>
              <w:rPr>
                <w:rFonts w:hint="default" w:ascii="Times New Roman" w:hAnsi="Times New Roman" w:eastAsia="宋体" w:cs="Times New Roman"/>
                <w:i w:val="0"/>
                <w:iCs w:val="0"/>
                <w:color w:val="000000"/>
                <w:kern w:val="0"/>
                <w:sz w:val="21"/>
                <w:szCs w:val="21"/>
                <w:u w:val="none"/>
                <w:lang w:val="en-US" w:eastAsia="zh-CN" w:bidi="ar"/>
              </w:rPr>
              <w:fldChar w:fldCharType="begin"/>
            </w:r>
            <w:r>
              <w:rPr>
                <w:rFonts w:hint="eastAsia" w:ascii="Times New Roman" w:hAnsi="Times New Roman" w:eastAsia="宋体" w:cs="Times New Roman"/>
                <w:i w:val="0"/>
                <w:iCs w:val="0"/>
                <w:color w:val="000000"/>
                <w:kern w:val="0"/>
                <w:sz w:val="21"/>
                <w:szCs w:val="21"/>
                <w:u w:val="none"/>
                <w:lang w:val="en-US" w:eastAsia="zh-CN" w:bidi="ar"/>
              </w:rPr>
              <w:instrText xml:space="preserve"> ADDIN NE.Ref.{5C08A77A-88CB-471A-BE66-C478CF2CDD45}</w:instrText>
            </w:r>
            <w:r>
              <w:rPr>
                <w:rFonts w:hint="default" w:ascii="Times New Roman" w:hAnsi="Times New Roman" w:eastAsia="宋体" w:cs="Times New Roman"/>
                <w:i w:val="0"/>
                <w:iCs w:val="0"/>
                <w:color w:val="000000"/>
                <w:kern w:val="0"/>
                <w:sz w:val="21"/>
                <w:szCs w:val="21"/>
                <w:u w:val="none"/>
                <w:lang w:val="en-US" w:eastAsia="zh-CN" w:bidi="ar"/>
              </w:rPr>
              <w:fldChar w:fldCharType="separate"/>
            </w:r>
            <w:r>
              <w:rPr>
                <w:rFonts w:hint="eastAsia" w:ascii="宋体" w:hAnsi="宋体"/>
                <w:color w:val="000000"/>
                <w:sz w:val="21"/>
                <w:szCs w:val="24"/>
                <w:vertAlign w:val="superscript"/>
              </w:rPr>
              <w:t>1</w:t>
            </w:r>
            <w:r>
              <w:rPr>
                <w:rFonts w:hint="default" w:ascii="Times New Roman" w:hAnsi="Times New Roman" w:eastAsia="宋体" w:cs="Times New Roman"/>
                <w:i w:val="0"/>
                <w:iCs w:val="0"/>
                <w:color w:val="000000"/>
                <w:kern w:val="0"/>
                <w:sz w:val="21"/>
                <w:szCs w:val="21"/>
                <w:u w:val="none"/>
                <w:lang w:val="en-US" w:eastAsia="zh-CN" w:bidi="ar"/>
              </w:rPr>
              <w:fldChar w:fldCharType="end"/>
            </w:r>
            <w:r>
              <w:rPr>
                <w:rFonts w:hint="eastAsia" w:ascii="Times New Roman" w:hAnsi="Times New Roman" w:eastAsia="宋体" w:cs="Times New Roman"/>
                <w:i w:val="0"/>
                <w:iCs w:val="0"/>
                <w:color w:val="000000"/>
                <w:kern w:val="0"/>
                <w:sz w:val="21"/>
                <w:szCs w:val="21"/>
                <w:u w:val="none"/>
                <w:lang w:val="en-US" w:eastAsia="zh-CN" w:bidi="ar"/>
              </w:rPr>
              <w:t>)</w:t>
            </w:r>
          </w:p>
        </w:tc>
        <w:tc>
          <w:tcPr>
            <w:tcW w:w="523" w:type="pct"/>
            <w:tcBorders>
              <w:top w:val="nil"/>
              <w:left w:val="nil"/>
              <w:bottom w:val="nil"/>
              <w:right w:val="nil"/>
            </w:tcBorders>
            <w:shd w:val="clear" w:color="auto" w:fill="auto"/>
            <w:vAlign w:val="center"/>
          </w:tcPr>
          <w:p w14:paraId="390FF90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0.909</w:t>
            </w:r>
          </w:p>
        </w:tc>
      </w:tr>
      <w:tr w14:paraId="3781CF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1518144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Comorbidities</w:t>
            </w:r>
          </w:p>
        </w:tc>
        <w:tc>
          <w:tcPr>
            <w:tcW w:w="979" w:type="pct"/>
            <w:tcBorders>
              <w:top w:val="nil"/>
              <w:left w:val="nil"/>
              <w:bottom w:val="nil"/>
              <w:right w:val="nil"/>
            </w:tcBorders>
            <w:shd w:val="clear" w:color="auto" w:fill="auto"/>
            <w:vAlign w:val="center"/>
          </w:tcPr>
          <w:p w14:paraId="09A61AD4">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5BCC9069">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176936B7">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226F3C4C">
            <w:pPr>
              <w:jc w:val="center"/>
              <w:rPr>
                <w:rFonts w:hint="default" w:ascii="Times New Roman" w:hAnsi="Times New Roman" w:eastAsia="宋体" w:cs="Times New Roman"/>
                <w:i w:val="0"/>
                <w:iCs w:val="0"/>
                <w:color w:val="000000"/>
                <w:sz w:val="21"/>
                <w:szCs w:val="21"/>
                <w:u w:val="none"/>
              </w:rPr>
            </w:pPr>
          </w:p>
        </w:tc>
      </w:tr>
      <w:tr w14:paraId="2DBA3C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0FF2FB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Myocardial infarct (%)</w:t>
            </w:r>
          </w:p>
        </w:tc>
        <w:tc>
          <w:tcPr>
            <w:tcW w:w="979" w:type="pct"/>
            <w:tcBorders>
              <w:top w:val="nil"/>
              <w:left w:val="nil"/>
              <w:bottom w:val="nil"/>
              <w:right w:val="nil"/>
            </w:tcBorders>
            <w:shd w:val="clear" w:color="auto" w:fill="auto"/>
            <w:vAlign w:val="center"/>
          </w:tcPr>
          <w:p w14:paraId="112D56C0">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30C681CA">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41D3FC73">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0F8441E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D8F37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B55C5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763D22E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2435 (27.1)</w:t>
            </w:r>
          </w:p>
        </w:tc>
        <w:tc>
          <w:tcPr>
            <w:tcW w:w="1062" w:type="pct"/>
            <w:tcBorders>
              <w:top w:val="nil"/>
              <w:left w:val="nil"/>
              <w:bottom w:val="nil"/>
              <w:right w:val="nil"/>
            </w:tcBorders>
            <w:shd w:val="clear" w:color="auto" w:fill="auto"/>
            <w:vAlign w:val="center"/>
          </w:tcPr>
          <w:p w14:paraId="3BB4E3F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 (9.1)</w:t>
            </w:r>
          </w:p>
        </w:tc>
        <w:tc>
          <w:tcPr>
            <w:tcW w:w="979" w:type="pct"/>
            <w:tcBorders>
              <w:top w:val="nil"/>
              <w:left w:val="nil"/>
              <w:bottom w:val="nil"/>
              <w:right w:val="nil"/>
            </w:tcBorders>
            <w:shd w:val="clear" w:color="auto" w:fill="auto"/>
            <w:vAlign w:val="center"/>
          </w:tcPr>
          <w:p w14:paraId="7AF2EEE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2024 (45.0)</w:t>
            </w:r>
          </w:p>
        </w:tc>
        <w:tc>
          <w:tcPr>
            <w:tcW w:w="523" w:type="pct"/>
            <w:tcBorders>
              <w:top w:val="nil"/>
              <w:left w:val="nil"/>
              <w:bottom w:val="nil"/>
              <w:right w:val="nil"/>
            </w:tcBorders>
            <w:shd w:val="clear" w:color="auto" w:fill="auto"/>
            <w:vAlign w:val="center"/>
          </w:tcPr>
          <w:p w14:paraId="3F44085B">
            <w:pPr>
              <w:jc w:val="center"/>
              <w:rPr>
                <w:rFonts w:hint="default" w:ascii="Times New Roman" w:hAnsi="Times New Roman" w:eastAsia="宋体" w:cs="Times New Roman"/>
                <w:i w:val="0"/>
                <w:iCs w:val="0"/>
                <w:color w:val="000000"/>
                <w:sz w:val="21"/>
                <w:szCs w:val="21"/>
                <w:u w:val="none"/>
              </w:rPr>
            </w:pPr>
          </w:p>
        </w:tc>
      </w:tr>
      <w:tr w14:paraId="73D3B6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A5D5C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537987A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6557 (72.9)</w:t>
            </w:r>
          </w:p>
        </w:tc>
        <w:tc>
          <w:tcPr>
            <w:tcW w:w="1062" w:type="pct"/>
            <w:tcBorders>
              <w:top w:val="nil"/>
              <w:left w:val="nil"/>
              <w:bottom w:val="nil"/>
              <w:right w:val="nil"/>
            </w:tcBorders>
            <w:shd w:val="clear" w:color="auto" w:fill="auto"/>
            <w:vAlign w:val="center"/>
          </w:tcPr>
          <w:p w14:paraId="510DB9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4085 (90.9)</w:t>
            </w:r>
          </w:p>
        </w:tc>
        <w:tc>
          <w:tcPr>
            <w:tcW w:w="979" w:type="pct"/>
            <w:tcBorders>
              <w:top w:val="nil"/>
              <w:left w:val="nil"/>
              <w:bottom w:val="nil"/>
              <w:right w:val="nil"/>
            </w:tcBorders>
            <w:shd w:val="clear" w:color="auto" w:fill="auto"/>
            <w:vAlign w:val="center"/>
          </w:tcPr>
          <w:p w14:paraId="5FDEA3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2472 (55.0)</w:t>
            </w:r>
          </w:p>
        </w:tc>
        <w:tc>
          <w:tcPr>
            <w:tcW w:w="523" w:type="pct"/>
            <w:tcBorders>
              <w:top w:val="nil"/>
              <w:left w:val="nil"/>
              <w:bottom w:val="nil"/>
              <w:right w:val="nil"/>
            </w:tcBorders>
            <w:shd w:val="clear" w:color="auto" w:fill="auto"/>
            <w:vAlign w:val="center"/>
          </w:tcPr>
          <w:p w14:paraId="5C1B0BA8">
            <w:pPr>
              <w:jc w:val="center"/>
              <w:rPr>
                <w:rFonts w:hint="default" w:ascii="Times New Roman" w:hAnsi="Times New Roman" w:eastAsia="宋体" w:cs="Times New Roman"/>
                <w:i w:val="0"/>
                <w:iCs w:val="0"/>
                <w:color w:val="000000"/>
                <w:sz w:val="21"/>
                <w:szCs w:val="21"/>
                <w:u w:val="none"/>
              </w:rPr>
            </w:pPr>
          </w:p>
        </w:tc>
      </w:tr>
      <w:tr w14:paraId="773168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27254C1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Congestive heart failure (%)</w:t>
            </w:r>
          </w:p>
        </w:tc>
        <w:tc>
          <w:tcPr>
            <w:tcW w:w="979" w:type="pct"/>
            <w:tcBorders>
              <w:top w:val="nil"/>
              <w:left w:val="nil"/>
              <w:bottom w:val="nil"/>
              <w:right w:val="nil"/>
            </w:tcBorders>
            <w:shd w:val="clear" w:color="auto" w:fill="auto"/>
            <w:vAlign w:val="center"/>
          </w:tcPr>
          <w:p w14:paraId="273088F7">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6AC7F25C">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7DDA26AC">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26D34F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B67BA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0023A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0B5A0CB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4391 (48.8)</w:t>
            </w:r>
          </w:p>
        </w:tc>
        <w:tc>
          <w:tcPr>
            <w:tcW w:w="1062" w:type="pct"/>
            <w:tcBorders>
              <w:top w:val="nil"/>
              <w:left w:val="nil"/>
              <w:bottom w:val="nil"/>
              <w:right w:val="nil"/>
            </w:tcBorders>
            <w:shd w:val="clear" w:color="auto" w:fill="auto"/>
            <w:vAlign w:val="center"/>
          </w:tcPr>
          <w:p w14:paraId="16FAA1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1379 (30.7)</w:t>
            </w:r>
          </w:p>
        </w:tc>
        <w:tc>
          <w:tcPr>
            <w:tcW w:w="979" w:type="pct"/>
            <w:tcBorders>
              <w:top w:val="nil"/>
              <w:left w:val="nil"/>
              <w:bottom w:val="nil"/>
              <w:right w:val="nil"/>
            </w:tcBorders>
            <w:shd w:val="clear" w:color="auto" w:fill="auto"/>
            <w:vAlign w:val="center"/>
          </w:tcPr>
          <w:p w14:paraId="01761A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3012 (67.0)</w:t>
            </w:r>
          </w:p>
        </w:tc>
        <w:tc>
          <w:tcPr>
            <w:tcW w:w="523" w:type="pct"/>
            <w:tcBorders>
              <w:top w:val="nil"/>
              <w:left w:val="nil"/>
              <w:bottom w:val="nil"/>
              <w:right w:val="nil"/>
            </w:tcBorders>
            <w:shd w:val="clear" w:color="auto" w:fill="auto"/>
            <w:vAlign w:val="center"/>
          </w:tcPr>
          <w:p w14:paraId="05C26FEE">
            <w:pPr>
              <w:jc w:val="center"/>
              <w:rPr>
                <w:rFonts w:hint="default" w:ascii="Times New Roman" w:hAnsi="Times New Roman" w:eastAsia="宋体" w:cs="Times New Roman"/>
                <w:i w:val="0"/>
                <w:iCs w:val="0"/>
                <w:color w:val="000000"/>
                <w:sz w:val="21"/>
                <w:szCs w:val="21"/>
                <w:u w:val="none"/>
              </w:rPr>
            </w:pPr>
          </w:p>
        </w:tc>
      </w:tr>
      <w:tr w14:paraId="145F15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670E8A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61E4EB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4601 (51.2)</w:t>
            </w:r>
          </w:p>
        </w:tc>
        <w:tc>
          <w:tcPr>
            <w:tcW w:w="1062" w:type="pct"/>
            <w:tcBorders>
              <w:top w:val="nil"/>
              <w:left w:val="nil"/>
              <w:bottom w:val="nil"/>
              <w:right w:val="nil"/>
            </w:tcBorders>
            <w:shd w:val="clear" w:color="auto" w:fill="auto"/>
            <w:vAlign w:val="center"/>
          </w:tcPr>
          <w:p w14:paraId="2C3FB95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3117 (69.3)</w:t>
            </w:r>
          </w:p>
        </w:tc>
        <w:tc>
          <w:tcPr>
            <w:tcW w:w="979" w:type="pct"/>
            <w:tcBorders>
              <w:top w:val="nil"/>
              <w:left w:val="nil"/>
              <w:bottom w:val="nil"/>
              <w:right w:val="nil"/>
            </w:tcBorders>
            <w:shd w:val="clear" w:color="auto" w:fill="auto"/>
            <w:vAlign w:val="center"/>
          </w:tcPr>
          <w:p w14:paraId="78FDA8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1484 (33.0)</w:t>
            </w:r>
          </w:p>
        </w:tc>
        <w:tc>
          <w:tcPr>
            <w:tcW w:w="523" w:type="pct"/>
            <w:tcBorders>
              <w:top w:val="nil"/>
              <w:left w:val="nil"/>
              <w:bottom w:val="nil"/>
              <w:right w:val="nil"/>
            </w:tcBorders>
            <w:shd w:val="clear" w:color="auto" w:fill="auto"/>
            <w:vAlign w:val="center"/>
          </w:tcPr>
          <w:p w14:paraId="55C962D9">
            <w:pPr>
              <w:jc w:val="center"/>
              <w:rPr>
                <w:rFonts w:hint="default" w:ascii="Times New Roman" w:hAnsi="Times New Roman" w:eastAsia="宋体" w:cs="Times New Roman"/>
                <w:i w:val="0"/>
                <w:iCs w:val="0"/>
                <w:color w:val="000000"/>
                <w:sz w:val="21"/>
                <w:szCs w:val="21"/>
                <w:u w:val="none"/>
              </w:rPr>
            </w:pPr>
          </w:p>
        </w:tc>
      </w:tr>
      <w:tr w14:paraId="02FED8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16B479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Chronic pulmonary disease (%)</w:t>
            </w:r>
          </w:p>
        </w:tc>
        <w:tc>
          <w:tcPr>
            <w:tcW w:w="979" w:type="pct"/>
            <w:tcBorders>
              <w:top w:val="nil"/>
              <w:left w:val="nil"/>
              <w:bottom w:val="nil"/>
              <w:right w:val="nil"/>
            </w:tcBorders>
            <w:shd w:val="clear" w:color="auto" w:fill="auto"/>
            <w:vAlign w:val="center"/>
          </w:tcPr>
          <w:p w14:paraId="06902226">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5C8B92E">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193C0574">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2B1A2A9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53F11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91C6D4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04B45B2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3069 (34.1)</w:t>
            </w:r>
          </w:p>
        </w:tc>
        <w:tc>
          <w:tcPr>
            <w:tcW w:w="1062" w:type="pct"/>
            <w:tcBorders>
              <w:top w:val="nil"/>
              <w:left w:val="nil"/>
              <w:bottom w:val="nil"/>
              <w:right w:val="nil"/>
            </w:tcBorders>
            <w:shd w:val="clear" w:color="auto" w:fill="auto"/>
            <w:vAlign w:val="center"/>
          </w:tcPr>
          <w:p w14:paraId="1C9081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1223 (27.2)</w:t>
            </w:r>
          </w:p>
        </w:tc>
        <w:tc>
          <w:tcPr>
            <w:tcW w:w="979" w:type="pct"/>
            <w:tcBorders>
              <w:top w:val="nil"/>
              <w:left w:val="nil"/>
              <w:bottom w:val="nil"/>
              <w:right w:val="nil"/>
            </w:tcBorders>
            <w:shd w:val="clear" w:color="auto" w:fill="auto"/>
            <w:vAlign w:val="center"/>
          </w:tcPr>
          <w:p w14:paraId="321F0B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1846 (41.1)</w:t>
            </w:r>
          </w:p>
        </w:tc>
        <w:tc>
          <w:tcPr>
            <w:tcW w:w="523" w:type="pct"/>
            <w:tcBorders>
              <w:top w:val="nil"/>
              <w:left w:val="nil"/>
              <w:bottom w:val="nil"/>
              <w:right w:val="nil"/>
            </w:tcBorders>
            <w:shd w:val="clear" w:color="auto" w:fill="auto"/>
            <w:vAlign w:val="center"/>
          </w:tcPr>
          <w:p w14:paraId="5B0EBAEE">
            <w:pPr>
              <w:jc w:val="center"/>
              <w:rPr>
                <w:rFonts w:hint="default" w:ascii="Times New Roman" w:hAnsi="Times New Roman" w:eastAsia="宋体" w:cs="Times New Roman"/>
                <w:i w:val="0"/>
                <w:iCs w:val="0"/>
                <w:color w:val="000000"/>
                <w:sz w:val="21"/>
                <w:szCs w:val="21"/>
                <w:u w:val="none"/>
              </w:rPr>
            </w:pPr>
          </w:p>
        </w:tc>
      </w:tr>
      <w:tr w14:paraId="296FB8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FD32C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3669EF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5923 (65.9)</w:t>
            </w:r>
          </w:p>
        </w:tc>
        <w:tc>
          <w:tcPr>
            <w:tcW w:w="1062" w:type="pct"/>
            <w:tcBorders>
              <w:top w:val="nil"/>
              <w:left w:val="nil"/>
              <w:bottom w:val="nil"/>
              <w:right w:val="nil"/>
            </w:tcBorders>
            <w:shd w:val="clear" w:color="auto" w:fill="auto"/>
            <w:vAlign w:val="center"/>
          </w:tcPr>
          <w:p w14:paraId="46A655B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3273 (72.8)</w:t>
            </w:r>
          </w:p>
        </w:tc>
        <w:tc>
          <w:tcPr>
            <w:tcW w:w="979" w:type="pct"/>
            <w:tcBorders>
              <w:top w:val="nil"/>
              <w:left w:val="nil"/>
              <w:bottom w:val="nil"/>
              <w:right w:val="nil"/>
            </w:tcBorders>
            <w:shd w:val="clear" w:color="auto" w:fill="auto"/>
            <w:vAlign w:val="center"/>
          </w:tcPr>
          <w:p w14:paraId="553E02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2650 (58.9)</w:t>
            </w:r>
          </w:p>
        </w:tc>
        <w:tc>
          <w:tcPr>
            <w:tcW w:w="523" w:type="pct"/>
            <w:tcBorders>
              <w:top w:val="nil"/>
              <w:left w:val="nil"/>
              <w:bottom w:val="nil"/>
              <w:right w:val="nil"/>
            </w:tcBorders>
            <w:shd w:val="clear" w:color="auto" w:fill="auto"/>
            <w:vAlign w:val="center"/>
          </w:tcPr>
          <w:p w14:paraId="02280E2A">
            <w:pPr>
              <w:jc w:val="center"/>
              <w:rPr>
                <w:rFonts w:hint="default" w:ascii="Times New Roman" w:hAnsi="Times New Roman" w:eastAsia="宋体" w:cs="Times New Roman"/>
                <w:i w:val="0"/>
                <w:iCs w:val="0"/>
                <w:color w:val="000000"/>
                <w:sz w:val="21"/>
                <w:szCs w:val="21"/>
                <w:u w:val="none"/>
              </w:rPr>
            </w:pPr>
          </w:p>
        </w:tc>
      </w:tr>
      <w:tr w14:paraId="083184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5366C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Liver disease (%)</w:t>
            </w:r>
          </w:p>
        </w:tc>
        <w:tc>
          <w:tcPr>
            <w:tcW w:w="979" w:type="pct"/>
            <w:tcBorders>
              <w:top w:val="nil"/>
              <w:left w:val="nil"/>
              <w:bottom w:val="nil"/>
              <w:right w:val="nil"/>
            </w:tcBorders>
            <w:shd w:val="clear" w:color="auto" w:fill="auto"/>
            <w:vAlign w:val="center"/>
          </w:tcPr>
          <w:p w14:paraId="0B25FD83">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2D4A012F">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4713E259">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23B220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w:t>
            </w:r>
          </w:p>
        </w:tc>
      </w:tr>
      <w:tr w14:paraId="0C719E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9A31F9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1BEC39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964 (10.7)</w:t>
            </w:r>
          </w:p>
        </w:tc>
        <w:tc>
          <w:tcPr>
            <w:tcW w:w="1062" w:type="pct"/>
            <w:tcBorders>
              <w:top w:val="nil"/>
              <w:left w:val="nil"/>
              <w:bottom w:val="nil"/>
              <w:right w:val="nil"/>
            </w:tcBorders>
            <w:shd w:val="clear" w:color="auto" w:fill="auto"/>
            <w:vAlign w:val="center"/>
          </w:tcPr>
          <w:p w14:paraId="3C9F0C0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530 (11.8)</w:t>
            </w:r>
          </w:p>
        </w:tc>
        <w:tc>
          <w:tcPr>
            <w:tcW w:w="979" w:type="pct"/>
            <w:tcBorders>
              <w:top w:val="nil"/>
              <w:left w:val="nil"/>
              <w:bottom w:val="nil"/>
              <w:right w:val="nil"/>
            </w:tcBorders>
            <w:shd w:val="clear" w:color="auto" w:fill="auto"/>
            <w:vAlign w:val="center"/>
          </w:tcPr>
          <w:p w14:paraId="0B9FEF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434 (9.7)</w:t>
            </w:r>
          </w:p>
        </w:tc>
        <w:tc>
          <w:tcPr>
            <w:tcW w:w="523" w:type="pct"/>
            <w:tcBorders>
              <w:top w:val="nil"/>
              <w:left w:val="nil"/>
              <w:bottom w:val="nil"/>
              <w:right w:val="nil"/>
            </w:tcBorders>
            <w:shd w:val="clear" w:color="auto" w:fill="auto"/>
            <w:vAlign w:val="center"/>
          </w:tcPr>
          <w:p w14:paraId="1B9F38C5">
            <w:pPr>
              <w:jc w:val="center"/>
              <w:rPr>
                <w:rFonts w:hint="default" w:ascii="Times New Roman" w:hAnsi="Times New Roman" w:eastAsia="宋体" w:cs="Times New Roman"/>
                <w:i w:val="0"/>
                <w:iCs w:val="0"/>
                <w:color w:val="000000"/>
                <w:sz w:val="21"/>
                <w:szCs w:val="21"/>
                <w:u w:val="none"/>
              </w:rPr>
            </w:pPr>
          </w:p>
        </w:tc>
      </w:tr>
      <w:tr w14:paraId="68A08C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136C8A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1AB2B3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8028 (89.3)</w:t>
            </w:r>
          </w:p>
        </w:tc>
        <w:tc>
          <w:tcPr>
            <w:tcW w:w="1062" w:type="pct"/>
            <w:tcBorders>
              <w:top w:val="nil"/>
              <w:left w:val="nil"/>
              <w:bottom w:val="nil"/>
              <w:right w:val="nil"/>
            </w:tcBorders>
            <w:shd w:val="clear" w:color="auto" w:fill="auto"/>
            <w:vAlign w:val="center"/>
          </w:tcPr>
          <w:p w14:paraId="73FD1E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3966 (88.2)</w:t>
            </w:r>
          </w:p>
        </w:tc>
        <w:tc>
          <w:tcPr>
            <w:tcW w:w="979" w:type="pct"/>
            <w:tcBorders>
              <w:top w:val="nil"/>
              <w:left w:val="nil"/>
              <w:bottom w:val="nil"/>
              <w:right w:val="nil"/>
            </w:tcBorders>
            <w:shd w:val="clear" w:color="auto" w:fill="auto"/>
            <w:vAlign w:val="center"/>
          </w:tcPr>
          <w:p w14:paraId="21B26B6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4062 (90.3)</w:t>
            </w:r>
          </w:p>
        </w:tc>
        <w:tc>
          <w:tcPr>
            <w:tcW w:w="523" w:type="pct"/>
            <w:tcBorders>
              <w:top w:val="nil"/>
              <w:left w:val="nil"/>
              <w:bottom w:val="nil"/>
              <w:right w:val="nil"/>
            </w:tcBorders>
            <w:shd w:val="clear" w:color="auto" w:fill="auto"/>
            <w:vAlign w:val="center"/>
          </w:tcPr>
          <w:p w14:paraId="5663DA8D">
            <w:pPr>
              <w:jc w:val="center"/>
              <w:rPr>
                <w:rFonts w:hint="default" w:ascii="Times New Roman" w:hAnsi="Times New Roman" w:eastAsia="宋体" w:cs="Times New Roman"/>
                <w:i w:val="0"/>
                <w:iCs w:val="0"/>
                <w:color w:val="000000"/>
                <w:sz w:val="21"/>
                <w:szCs w:val="21"/>
                <w:u w:val="none"/>
              </w:rPr>
            </w:pPr>
          </w:p>
        </w:tc>
      </w:tr>
      <w:tr w14:paraId="2B6C25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44F8E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Diabetes (%)</w:t>
            </w:r>
          </w:p>
        </w:tc>
        <w:tc>
          <w:tcPr>
            <w:tcW w:w="979" w:type="pct"/>
            <w:tcBorders>
              <w:top w:val="nil"/>
              <w:left w:val="nil"/>
              <w:bottom w:val="nil"/>
              <w:right w:val="nil"/>
            </w:tcBorders>
            <w:shd w:val="clear" w:color="auto" w:fill="auto"/>
            <w:vAlign w:val="center"/>
          </w:tcPr>
          <w:p w14:paraId="6232196C">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D2CB4C9">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7C965AAB">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34175F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017538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F9C722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6E9164F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3773 (42.0)</w:t>
            </w:r>
          </w:p>
        </w:tc>
        <w:tc>
          <w:tcPr>
            <w:tcW w:w="1062" w:type="pct"/>
            <w:tcBorders>
              <w:top w:val="nil"/>
              <w:left w:val="nil"/>
              <w:bottom w:val="nil"/>
              <w:right w:val="nil"/>
            </w:tcBorders>
            <w:shd w:val="clear" w:color="auto" w:fill="auto"/>
            <w:vAlign w:val="center"/>
          </w:tcPr>
          <w:p w14:paraId="72EE9C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1013 (22.5)</w:t>
            </w:r>
          </w:p>
        </w:tc>
        <w:tc>
          <w:tcPr>
            <w:tcW w:w="979" w:type="pct"/>
            <w:tcBorders>
              <w:top w:val="nil"/>
              <w:left w:val="nil"/>
              <w:bottom w:val="nil"/>
              <w:right w:val="nil"/>
            </w:tcBorders>
            <w:shd w:val="clear" w:color="auto" w:fill="auto"/>
            <w:vAlign w:val="center"/>
          </w:tcPr>
          <w:p w14:paraId="7332FC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2760 (61.4)</w:t>
            </w:r>
          </w:p>
        </w:tc>
        <w:tc>
          <w:tcPr>
            <w:tcW w:w="523" w:type="pct"/>
            <w:tcBorders>
              <w:top w:val="nil"/>
              <w:left w:val="nil"/>
              <w:bottom w:val="nil"/>
              <w:right w:val="nil"/>
            </w:tcBorders>
            <w:shd w:val="clear" w:color="auto" w:fill="auto"/>
            <w:vAlign w:val="center"/>
          </w:tcPr>
          <w:p w14:paraId="62526C09">
            <w:pPr>
              <w:jc w:val="center"/>
              <w:rPr>
                <w:rFonts w:hint="default" w:ascii="Times New Roman" w:hAnsi="Times New Roman" w:eastAsia="宋体" w:cs="Times New Roman"/>
                <w:i w:val="0"/>
                <w:iCs w:val="0"/>
                <w:color w:val="000000"/>
                <w:sz w:val="21"/>
                <w:szCs w:val="21"/>
                <w:u w:val="none"/>
              </w:rPr>
            </w:pPr>
          </w:p>
        </w:tc>
      </w:tr>
      <w:tr w14:paraId="37FD0D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1717E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0520209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5219 (58.0)</w:t>
            </w:r>
          </w:p>
        </w:tc>
        <w:tc>
          <w:tcPr>
            <w:tcW w:w="1062" w:type="pct"/>
            <w:tcBorders>
              <w:top w:val="nil"/>
              <w:left w:val="nil"/>
              <w:bottom w:val="nil"/>
              <w:right w:val="nil"/>
            </w:tcBorders>
            <w:shd w:val="clear" w:color="auto" w:fill="auto"/>
            <w:vAlign w:val="center"/>
          </w:tcPr>
          <w:p w14:paraId="2D33820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3483 (77.5)</w:t>
            </w:r>
          </w:p>
        </w:tc>
        <w:tc>
          <w:tcPr>
            <w:tcW w:w="979" w:type="pct"/>
            <w:tcBorders>
              <w:top w:val="nil"/>
              <w:left w:val="nil"/>
              <w:bottom w:val="nil"/>
              <w:right w:val="nil"/>
            </w:tcBorders>
            <w:shd w:val="clear" w:color="auto" w:fill="auto"/>
            <w:vAlign w:val="center"/>
          </w:tcPr>
          <w:p w14:paraId="707EB8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1736 (38.6)</w:t>
            </w:r>
          </w:p>
        </w:tc>
        <w:tc>
          <w:tcPr>
            <w:tcW w:w="523" w:type="pct"/>
            <w:tcBorders>
              <w:top w:val="nil"/>
              <w:left w:val="nil"/>
              <w:bottom w:val="nil"/>
              <w:right w:val="nil"/>
            </w:tcBorders>
            <w:shd w:val="clear" w:color="auto" w:fill="auto"/>
            <w:vAlign w:val="center"/>
          </w:tcPr>
          <w:p w14:paraId="599FC526">
            <w:pPr>
              <w:jc w:val="center"/>
              <w:rPr>
                <w:rFonts w:hint="default" w:ascii="Times New Roman" w:hAnsi="Times New Roman" w:eastAsia="宋体" w:cs="Times New Roman"/>
                <w:i w:val="0"/>
                <w:iCs w:val="0"/>
                <w:color w:val="000000"/>
                <w:sz w:val="21"/>
                <w:szCs w:val="21"/>
                <w:u w:val="none"/>
              </w:rPr>
            </w:pPr>
          </w:p>
        </w:tc>
      </w:tr>
      <w:tr w14:paraId="430735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6DFEC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Renal disease (%)</w:t>
            </w:r>
          </w:p>
        </w:tc>
        <w:tc>
          <w:tcPr>
            <w:tcW w:w="979" w:type="pct"/>
            <w:tcBorders>
              <w:top w:val="nil"/>
              <w:left w:val="nil"/>
              <w:bottom w:val="nil"/>
              <w:right w:val="nil"/>
            </w:tcBorders>
            <w:shd w:val="clear" w:color="auto" w:fill="auto"/>
            <w:vAlign w:val="center"/>
          </w:tcPr>
          <w:p w14:paraId="52BE3693">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52F3CBDE">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3D1AFB60">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75650B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5E6BE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5452D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710311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3319 (36.9)</w:t>
            </w:r>
          </w:p>
        </w:tc>
        <w:tc>
          <w:tcPr>
            <w:tcW w:w="1062" w:type="pct"/>
            <w:tcBorders>
              <w:top w:val="nil"/>
              <w:left w:val="nil"/>
              <w:bottom w:val="nil"/>
              <w:right w:val="nil"/>
            </w:tcBorders>
            <w:shd w:val="clear" w:color="auto" w:fill="auto"/>
            <w:vAlign w:val="center"/>
          </w:tcPr>
          <w:p w14:paraId="273650F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1271 (28.3)</w:t>
            </w:r>
          </w:p>
        </w:tc>
        <w:tc>
          <w:tcPr>
            <w:tcW w:w="979" w:type="pct"/>
            <w:tcBorders>
              <w:top w:val="nil"/>
              <w:left w:val="nil"/>
              <w:bottom w:val="nil"/>
              <w:right w:val="nil"/>
            </w:tcBorders>
            <w:shd w:val="clear" w:color="auto" w:fill="auto"/>
            <w:vAlign w:val="center"/>
          </w:tcPr>
          <w:p w14:paraId="52A5BD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2048 (45.6)</w:t>
            </w:r>
          </w:p>
        </w:tc>
        <w:tc>
          <w:tcPr>
            <w:tcW w:w="523" w:type="pct"/>
            <w:tcBorders>
              <w:top w:val="nil"/>
              <w:left w:val="nil"/>
              <w:bottom w:val="nil"/>
              <w:right w:val="nil"/>
            </w:tcBorders>
            <w:shd w:val="clear" w:color="auto" w:fill="auto"/>
            <w:vAlign w:val="center"/>
          </w:tcPr>
          <w:p w14:paraId="6CF621FF">
            <w:pPr>
              <w:jc w:val="center"/>
              <w:rPr>
                <w:rFonts w:hint="default" w:ascii="Times New Roman" w:hAnsi="Times New Roman" w:eastAsia="宋体" w:cs="Times New Roman"/>
                <w:i w:val="0"/>
                <w:iCs w:val="0"/>
                <w:color w:val="000000"/>
                <w:sz w:val="21"/>
                <w:szCs w:val="21"/>
                <w:u w:val="none"/>
              </w:rPr>
            </w:pPr>
          </w:p>
        </w:tc>
      </w:tr>
      <w:tr w14:paraId="7059C2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2D02A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72BE89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5673 (63.1)</w:t>
            </w:r>
          </w:p>
        </w:tc>
        <w:tc>
          <w:tcPr>
            <w:tcW w:w="1062" w:type="pct"/>
            <w:tcBorders>
              <w:top w:val="nil"/>
              <w:left w:val="nil"/>
              <w:bottom w:val="nil"/>
              <w:right w:val="nil"/>
            </w:tcBorders>
            <w:shd w:val="clear" w:color="auto" w:fill="auto"/>
            <w:vAlign w:val="center"/>
          </w:tcPr>
          <w:p w14:paraId="49A31E0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3225 (71.7)</w:t>
            </w:r>
          </w:p>
        </w:tc>
        <w:tc>
          <w:tcPr>
            <w:tcW w:w="979" w:type="pct"/>
            <w:tcBorders>
              <w:top w:val="nil"/>
              <w:left w:val="nil"/>
              <w:bottom w:val="nil"/>
              <w:right w:val="nil"/>
            </w:tcBorders>
            <w:shd w:val="clear" w:color="auto" w:fill="auto"/>
            <w:vAlign w:val="center"/>
          </w:tcPr>
          <w:p w14:paraId="1DF4917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2448 (54.4)</w:t>
            </w:r>
          </w:p>
        </w:tc>
        <w:tc>
          <w:tcPr>
            <w:tcW w:w="523" w:type="pct"/>
            <w:tcBorders>
              <w:top w:val="nil"/>
              <w:left w:val="nil"/>
              <w:bottom w:val="nil"/>
              <w:right w:val="nil"/>
            </w:tcBorders>
            <w:shd w:val="clear" w:color="auto" w:fill="auto"/>
            <w:vAlign w:val="center"/>
          </w:tcPr>
          <w:p w14:paraId="2E47B2DB">
            <w:pPr>
              <w:jc w:val="center"/>
              <w:rPr>
                <w:rFonts w:hint="default" w:ascii="Times New Roman" w:hAnsi="Times New Roman" w:eastAsia="宋体" w:cs="Times New Roman"/>
                <w:i w:val="0"/>
                <w:iCs w:val="0"/>
                <w:color w:val="000000"/>
                <w:sz w:val="21"/>
                <w:szCs w:val="21"/>
                <w:u w:val="none"/>
              </w:rPr>
            </w:pPr>
          </w:p>
        </w:tc>
      </w:tr>
      <w:tr w14:paraId="3253F2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730F9E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Malignant cancer (%)</w:t>
            </w:r>
          </w:p>
        </w:tc>
        <w:tc>
          <w:tcPr>
            <w:tcW w:w="979" w:type="pct"/>
            <w:tcBorders>
              <w:top w:val="nil"/>
              <w:left w:val="nil"/>
              <w:bottom w:val="nil"/>
              <w:right w:val="nil"/>
            </w:tcBorders>
            <w:shd w:val="clear" w:color="auto" w:fill="auto"/>
            <w:vAlign w:val="center"/>
          </w:tcPr>
          <w:p w14:paraId="31253AB2">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1AB13A4B">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31BFFF03">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7BAE22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23EB74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1E8C04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6263E6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1381 (15.4)</w:t>
            </w:r>
          </w:p>
        </w:tc>
        <w:tc>
          <w:tcPr>
            <w:tcW w:w="1062" w:type="pct"/>
            <w:tcBorders>
              <w:top w:val="nil"/>
              <w:left w:val="nil"/>
              <w:bottom w:val="nil"/>
              <w:right w:val="nil"/>
            </w:tcBorders>
            <w:shd w:val="clear" w:color="auto" w:fill="auto"/>
            <w:vAlign w:val="center"/>
          </w:tcPr>
          <w:p w14:paraId="1A712C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806 (17.9)</w:t>
            </w:r>
          </w:p>
        </w:tc>
        <w:tc>
          <w:tcPr>
            <w:tcW w:w="979" w:type="pct"/>
            <w:tcBorders>
              <w:top w:val="nil"/>
              <w:left w:val="nil"/>
              <w:bottom w:val="nil"/>
              <w:right w:val="nil"/>
            </w:tcBorders>
            <w:shd w:val="clear" w:color="auto" w:fill="auto"/>
            <w:vAlign w:val="center"/>
          </w:tcPr>
          <w:p w14:paraId="5EB43B1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575 (12.8)</w:t>
            </w:r>
          </w:p>
        </w:tc>
        <w:tc>
          <w:tcPr>
            <w:tcW w:w="523" w:type="pct"/>
            <w:tcBorders>
              <w:top w:val="nil"/>
              <w:left w:val="nil"/>
              <w:bottom w:val="nil"/>
              <w:right w:val="nil"/>
            </w:tcBorders>
            <w:shd w:val="clear" w:color="auto" w:fill="auto"/>
            <w:vAlign w:val="center"/>
          </w:tcPr>
          <w:p w14:paraId="21EAF40B">
            <w:pPr>
              <w:jc w:val="center"/>
              <w:rPr>
                <w:rFonts w:hint="default" w:ascii="Times New Roman" w:hAnsi="Times New Roman" w:eastAsia="宋体" w:cs="Times New Roman"/>
                <w:i w:val="0"/>
                <w:iCs w:val="0"/>
                <w:color w:val="000000"/>
                <w:sz w:val="21"/>
                <w:szCs w:val="21"/>
                <w:u w:val="none"/>
              </w:rPr>
            </w:pPr>
          </w:p>
        </w:tc>
      </w:tr>
      <w:tr w14:paraId="6F0916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C2BE9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616105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7611 (84.6)</w:t>
            </w:r>
          </w:p>
        </w:tc>
        <w:tc>
          <w:tcPr>
            <w:tcW w:w="1062" w:type="pct"/>
            <w:tcBorders>
              <w:top w:val="nil"/>
              <w:left w:val="nil"/>
              <w:bottom w:val="nil"/>
              <w:right w:val="nil"/>
            </w:tcBorders>
            <w:shd w:val="clear" w:color="auto" w:fill="auto"/>
            <w:vAlign w:val="center"/>
          </w:tcPr>
          <w:p w14:paraId="66D62AE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3690 (82.1)</w:t>
            </w:r>
          </w:p>
        </w:tc>
        <w:tc>
          <w:tcPr>
            <w:tcW w:w="979" w:type="pct"/>
            <w:tcBorders>
              <w:top w:val="nil"/>
              <w:left w:val="nil"/>
              <w:bottom w:val="nil"/>
              <w:right w:val="nil"/>
            </w:tcBorders>
            <w:shd w:val="clear" w:color="auto" w:fill="auto"/>
            <w:vAlign w:val="center"/>
          </w:tcPr>
          <w:p w14:paraId="60AB06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3921 (87.2)</w:t>
            </w:r>
          </w:p>
        </w:tc>
        <w:tc>
          <w:tcPr>
            <w:tcW w:w="523" w:type="pct"/>
            <w:tcBorders>
              <w:top w:val="nil"/>
              <w:left w:val="nil"/>
              <w:bottom w:val="nil"/>
              <w:right w:val="nil"/>
            </w:tcBorders>
            <w:shd w:val="clear" w:color="auto" w:fill="auto"/>
            <w:vAlign w:val="center"/>
          </w:tcPr>
          <w:p w14:paraId="26292DEC">
            <w:pPr>
              <w:jc w:val="center"/>
              <w:rPr>
                <w:rFonts w:hint="default" w:ascii="Times New Roman" w:hAnsi="Times New Roman" w:eastAsia="宋体" w:cs="Times New Roman"/>
                <w:i w:val="0"/>
                <w:iCs w:val="0"/>
                <w:color w:val="000000"/>
                <w:sz w:val="21"/>
                <w:szCs w:val="21"/>
                <w:u w:val="none"/>
              </w:rPr>
            </w:pPr>
          </w:p>
        </w:tc>
      </w:tr>
      <w:tr w14:paraId="5E9849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5D9298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Severe sepsis (%)</w:t>
            </w:r>
          </w:p>
        </w:tc>
        <w:tc>
          <w:tcPr>
            <w:tcW w:w="979" w:type="pct"/>
            <w:tcBorders>
              <w:top w:val="nil"/>
              <w:left w:val="nil"/>
              <w:bottom w:val="nil"/>
              <w:right w:val="nil"/>
            </w:tcBorders>
            <w:shd w:val="clear" w:color="auto" w:fill="auto"/>
            <w:vAlign w:val="center"/>
          </w:tcPr>
          <w:p w14:paraId="03499740">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1E2FD6F">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7752A0CD">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39C167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0.343</w:t>
            </w:r>
          </w:p>
        </w:tc>
      </w:tr>
      <w:tr w14:paraId="0903A6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47CCC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339AD4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2449 (27.2)</w:t>
            </w:r>
          </w:p>
        </w:tc>
        <w:tc>
          <w:tcPr>
            <w:tcW w:w="1062" w:type="pct"/>
            <w:tcBorders>
              <w:top w:val="nil"/>
              <w:left w:val="nil"/>
              <w:bottom w:val="nil"/>
              <w:right w:val="nil"/>
            </w:tcBorders>
            <w:shd w:val="clear" w:color="auto" w:fill="auto"/>
            <w:vAlign w:val="center"/>
          </w:tcPr>
          <w:p w14:paraId="2B9DA43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1245 (27.7)</w:t>
            </w:r>
          </w:p>
        </w:tc>
        <w:tc>
          <w:tcPr>
            <w:tcW w:w="979" w:type="pct"/>
            <w:tcBorders>
              <w:top w:val="nil"/>
              <w:left w:val="nil"/>
              <w:bottom w:val="nil"/>
              <w:right w:val="nil"/>
            </w:tcBorders>
            <w:shd w:val="clear" w:color="auto" w:fill="auto"/>
            <w:vAlign w:val="center"/>
          </w:tcPr>
          <w:p w14:paraId="5596130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1204 (26.8)</w:t>
            </w:r>
          </w:p>
        </w:tc>
        <w:tc>
          <w:tcPr>
            <w:tcW w:w="523" w:type="pct"/>
            <w:tcBorders>
              <w:top w:val="nil"/>
              <w:left w:val="nil"/>
              <w:bottom w:val="nil"/>
              <w:right w:val="nil"/>
            </w:tcBorders>
            <w:shd w:val="clear" w:color="auto" w:fill="auto"/>
            <w:vAlign w:val="center"/>
          </w:tcPr>
          <w:p w14:paraId="782CC584">
            <w:pPr>
              <w:jc w:val="center"/>
              <w:rPr>
                <w:rFonts w:hint="default" w:ascii="Times New Roman" w:hAnsi="Times New Roman" w:eastAsia="宋体" w:cs="Times New Roman"/>
                <w:i w:val="0"/>
                <w:iCs w:val="0"/>
                <w:color w:val="000000"/>
                <w:sz w:val="21"/>
                <w:szCs w:val="21"/>
                <w:u w:val="none"/>
              </w:rPr>
            </w:pPr>
          </w:p>
        </w:tc>
      </w:tr>
      <w:tr w14:paraId="695A8F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1D6A257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71A686C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6543 (72.8)</w:t>
            </w:r>
          </w:p>
        </w:tc>
        <w:tc>
          <w:tcPr>
            <w:tcW w:w="1062" w:type="pct"/>
            <w:tcBorders>
              <w:top w:val="nil"/>
              <w:left w:val="nil"/>
              <w:bottom w:val="nil"/>
              <w:right w:val="nil"/>
            </w:tcBorders>
            <w:shd w:val="clear" w:color="auto" w:fill="auto"/>
            <w:vAlign w:val="center"/>
          </w:tcPr>
          <w:p w14:paraId="70D3C6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3251 (72.3)</w:t>
            </w:r>
          </w:p>
        </w:tc>
        <w:tc>
          <w:tcPr>
            <w:tcW w:w="979" w:type="pct"/>
            <w:tcBorders>
              <w:top w:val="nil"/>
              <w:left w:val="nil"/>
              <w:bottom w:val="nil"/>
              <w:right w:val="nil"/>
            </w:tcBorders>
            <w:shd w:val="clear" w:color="auto" w:fill="auto"/>
            <w:vAlign w:val="center"/>
          </w:tcPr>
          <w:p w14:paraId="73DD62A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3292 (73.2)</w:t>
            </w:r>
          </w:p>
        </w:tc>
        <w:tc>
          <w:tcPr>
            <w:tcW w:w="523" w:type="pct"/>
            <w:tcBorders>
              <w:top w:val="nil"/>
              <w:left w:val="nil"/>
              <w:bottom w:val="nil"/>
              <w:right w:val="nil"/>
            </w:tcBorders>
            <w:shd w:val="clear" w:color="auto" w:fill="auto"/>
            <w:vAlign w:val="center"/>
          </w:tcPr>
          <w:p w14:paraId="49FAAF2E">
            <w:pPr>
              <w:jc w:val="center"/>
              <w:rPr>
                <w:rFonts w:hint="default" w:ascii="Times New Roman" w:hAnsi="Times New Roman" w:eastAsia="宋体" w:cs="Times New Roman"/>
                <w:i w:val="0"/>
                <w:iCs w:val="0"/>
                <w:color w:val="000000"/>
                <w:sz w:val="21"/>
                <w:szCs w:val="21"/>
                <w:u w:val="none"/>
              </w:rPr>
            </w:pPr>
          </w:p>
        </w:tc>
      </w:tr>
      <w:tr w14:paraId="7C8A7A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AB6791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Depression (%)</w:t>
            </w:r>
          </w:p>
        </w:tc>
        <w:tc>
          <w:tcPr>
            <w:tcW w:w="979" w:type="pct"/>
            <w:tcBorders>
              <w:top w:val="nil"/>
              <w:left w:val="nil"/>
              <w:bottom w:val="nil"/>
              <w:right w:val="nil"/>
            </w:tcBorders>
            <w:shd w:val="clear" w:color="auto" w:fill="auto"/>
            <w:vAlign w:val="center"/>
          </w:tcPr>
          <w:p w14:paraId="2F81DBB1">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7B66ECCD">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38A4D60E">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0F70C50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w:t>
            </w:r>
          </w:p>
        </w:tc>
      </w:tr>
      <w:tr w14:paraId="16B758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FB4FF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6ADF8A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1350 (15.0)</w:t>
            </w:r>
          </w:p>
        </w:tc>
        <w:tc>
          <w:tcPr>
            <w:tcW w:w="1062" w:type="pct"/>
            <w:tcBorders>
              <w:top w:val="nil"/>
              <w:left w:val="nil"/>
              <w:bottom w:val="nil"/>
              <w:right w:val="nil"/>
            </w:tcBorders>
            <w:shd w:val="clear" w:color="auto" w:fill="auto"/>
            <w:vAlign w:val="center"/>
          </w:tcPr>
          <w:p w14:paraId="1A80E97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624 (13.9)</w:t>
            </w:r>
          </w:p>
        </w:tc>
        <w:tc>
          <w:tcPr>
            <w:tcW w:w="979" w:type="pct"/>
            <w:tcBorders>
              <w:top w:val="nil"/>
              <w:left w:val="nil"/>
              <w:bottom w:val="nil"/>
              <w:right w:val="nil"/>
            </w:tcBorders>
            <w:shd w:val="clear" w:color="auto" w:fill="auto"/>
            <w:vAlign w:val="center"/>
          </w:tcPr>
          <w:p w14:paraId="396484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726 (16.1)</w:t>
            </w:r>
          </w:p>
        </w:tc>
        <w:tc>
          <w:tcPr>
            <w:tcW w:w="523" w:type="pct"/>
            <w:tcBorders>
              <w:top w:val="nil"/>
              <w:left w:val="nil"/>
              <w:bottom w:val="nil"/>
              <w:right w:val="nil"/>
            </w:tcBorders>
            <w:shd w:val="clear" w:color="auto" w:fill="auto"/>
            <w:vAlign w:val="center"/>
          </w:tcPr>
          <w:p w14:paraId="12B46195">
            <w:pPr>
              <w:jc w:val="center"/>
              <w:rPr>
                <w:rFonts w:hint="default" w:ascii="Times New Roman" w:hAnsi="Times New Roman" w:eastAsia="宋体" w:cs="Times New Roman"/>
                <w:i w:val="0"/>
                <w:iCs w:val="0"/>
                <w:color w:val="000000"/>
                <w:sz w:val="21"/>
                <w:szCs w:val="21"/>
                <w:u w:val="none"/>
              </w:rPr>
            </w:pPr>
          </w:p>
        </w:tc>
      </w:tr>
      <w:tr w14:paraId="15FAB0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5A31DE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7F8710F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7642 (85.0)</w:t>
            </w:r>
          </w:p>
        </w:tc>
        <w:tc>
          <w:tcPr>
            <w:tcW w:w="1062" w:type="pct"/>
            <w:tcBorders>
              <w:top w:val="nil"/>
              <w:left w:val="nil"/>
              <w:bottom w:val="nil"/>
              <w:right w:val="nil"/>
            </w:tcBorders>
            <w:shd w:val="clear" w:color="auto" w:fill="auto"/>
            <w:vAlign w:val="center"/>
          </w:tcPr>
          <w:p w14:paraId="169376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3872 (86.1)</w:t>
            </w:r>
          </w:p>
        </w:tc>
        <w:tc>
          <w:tcPr>
            <w:tcW w:w="979" w:type="pct"/>
            <w:tcBorders>
              <w:top w:val="nil"/>
              <w:left w:val="nil"/>
              <w:bottom w:val="nil"/>
              <w:right w:val="nil"/>
            </w:tcBorders>
            <w:shd w:val="clear" w:color="auto" w:fill="auto"/>
            <w:vAlign w:val="center"/>
          </w:tcPr>
          <w:p w14:paraId="117884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3770 (83.9)</w:t>
            </w:r>
          </w:p>
        </w:tc>
        <w:tc>
          <w:tcPr>
            <w:tcW w:w="523" w:type="pct"/>
            <w:tcBorders>
              <w:top w:val="nil"/>
              <w:left w:val="nil"/>
              <w:bottom w:val="nil"/>
              <w:right w:val="nil"/>
            </w:tcBorders>
            <w:shd w:val="clear" w:color="auto" w:fill="auto"/>
            <w:vAlign w:val="center"/>
          </w:tcPr>
          <w:p w14:paraId="19742B63">
            <w:pPr>
              <w:jc w:val="center"/>
              <w:rPr>
                <w:rFonts w:hint="default" w:ascii="Times New Roman" w:hAnsi="Times New Roman" w:eastAsia="宋体" w:cs="Times New Roman"/>
                <w:i w:val="0"/>
                <w:iCs w:val="0"/>
                <w:color w:val="000000"/>
                <w:sz w:val="21"/>
                <w:szCs w:val="21"/>
                <w:u w:val="none"/>
              </w:rPr>
            </w:pPr>
          </w:p>
        </w:tc>
      </w:tr>
      <w:tr w14:paraId="2F1BC0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361EA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History of fall (%)</w:t>
            </w:r>
          </w:p>
        </w:tc>
        <w:tc>
          <w:tcPr>
            <w:tcW w:w="979" w:type="pct"/>
            <w:tcBorders>
              <w:top w:val="nil"/>
              <w:left w:val="nil"/>
              <w:bottom w:val="nil"/>
              <w:right w:val="nil"/>
            </w:tcBorders>
            <w:shd w:val="clear" w:color="auto" w:fill="auto"/>
            <w:vAlign w:val="center"/>
          </w:tcPr>
          <w:p w14:paraId="6E67E2BF">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6498123B">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2A063F5C">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481138A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0.852</w:t>
            </w:r>
          </w:p>
        </w:tc>
      </w:tr>
      <w:tr w14:paraId="52F4A3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5E8266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354DFD2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2575 (28.6)</w:t>
            </w:r>
          </w:p>
        </w:tc>
        <w:tc>
          <w:tcPr>
            <w:tcW w:w="1062" w:type="pct"/>
            <w:tcBorders>
              <w:top w:val="nil"/>
              <w:left w:val="nil"/>
              <w:bottom w:val="nil"/>
              <w:right w:val="nil"/>
            </w:tcBorders>
            <w:shd w:val="clear" w:color="auto" w:fill="auto"/>
            <w:vAlign w:val="center"/>
          </w:tcPr>
          <w:p w14:paraId="61BA6F6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1283 (28.5)</w:t>
            </w:r>
          </w:p>
        </w:tc>
        <w:tc>
          <w:tcPr>
            <w:tcW w:w="979" w:type="pct"/>
            <w:tcBorders>
              <w:top w:val="nil"/>
              <w:left w:val="nil"/>
              <w:bottom w:val="nil"/>
              <w:right w:val="nil"/>
            </w:tcBorders>
            <w:shd w:val="clear" w:color="auto" w:fill="auto"/>
            <w:vAlign w:val="center"/>
          </w:tcPr>
          <w:p w14:paraId="15B945A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1292 (28.7)</w:t>
            </w:r>
          </w:p>
        </w:tc>
        <w:tc>
          <w:tcPr>
            <w:tcW w:w="523" w:type="pct"/>
            <w:tcBorders>
              <w:top w:val="nil"/>
              <w:left w:val="nil"/>
              <w:bottom w:val="nil"/>
              <w:right w:val="nil"/>
            </w:tcBorders>
            <w:shd w:val="clear" w:color="auto" w:fill="auto"/>
            <w:vAlign w:val="center"/>
          </w:tcPr>
          <w:p w14:paraId="65C7B2D0">
            <w:pPr>
              <w:jc w:val="center"/>
              <w:rPr>
                <w:rFonts w:hint="default" w:ascii="Times New Roman" w:hAnsi="Times New Roman" w:eastAsia="宋体" w:cs="Times New Roman"/>
                <w:i w:val="0"/>
                <w:iCs w:val="0"/>
                <w:color w:val="000000"/>
                <w:sz w:val="21"/>
                <w:szCs w:val="21"/>
                <w:u w:val="none"/>
              </w:rPr>
            </w:pPr>
          </w:p>
        </w:tc>
      </w:tr>
      <w:tr w14:paraId="70819E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FC4AA5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0EE1C98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6417 (71.4)</w:t>
            </w:r>
          </w:p>
        </w:tc>
        <w:tc>
          <w:tcPr>
            <w:tcW w:w="1062" w:type="pct"/>
            <w:tcBorders>
              <w:top w:val="nil"/>
              <w:left w:val="nil"/>
              <w:bottom w:val="nil"/>
              <w:right w:val="nil"/>
            </w:tcBorders>
            <w:shd w:val="clear" w:color="auto" w:fill="auto"/>
            <w:vAlign w:val="center"/>
          </w:tcPr>
          <w:p w14:paraId="5A2516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3213 (71.5)</w:t>
            </w:r>
          </w:p>
        </w:tc>
        <w:tc>
          <w:tcPr>
            <w:tcW w:w="979" w:type="pct"/>
            <w:tcBorders>
              <w:top w:val="nil"/>
              <w:left w:val="nil"/>
              <w:bottom w:val="nil"/>
              <w:right w:val="nil"/>
            </w:tcBorders>
            <w:shd w:val="clear" w:color="auto" w:fill="auto"/>
            <w:vAlign w:val="center"/>
          </w:tcPr>
          <w:p w14:paraId="07D786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3204 (71.3)</w:t>
            </w:r>
          </w:p>
        </w:tc>
        <w:tc>
          <w:tcPr>
            <w:tcW w:w="523" w:type="pct"/>
            <w:tcBorders>
              <w:top w:val="nil"/>
              <w:left w:val="nil"/>
              <w:bottom w:val="nil"/>
              <w:right w:val="nil"/>
            </w:tcBorders>
            <w:shd w:val="clear" w:color="auto" w:fill="auto"/>
            <w:vAlign w:val="center"/>
          </w:tcPr>
          <w:p w14:paraId="6EB9606F">
            <w:pPr>
              <w:jc w:val="center"/>
              <w:rPr>
                <w:rFonts w:hint="default" w:ascii="Times New Roman" w:hAnsi="Times New Roman" w:eastAsia="宋体" w:cs="Times New Roman"/>
                <w:i w:val="0"/>
                <w:iCs w:val="0"/>
                <w:color w:val="000000"/>
                <w:sz w:val="21"/>
                <w:szCs w:val="21"/>
                <w:u w:val="none"/>
              </w:rPr>
            </w:pPr>
          </w:p>
        </w:tc>
      </w:tr>
      <w:tr w14:paraId="2EEE9E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C6A10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Cerebrovascular disease (%)</w:t>
            </w:r>
          </w:p>
        </w:tc>
        <w:tc>
          <w:tcPr>
            <w:tcW w:w="979" w:type="pct"/>
            <w:tcBorders>
              <w:top w:val="nil"/>
              <w:left w:val="nil"/>
              <w:bottom w:val="nil"/>
              <w:right w:val="nil"/>
            </w:tcBorders>
            <w:shd w:val="clear" w:color="auto" w:fill="auto"/>
            <w:vAlign w:val="center"/>
          </w:tcPr>
          <w:p w14:paraId="171BD14A">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F7FF67D">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69677D30">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5EAC96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9C115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21044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462C69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1835 (20.4)</w:t>
            </w:r>
          </w:p>
        </w:tc>
        <w:tc>
          <w:tcPr>
            <w:tcW w:w="1062" w:type="pct"/>
            <w:tcBorders>
              <w:top w:val="nil"/>
              <w:left w:val="nil"/>
              <w:bottom w:val="nil"/>
              <w:right w:val="nil"/>
            </w:tcBorders>
            <w:shd w:val="clear" w:color="auto" w:fill="auto"/>
            <w:vAlign w:val="center"/>
          </w:tcPr>
          <w:p w14:paraId="5B6D74B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715 (15.9)</w:t>
            </w:r>
          </w:p>
        </w:tc>
        <w:tc>
          <w:tcPr>
            <w:tcW w:w="979" w:type="pct"/>
            <w:tcBorders>
              <w:top w:val="nil"/>
              <w:left w:val="nil"/>
              <w:bottom w:val="nil"/>
              <w:right w:val="nil"/>
            </w:tcBorders>
            <w:shd w:val="clear" w:color="auto" w:fill="auto"/>
            <w:vAlign w:val="center"/>
          </w:tcPr>
          <w:p w14:paraId="3BD54F6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1120 (24.9)</w:t>
            </w:r>
          </w:p>
        </w:tc>
        <w:tc>
          <w:tcPr>
            <w:tcW w:w="523" w:type="pct"/>
            <w:tcBorders>
              <w:top w:val="nil"/>
              <w:left w:val="nil"/>
              <w:bottom w:val="nil"/>
              <w:right w:val="nil"/>
            </w:tcBorders>
            <w:shd w:val="clear" w:color="auto" w:fill="auto"/>
            <w:vAlign w:val="center"/>
          </w:tcPr>
          <w:p w14:paraId="0A15419C">
            <w:pPr>
              <w:jc w:val="center"/>
              <w:rPr>
                <w:rFonts w:hint="default" w:ascii="Times New Roman" w:hAnsi="Times New Roman" w:eastAsia="宋体" w:cs="Times New Roman"/>
                <w:i w:val="0"/>
                <w:iCs w:val="0"/>
                <w:color w:val="000000"/>
                <w:sz w:val="21"/>
                <w:szCs w:val="21"/>
                <w:u w:val="none"/>
              </w:rPr>
            </w:pPr>
          </w:p>
        </w:tc>
      </w:tr>
      <w:tr w14:paraId="660069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344767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7B9B8DC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7157 (79.6)</w:t>
            </w:r>
          </w:p>
        </w:tc>
        <w:tc>
          <w:tcPr>
            <w:tcW w:w="1062" w:type="pct"/>
            <w:tcBorders>
              <w:top w:val="nil"/>
              <w:left w:val="nil"/>
              <w:bottom w:val="nil"/>
              <w:right w:val="nil"/>
            </w:tcBorders>
            <w:shd w:val="clear" w:color="auto" w:fill="auto"/>
            <w:vAlign w:val="center"/>
          </w:tcPr>
          <w:p w14:paraId="6728FE3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3781 (84.1)</w:t>
            </w:r>
          </w:p>
        </w:tc>
        <w:tc>
          <w:tcPr>
            <w:tcW w:w="979" w:type="pct"/>
            <w:tcBorders>
              <w:top w:val="nil"/>
              <w:left w:val="nil"/>
              <w:bottom w:val="nil"/>
              <w:right w:val="nil"/>
            </w:tcBorders>
            <w:shd w:val="clear" w:color="auto" w:fill="auto"/>
            <w:vAlign w:val="center"/>
          </w:tcPr>
          <w:p w14:paraId="5AFD4A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3376 (75.1)</w:t>
            </w:r>
          </w:p>
        </w:tc>
        <w:tc>
          <w:tcPr>
            <w:tcW w:w="523" w:type="pct"/>
            <w:tcBorders>
              <w:top w:val="nil"/>
              <w:left w:val="nil"/>
              <w:bottom w:val="nil"/>
              <w:right w:val="nil"/>
            </w:tcBorders>
            <w:shd w:val="clear" w:color="auto" w:fill="auto"/>
            <w:vAlign w:val="center"/>
          </w:tcPr>
          <w:p w14:paraId="524791CE">
            <w:pPr>
              <w:jc w:val="center"/>
              <w:rPr>
                <w:rFonts w:hint="default" w:ascii="Times New Roman" w:hAnsi="Times New Roman" w:eastAsia="宋体" w:cs="Times New Roman"/>
                <w:i w:val="0"/>
                <w:iCs w:val="0"/>
                <w:color w:val="000000"/>
                <w:sz w:val="21"/>
                <w:szCs w:val="21"/>
                <w:u w:val="none"/>
              </w:rPr>
            </w:pPr>
          </w:p>
        </w:tc>
      </w:tr>
      <w:tr w14:paraId="68F0DC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00726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Metastatic solid tumor (%)</w:t>
            </w:r>
          </w:p>
        </w:tc>
        <w:tc>
          <w:tcPr>
            <w:tcW w:w="979" w:type="pct"/>
            <w:tcBorders>
              <w:top w:val="nil"/>
              <w:left w:val="nil"/>
              <w:bottom w:val="nil"/>
              <w:right w:val="nil"/>
            </w:tcBorders>
            <w:shd w:val="clear" w:color="auto" w:fill="auto"/>
            <w:vAlign w:val="center"/>
          </w:tcPr>
          <w:p w14:paraId="0BC4A38D">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7CE19329">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56B4742F">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2C7CB6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68F94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781D2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6EA21EC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562 (6.2)</w:t>
            </w:r>
          </w:p>
        </w:tc>
        <w:tc>
          <w:tcPr>
            <w:tcW w:w="1062" w:type="pct"/>
            <w:tcBorders>
              <w:top w:val="nil"/>
              <w:left w:val="nil"/>
              <w:bottom w:val="nil"/>
              <w:right w:val="nil"/>
            </w:tcBorders>
            <w:shd w:val="clear" w:color="auto" w:fill="auto"/>
            <w:vAlign w:val="center"/>
          </w:tcPr>
          <w:p w14:paraId="637A794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371 (8.3)</w:t>
            </w:r>
          </w:p>
        </w:tc>
        <w:tc>
          <w:tcPr>
            <w:tcW w:w="979" w:type="pct"/>
            <w:tcBorders>
              <w:top w:val="nil"/>
              <w:left w:val="nil"/>
              <w:bottom w:val="nil"/>
              <w:right w:val="nil"/>
            </w:tcBorders>
            <w:shd w:val="clear" w:color="auto" w:fill="auto"/>
            <w:vAlign w:val="center"/>
          </w:tcPr>
          <w:p w14:paraId="3B554D5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191 (4.2)</w:t>
            </w:r>
          </w:p>
        </w:tc>
        <w:tc>
          <w:tcPr>
            <w:tcW w:w="523" w:type="pct"/>
            <w:tcBorders>
              <w:top w:val="nil"/>
              <w:left w:val="nil"/>
              <w:bottom w:val="nil"/>
              <w:right w:val="nil"/>
            </w:tcBorders>
            <w:shd w:val="clear" w:color="auto" w:fill="auto"/>
            <w:vAlign w:val="center"/>
          </w:tcPr>
          <w:p w14:paraId="7FC9BE65">
            <w:pPr>
              <w:jc w:val="center"/>
              <w:rPr>
                <w:rFonts w:hint="default" w:ascii="Times New Roman" w:hAnsi="Times New Roman" w:eastAsia="宋体" w:cs="Times New Roman"/>
                <w:i w:val="0"/>
                <w:iCs w:val="0"/>
                <w:color w:val="000000"/>
                <w:sz w:val="21"/>
                <w:szCs w:val="21"/>
                <w:u w:val="none"/>
              </w:rPr>
            </w:pPr>
          </w:p>
        </w:tc>
      </w:tr>
      <w:tr w14:paraId="78BD80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D2850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6FC42C2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8430 (93.8)</w:t>
            </w:r>
          </w:p>
        </w:tc>
        <w:tc>
          <w:tcPr>
            <w:tcW w:w="1062" w:type="pct"/>
            <w:tcBorders>
              <w:top w:val="nil"/>
              <w:left w:val="nil"/>
              <w:bottom w:val="nil"/>
              <w:right w:val="nil"/>
            </w:tcBorders>
            <w:shd w:val="clear" w:color="auto" w:fill="auto"/>
            <w:vAlign w:val="center"/>
          </w:tcPr>
          <w:p w14:paraId="25D342E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4125 (91.7)</w:t>
            </w:r>
          </w:p>
        </w:tc>
        <w:tc>
          <w:tcPr>
            <w:tcW w:w="979" w:type="pct"/>
            <w:tcBorders>
              <w:top w:val="nil"/>
              <w:left w:val="nil"/>
              <w:bottom w:val="nil"/>
              <w:right w:val="nil"/>
            </w:tcBorders>
            <w:shd w:val="clear" w:color="auto" w:fill="auto"/>
            <w:vAlign w:val="center"/>
          </w:tcPr>
          <w:p w14:paraId="76BDAD2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4305 (95.8)</w:t>
            </w:r>
          </w:p>
        </w:tc>
        <w:tc>
          <w:tcPr>
            <w:tcW w:w="523" w:type="pct"/>
            <w:tcBorders>
              <w:top w:val="nil"/>
              <w:left w:val="nil"/>
              <w:bottom w:val="nil"/>
              <w:right w:val="nil"/>
            </w:tcBorders>
            <w:shd w:val="clear" w:color="auto" w:fill="auto"/>
            <w:vAlign w:val="center"/>
          </w:tcPr>
          <w:p w14:paraId="4DC54BB1">
            <w:pPr>
              <w:jc w:val="center"/>
              <w:rPr>
                <w:rFonts w:hint="default" w:ascii="Times New Roman" w:hAnsi="Times New Roman" w:eastAsia="宋体" w:cs="Times New Roman"/>
                <w:i w:val="0"/>
                <w:iCs w:val="0"/>
                <w:color w:val="000000"/>
                <w:sz w:val="21"/>
                <w:szCs w:val="21"/>
                <w:u w:val="none"/>
              </w:rPr>
            </w:pPr>
          </w:p>
        </w:tc>
      </w:tr>
      <w:tr w14:paraId="0F8DDF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345E2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Peptic ulcer disease (%)</w:t>
            </w:r>
          </w:p>
        </w:tc>
        <w:tc>
          <w:tcPr>
            <w:tcW w:w="979" w:type="pct"/>
            <w:tcBorders>
              <w:top w:val="nil"/>
              <w:left w:val="nil"/>
              <w:bottom w:val="nil"/>
              <w:right w:val="nil"/>
            </w:tcBorders>
            <w:shd w:val="clear" w:color="auto" w:fill="auto"/>
            <w:vAlign w:val="center"/>
          </w:tcPr>
          <w:p w14:paraId="694C9760">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4A3C4661">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209988B0">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24866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0.339</w:t>
            </w:r>
          </w:p>
        </w:tc>
      </w:tr>
      <w:tr w14:paraId="094E95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725F2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0A0152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328 (3.6)</w:t>
            </w:r>
          </w:p>
        </w:tc>
        <w:tc>
          <w:tcPr>
            <w:tcW w:w="1062" w:type="pct"/>
            <w:tcBorders>
              <w:top w:val="nil"/>
              <w:left w:val="nil"/>
              <w:bottom w:val="nil"/>
              <w:right w:val="nil"/>
            </w:tcBorders>
            <w:shd w:val="clear" w:color="auto" w:fill="auto"/>
            <w:vAlign w:val="center"/>
          </w:tcPr>
          <w:p w14:paraId="1C55BD0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 (3.8)</w:t>
            </w:r>
          </w:p>
        </w:tc>
        <w:tc>
          <w:tcPr>
            <w:tcW w:w="979" w:type="pct"/>
            <w:tcBorders>
              <w:top w:val="nil"/>
              <w:left w:val="nil"/>
              <w:bottom w:val="nil"/>
              <w:right w:val="nil"/>
            </w:tcBorders>
            <w:shd w:val="clear" w:color="auto" w:fill="auto"/>
            <w:vAlign w:val="center"/>
          </w:tcPr>
          <w:p w14:paraId="3310AA3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 (3.4)</w:t>
            </w:r>
          </w:p>
        </w:tc>
        <w:tc>
          <w:tcPr>
            <w:tcW w:w="523" w:type="pct"/>
            <w:tcBorders>
              <w:top w:val="nil"/>
              <w:left w:val="nil"/>
              <w:bottom w:val="nil"/>
              <w:right w:val="nil"/>
            </w:tcBorders>
            <w:shd w:val="clear" w:color="auto" w:fill="auto"/>
            <w:vAlign w:val="center"/>
          </w:tcPr>
          <w:p w14:paraId="3B62C025">
            <w:pPr>
              <w:jc w:val="center"/>
              <w:rPr>
                <w:rFonts w:hint="default" w:ascii="Times New Roman" w:hAnsi="Times New Roman" w:eastAsia="宋体" w:cs="Times New Roman"/>
                <w:i w:val="0"/>
                <w:iCs w:val="0"/>
                <w:color w:val="000000"/>
                <w:sz w:val="21"/>
                <w:szCs w:val="21"/>
                <w:u w:val="none"/>
              </w:rPr>
            </w:pPr>
          </w:p>
        </w:tc>
      </w:tr>
      <w:tr w14:paraId="5126DF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54DE10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6873D63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8664 (96.4)</w:t>
            </w:r>
          </w:p>
        </w:tc>
        <w:tc>
          <w:tcPr>
            <w:tcW w:w="1062" w:type="pct"/>
            <w:tcBorders>
              <w:top w:val="nil"/>
              <w:left w:val="nil"/>
              <w:bottom w:val="nil"/>
              <w:right w:val="nil"/>
            </w:tcBorders>
            <w:shd w:val="clear" w:color="auto" w:fill="auto"/>
            <w:vAlign w:val="center"/>
          </w:tcPr>
          <w:p w14:paraId="39675AF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4323 (96.2)</w:t>
            </w:r>
          </w:p>
        </w:tc>
        <w:tc>
          <w:tcPr>
            <w:tcW w:w="979" w:type="pct"/>
            <w:tcBorders>
              <w:top w:val="nil"/>
              <w:left w:val="nil"/>
              <w:bottom w:val="nil"/>
              <w:right w:val="nil"/>
            </w:tcBorders>
            <w:shd w:val="clear" w:color="auto" w:fill="auto"/>
            <w:vAlign w:val="center"/>
          </w:tcPr>
          <w:p w14:paraId="6C6BE29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4341 (96.6)</w:t>
            </w:r>
          </w:p>
        </w:tc>
        <w:tc>
          <w:tcPr>
            <w:tcW w:w="523" w:type="pct"/>
            <w:tcBorders>
              <w:top w:val="nil"/>
              <w:left w:val="nil"/>
              <w:bottom w:val="nil"/>
              <w:right w:val="nil"/>
            </w:tcBorders>
            <w:shd w:val="clear" w:color="auto" w:fill="auto"/>
            <w:vAlign w:val="center"/>
          </w:tcPr>
          <w:p w14:paraId="4823EDD0">
            <w:pPr>
              <w:jc w:val="center"/>
              <w:rPr>
                <w:rFonts w:hint="default" w:ascii="Times New Roman" w:hAnsi="Times New Roman" w:eastAsia="宋体" w:cs="Times New Roman"/>
                <w:i w:val="0"/>
                <w:iCs w:val="0"/>
                <w:color w:val="000000"/>
                <w:sz w:val="21"/>
                <w:szCs w:val="21"/>
                <w:u w:val="none"/>
              </w:rPr>
            </w:pPr>
          </w:p>
        </w:tc>
      </w:tr>
      <w:tr w14:paraId="3FBE5D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683F9D6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Peripheral vascular disease (%)</w:t>
            </w:r>
          </w:p>
        </w:tc>
        <w:tc>
          <w:tcPr>
            <w:tcW w:w="979" w:type="pct"/>
            <w:tcBorders>
              <w:top w:val="nil"/>
              <w:left w:val="nil"/>
              <w:bottom w:val="nil"/>
              <w:right w:val="nil"/>
            </w:tcBorders>
            <w:shd w:val="clear" w:color="auto" w:fill="auto"/>
            <w:vAlign w:val="center"/>
          </w:tcPr>
          <w:p w14:paraId="7BFEAC8D">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93693EA">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745F6D57">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26109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53BD8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E213A6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7E7805E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1608 (17.9)</w:t>
            </w:r>
          </w:p>
        </w:tc>
        <w:tc>
          <w:tcPr>
            <w:tcW w:w="1062" w:type="pct"/>
            <w:tcBorders>
              <w:top w:val="nil"/>
              <w:left w:val="nil"/>
              <w:bottom w:val="nil"/>
              <w:right w:val="nil"/>
            </w:tcBorders>
            <w:shd w:val="clear" w:color="auto" w:fill="auto"/>
            <w:vAlign w:val="center"/>
          </w:tcPr>
          <w:p w14:paraId="31348E3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482 (10.7)</w:t>
            </w:r>
          </w:p>
        </w:tc>
        <w:tc>
          <w:tcPr>
            <w:tcW w:w="979" w:type="pct"/>
            <w:tcBorders>
              <w:top w:val="nil"/>
              <w:left w:val="nil"/>
              <w:bottom w:val="nil"/>
              <w:right w:val="nil"/>
            </w:tcBorders>
            <w:shd w:val="clear" w:color="auto" w:fill="auto"/>
            <w:vAlign w:val="center"/>
          </w:tcPr>
          <w:p w14:paraId="55CFE85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1126 (25.0)</w:t>
            </w:r>
          </w:p>
        </w:tc>
        <w:tc>
          <w:tcPr>
            <w:tcW w:w="523" w:type="pct"/>
            <w:tcBorders>
              <w:top w:val="nil"/>
              <w:left w:val="nil"/>
              <w:bottom w:val="nil"/>
              <w:right w:val="nil"/>
            </w:tcBorders>
            <w:shd w:val="clear" w:color="auto" w:fill="auto"/>
            <w:vAlign w:val="center"/>
          </w:tcPr>
          <w:p w14:paraId="029692E6">
            <w:pPr>
              <w:jc w:val="center"/>
              <w:rPr>
                <w:rFonts w:hint="default" w:ascii="Times New Roman" w:hAnsi="Times New Roman" w:eastAsia="宋体" w:cs="Times New Roman"/>
                <w:i w:val="0"/>
                <w:iCs w:val="0"/>
                <w:color w:val="000000"/>
                <w:sz w:val="21"/>
                <w:szCs w:val="21"/>
                <w:u w:val="none"/>
              </w:rPr>
            </w:pPr>
          </w:p>
        </w:tc>
      </w:tr>
      <w:tr w14:paraId="0BA2E7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555694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54AC775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7384 (82.1)</w:t>
            </w:r>
          </w:p>
        </w:tc>
        <w:tc>
          <w:tcPr>
            <w:tcW w:w="1062" w:type="pct"/>
            <w:tcBorders>
              <w:top w:val="nil"/>
              <w:left w:val="nil"/>
              <w:bottom w:val="nil"/>
              <w:right w:val="nil"/>
            </w:tcBorders>
            <w:shd w:val="clear" w:color="auto" w:fill="auto"/>
            <w:vAlign w:val="center"/>
          </w:tcPr>
          <w:p w14:paraId="318E4B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4014 (89.3)</w:t>
            </w:r>
          </w:p>
        </w:tc>
        <w:tc>
          <w:tcPr>
            <w:tcW w:w="979" w:type="pct"/>
            <w:tcBorders>
              <w:top w:val="nil"/>
              <w:left w:val="nil"/>
              <w:bottom w:val="nil"/>
              <w:right w:val="nil"/>
            </w:tcBorders>
            <w:shd w:val="clear" w:color="auto" w:fill="auto"/>
            <w:vAlign w:val="center"/>
          </w:tcPr>
          <w:p w14:paraId="1B6664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3370 (75.0)</w:t>
            </w:r>
          </w:p>
        </w:tc>
        <w:tc>
          <w:tcPr>
            <w:tcW w:w="523" w:type="pct"/>
            <w:tcBorders>
              <w:top w:val="nil"/>
              <w:left w:val="nil"/>
              <w:bottom w:val="nil"/>
              <w:right w:val="nil"/>
            </w:tcBorders>
            <w:shd w:val="clear" w:color="auto" w:fill="auto"/>
            <w:vAlign w:val="center"/>
          </w:tcPr>
          <w:p w14:paraId="0AC040CD">
            <w:pPr>
              <w:jc w:val="center"/>
              <w:rPr>
                <w:rFonts w:hint="default" w:ascii="Times New Roman" w:hAnsi="Times New Roman" w:eastAsia="宋体" w:cs="Times New Roman"/>
                <w:i w:val="0"/>
                <w:iCs w:val="0"/>
                <w:color w:val="000000"/>
                <w:sz w:val="21"/>
                <w:szCs w:val="21"/>
                <w:u w:val="none"/>
              </w:rPr>
            </w:pPr>
          </w:p>
        </w:tc>
      </w:tr>
      <w:tr w14:paraId="676513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19671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Paraplegia (%)</w:t>
            </w:r>
          </w:p>
        </w:tc>
        <w:tc>
          <w:tcPr>
            <w:tcW w:w="979" w:type="pct"/>
            <w:tcBorders>
              <w:top w:val="nil"/>
              <w:left w:val="nil"/>
              <w:bottom w:val="nil"/>
              <w:right w:val="nil"/>
            </w:tcBorders>
            <w:shd w:val="clear" w:color="auto" w:fill="auto"/>
            <w:vAlign w:val="center"/>
          </w:tcPr>
          <w:p w14:paraId="48DB22BF">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2623A78">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4A79F0B4">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76DE67E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45EDAA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07048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42A1FC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530 (5.9)</w:t>
            </w:r>
          </w:p>
        </w:tc>
        <w:tc>
          <w:tcPr>
            <w:tcW w:w="1062" w:type="pct"/>
            <w:tcBorders>
              <w:top w:val="nil"/>
              <w:left w:val="nil"/>
              <w:bottom w:val="nil"/>
              <w:right w:val="nil"/>
            </w:tcBorders>
            <w:shd w:val="clear" w:color="auto" w:fill="auto"/>
            <w:vAlign w:val="center"/>
          </w:tcPr>
          <w:p w14:paraId="621D1D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224 (5.0)</w:t>
            </w:r>
          </w:p>
        </w:tc>
        <w:tc>
          <w:tcPr>
            <w:tcW w:w="979" w:type="pct"/>
            <w:tcBorders>
              <w:top w:val="nil"/>
              <w:left w:val="nil"/>
              <w:bottom w:val="nil"/>
              <w:right w:val="nil"/>
            </w:tcBorders>
            <w:shd w:val="clear" w:color="auto" w:fill="auto"/>
            <w:vAlign w:val="center"/>
          </w:tcPr>
          <w:p w14:paraId="5159E28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306 (6.8)</w:t>
            </w:r>
          </w:p>
        </w:tc>
        <w:tc>
          <w:tcPr>
            <w:tcW w:w="523" w:type="pct"/>
            <w:tcBorders>
              <w:top w:val="nil"/>
              <w:left w:val="nil"/>
              <w:bottom w:val="nil"/>
              <w:right w:val="nil"/>
            </w:tcBorders>
            <w:shd w:val="clear" w:color="auto" w:fill="auto"/>
            <w:vAlign w:val="center"/>
          </w:tcPr>
          <w:p w14:paraId="2DD50FAF">
            <w:pPr>
              <w:jc w:val="center"/>
              <w:rPr>
                <w:rFonts w:hint="default" w:ascii="Times New Roman" w:hAnsi="Times New Roman" w:eastAsia="宋体" w:cs="Times New Roman"/>
                <w:i w:val="0"/>
                <w:iCs w:val="0"/>
                <w:color w:val="000000"/>
                <w:sz w:val="21"/>
                <w:szCs w:val="21"/>
                <w:u w:val="none"/>
              </w:rPr>
            </w:pPr>
          </w:p>
        </w:tc>
      </w:tr>
      <w:tr w14:paraId="5D394F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2461533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6DE102D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8462 (94.1)</w:t>
            </w:r>
          </w:p>
        </w:tc>
        <w:tc>
          <w:tcPr>
            <w:tcW w:w="1062" w:type="pct"/>
            <w:tcBorders>
              <w:top w:val="nil"/>
              <w:left w:val="nil"/>
              <w:bottom w:val="nil"/>
              <w:right w:val="nil"/>
            </w:tcBorders>
            <w:shd w:val="clear" w:color="auto" w:fill="auto"/>
            <w:vAlign w:val="center"/>
          </w:tcPr>
          <w:p w14:paraId="120B200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4272 (95.0)</w:t>
            </w:r>
          </w:p>
        </w:tc>
        <w:tc>
          <w:tcPr>
            <w:tcW w:w="979" w:type="pct"/>
            <w:tcBorders>
              <w:top w:val="nil"/>
              <w:left w:val="nil"/>
              <w:bottom w:val="nil"/>
              <w:right w:val="nil"/>
            </w:tcBorders>
            <w:shd w:val="clear" w:color="auto" w:fill="auto"/>
            <w:vAlign w:val="center"/>
          </w:tcPr>
          <w:p w14:paraId="021D5E6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4190 (93.2)</w:t>
            </w:r>
          </w:p>
        </w:tc>
        <w:tc>
          <w:tcPr>
            <w:tcW w:w="523" w:type="pct"/>
            <w:tcBorders>
              <w:top w:val="nil"/>
              <w:left w:val="nil"/>
              <w:bottom w:val="nil"/>
              <w:right w:val="nil"/>
            </w:tcBorders>
            <w:shd w:val="clear" w:color="auto" w:fill="auto"/>
            <w:vAlign w:val="center"/>
          </w:tcPr>
          <w:p w14:paraId="0DFE83AE">
            <w:pPr>
              <w:jc w:val="center"/>
              <w:rPr>
                <w:rFonts w:hint="default" w:ascii="Times New Roman" w:hAnsi="Times New Roman" w:eastAsia="宋体" w:cs="Times New Roman"/>
                <w:i w:val="0"/>
                <w:iCs w:val="0"/>
                <w:color w:val="000000"/>
                <w:sz w:val="21"/>
                <w:szCs w:val="21"/>
                <w:u w:val="none"/>
              </w:rPr>
            </w:pPr>
          </w:p>
        </w:tc>
      </w:tr>
      <w:tr w14:paraId="6008AF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AB3FEA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Treatment and drugs</w:t>
            </w:r>
          </w:p>
        </w:tc>
        <w:tc>
          <w:tcPr>
            <w:tcW w:w="979" w:type="pct"/>
            <w:tcBorders>
              <w:top w:val="nil"/>
              <w:left w:val="nil"/>
              <w:bottom w:val="nil"/>
              <w:right w:val="nil"/>
            </w:tcBorders>
            <w:shd w:val="clear" w:color="auto" w:fill="auto"/>
            <w:vAlign w:val="center"/>
          </w:tcPr>
          <w:p w14:paraId="7E5CD60F">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2F3F99B3">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518C4D33">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933AFA7">
            <w:pPr>
              <w:jc w:val="center"/>
              <w:rPr>
                <w:rFonts w:hint="default" w:ascii="Times New Roman" w:hAnsi="Times New Roman" w:eastAsia="宋体" w:cs="Times New Roman"/>
                <w:i w:val="0"/>
                <w:iCs w:val="0"/>
                <w:color w:val="000000"/>
                <w:sz w:val="21"/>
                <w:szCs w:val="21"/>
                <w:u w:val="none"/>
              </w:rPr>
            </w:pPr>
          </w:p>
        </w:tc>
      </w:tr>
      <w:tr w14:paraId="3805B6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8F183F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Invasive mechanical ventilation (%)</w:t>
            </w:r>
          </w:p>
        </w:tc>
        <w:tc>
          <w:tcPr>
            <w:tcW w:w="979" w:type="pct"/>
            <w:tcBorders>
              <w:top w:val="nil"/>
              <w:left w:val="nil"/>
              <w:bottom w:val="nil"/>
              <w:right w:val="nil"/>
            </w:tcBorders>
            <w:shd w:val="clear" w:color="auto" w:fill="auto"/>
            <w:vAlign w:val="center"/>
          </w:tcPr>
          <w:p w14:paraId="58ABADA1">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1C5AAF26">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419A26C7">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06D7984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0.055</w:t>
            </w:r>
          </w:p>
        </w:tc>
      </w:tr>
      <w:tr w14:paraId="4FEA6A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1F579C5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57D2B7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4570 (50.8)</w:t>
            </w:r>
          </w:p>
        </w:tc>
        <w:tc>
          <w:tcPr>
            <w:tcW w:w="1062" w:type="pct"/>
            <w:tcBorders>
              <w:top w:val="nil"/>
              <w:left w:val="nil"/>
              <w:bottom w:val="nil"/>
              <w:right w:val="nil"/>
            </w:tcBorders>
            <w:shd w:val="clear" w:color="auto" w:fill="auto"/>
            <w:vAlign w:val="center"/>
          </w:tcPr>
          <w:p w14:paraId="2C7A02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2239 (49.8)</w:t>
            </w:r>
          </w:p>
        </w:tc>
        <w:tc>
          <w:tcPr>
            <w:tcW w:w="979" w:type="pct"/>
            <w:tcBorders>
              <w:top w:val="nil"/>
              <w:left w:val="nil"/>
              <w:bottom w:val="nil"/>
              <w:right w:val="nil"/>
            </w:tcBorders>
            <w:shd w:val="clear" w:color="auto" w:fill="auto"/>
            <w:vAlign w:val="center"/>
          </w:tcPr>
          <w:p w14:paraId="7121BBB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2331 (51.8)</w:t>
            </w:r>
          </w:p>
        </w:tc>
        <w:tc>
          <w:tcPr>
            <w:tcW w:w="523" w:type="pct"/>
            <w:tcBorders>
              <w:top w:val="nil"/>
              <w:left w:val="nil"/>
              <w:bottom w:val="nil"/>
              <w:right w:val="nil"/>
            </w:tcBorders>
            <w:shd w:val="clear" w:color="auto" w:fill="auto"/>
            <w:vAlign w:val="center"/>
          </w:tcPr>
          <w:p w14:paraId="41E2B519">
            <w:pPr>
              <w:jc w:val="center"/>
              <w:rPr>
                <w:rFonts w:hint="default" w:ascii="Times New Roman" w:hAnsi="Times New Roman" w:eastAsia="宋体" w:cs="Times New Roman"/>
                <w:i w:val="0"/>
                <w:iCs w:val="0"/>
                <w:color w:val="000000"/>
                <w:sz w:val="21"/>
                <w:szCs w:val="21"/>
                <w:u w:val="none"/>
              </w:rPr>
            </w:pPr>
          </w:p>
        </w:tc>
      </w:tr>
      <w:tr w14:paraId="73FDDD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ED12B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10E184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4422 (49.2)</w:t>
            </w:r>
          </w:p>
        </w:tc>
        <w:tc>
          <w:tcPr>
            <w:tcW w:w="1062" w:type="pct"/>
            <w:tcBorders>
              <w:top w:val="nil"/>
              <w:left w:val="nil"/>
              <w:bottom w:val="nil"/>
              <w:right w:val="nil"/>
            </w:tcBorders>
            <w:shd w:val="clear" w:color="auto" w:fill="auto"/>
            <w:vAlign w:val="center"/>
          </w:tcPr>
          <w:p w14:paraId="420E17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2257 (50.2)</w:t>
            </w:r>
          </w:p>
        </w:tc>
        <w:tc>
          <w:tcPr>
            <w:tcW w:w="979" w:type="pct"/>
            <w:tcBorders>
              <w:top w:val="nil"/>
              <w:left w:val="nil"/>
              <w:bottom w:val="nil"/>
              <w:right w:val="nil"/>
            </w:tcBorders>
            <w:shd w:val="clear" w:color="auto" w:fill="auto"/>
            <w:vAlign w:val="center"/>
          </w:tcPr>
          <w:p w14:paraId="4AB2F29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2165 (48.2)</w:t>
            </w:r>
          </w:p>
        </w:tc>
        <w:tc>
          <w:tcPr>
            <w:tcW w:w="523" w:type="pct"/>
            <w:tcBorders>
              <w:top w:val="nil"/>
              <w:left w:val="nil"/>
              <w:bottom w:val="nil"/>
              <w:right w:val="nil"/>
            </w:tcBorders>
            <w:shd w:val="clear" w:color="auto" w:fill="auto"/>
            <w:vAlign w:val="center"/>
          </w:tcPr>
          <w:p w14:paraId="629D079C">
            <w:pPr>
              <w:jc w:val="center"/>
              <w:rPr>
                <w:rFonts w:hint="default" w:ascii="Times New Roman" w:hAnsi="Times New Roman" w:eastAsia="宋体" w:cs="Times New Roman"/>
                <w:i w:val="0"/>
                <w:iCs w:val="0"/>
                <w:color w:val="000000"/>
                <w:sz w:val="21"/>
                <w:szCs w:val="21"/>
                <w:u w:val="none"/>
              </w:rPr>
            </w:pPr>
          </w:p>
        </w:tc>
      </w:tr>
      <w:tr w14:paraId="7C6C9B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D5A66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Sedatives (%)</w:t>
            </w:r>
          </w:p>
        </w:tc>
        <w:tc>
          <w:tcPr>
            <w:tcW w:w="979" w:type="pct"/>
            <w:tcBorders>
              <w:top w:val="nil"/>
              <w:left w:val="nil"/>
              <w:bottom w:val="nil"/>
              <w:right w:val="nil"/>
            </w:tcBorders>
            <w:shd w:val="clear" w:color="auto" w:fill="auto"/>
            <w:vAlign w:val="center"/>
          </w:tcPr>
          <w:p w14:paraId="5F1CE19E">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244D2578">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7C81E7A6">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52190F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0.288</w:t>
            </w:r>
          </w:p>
        </w:tc>
      </w:tr>
      <w:tr w14:paraId="3E0D20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FEB18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3EB76A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6108 (67.9)</w:t>
            </w:r>
          </w:p>
        </w:tc>
        <w:tc>
          <w:tcPr>
            <w:tcW w:w="1062" w:type="pct"/>
            <w:tcBorders>
              <w:top w:val="nil"/>
              <w:left w:val="nil"/>
              <w:bottom w:val="nil"/>
              <w:right w:val="nil"/>
            </w:tcBorders>
            <w:shd w:val="clear" w:color="auto" w:fill="auto"/>
            <w:vAlign w:val="center"/>
          </w:tcPr>
          <w:p w14:paraId="4EDB649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3030 (67.4)</w:t>
            </w:r>
          </w:p>
        </w:tc>
        <w:tc>
          <w:tcPr>
            <w:tcW w:w="979" w:type="pct"/>
            <w:tcBorders>
              <w:top w:val="nil"/>
              <w:left w:val="nil"/>
              <w:bottom w:val="nil"/>
              <w:right w:val="nil"/>
            </w:tcBorders>
            <w:shd w:val="clear" w:color="auto" w:fill="auto"/>
            <w:vAlign w:val="center"/>
          </w:tcPr>
          <w:p w14:paraId="3BE5564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3078 (68.5)</w:t>
            </w:r>
          </w:p>
        </w:tc>
        <w:tc>
          <w:tcPr>
            <w:tcW w:w="523" w:type="pct"/>
            <w:tcBorders>
              <w:top w:val="nil"/>
              <w:left w:val="nil"/>
              <w:bottom w:val="nil"/>
              <w:right w:val="nil"/>
            </w:tcBorders>
            <w:shd w:val="clear" w:color="auto" w:fill="auto"/>
            <w:vAlign w:val="center"/>
          </w:tcPr>
          <w:p w14:paraId="30ED6084">
            <w:pPr>
              <w:jc w:val="center"/>
              <w:rPr>
                <w:rFonts w:hint="default" w:ascii="Times New Roman" w:hAnsi="Times New Roman" w:eastAsia="宋体" w:cs="Times New Roman"/>
                <w:i w:val="0"/>
                <w:iCs w:val="0"/>
                <w:color w:val="000000"/>
                <w:sz w:val="21"/>
                <w:szCs w:val="21"/>
                <w:u w:val="none"/>
              </w:rPr>
            </w:pPr>
          </w:p>
        </w:tc>
      </w:tr>
      <w:tr w14:paraId="63EFB3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ABD24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68661D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2884 (32.1)</w:t>
            </w:r>
          </w:p>
        </w:tc>
        <w:tc>
          <w:tcPr>
            <w:tcW w:w="1062" w:type="pct"/>
            <w:tcBorders>
              <w:top w:val="nil"/>
              <w:left w:val="nil"/>
              <w:bottom w:val="nil"/>
              <w:right w:val="nil"/>
            </w:tcBorders>
            <w:shd w:val="clear" w:color="auto" w:fill="auto"/>
            <w:vAlign w:val="center"/>
          </w:tcPr>
          <w:p w14:paraId="1FF9B0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1466 (32.6)</w:t>
            </w:r>
          </w:p>
        </w:tc>
        <w:tc>
          <w:tcPr>
            <w:tcW w:w="979" w:type="pct"/>
            <w:tcBorders>
              <w:top w:val="nil"/>
              <w:left w:val="nil"/>
              <w:bottom w:val="nil"/>
              <w:right w:val="nil"/>
            </w:tcBorders>
            <w:shd w:val="clear" w:color="auto" w:fill="auto"/>
            <w:vAlign w:val="center"/>
          </w:tcPr>
          <w:p w14:paraId="7243C8B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1418 (31.5)</w:t>
            </w:r>
          </w:p>
        </w:tc>
        <w:tc>
          <w:tcPr>
            <w:tcW w:w="523" w:type="pct"/>
            <w:tcBorders>
              <w:top w:val="nil"/>
              <w:left w:val="nil"/>
              <w:bottom w:val="nil"/>
              <w:right w:val="nil"/>
            </w:tcBorders>
            <w:shd w:val="clear" w:color="auto" w:fill="auto"/>
            <w:vAlign w:val="center"/>
          </w:tcPr>
          <w:p w14:paraId="128A0F1D">
            <w:pPr>
              <w:jc w:val="center"/>
              <w:rPr>
                <w:rFonts w:hint="default" w:ascii="Times New Roman" w:hAnsi="Times New Roman" w:eastAsia="宋体" w:cs="Times New Roman"/>
                <w:i w:val="0"/>
                <w:iCs w:val="0"/>
                <w:color w:val="000000"/>
                <w:sz w:val="21"/>
                <w:szCs w:val="21"/>
                <w:u w:val="none"/>
              </w:rPr>
            </w:pPr>
          </w:p>
        </w:tc>
      </w:tr>
      <w:tr w14:paraId="15DF45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787F4B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Vasoactive agents (%)</w:t>
            </w:r>
          </w:p>
        </w:tc>
        <w:tc>
          <w:tcPr>
            <w:tcW w:w="979" w:type="pct"/>
            <w:tcBorders>
              <w:top w:val="nil"/>
              <w:left w:val="nil"/>
              <w:bottom w:val="nil"/>
              <w:right w:val="nil"/>
            </w:tcBorders>
            <w:shd w:val="clear" w:color="auto" w:fill="auto"/>
            <w:vAlign w:val="center"/>
          </w:tcPr>
          <w:p w14:paraId="77674268">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3FBFE447">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2188E78C">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7AFD708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0.106</w:t>
            </w:r>
          </w:p>
        </w:tc>
      </w:tr>
      <w:tr w14:paraId="27A73D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5115D1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64D755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5075 (56.4)</w:t>
            </w:r>
          </w:p>
        </w:tc>
        <w:tc>
          <w:tcPr>
            <w:tcW w:w="1062" w:type="pct"/>
            <w:tcBorders>
              <w:top w:val="nil"/>
              <w:left w:val="nil"/>
              <w:bottom w:val="nil"/>
              <w:right w:val="nil"/>
            </w:tcBorders>
            <w:shd w:val="clear" w:color="auto" w:fill="auto"/>
            <w:vAlign w:val="center"/>
          </w:tcPr>
          <w:p w14:paraId="48EAD4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2576 (57.3)</w:t>
            </w:r>
          </w:p>
        </w:tc>
        <w:tc>
          <w:tcPr>
            <w:tcW w:w="979" w:type="pct"/>
            <w:tcBorders>
              <w:top w:val="nil"/>
              <w:left w:val="nil"/>
              <w:bottom w:val="nil"/>
              <w:right w:val="nil"/>
            </w:tcBorders>
            <w:shd w:val="clear" w:color="auto" w:fill="auto"/>
            <w:vAlign w:val="center"/>
          </w:tcPr>
          <w:p w14:paraId="2D291C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2499 (55.6)</w:t>
            </w:r>
          </w:p>
        </w:tc>
        <w:tc>
          <w:tcPr>
            <w:tcW w:w="523" w:type="pct"/>
            <w:tcBorders>
              <w:top w:val="nil"/>
              <w:left w:val="nil"/>
              <w:bottom w:val="nil"/>
              <w:right w:val="nil"/>
            </w:tcBorders>
            <w:shd w:val="clear" w:color="auto" w:fill="auto"/>
            <w:vAlign w:val="center"/>
          </w:tcPr>
          <w:p w14:paraId="1FEEF541">
            <w:pPr>
              <w:jc w:val="center"/>
              <w:rPr>
                <w:rFonts w:hint="default" w:ascii="Times New Roman" w:hAnsi="Times New Roman" w:eastAsia="宋体" w:cs="Times New Roman"/>
                <w:i w:val="0"/>
                <w:iCs w:val="0"/>
                <w:color w:val="000000"/>
                <w:sz w:val="21"/>
                <w:szCs w:val="21"/>
                <w:u w:val="none"/>
              </w:rPr>
            </w:pPr>
          </w:p>
        </w:tc>
      </w:tr>
      <w:tr w14:paraId="5E04F6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1742217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4BDC06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3917 (43.6)</w:t>
            </w:r>
          </w:p>
        </w:tc>
        <w:tc>
          <w:tcPr>
            <w:tcW w:w="1062" w:type="pct"/>
            <w:tcBorders>
              <w:top w:val="nil"/>
              <w:left w:val="nil"/>
              <w:bottom w:val="nil"/>
              <w:right w:val="nil"/>
            </w:tcBorders>
            <w:shd w:val="clear" w:color="auto" w:fill="auto"/>
            <w:vAlign w:val="center"/>
          </w:tcPr>
          <w:p w14:paraId="1A804F2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1920 (42.7)</w:t>
            </w:r>
          </w:p>
        </w:tc>
        <w:tc>
          <w:tcPr>
            <w:tcW w:w="979" w:type="pct"/>
            <w:tcBorders>
              <w:top w:val="nil"/>
              <w:left w:val="nil"/>
              <w:bottom w:val="nil"/>
              <w:right w:val="nil"/>
            </w:tcBorders>
            <w:shd w:val="clear" w:color="auto" w:fill="auto"/>
            <w:vAlign w:val="center"/>
          </w:tcPr>
          <w:p w14:paraId="3FEDC36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 (44.4)</w:t>
            </w:r>
          </w:p>
        </w:tc>
        <w:tc>
          <w:tcPr>
            <w:tcW w:w="523" w:type="pct"/>
            <w:tcBorders>
              <w:top w:val="nil"/>
              <w:left w:val="nil"/>
              <w:bottom w:val="nil"/>
              <w:right w:val="nil"/>
            </w:tcBorders>
            <w:shd w:val="clear" w:color="auto" w:fill="auto"/>
            <w:vAlign w:val="center"/>
          </w:tcPr>
          <w:p w14:paraId="5809F63D">
            <w:pPr>
              <w:jc w:val="center"/>
              <w:rPr>
                <w:rFonts w:hint="default" w:ascii="Times New Roman" w:hAnsi="Times New Roman" w:eastAsia="宋体" w:cs="Times New Roman"/>
                <w:i w:val="0"/>
                <w:iCs w:val="0"/>
                <w:color w:val="000000"/>
                <w:sz w:val="21"/>
                <w:szCs w:val="21"/>
                <w:u w:val="none"/>
              </w:rPr>
            </w:pPr>
          </w:p>
        </w:tc>
      </w:tr>
      <w:tr w14:paraId="6963F3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AC3B8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Renal replacement therapy (%)</w:t>
            </w:r>
          </w:p>
        </w:tc>
        <w:tc>
          <w:tcPr>
            <w:tcW w:w="979" w:type="pct"/>
            <w:tcBorders>
              <w:top w:val="nil"/>
              <w:left w:val="nil"/>
              <w:bottom w:val="nil"/>
              <w:right w:val="nil"/>
            </w:tcBorders>
            <w:shd w:val="clear" w:color="auto" w:fill="auto"/>
            <w:vAlign w:val="center"/>
          </w:tcPr>
          <w:p w14:paraId="3A308447">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2955D38D">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3752C909">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3107C4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35E04B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D0EE97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1BF9DCE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 (12.2)</w:t>
            </w:r>
          </w:p>
        </w:tc>
        <w:tc>
          <w:tcPr>
            <w:tcW w:w="1062" w:type="pct"/>
            <w:tcBorders>
              <w:top w:val="nil"/>
              <w:left w:val="nil"/>
              <w:bottom w:val="nil"/>
              <w:right w:val="nil"/>
            </w:tcBorders>
            <w:shd w:val="clear" w:color="auto" w:fill="auto"/>
            <w:vAlign w:val="center"/>
          </w:tcPr>
          <w:p w14:paraId="35AFB1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 (9.8)</w:t>
            </w:r>
          </w:p>
        </w:tc>
        <w:tc>
          <w:tcPr>
            <w:tcW w:w="979" w:type="pct"/>
            <w:tcBorders>
              <w:top w:val="nil"/>
              <w:left w:val="nil"/>
              <w:bottom w:val="nil"/>
              <w:right w:val="nil"/>
            </w:tcBorders>
            <w:shd w:val="clear" w:color="auto" w:fill="auto"/>
            <w:vAlign w:val="center"/>
          </w:tcPr>
          <w:p w14:paraId="6758376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658 (14.6)</w:t>
            </w:r>
          </w:p>
        </w:tc>
        <w:tc>
          <w:tcPr>
            <w:tcW w:w="523" w:type="pct"/>
            <w:tcBorders>
              <w:top w:val="nil"/>
              <w:left w:val="nil"/>
              <w:bottom w:val="nil"/>
              <w:right w:val="nil"/>
            </w:tcBorders>
            <w:shd w:val="clear" w:color="auto" w:fill="auto"/>
            <w:vAlign w:val="center"/>
          </w:tcPr>
          <w:p w14:paraId="61EDF4A5">
            <w:pPr>
              <w:jc w:val="center"/>
              <w:rPr>
                <w:rFonts w:hint="default" w:ascii="Times New Roman" w:hAnsi="Times New Roman" w:eastAsia="宋体" w:cs="Times New Roman"/>
                <w:i w:val="0"/>
                <w:iCs w:val="0"/>
                <w:color w:val="000000"/>
                <w:sz w:val="21"/>
                <w:szCs w:val="21"/>
                <w:u w:val="none"/>
              </w:rPr>
            </w:pPr>
          </w:p>
        </w:tc>
      </w:tr>
      <w:tr w14:paraId="0C1414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98DCD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54A0E4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7892 (87.8)</w:t>
            </w:r>
          </w:p>
        </w:tc>
        <w:tc>
          <w:tcPr>
            <w:tcW w:w="1062" w:type="pct"/>
            <w:tcBorders>
              <w:top w:val="nil"/>
              <w:left w:val="nil"/>
              <w:bottom w:val="nil"/>
              <w:right w:val="nil"/>
            </w:tcBorders>
            <w:shd w:val="clear" w:color="auto" w:fill="auto"/>
            <w:vAlign w:val="center"/>
          </w:tcPr>
          <w:p w14:paraId="577544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4054 (90.2)</w:t>
            </w:r>
          </w:p>
        </w:tc>
        <w:tc>
          <w:tcPr>
            <w:tcW w:w="979" w:type="pct"/>
            <w:tcBorders>
              <w:top w:val="nil"/>
              <w:left w:val="nil"/>
              <w:bottom w:val="nil"/>
              <w:right w:val="nil"/>
            </w:tcBorders>
            <w:shd w:val="clear" w:color="auto" w:fill="auto"/>
            <w:vAlign w:val="center"/>
          </w:tcPr>
          <w:p w14:paraId="6BE582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3838 (85.4)</w:t>
            </w:r>
          </w:p>
        </w:tc>
        <w:tc>
          <w:tcPr>
            <w:tcW w:w="523" w:type="pct"/>
            <w:tcBorders>
              <w:top w:val="nil"/>
              <w:left w:val="nil"/>
              <w:bottom w:val="nil"/>
              <w:right w:val="nil"/>
            </w:tcBorders>
            <w:shd w:val="clear" w:color="auto" w:fill="auto"/>
            <w:vAlign w:val="center"/>
          </w:tcPr>
          <w:p w14:paraId="564B4E20">
            <w:pPr>
              <w:jc w:val="center"/>
              <w:rPr>
                <w:rFonts w:hint="default" w:ascii="Times New Roman" w:hAnsi="Times New Roman" w:eastAsia="宋体" w:cs="Times New Roman"/>
                <w:i w:val="0"/>
                <w:iCs w:val="0"/>
                <w:color w:val="000000"/>
                <w:sz w:val="21"/>
                <w:szCs w:val="21"/>
                <w:u w:val="none"/>
              </w:rPr>
            </w:pPr>
          </w:p>
        </w:tc>
      </w:tr>
      <w:tr w14:paraId="426660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3E7545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Outcomes</w:t>
            </w:r>
          </w:p>
        </w:tc>
        <w:tc>
          <w:tcPr>
            <w:tcW w:w="979" w:type="pct"/>
            <w:tcBorders>
              <w:top w:val="nil"/>
              <w:left w:val="nil"/>
              <w:bottom w:val="nil"/>
              <w:right w:val="nil"/>
            </w:tcBorders>
            <w:shd w:val="clear" w:color="auto" w:fill="auto"/>
            <w:vAlign w:val="center"/>
          </w:tcPr>
          <w:p w14:paraId="168E5F0C">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6E7FFEE1">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4CB0742B">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5FC57017">
            <w:pPr>
              <w:jc w:val="center"/>
              <w:rPr>
                <w:rFonts w:hint="default" w:ascii="Times New Roman" w:hAnsi="Times New Roman" w:eastAsia="宋体" w:cs="Times New Roman"/>
                <w:i w:val="0"/>
                <w:iCs w:val="0"/>
                <w:color w:val="000000"/>
                <w:sz w:val="21"/>
                <w:szCs w:val="21"/>
                <w:u w:val="none"/>
              </w:rPr>
            </w:pPr>
          </w:p>
        </w:tc>
      </w:tr>
      <w:tr w14:paraId="2B672D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PrEx>
        <w:trPr>
          <w:trHeight w:val="312" w:hRule="atLeast"/>
          <w:jc w:val="center"/>
        </w:trPr>
        <w:tc>
          <w:tcPr>
            <w:tcW w:w="1453" w:type="pct"/>
            <w:tcBorders>
              <w:top w:val="nil"/>
              <w:left w:val="nil"/>
              <w:bottom w:val="nil"/>
              <w:right w:val="nil"/>
            </w:tcBorders>
            <w:shd w:val="clear" w:color="auto" w:fill="auto"/>
            <w:vAlign w:val="center"/>
          </w:tcPr>
          <w:p w14:paraId="1DC89C6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Delirium (%)</w:t>
            </w:r>
          </w:p>
        </w:tc>
        <w:tc>
          <w:tcPr>
            <w:tcW w:w="979" w:type="pct"/>
            <w:tcBorders>
              <w:top w:val="nil"/>
              <w:left w:val="nil"/>
              <w:bottom w:val="nil"/>
              <w:right w:val="nil"/>
            </w:tcBorders>
            <w:shd w:val="clear" w:color="auto" w:fill="auto"/>
            <w:vAlign w:val="center"/>
          </w:tcPr>
          <w:p w14:paraId="11032C84">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0FE126DC">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1ADF9F33">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14E5D1B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1F085A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5B9D388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Yes</w:t>
            </w:r>
          </w:p>
        </w:tc>
        <w:tc>
          <w:tcPr>
            <w:tcW w:w="979" w:type="pct"/>
            <w:tcBorders>
              <w:top w:val="nil"/>
              <w:left w:val="nil"/>
              <w:bottom w:val="nil"/>
              <w:right w:val="nil"/>
            </w:tcBorders>
            <w:shd w:val="clear" w:color="auto" w:fill="auto"/>
            <w:vAlign w:val="center"/>
          </w:tcPr>
          <w:p w14:paraId="022650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4669 (51.9)</w:t>
            </w:r>
          </w:p>
        </w:tc>
        <w:tc>
          <w:tcPr>
            <w:tcW w:w="1062" w:type="pct"/>
            <w:tcBorders>
              <w:top w:val="nil"/>
              <w:left w:val="nil"/>
              <w:bottom w:val="nil"/>
              <w:right w:val="nil"/>
            </w:tcBorders>
            <w:shd w:val="clear" w:color="auto" w:fill="auto"/>
            <w:vAlign w:val="center"/>
          </w:tcPr>
          <w:p w14:paraId="5EBBD2E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2166 (48.2)</w:t>
            </w:r>
          </w:p>
        </w:tc>
        <w:tc>
          <w:tcPr>
            <w:tcW w:w="979" w:type="pct"/>
            <w:tcBorders>
              <w:top w:val="nil"/>
              <w:left w:val="nil"/>
              <w:bottom w:val="nil"/>
              <w:right w:val="nil"/>
            </w:tcBorders>
            <w:shd w:val="clear" w:color="auto" w:fill="auto"/>
            <w:vAlign w:val="center"/>
          </w:tcPr>
          <w:p w14:paraId="4B1684B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2503 (55.7)</w:t>
            </w:r>
          </w:p>
        </w:tc>
        <w:tc>
          <w:tcPr>
            <w:tcW w:w="523" w:type="pct"/>
            <w:tcBorders>
              <w:top w:val="nil"/>
              <w:left w:val="nil"/>
              <w:bottom w:val="nil"/>
              <w:right w:val="nil"/>
            </w:tcBorders>
            <w:shd w:val="clear" w:color="auto" w:fill="auto"/>
            <w:vAlign w:val="center"/>
          </w:tcPr>
          <w:p w14:paraId="402CA900">
            <w:pPr>
              <w:jc w:val="center"/>
              <w:rPr>
                <w:rFonts w:hint="default" w:ascii="Times New Roman" w:hAnsi="Times New Roman" w:eastAsia="宋体" w:cs="Times New Roman"/>
                <w:i w:val="0"/>
                <w:iCs w:val="0"/>
                <w:color w:val="000000"/>
                <w:sz w:val="21"/>
                <w:szCs w:val="21"/>
                <w:u w:val="none"/>
              </w:rPr>
            </w:pPr>
          </w:p>
        </w:tc>
      </w:tr>
      <w:tr w14:paraId="65ED0F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4F9190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w:t>
            </w:r>
          </w:p>
        </w:tc>
        <w:tc>
          <w:tcPr>
            <w:tcW w:w="979" w:type="pct"/>
            <w:tcBorders>
              <w:top w:val="nil"/>
              <w:left w:val="nil"/>
              <w:bottom w:val="nil"/>
              <w:right w:val="nil"/>
            </w:tcBorders>
            <w:shd w:val="clear" w:color="auto" w:fill="auto"/>
            <w:vAlign w:val="center"/>
          </w:tcPr>
          <w:p w14:paraId="5DE862F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4323 (48.1)</w:t>
            </w:r>
          </w:p>
        </w:tc>
        <w:tc>
          <w:tcPr>
            <w:tcW w:w="1062" w:type="pct"/>
            <w:tcBorders>
              <w:top w:val="nil"/>
              <w:left w:val="nil"/>
              <w:bottom w:val="nil"/>
              <w:right w:val="nil"/>
            </w:tcBorders>
            <w:shd w:val="clear" w:color="auto" w:fill="auto"/>
            <w:vAlign w:val="center"/>
          </w:tcPr>
          <w:p w14:paraId="2732AD6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2330 (51.8)</w:t>
            </w:r>
          </w:p>
        </w:tc>
        <w:tc>
          <w:tcPr>
            <w:tcW w:w="979" w:type="pct"/>
            <w:tcBorders>
              <w:top w:val="nil"/>
              <w:left w:val="nil"/>
              <w:bottom w:val="nil"/>
              <w:right w:val="nil"/>
            </w:tcBorders>
            <w:shd w:val="clear" w:color="auto" w:fill="auto"/>
            <w:vAlign w:val="center"/>
          </w:tcPr>
          <w:p w14:paraId="440E55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 (44.3)</w:t>
            </w:r>
          </w:p>
        </w:tc>
        <w:tc>
          <w:tcPr>
            <w:tcW w:w="523" w:type="pct"/>
            <w:tcBorders>
              <w:top w:val="nil"/>
              <w:left w:val="nil"/>
              <w:bottom w:val="nil"/>
              <w:right w:val="nil"/>
            </w:tcBorders>
            <w:shd w:val="clear" w:color="auto" w:fill="auto"/>
            <w:vAlign w:val="center"/>
          </w:tcPr>
          <w:p w14:paraId="6E9B2265">
            <w:pPr>
              <w:jc w:val="center"/>
              <w:rPr>
                <w:rFonts w:hint="default" w:ascii="Times New Roman" w:hAnsi="Times New Roman" w:eastAsia="宋体" w:cs="Times New Roman"/>
                <w:i w:val="0"/>
                <w:iCs w:val="0"/>
                <w:color w:val="000000"/>
                <w:sz w:val="21"/>
                <w:szCs w:val="21"/>
                <w:u w:val="none"/>
              </w:rPr>
            </w:pPr>
          </w:p>
        </w:tc>
      </w:tr>
      <w:tr w14:paraId="779596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32D22FB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In-hospital mortality (%)</w:t>
            </w:r>
          </w:p>
        </w:tc>
        <w:tc>
          <w:tcPr>
            <w:tcW w:w="979" w:type="pct"/>
            <w:tcBorders>
              <w:top w:val="nil"/>
              <w:left w:val="nil"/>
              <w:bottom w:val="nil"/>
              <w:right w:val="nil"/>
            </w:tcBorders>
            <w:shd w:val="clear" w:color="auto" w:fill="auto"/>
            <w:vAlign w:val="center"/>
          </w:tcPr>
          <w:p w14:paraId="364CA1F0">
            <w:pPr>
              <w:jc w:val="center"/>
              <w:rPr>
                <w:rFonts w:hint="default" w:ascii="Times New Roman" w:hAnsi="Times New Roman" w:eastAsia="宋体" w:cs="Times New Roman"/>
                <w:i w:val="0"/>
                <w:iCs w:val="0"/>
                <w:color w:val="000000"/>
                <w:sz w:val="21"/>
                <w:szCs w:val="21"/>
                <w:u w:val="none"/>
              </w:rPr>
            </w:pPr>
          </w:p>
        </w:tc>
        <w:tc>
          <w:tcPr>
            <w:tcW w:w="1062" w:type="pct"/>
            <w:tcBorders>
              <w:top w:val="nil"/>
              <w:left w:val="nil"/>
              <w:bottom w:val="nil"/>
              <w:right w:val="nil"/>
            </w:tcBorders>
            <w:shd w:val="clear" w:color="auto" w:fill="auto"/>
            <w:vAlign w:val="center"/>
          </w:tcPr>
          <w:p w14:paraId="76AE66D7">
            <w:pPr>
              <w:jc w:val="center"/>
              <w:rPr>
                <w:rFonts w:hint="default" w:ascii="Times New Roman" w:hAnsi="Times New Roman" w:eastAsia="宋体" w:cs="Times New Roman"/>
                <w:i w:val="0"/>
                <w:iCs w:val="0"/>
                <w:color w:val="000000"/>
                <w:sz w:val="21"/>
                <w:szCs w:val="21"/>
                <w:u w:val="none"/>
              </w:rPr>
            </w:pPr>
          </w:p>
        </w:tc>
        <w:tc>
          <w:tcPr>
            <w:tcW w:w="979" w:type="pct"/>
            <w:tcBorders>
              <w:top w:val="nil"/>
              <w:left w:val="nil"/>
              <w:bottom w:val="nil"/>
              <w:right w:val="nil"/>
            </w:tcBorders>
            <w:shd w:val="clear" w:color="auto" w:fill="auto"/>
            <w:vAlign w:val="center"/>
          </w:tcPr>
          <w:p w14:paraId="7F5E2C4F">
            <w:pPr>
              <w:jc w:val="center"/>
              <w:rPr>
                <w:rFonts w:hint="default" w:ascii="Times New Roman" w:hAnsi="Times New Roman" w:eastAsia="宋体" w:cs="Times New Roman"/>
                <w:i w:val="0"/>
                <w:iCs w:val="0"/>
                <w:color w:val="000000"/>
                <w:sz w:val="21"/>
                <w:szCs w:val="21"/>
                <w:u w:val="none"/>
              </w:rPr>
            </w:pPr>
          </w:p>
        </w:tc>
        <w:tc>
          <w:tcPr>
            <w:tcW w:w="523" w:type="pct"/>
            <w:tcBorders>
              <w:top w:val="nil"/>
              <w:left w:val="nil"/>
              <w:bottom w:val="nil"/>
              <w:right w:val="nil"/>
            </w:tcBorders>
            <w:shd w:val="clear" w:color="auto" w:fill="auto"/>
            <w:vAlign w:val="center"/>
          </w:tcPr>
          <w:p w14:paraId="6B535FF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1AA4B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453" w:type="pct"/>
            <w:tcBorders>
              <w:top w:val="nil"/>
              <w:left w:val="nil"/>
              <w:bottom w:val="nil"/>
              <w:right w:val="nil"/>
            </w:tcBorders>
            <w:shd w:val="clear" w:color="auto" w:fill="auto"/>
            <w:vAlign w:val="center"/>
          </w:tcPr>
          <w:p w14:paraId="0EDF07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Alive</w:t>
            </w:r>
          </w:p>
        </w:tc>
        <w:tc>
          <w:tcPr>
            <w:tcW w:w="979" w:type="pct"/>
            <w:tcBorders>
              <w:top w:val="nil"/>
              <w:left w:val="nil"/>
              <w:bottom w:val="nil"/>
              <w:right w:val="nil"/>
            </w:tcBorders>
            <w:shd w:val="clear" w:color="auto" w:fill="auto"/>
            <w:vAlign w:val="center"/>
          </w:tcPr>
          <w:p w14:paraId="564E20A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7249 (80.6)</w:t>
            </w:r>
          </w:p>
        </w:tc>
        <w:tc>
          <w:tcPr>
            <w:tcW w:w="1062" w:type="pct"/>
            <w:tcBorders>
              <w:top w:val="nil"/>
              <w:left w:val="nil"/>
              <w:bottom w:val="nil"/>
              <w:right w:val="nil"/>
            </w:tcBorders>
            <w:shd w:val="clear" w:color="auto" w:fill="auto"/>
            <w:vAlign w:val="center"/>
          </w:tcPr>
          <w:p w14:paraId="273F4AA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3694 (82.2)</w:t>
            </w:r>
          </w:p>
        </w:tc>
        <w:tc>
          <w:tcPr>
            <w:tcW w:w="979" w:type="pct"/>
            <w:tcBorders>
              <w:top w:val="nil"/>
              <w:left w:val="nil"/>
              <w:bottom w:val="nil"/>
              <w:right w:val="nil"/>
            </w:tcBorders>
            <w:shd w:val="clear" w:color="auto" w:fill="auto"/>
            <w:vAlign w:val="center"/>
          </w:tcPr>
          <w:p w14:paraId="41C987C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3555 (79.1)</w:t>
            </w:r>
          </w:p>
        </w:tc>
        <w:tc>
          <w:tcPr>
            <w:tcW w:w="523" w:type="pct"/>
            <w:tcBorders>
              <w:top w:val="nil"/>
              <w:left w:val="nil"/>
              <w:bottom w:val="nil"/>
              <w:right w:val="nil"/>
            </w:tcBorders>
            <w:shd w:val="clear" w:color="auto" w:fill="auto"/>
            <w:vAlign w:val="center"/>
          </w:tcPr>
          <w:p w14:paraId="1705C87D">
            <w:pPr>
              <w:jc w:val="center"/>
              <w:rPr>
                <w:rFonts w:hint="default" w:ascii="Times New Roman" w:hAnsi="Times New Roman" w:eastAsia="宋体" w:cs="Times New Roman"/>
                <w:i w:val="0"/>
                <w:iCs w:val="0"/>
                <w:color w:val="000000"/>
                <w:sz w:val="21"/>
                <w:szCs w:val="21"/>
                <w:u w:val="none"/>
              </w:rPr>
            </w:pPr>
          </w:p>
        </w:tc>
      </w:tr>
      <w:tr w14:paraId="25BA71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453" w:type="pct"/>
            <w:tcBorders>
              <w:top w:val="nil"/>
              <w:left w:val="nil"/>
              <w:right w:val="nil"/>
            </w:tcBorders>
            <w:shd w:val="clear" w:color="auto" w:fill="auto"/>
            <w:vAlign w:val="center"/>
          </w:tcPr>
          <w:p w14:paraId="224F7B6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Expired</w:t>
            </w:r>
          </w:p>
        </w:tc>
        <w:tc>
          <w:tcPr>
            <w:tcW w:w="979" w:type="pct"/>
            <w:tcBorders>
              <w:top w:val="nil"/>
              <w:left w:val="nil"/>
              <w:right w:val="nil"/>
            </w:tcBorders>
            <w:shd w:val="clear" w:color="auto" w:fill="auto"/>
            <w:vAlign w:val="center"/>
          </w:tcPr>
          <w:p w14:paraId="5B6A73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1743 (19.4)</w:t>
            </w:r>
          </w:p>
        </w:tc>
        <w:tc>
          <w:tcPr>
            <w:tcW w:w="1062" w:type="pct"/>
            <w:tcBorders>
              <w:top w:val="nil"/>
              <w:left w:val="nil"/>
              <w:right w:val="nil"/>
            </w:tcBorders>
            <w:shd w:val="clear" w:color="auto" w:fill="auto"/>
            <w:vAlign w:val="center"/>
          </w:tcPr>
          <w:p w14:paraId="63DAA4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802 (17.8)</w:t>
            </w:r>
          </w:p>
        </w:tc>
        <w:tc>
          <w:tcPr>
            <w:tcW w:w="979" w:type="pct"/>
            <w:tcBorders>
              <w:top w:val="nil"/>
              <w:left w:val="nil"/>
              <w:right w:val="nil"/>
            </w:tcBorders>
            <w:shd w:val="clear" w:color="auto" w:fill="auto"/>
            <w:vAlign w:val="center"/>
          </w:tcPr>
          <w:p w14:paraId="7CAF301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941 (20.9)</w:t>
            </w:r>
          </w:p>
        </w:tc>
        <w:tc>
          <w:tcPr>
            <w:tcW w:w="523" w:type="pct"/>
            <w:tcBorders>
              <w:top w:val="nil"/>
              <w:left w:val="nil"/>
              <w:right w:val="nil"/>
            </w:tcBorders>
            <w:shd w:val="clear" w:color="auto" w:fill="auto"/>
            <w:vAlign w:val="center"/>
          </w:tcPr>
          <w:p w14:paraId="149CCA01">
            <w:pPr>
              <w:jc w:val="center"/>
              <w:rPr>
                <w:rFonts w:hint="default" w:ascii="Times New Roman" w:hAnsi="Times New Roman" w:eastAsia="宋体" w:cs="Times New Roman"/>
                <w:i w:val="0"/>
                <w:iCs w:val="0"/>
                <w:color w:val="000000"/>
                <w:sz w:val="21"/>
                <w:szCs w:val="21"/>
                <w:u w:val="none"/>
              </w:rPr>
            </w:pPr>
          </w:p>
        </w:tc>
      </w:tr>
    </w:tbl>
    <w:p w14:paraId="4FA291F3">
      <w:pPr>
        <w:rPr>
          <w:rFonts w:hint="default" w:ascii="Times New Roman" w:hAnsi="Times New Roman" w:eastAsia="宋体" w:cs="Times New Roman"/>
          <w:kern w:val="0"/>
          <w:sz w:val="21"/>
          <w:szCs w:val="21"/>
          <w:lang w:val="en-US" w:eastAsia="zh-CN" w:bidi="ar-SA"/>
        </w:rPr>
      </w:pPr>
    </w:p>
    <w:p w14:paraId="62BF91BE">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t>Abbreviations: APSIII, Acute Physiology Score III; GCS, Glasgow Coma Scale; ICU, intensive care unit; LOS, length of stay; MAP, mean arterial blood pressure; MFI, modified frailty index; SOFA, sequential organ failure assessment.</w:t>
      </w:r>
    </w:p>
    <w:p w14:paraId="4762AB97">
      <w:pPr>
        <w:rPr>
          <w:rFonts w:hint="default" w:ascii="Times New Roman" w:hAnsi="Times New Roman" w:eastAsia="宋体" w:cs="Times New Roman"/>
          <w:kern w:val="0"/>
          <w:sz w:val="21"/>
          <w:szCs w:val="21"/>
          <w:lang w:val="en-US" w:eastAsia="zh-CN" w:bidi="ar-SA"/>
        </w:rPr>
      </w:pPr>
    </w:p>
    <w:p w14:paraId="761229EB">
      <w:pPr>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kern w:val="0"/>
          <w:sz w:val="21"/>
          <w:szCs w:val="21"/>
          <w:lang w:val="en-US" w:eastAsia="zh-CN" w:bidi="ar-SA"/>
        </w:rPr>
        <w:t>Note:</w:t>
      </w:r>
    </w:p>
    <w:p w14:paraId="5C56E6EF">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t>Frailty status was defined based on the modified frailty index (MFI) score: a score greater than 3 indicates frailty, a score of 1-2 indicates pre-frailty, and a score of 0 indicates no frailty. For the purposes of this study, pre-frailty was dichotomized. Patients categorized as "pre-frail" and "non-frail" are collectively referred to as "non-frail" patients.</w:t>
      </w:r>
    </w:p>
    <w:p w14:paraId="39B7A70B">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t xml:space="preserve">Continuous variables are presented as median </w:t>
      </w:r>
      <w:r>
        <w:rPr>
          <w:rFonts w:hint="eastAsia" w:ascii="Times New Roman" w:hAnsi="Times New Roman" w:eastAsia="宋体" w:cs="Times New Roman"/>
          <w:kern w:val="0"/>
          <w:sz w:val="21"/>
          <w:szCs w:val="21"/>
          <w:lang w:val="en-US" w:eastAsia="zh-CN" w:bidi="ar-SA"/>
        </w:rPr>
        <w:t>(</w:t>
      </w:r>
      <w:r>
        <w:rPr>
          <w:rFonts w:hint="default" w:ascii="Times New Roman" w:hAnsi="Times New Roman" w:eastAsia="宋体" w:cs="Times New Roman"/>
          <w:kern w:val="0"/>
          <w:sz w:val="21"/>
          <w:szCs w:val="21"/>
          <w:lang w:val="en-US" w:eastAsia="zh-CN" w:bidi="ar-SA"/>
        </w:rPr>
        <w:t>interquartile range</w:t>
      </w:r>
      <w:r>
        <w:rPr>
          <w:rFonts w:hint="eastAsia" w:ascii="Times New Roman" w:hAnsi="Times New Roman" w:eastAsia="宋体" w:cs="Times New Roman"/>
          <w:kern w:val="0"/>
          <w:sz w:val="21"/>
          <w:szCs w:val="21"/>
          <w:lang w:val="en-US" w:eastAsia="zh-CN" w:bidi="ar-SA"/>
        </w:rPr>
        <w:t>)</w:t>
      </w:r>
      <w:r>
        <w:rPr>
          <w:rFonts w:hint="default" w:ascii="Times New Roman" w:hAnsi="Times New Roman" w:eastAsia="宋体" w:cs="Times New Roman"/>
          <w:kern w:val="0"/>
          <w:sz w:val="21"/>
          <w:szCs w:val="21"/>
          <w:lang w:val="en-US" w:eastAsia="zh-CN" w:bidi="ar-SA"/>
        </w:rPr>
        <w:t>, and categorical variables are presented as numbers (percentages).</w:t>
      </w:r>
    </w:p>
    <w:p w14:paraId="095D18DD">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t>P-values were calculated using the Wilcoxon rank sum test for continuous variables and the chi-squared test or Fisher's exact test for categorical variables.</w:t>
      </w:r>
      <w:r>
        <w:rPr>
          <w:rFonts w:hint="default" w:ascii="Times New Roman" w:hAnsi="Times New Roman" w:eastAsia="宋体" w:cs="Times New Roman"/>
          <w:kern w:val="0"/>
          <w:sz w:val="21"/>
          <w:szCs w:val="21"/>
          <w:lang w:val="en-US" w:eastAsia="zh-CN" w:bidi="ar-SA"/>
        </w:rPr>
        <w:br w:type="page"/>
      </w:r>
    </w:p>
    <w:p w14:paraId="45DB6CFE">
      <w:pPr>
        <w:rPr>
          <w:rFonts w:hint="default" w:ascii="Times New Roman" w:hAnsi="Times New Roman" w:eastAsia="宋体" w:cs="Times New Roman"/>
          <w:kern w:val="0"/>
          <w:sz w:val="21"/>
          <w:szCs w:val="21"/>
          <w:lang w:val="en-US" w:eastAsia="zh-CN" w:bidi="ar-SA"/>
        </w:rPr>
      </w:pPr>
    </w:p>
    <w:p w14:paraId="0AD205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lang w:val="en-US" w:eastAsia="zh-CN"/>
        </w:rPr>
      </w:pPr>
      <w:r>
        <w:rPr>
          <w:rFonts w:hint="eastAsia" w:ascii="Times New Roman" w:hAnsi="Times New Roman"/>
          <w:b/>
          <w:sz w:val="24"/>
          <w:szCs w:val="24"/>
        </w:rPr>
        <w:t>Supplementary</w:t>
      </w:r>
      <w:r>
        <w:rPr>
          <w:rFonts w:hint="eastAsia" w:ascii="Times New Roman" w:hAnsi="Times New Roman"/>
          <w:b/>
          <w:sz w:val="24"/>
          <w:szCs w:val="24"/>
          <w:lang w:val="en-US" w:eastAsia="zh-CN"/>
        </w:rPr>
        <w:t xml:space="preserve"> </w:t>
      </w:r>
      <w:r>
        <w:rPr>
          <w:rFonts w:hint="eastAsia" w:ascii="Times New Roman" w:hAnsi="Times New Roman"/>
          <w:b/>
          <w:sz w:val="24"/>
          <w:szCs w:val="24"/>
        </w:rPr>
        <w:t xml:space="preserve">Table </w:t>
      </w:r>
      <w:r>
        <w:rPr>
          <w:rFonts w:hint="eastAsia" w:ascii="Times New Roman" w:hAnsi="Times New Roman"/>
          <w:b/>
          <w:sz w:val="24"/>
          <w:szCs w:val="24"/>
          <w:lang w:val="en-US" w:eastAsia="zh-CN"/>
        </w:rPr>
        <w:t>3</w:t>
      </w:r>
      <w:r>
        <w:rPr>
          <w:rFonts w:hint="eastAsia" w:ascii="Times New Roman" w:hAnsi="Times New Roman"/>
          <w:b/>
          <w:sz w:val="24"/>
          <w:szCs w:val="24"/>
        </w:rPr>
        <w:t xml:space="preserve"> </w:t>
      </w:r>
      <w:r>
        <w:rPr>
          <w:rFonts w:hint="eastAsia" w:ascii="Times New Roman" w:hAnsi="Times New Roman" w:cs="Times New Roman"/>
          <w:sz w:val="24"/>
          <w:szCs w:val="24"/>
        </w:rPr>
        <w:t xml:space="preserve">Sensitivity </w:t>
      </w:r>
      <w:r>
        <w:rPr>
          <w:rFonts w:hint="eastAsia" w:ascii="Times New Roman" w:hAnsi="Times New Roman" w:cs="Times New Roman"/>
          <w:sz w:val="24"/>
          <w:szCs w:val="24"/>
          <w:lang w:val="en-US" w:eastAsia="zh-CN"/>
        </w:rPr>
        <w:t>a</w:t>
      </w:r>
      <w:r>
        <w:rPr>
          <w:rFonts w:hint="eastAsia" w:ascii="Times New Roman" w:hAnsi="Times New Roman" w:cs="Times New Roman"/>
          <w:sz w:val="24"/>
          <w:szCs w:val="24"/>
        </w:rPr>
        <w:t xml:space="preserve">nalysis: </w:t>
      </w:r>
      <w:r>
        <w:rPr>
          <w:rFonts w:hint="eastAsia" w:ascii="Times New Roman" w:hAnsi="Times New Roman" w:cs="Times New Roman"/>
          <w:sz w:val="24"/>
          <w:szCs w:val="24"/>
          <w:lang w:val="en-US" w:eastAsia="zh-CN"/>
        </w:rPr>
        <w:t>Association between frailty and sepsis-associated delirium in special populations.</w:t>
      </w:r>
    </w:p>
    <w:p w14:paraId="548AFD33">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tbl>
      <w:tblPr>
        <w:tblStyle w:val="3"/>
        <w:tblW w:w="69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1836"/>
        <w:gridCol w:w="2084"/>
        <w:gridCol w:w="1092"/>
      </w:tblGrid>
      <w:tr w14:paraId="09A37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2" w:hRule="atLeast"/>
          <w:jc w:val="center"/>
        </w:trPr>
        <w:tc>
          <w:tcPr>
            <w:tcW w:w="1908" w:type="dxa"/>
            <w:vMerge w:val="restart"/>
            <w:tcBorders>
              <w:top w:val="single" w:color="auto" w:sz="12" w:space="0"/>
              <w:left w:val="nil"/>
              <w:bottom w:val="single" w:color="auto" w:sz="6" w:space="0"/>
              <w:right w:val="nil"/>
            </w:tcBorders>
          </w:tcPr>
          <w:p w14:paraId="5F2C54D6">
            <w:pPr>
              <w:widowControl/>
              <w:jc w:val="left"/>
              <w:textAlignment w:val="center"/>
              <w:rPr>
                <w:rFonts w:hint="default" w:ascii="Times New Roman" w:hAnsi="Times New Roman" w:cs="Times New Roman"/>
                <w:lang w:val="en-US" w:eastAsia="zh-CN"/>
              </w:rPr>
            </w:pPr>
          </w:p>
        </w:tc>
        <w:tc>
          <w:tcPr>
            <w:tcW w:w="1836" w:type="dxa"/>
            <w:vMerge w:val="restart"/>
            <w:tcBorders>
              <w:top w:val="single" w:color="auto" w:sz="12" w:space="0"/>
              <w:left w:val="nil"/>
              <w:bottom w:val="single" w:color="auto" w:sz="6" w:space="0"/>
              <w:right w:val="nil"/>
            </w:tcBorders>
          </w:tcPr>
          <w:p w14:paraId="3412C176">
            <w:pPr>
              <w:widowControl/>
              <w:jc w:val="left"/>
              <w:textAlignment w:val="center"/>
              <w:rPr>
                <w:rFonts w:hint="default" w:ascii="Times New Roman" w:hAnsi="Times New Roman" w:cs="Times New Roman"/>
                <w:lang w:val="en-US" w:eastAsia="zh-CN"/>
              </w:rPr>
            </w:pPr>
            <w:r>
              <w:rPr>
                <w:rFonts w:hint="eastAsia" w:ascii="Times New Roman" w:hAnsi="Times New Roman" w:eastAsia="宋体" w:cs="Times New Roman"/>
                <w:color w:val="000000"/>
                <w:kern w:val="0"/>
                <w:szCs w:val="21"/>
                <w:lang w:bidi="ar"/>
              </w:rPr>
              <w:t>Non-frail group</w:t>
            </w:r>
            <w:r>
              <w:rPr>
                <w:rFonts w:hint="eastAsia" w:ascii="Times New Roman" w:hAnsi="Times New Roman" w:eastAsia="宋体" w:cs="Times New Roman"/>
                <w:color w:val="000000"/>
                <w:kern w:val="0"/>
                <w:szCs w:val="21"/>
                <w:vertAlign w:val="superscript"/>
                <w:lang w:val="en-US" w:eastAsia="zh-CN" w:bidi="ar"/>
              </w:rPr>
              <w:t>#</w:t>
            </w:r>
          </w:p>
        </w:tc>
        <w:tc>
          <w:tcPr>
            <w:tcW w:w="2084" w:type="dxa"/>
            <w:tcBorders>
              <w:top w:val="single" w:color="auto" w:sz="12" w:space="0"/>
              <w:left w:val="nil"/>
              <w:bottom w:val="single" w:color="auto" w:sz="6" w:space="0"/>
              <w:right w:val="nil"/>
            </w:tcBorders>
          </w:tcPr>
          <w:p w14:paraId="7F413C59">
            <w:pPr>
              <w:widowControl/>
              <w:jc w:val="left"/>
              <w:textAlignment w:val="center"/>
              <w:rPr>
                <w:rFonts w:hint="default" w:ascii="Times New Roman" w:hAnsi="Times New Roman" w:cs="Times New Roman"/>
                <w:lang w:val="en-US" w:eastAsia="zh-CN"/>
              </w:rPr>
            </w:pPr>
            <w:r>
              <w:rPr>
                <w:rFonts w:hint="eastAsia" w:ascii="Times New Roman" w:hAnsi="Times New Roman" w:eastAsia="宋体" w:cs="Times New Roman"/>
                <w:color w:val="000000"/>
                <w:kern w:val="0"/>
                <w:szCs w:val="21"/>
                <w:lang w:val="en-US" w:eastAsia="zh-CN" w:bidi="ar"/>
              </w:rPr>
              <w:t>F</w:t>
            </w:r>
            <w:r>
              <w:rPr>
                <w:rFonts w:hint="eastAsia" w:ascii="Times New Roman" w:hAnsi="Times New Roman" w:eastAsia="宋体" w:cs="Times New Roman"/>
                <w:color w:val="000000"/>
                <w:kern w:val="0"/>
                <w:szCs w:val="21"/>
                <w:lang w:bidi="ar"/>
              </w:rPr>
              <w:t>rail group</w:t>
            </w:r>
          </w:p>
        </w:tc>
        <w:tc>
          <w:tcPr>
            <w:tcW w:w="1092" w:type="dxa"/>
            <w:vMerge w:val="restart"/>
            <w:tcBorders>
              <w:top w:val="single" w:color="auto" w:sz="12" w:space="0"/>
              <w:left w:val="nil"/>
              <w:bottom w:val="single" w:color="auto" w:sz="6" w:space="0"/>
              <w:right w:val="nil"/>
            </w:tcBorders>
          </w:tcPr>
          <w:p w14:paraId="7ED16491">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P</w:t>
            </w:r>
            <w:r>
              <w:rPr>
                <w:rFonts w:hint="eastAsia" w:ascii="Times New Roman" w:hAnsi="Times New Roman" w:cs="Times New Roman"/>
                <w:lang w:val="en-US" w:eastAsia="zh-CN"/>
              </w:rPr>
              <w:t>-</w:t>
            </w:r>
            <w:r>
              <w:rPr>
                <w:rFonts w:hint="default" w:ascii="Times New Roman" w:hAnsi="Times New Roman" w:cs="Times New Roman"/>
                <w:lang w:val="en-US" w:eastAsia="zh-CN"/>
              </w:rPr>
              <w:t>value</w:t>
            </w:r>
          </w:p>
        </w:tc>
      </w:tr>
      <w:tr w14:paraId="28C155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908" w:type="dxa"/>
            <w:vMerge w:val="continue"/>
            <w:tcBorders>
              <w:top w:val="single" w:color="auto" w:sz="6" w:space="0"/>
              <w:left w:val="nil"/>
              <w:bottom w:val="single" w:color="auto" w:sz="4" w:space="0"/>
              <w:right w:val="nil"/>
            </w:tcBorders>
            <w:vAlign w:val="center"/>
          </w:tcPr>
          <w:p w14:paraId="46A8C4E9">
            <w:pPr>
              <w:widowControl/>
              <w:jc w:val="left"/>
              <w:textAlignment w:val="center"/>
              <w:rPr>
                <w:rFonts w:hint="default" w:ascii="Times New Roman" w:hAnsi="Times New Roman" w:cs="Times New Roman"/>
                <w:lang w:val="en-US" w:eastAsia="zh-CN"/>
              </w:rPr>
            </w:pPr>
          </w:p>
        </w:tc>
        <w:tc>
          <w:tcPr>
            <w:tcW w:w="1836" w:type="dxa"/>
            <w:vMerge w:val="continue"/>
            <w:tcBorders>
              <w:top w:val="single" w:color="auto" w:sz="6" w:space="0"/>
              <w:left w:val="nil"/>
              <w:bottom w:val="single" w:color="auto" w:sz="6" w:space="0"/>
              <w:right w:val="nil"/>
            </w:tcBorders>
            <w:vAlign w:val="center"/>
          </w:tcPr>
          <w:p w14:paraId="1B68F571">
            <w:pPr>
              <w:widowControl/>
              <w:jc w:val="left"/>
              <w:textAlignment w:val="center"/>
              <w:rPr>
                <w:rFonts w:hint="default" w:ascii="Times New Roman" w:hAnsi="Times New Roman" w:cs="Times New Roman"/>
                <w:lang w:val="en-US" w:eastAsia="zh-CN"/>
              </w:rPr>
            </w:pPr>
          </w:p>
        </w:tc>
        <w:tc>
          <w:tcPr>
            <w:tcW w:w="2084" w:type="dxa"/>
            <w:tcBorders>
              <w:top w:val="single" w:color="auto" w:sz="6" w:space="0"/>
              <w:left w:val="nil"/>
              <w:bottom w:val="single" w:color="auto" w:sz="6" w:space="0"/>
              <w:right w:val="nil"/>
            </w:tcBorders>
          </w:tcPr>
          <w:p w14:paraId="1F357736">
            <w:pPr>
              <w:widowControl/>
              <w:jc w:val="left"/>
              <w:textAlignment w:val="center"/>
              <w:rPr>
                <w:rFonts w:hint="default" w:ascii="Times New Roman" w:hAnsi="Times New Roman" w:cs="Times New Roman"/>
                <w:lang w:val="en-US" w:eastAsia="zh-CN"/>
              </w:rPr>
            </w:pPr>
            <w:r>
              <w:rPr>
                <w:rFonts w:hint="eastAsia" w:ascii="Times New Roman" w:hAnsi="Times New Roman" w:cs="Times New Roman"/>
                <w:lang w:val="en-US" w:eastAsia="zh-CN"/>
              </w:rPr>
              <w:t>OR</w:t>
            </w:r>
            <w:r>
              <w:rPr>
                <w:rFonts w:hint="default" w:ascii="Times New Roman" w:hAnsi="Times New Roman" w:cs="Times New Roman"/>
                <w:lang w:val="en-US" w:eastAsia="zh-CN"/>
              </w:rPr>
              <w:t xml:space="preserve"> (95% CI)</w:t>
            </w:r>
          </w:p>
        </w:tc>
        <w:tc>
          <w:tcPr>
            <w:tcW w:w="1092" w:type="dxa"/>
            <w:vMerge w:val="continue"/>
            <w:tcBorders>
              <w:top w:val="single" w:color="auto" w:sz="6" w:space="0"/>
              <w:left w:val="nil"/>
              <w:bottom w:val="single" w:color="auto" w:sz="4" w:space="0"/>
              <w:right w:val="nil"/>
            </w:tcBorders>
            <w:vAlign w:val="center"/>
          </w:tcPr>
          <w:p w14:paraId="7666CAC6">
            <w:pPr>
              <w:widowControl/>
              <w:jc w:val="left"/>
              <w:textAlignment w:val="center"/>
              <w:rPr>
                <w:rFonts w:hint="default" w:ascii="Times New Roman" w:hAnsi="Times New Roman" w:cs="Times New Roman"/>
                <w:lang w:val="en-US" w:eastAsia="zh-CN"/>
              </w:rPr>
            </w:pPr>
          </w:p>
        </w:tc>
      </w:tr>
      <w:tr w14:paraId="116A10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nil"/>
              <w:left w:val="nil"/>
              <w:bottom w:val="nil"/>
              <w:right w:val="nil"/>
            </w:tcBorders>
            <w:vAlign w:val="top"/>
          </w:tcPr>
          <w:p w14:paraId="01EFDA20">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Model</w:t>
            </w:r>
            <w:r>
              <w:rPr>
                <w:rFonts w:hint="eastAsia" w:ascii="Times New Roman" w:hAnsi="Times New Roman" w:cs="Times New Roman"/>
                <w:lang w:val="en-US" w:eastAsia="zh-CN"/>
              </w:rPr>
              <w:t xml:space="preserve"> 1</w:t>
            </w:r>
            <w:r>
              <w:rPr>
                <w:rFonts w:hint="eastAsia" w:ascii="Times New Roman" w:hAnsi="Times New Roman" w:cs="Times New Roman"/>
                <w:vertAlign w:val="superscript"/>
                <w:lang w:val="en-US" w:eastAsia="zh-CN"/>
              </w:rPr>
              <w:t>$</w:t>
            </w:r>
          </w:p>
          <w:p w14:paraId="6E9B4E9B">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Unadjusted</w:t>
            </w:r>
          </w:p>
          <w:p w14:paraId="3F4C287F">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Adjusted</w:t>
            </w:r>
          </w:p>
        </w:tc>
        <w:tc>
          <w:tcPr>
            <w:tcW w:w="1836" w:type="dxa"/>
            <w:tcBorders>
              <w:top w:val="single" w:color="auto" w:sz="6" w:space="0"/>
              <w:left w:val="nil"/>
              <w:bottom w:val="nil"/>
              <w:right w:val="nil"/>
            </w:tcBorders>
            <w:vAlign w:val="top"/>
          </w:tcPr>
          <w:p w14:paraId="7703ED0B">
            <w:pPr>
              <w:widowControl/>
              <w:jc w:val="left"/>
              <w:textAlignment w:val="center"/>
              <w:rPr>
                <w:rFonts w:hint="default" w:ascii="Times New Roman" w:hAnsi="Times New Roman" w:cs="Times New Roman"/>
                <w:lang w:val="en-US" w:eastAsia="zh-CN"/>
              </w:rPr>
            </w:pPr>
          </w:p>
          <w:p w14:paraId="65867437">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Reference</w:t>
            </w:r>
          </w:p>
          <w:p w14:paraId="1AAE4EFB">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Reference</w:t>
            </w:r>
          </w:p>
        </w:tc>
        <w:tc>
          <w:tcPr>
            <w:tcW w:w="2084" w:type="dxa"/>
            <w:tcBorders>
              <w:top w:val="single" w:color="auto" w:sz="6" w:space="0"/>
              <w:left w:val="nil"/>
              <w:bottom w:val="nil"/>
              <w:right w:val="nil"/>
            </w:tcBorders>
            <w:vAlign w:val="top"/>
          </w:tcPr>
          <w:p w14:paraId="7133E7B6">
            <w:pPr>
              <w:widowControl/>
              <w:jc w:val="left"/>
              <w:textAlignment w:val="center"/>
              <w:rPr>
                <w:rFonts w:hint="default" w:ascii="Times New Roman" w:hAnsi="Times New Roman" w:cs="Times New Roman"/>
                <w:lang w:val="en-US" w:eastAsia="zh-CN"/>
              </w:rPr>
            </w:pPr>
          </w:p>
          <w:p w14:paraId="3898345C">
            <w:pPr>
              <w:widowControl/>
              <w:jc w:val="left"/>
              <w:textAlignment w:val="center"/>
              <w:rPr>
                <w:rFonts w:hint="default" w:ascii="Times New Roman" w:hAnsi="Times New Roman" w:cs="Times New Roman"/>
                <w:lang w:val="en-US" w:eastAsia="zh-CN"/>
              </w:rPr>
            </w:pP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52</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40</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66</w:t>
            </w:r>
            <w:r>
              <w:rPr>
                <w:rFonts w:hint="default" w:ascii="Times New Roman" w:hAnsi="Times New Roman" w:cs="Times New Roman"/>
                <w:lang w:val="en-US" w:eastAsia="zh-CN"/>
              </w:rPr>
              <w:t>)</w:t>
            </w:r>
          </w:p>
          <w:p w14:paraId="3722E148">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1.</w:t>
            </w:r>
            <w:r>
              <w:rPr>
                <w:rFonts w:hint="eastAsia" w:ascii="Times New Roman" w:hAnsi="Times New Roman" w:cs="Times New Roman"/>
                <w:lang w:val="en-US" w:eastAsia="zh-CN"/>
              </w:rPr>
              <w:t>27</w:t>
            </w:r>
            <w:r>
              <w:rPr>
                <w:rFonts w:hint="default" w:ascii="Times New Roman" w:hAnsi="Times New Roman" w:cs="Times New Roman"/>
                <w:lang w:val="en-US" w:eastAsia="zh-CN"/>
              </w:rPr>
              <w:t xml:space="preserve"> (1.</w:t>
            </w:r>
            <w:r>
              <w:rPr>
                <w:rFonts w:hint="eastAsia" w:ascii="Times New Roman" w:hAnsi="Times New Roman" w:cs="Times New Roman"/>
                <w:lang w:val="en-US" w:eastAsia="zh-CN"/>
              </w:rPr>
              <w:t>15</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40</w:t>
            </w:r>
            <w:r>
              <w:rPr>
                <w:rFonts w:hint="default" w:ascii="Times New Roman" w:hAnsi="Times New Roman" w:cs="Times New Roman"/>
                <w:lang w:val="en-US" w:eastAsia="zh-CN"/>
              </w:rPr>
              <w:t>)</w:t>
            </w:r>
          </w:p>
        </w:tc>
        <w:tc>
          <w:tcPr>
            <w:tcW w:w="1092" w:type="dxa"/>
            <w:tcBorders>
              <w:top w:val="nil"/>
              <w:left w:val="nil"/>
              <w:bottom w:val="nil"/>
              <w:right w:val="nil"/>
            </w:tcBorders>
            <w:vAlign w:val="top"/>
          </w:tcPr>
          <w:p w14:paraId="460EEF73">
            <w:pPr>
              <w:widowControl/>
              <w:jc w:val="left"/>
              <w:textAlignment w:val="center"/>
              <w:rPr>
                <w:rFonts w:hint="default" w:ascii="Times New Roman" w:hAnsi="Times New Roman" w:cs="Times New Roman"/>
                <w:lang w:val="en-US" w:eastAsia="zh-CN"/>
              </w:rPr>
            </w:pPr>
          </w:p>
          <w:p w14:paraId="580548CA">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&lt;0.001*</w:t>
            </w:r>
          </w:p>
          <w:p w14:paraId="01897956">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&lt;0.001*</w:t>
            </w:r>
          </w:p>
        </w:tc>
      </w:tr>
      <w:tr w14:paraId="0E15C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nil"/>
              <w:left w:val="nil"/>
              <w:bottom w:val="single" w:color="auto" w:sz="12" w:space="0"/>
              <w:right w:val="nil"/>
            </w:tcBorders>
            <w:vAlign w:val="top"/>
          </w:tcPr>
          <w:p w14:paraId="35B29F5A">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Model</w:t>
            </w:r>
            <w:r>
              <w:rPr>
                <w:rFonts w:hint="eastAsia" w:ascii="Times New Roman" w:hAnsi="Times New Roman" w:cs="Times New Roman"/>
                <w:lang w:val="en-US" w:eastAsia="zh-CN"/>
              </w:rPr>
              <w:t xml:space="preserve"> 2</w:t>
            </w:r>
            <w:r>
              <w:rPr>
                <w:rFonts w:hint="eastAsia" w:ascii="Times New Roman" w:hAnsi="Times New Roman" w:cs="Times New Roman"/>
                <w:vertAlign w:val="superscript"/>
                <w:lang w:val="en-US" w:eastAsia="zh-CN"/>
              </w:rPr>
              <w:t>$</w:t>
            </w:r>
          </w:p>
          <w:p w14:paraId="2DB43B4A">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Unadjusted</w:t>
            </w:r>
          </w:p>
          <w:p w14:paraId="71F505A1">
            <w:pPr>
              <w:widowControl/>
              <w:jc w:val="left"/>
              <w:textAlignment w:val="cente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lang w:val="en-US" w:eastAsia="zh-CN"/>
              </w:rPr>
              <w:t>Adjusted</w:t>
            </w:r>
          </w:p>
        </w:tc>
        <w:tc>
          <w:tcPr>
            <w:tcW w:w="1836" w:type="dxa"/>
            <w:tcBorders>
              <w:top w:val="nil"/>
              <w:left w:val="nil"/>
              <w:bottom w:val="single" w:color="auto" w:sz="12" w:space="0"/>
              <w:right w:val="nil"/>
            </w:tcBorders>
            <w:vAlign w:val="top"/>
          </w:tcPr>
          <w:p w14:paraId="288B8541">
            <w:pPr>
              <w:widowControl/>
              <w:jc w:val="left"/>
              <w:textAlignment w:val="center"/>
              <w:rPr>
                <w:rFonts w:hint="default" w:ascii="Times New Roman" w:hAnsi="Times New Roman" w:cs="Times New Roman"/>
                <w:lang w:val="en-US" w:eastAsia="zh-CN"/>
              </w:rPr>
            </w:pPr>
          </w:p>
          <w:p w14:paraId="76F95B4D">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Reference</w:t>
            </w:r>
          </w:p>
          <w:p w14:paraId="16B51AE9">
            <w:pPr>
              <w:widowControl/>
              <w:jc w:val="left"/>
              <w:textAlignment w:val="cente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lang w:val="en-US" w:eastAsia="zh-CN"/>
              </w:rPr>
              <w:t>Reference</w:t>
            </w:r>
          </w:p>
        </w:tc>
        <w:tc>
          <w:tcPr>
            <w:tcW w:w="2084" w:type="dxa"/>
            <w:tcBorders>
              <w:top w:val="nil"/>
              <w:left w:val="nil"/>
              <w:bottom w:val="single" w:color="auto" w:sz="12" w:space="0"/>
              <w:right w:val="nil"/>
            </w:tcBorders>
            <w:vAlign w:val="top"/>
          </w:tcPr>
          <w:p w14:paraId="0938F9AC">
            <w:pPr>
              <w:widowControl/>
              <w:jc w:val="left"/>
              <w:textAlignment w:val="center"/>
              <w:rPr>
                <w:rFonts w:hint="default" w:ascii="Times New Roman" w:hAnsi="Times New Roman" w:cs="Times New Roman"/>
                <w:lang w:val="en-US" w:eastAsia="zh-CN"/>
              </w:rPr>
            </w:pPr>
          </w:p>
          <w:p w14:paraId="7C9EC50B">
            <w:pPr>
              <w:widowControl/>
              <w:jc w:val="left"/>
              <w:textAlignment w:val="center"/>
              <w:rPr>
                <w:rFonts w:hint="default" w:ascii="Times New Roman" w:hAnsi="Times New Roman" w:cs="Times New Roman"/>
                <w:lang w:val="en-US" w:eastAsia="zh-CN"/>
              </w:rPr>
            </w:pP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60</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47</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74</w:t>
            </w:r>
            <w:r>
              <w:rPr>
                <w:rFonts w:hint="default" w:ascii="Times New Roman" w:hAnsi="Times New Roman" w:cs="Times New Roman"/>
                <w:lang w:val="en-US" w:eastAsia="zh-CN"/>
              </w:rPr>
              <w:t>)</w:t>
            </w:r>
          </w:p>
          <w:p w14:paraId="4FAC2109">
            <w:pPr>
              <w:widowControl/>
              <w:jc w:val="left"/>
              <w:textAlignment w:val="center"/>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33</w:t>
            </w:r>
            <w:r>
              <w:rPr>
                <w:rFonts w:hint="default" w:ascii="Times New Roman" w:hAnsi="Times New Roman" w:cs="Times New Roman"/>
                <w:lang w:val="en-US" w:eastAsia="zh-CN"/>
              </w:rPr>
              <w:t xml:space="preserve"> (1.</w:t>
            </w:r>
            <w:r>
              <w:rPr>
                <w:rFonts w:hint="eastAsia" w:ascii="Times New Roman" w:hAnsi="Times New Roman" w:cs="Times New Roman"/>
                <w:lang w:val="en-US" w:eastAsia="zh-CN"/>
              </w:rPr>
              <w:t>19</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w:t>
            </w:r>
            <w:r>
              <w:rPr>
                <w:rFonts w:hint="eastAsia" w:ascii="Times New Roman" w:hAnsi="Times New Roman" w:cs="Times New Roman"/>
                <w:lang w:val="en-US" w:eastAsia="zh-CN"/>
              </w:rPr>
              <w:t>47</w:t>
            </w:r>
            <w:r>
              <w:rPr>
                <w:rFonts w:hint="default" w:ascii="Times New Roman" w:hAnsi="Times New Roman" w:cs="Times New Roman"/>
                <w:lang w:val="en-US" w:eastAsia="zh-CN"/>
              </w:rPr>
              <w:t>)</w:t>
            </w:r>
          </w:p>
        </w:tc>
        <w:tc>
          <w:tcPr>
            <w:tcW w:w="1092" w:type="dxa"/>
            <w:tcBorders>
              <w:top w:val="nil"/>
              <w:left w:val="nil"/>
              <w:bottom w:val="single" w:color="auto" w:sz="12" w:space="0"/>
              <w:right w:val="nil"/>
            </w:tcBorders>
            <w:vAlign w:val="top"/>
          </w:tcPr>
          <w:p w14:paraId="3EDC4BE9">
            <w:pPr>
              <w:widowControl/>
              <w:jc w:val="left"/>
              <w:textAlignment w:val="center"/>
              <w:rPr>
                <w:rFonts w:hint="default" w:ascii="Times New Roman" w:hAnsi="Times New Roman" w:cs="Times New Roman"/>
                <w:lang w:val="en-US" w:eastAsia="zh-CN"/>
              </w:rPr>
            </w:pPr>
          </w:p>
          <w:p w14:paraId="378ED54C">
            <w:pPr>
              <w:widowControl/>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&lt;0.001*</w:t>
            </w:r>
          </w:p>
          <w:p w14:paraId="4614B8B8">
            <w:pPr>
              <w:widowControl/>
              <w:jc w:val="left"/>
              <w:textAlignment w:val="center"/>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lang w:val="en-US" w:eastAsia="zh-CN"/>
              </w:rPr>
              <w:t>&lt;0.001*</w:t>
            </w:r>
          </w:p>
        </w:tc>
      </w:tr>
    </w:tbl>
    <w:p w14:paraId="5C43D249">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cs="Times New Roman"/>
          <w:sz w:val="24"/>
          <w:szCs w:val="24"/>
          <w:lang w:val="en-US" w:eastAsia="zh-CN"/>
        </w:rPr>
      </w:pPr>
    </w:p>
    <w:p w14:paraId="09C19176">
      <w:pPr>
        <w:widowControl/>
        <w:jc w:val="left"/>
        <w:textAlignment w:val="center"/>
        <w:rPr>
          <w:rFonts w:ascii="Times New Roman" w:hAnsi="Times New Roman" w:eastAsia="宋体" w:cs="Times New Roman"/>
          <w:szCs w:val="21"/>
        </w:rPr>
      </w:pPr>
      <w:r>
        <w:rPr>
          <w:rFonts w:ascii="Times New Roman" w:hAnsi="Times New Roman" w:eastAsia="宋体" w:cs="Times New Roman"/>
          <w:szCs w:val="21"/>
        </w:rPr>
        <w:t>Abbreviations: OR: odds ratio</w:t>
      </w:r>
      <w:r>
        <w:rPr>
          <w:rFonts w:hint="eastAsia" w:ascii="Times New Roman" w:hAnsi="Times New Roman" w:eastAsia="宋体" w:cs="Times New Roman"/>
          <w:szCs w:val="21"/>
        </w:rPr>
        <w:t>s</w:t>
      </w:r>
      <w:r>
        <w:rPr>
          <w:rFonts w:ascii="Times New Roman" w:hAnsi="Times New Roman" w:eastAsia="宋体" w:cs="Times New Roman"/>
          <w:szCs w:val="21"/>
        </w:rPr>
        <w:t>; CI: confidence interval</w:t>
      </w:r>
      <w:r>
        <w:rPr>
          <w:rFonts w:hint="eastAsia" w:ascii="Times New Roman" w:hAnsi="Times New Roman" w:eastAsia="宋体" w:cs="Times New Roman"/>
          <w:szCs w:val="21"/>
        </w:rPr>
        <w:t>s</w:t>
      </w:r>
      <w:r>
        <w:rPr>
          <w:rFonts w:ascii="Times New Roman" w:hAnsi="Times New Roman" w:eastAsia="宋体" w:cs="Times New Roman"/>
          <w:szCs w:val="21"/>
        </w:rPr>
        <w:t>.</w:t>
      </w:r>
    </w:p>
    <w:p w14:paraId="2DB49C7F">
      <w:pPr>
        <w:widowControl/>
        <w:jc w:val="left"/>
        <w:textAlignment w:val="center"/>
        <w:rPr>
          <w:rFonts w:ascii="Times New Roman" w:hAnsi="Times New Roman" w:cs="Times New Roman"/>
          <w:color w:val="000000"/>
          <w:kern w:val="0"/>
          <w:szCs w:val="21"/>
        </w:rPr>
      </w:pPr>
      <w:r>
        <w:rPr>
          <w:rFonts w:ascii="Times New Roman" w:hAnsi="Times New Roman" w:cs="Times New Roman"/>
          <w:color w:val="000000"/>
          <w:kern w:val="0"/>
          <w:szCs w:val="21"/>
        </w:rPr>
        <w:t>Note:</w:t>
      </w:r>
    </w:p>
    <w:p w14:paraId="1279525D">
      <w:pPr>
        <w:widowControl/>
        <w:jc w:val="left"/>
        <w:textAlignment w:val="center"/>
        <w:rPr>
          <w:rFonts w:hint="default" w:ascii="Times New Roman" w:hAnsi="Times New Roman" w:cs="Times New Roman"/>
          <w:color w:val="000000"/>
          <w:kern w:val="0"/>
          <w:sz w:val="21"/>
          <w:szCs w:val="21"/>
          <w:lang w:val="en-US" w:eastAsia="zh-CN"/>
        </w:rPr>
      </w:pPr>
      <w:r>
        <w:rPr>
          <w:rFonts w:hint="eastAsia" w:ascii="Times New Roman" w:hAnsi="Times New Roman" w:cs="Times New Roman"/>
          <w:vertAlign w:val="superscript"/>
          <w:lang w:val="en-US" w:eastAsia="zh-CN"/>
        </w:rPr>
        <w:t>$</w:t>
      </w:r>
      <w:r>
        <w:rPr>
          <w:rFonts w:hint="default" w:ascii="Times New Roman" w:hAnsi="Times New Roman" w:cs="Times New Roman"/>
          <w:sz w:val="21"/>
          <w:szCs w:val="21"/>
        </w:rPr>
        <w:t>Model 1 excluded in-hospital deaths and analyzed only hospital survivors (n=9701). Model 2 excluded patients with severe sepsis or septic shock and analyzed non-severe sepsis patients (n=8812).</w:t>
      </w:r>
    </w:p>
    <w:p w14:paraId="49A81152">
      <w:pPr>
        <w:widowControl/>
        <w:jc w:val="left"/>
        <w:textAlignment w:val="center"/>
        <w:rPr>
          <w:rFonts w:hint="eastAsia" w:ascii="Times New Roman" w:hAnsi="Times New Roman" w:cs="Times New Roman"/>
          <w:color w:val="000000"/>
          <w:kern w:val="0"/>
          <w:szCs w:val="21"/>
        </w:rPr>
      </w:pPr>
    </w:p>
    <w:p w14:paraId="4EC2DC7F">
      <w:pPr>
        <w:rPr>
          <w:rFonts w:ascii="Times New Roman" w:hAnsi="Times New Roman" w:cs="Times New Roman"/>
          <w:szCs w:val="21"/>
        </w:rPr>
      </w:pPr>
      <w:r>
        <w:rPr>
          <w:rFonts w:ascii="Times New Roman" w:hAnsi="Times New Roman" w:cs="Times New Roman"/>
          <w:szCs w:val="21"/>
          <w:vertAlign w:val="superscript"/>
        </w:rPr>
        <w:t>#</w:t>
      </w:r>
      <w:r>
        <w:rPr>
          <w:rFonts w:hint="eastAsia" w:ascii="Times New Roman" w:hAnsi="Times New Roman" w:cs="Times New Roman"/>
          <w:szCs w:val="21"/>
        </w:rPr>
        <w:t>In this study, frailty status was assessed using the Modified Frailty Index (MFI) and categorized into a binary classification. An MFI score greater than 3 defined frailty, 1-2 indicated pre-frailty, and 0 indicated no frailty. For the purpose of this research, pre-frail and non-frail patients were collectively classified as "non-frail," resulting in two categories: frail and non-frail.</w:t>
      </w:r>
    </w:p>
    <w:p w14:paraId="3AF557D6">
      <w:pPr>
        <w:rPr>
          <w:rFonts w:hint="default" w:ascii="Times New Roman" w:hAnsi="Times New Roman" w:eastAsia="宋体" w:cs="Times New Roman"/>
          <w:kern w:val="0"/>
          <w:sz w:val="21"/>
          <w:szCs w:val="21"/>
          <w:lang w:val="en-US" w:eastAsia="zh-CN" w:bidi="ar-SA"/>
        </w:rPr>
      </w:pPr>
    </w:p>
    <w:p w14:paraId="695108B9">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br w:type="page"/>
      </w:r>
    </w:p>
    <w:p w14:paraId="310856C6">
      <w:pPr>
        <w:jc w:val="center"/>
        <w:rPr>
          <w:rFonts w:hint="eastAsia" w:ascii="Times New Roman" w:hAnsi="Times New Roman"/>
          <w:b/>
          <w:sz w:val="24"/>
          <w:szCs w:val="24"/>
        </w:rPr>
      </w:pPr>
    </w:p>
    <w:p w14:paraId="36DC15DD">
      <w:pPr>
        <w:jc w:val="center"/>
        <w:rPr>
          <w:rFonts w:hint="eastAsia" w:ascii="Times New Roman" w:hAnsi="Times New Roman" w:cs="Times New Roman"/>
          <w:sz w:val="21"/>
          <w:szCs w:val="21"/>
        </w:rPr>
      </w:pPr>
      <w:r>
        <w:rPr>
          <w:rFonts w:hint="eastAsia" w:ascii="Times New Roman" w:hAnsi="Times New Roman"/>
          <w:b/>
          <w:sz w:val="24"/>
          <w:szCs w:val="24"/>
        </w:rPr>
        <w:t>Supplementary</w:t>
      </w:r>
      <w:r>
        <w:rPr>
          <w:rFonts w:hint="eastAsia" w:ascii="Times New Roman" w:hAnsi="Times New Roman"/>
          <w:b/>
          <w:sz w:val="24"/>
          <w:szCs w:val="24"/>
          <w:lang w:val="en-US" w:eastAsia="zh-CN"/>
        </w:rPr>
        <w:t xml:space="preserve"> </w:t>
      </w:r>
      <w:r>
        <w:rPr>
          <w:rFonts w:hint="eastAsia" w:ascii="Times New Roman" w:hAnsi="Times New Roman"/>
          <w:b/>
          <w:sz w:val="24"/>
          <w:szCs w:val="24"/>
        </w:rPr>
        <w:t xml:space="preserve">Table </w:t>
      </w:r>
      <w:r>
        <w:rPr>
          <w:rFonts w:hint="eastAsia" w:ascii="Times New Roman" w:hAnsi="Times New Roman"/>
          <w:b/>
          <w:sz w:val="24"/>
          <w:szCs w:val="24"/>
          <w:lang w:val="en-US" w:eastAsia="zh-CN"/>
        </w:rPr>
        <w:t>4</w:t>
      </w:r>
      <w:r>
        <w:rPr>
          <w:rFonts w:hint="eastAsia" w:ascii="Times New Roman" w:hAnsi="Times New Roman"/>
          <w:b/>
          <w:sz w:val="24"/>
          <w:szCs w:val="24"/>
        </w:rPr>
        <w:t xml:space="preserve"> </w:t>
      </w:r>
      <w:r>
        <w:rPr>
          <w:rFonts w:hint="eastAsia" w:ascii="Times New Roman" w:hAnsi="Times New Roman" w:cs="Times New Roman"/>
          <w:sz w:val="21"/>
          <w:szCs w:val="21"/>
        </w:rPr>
        <w:t xml:space="preserve">Association </w:t>
      </w:r>
      <w:r>
        <w:rPr>
          <w:rFonts w:hint="eastAsia" w:ascii="Times New Roman" w:hAnsi="Times New Roman" w:cs="Times New Roman"/>
          <w:b w:val="0"/>
          <w:bCs w:val="0"/>
          <w:sz w:val="21"/>
          <w:szCs w:val="21"/>
          <w:lang w:val="en-US" w:eastAsia="zh-CN"/>
        </w:rPr>
        <w:t>F</w:t>
      </w:r>
      <w:r>
        <w:rPr>
          <w:rFonts w:hint="eastAsia" w:ascii="Times New Roman" w:hAnsi="Times New Roman" w:cs="Times New Roman"/>
          <w:b w:val="0"/>
          <w:bCs w:val="0"/>
          <w:sz w:val="21"/>
          <w:szCs w:val="21"/>
        </w:rPr>
        <w:t>railty</w:t>
      </w:r>
      <w:r>
        <w:rPr>
          <w:rFonts w:hint="eastAsia" w:ascii="Times New Roman" w:hAnsi="Times New Roman" w:cs="Times New Roman"/>
          <w:b w:val="0"/>
          <w:bCs w:val="0"/>
          <w:sz w:val="21"/>
          <w:szCs w:val="21"/>
          <w:lang w:val="en-US" w:eastAsia="zh-CN"/>
        </w:rPr>
        <w:t xml:space="preserve"> </w:t>
      </w:r>
      <w:r>
        <w:rPr>
          <w:rFonts w:hint="eastAsia" w:ascii="Times New Roman" w:hAnsi="Times New Roman" w:cs="Times New Roman"/>
          <w:b w:val="0"/>
          <w:bCs w:val="0"/>
          <w:sz w:val="21"/>
          <w:szCs w:val="21"/>
        </w:rPr>
        <w:t>(Three Categories)</w:t>
      </w:r>
      <w:r>
        <w:rPr>
          <w:rFonts w:hint="eastAsia" w:ascii="Times New Roman" w:hAnsi="Times New Roman" w:cs="Times New Roman"/>
          <w:sz w:val="21"/>
          <w:szCs w:val="21"/>
        </w:rPr>
        <w:t xml:space="preserve"> and </w:t>
      </w:r>
      <w:r>
        <w:rPr>
          <w:rFonts w:hint="eastAsia" w:ascii="Times New Roman" w:hAnsi="Times New Roman" w:cs="Times New Roman"/>
          <w:b w:val="0"/>
          <w:bCs w:val="0"/>
          <w:sz w:val="21"/>
          <w:szCs w:val="21"/>
        </w:rPr>
        <w:t>Sepsis-Associated Delirium</w:t>
      </w:r>
      <w:r>
        <w:rPr>
          <w:rFonts w:hint="eastAsia" w:ascii="Times New Roman" w:hAnsi="Times New Roman" w:cs="Times New Roman"/>
          <w:sz w:val="21"/>
          <w:szCs w:val="21"/>
        </w:rPr>
        <w:t>.</w:t>
      </w:r>
    </w:p>
    <w:p w14:paraId="67C62FF4">
      <w:pPr>
        <w:jc w:val="center"/>
        <w:rPr>
          <w:rFonts w:hint="eastAsia" w:ascii="Times New Roman" w:hAnsi="Times New Roman" w:cs="Times New Roman"/>
          <w:sz w:val="21"/>
          <w:szCs w:val="21"/>
          <w:lang w:val="en-US" w:eastAsia="zh-CN"/>
        </w:rPr>
      </w:pPr>
    </w:p>
    <w:tbl>
      <w:tblPr>
        <w:tblStyle w:val="2"/>
        <w:tblW w:w="4998"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4"/>
        <w:gridCol w:w="1714"/>
        <w:gridCol w:w="1797"/>
        <w:gridCol w:w="953"/>
        <w:gridCol w:w="1797"/>
        <w:gridCol w:w="954"/>
      </w:tblGrid>
      <w:tr w14:paraId="348FA9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765" w:type="pct"/>
            <w:vMerge w:val="restart"/>
            <w:tcBorders>
              <w:left w:val="nil"/>
              <w:bottom w:val="single" w:color="000000" w:sz="8" w:space="0"/>
              <w:right w:val="nil"/>
            </w:tcBorders>
            <w:shd w:val="clear" w:color="auto" w:fill="auto"/>
            <w:noWrap/>
            <w:vAlign w:val="center"/>
          </w:tcPr>
          <w:p w14:paraId="23492EA1">
            <w:pPr>
              <w:jc w:val="center"/>
              <w:rPr>
                <w:rFonts w:hint="eastAsia" w:ascii="宋体" w:hAnsi="宋体" w:eastAsia="宋体" w:cs="宋体"/>
                <w:i w:val="0"/>
                <w:iCs w:val="0"/>
                <w:color w:val="000000"/>
                <w:sz w:val="22"/>
                <w:szCs w:val="22"/>
                <w:u w:val="none"/>
              </w:rPr>
            </w:pPr>
          </w:p>
        </w:tc>
        <w:tc>
          <w:tcPr>
            <w:tcW w:w="1005" w:type="pct"/>
            <w:vMerge w:val="restart"/>
            <w:tcBorders>
              <w:left w:val="nil"/>
              <w:bottom w:val="single" w:color="000000" w:sz="8" w:space="0"/>
              <w:right w:val="nil"/>
            </w:tcBorders>
            <w:shd w:val="clear" w:color="auto" w:fill="auto"/>
            <w:vAlign w:val="center"/>
          </w:tcPr>
          <w:p w14:paraId="39AD4DB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color w:val="000000"/>
                <w:kern w:val="0"/>
                <w:szCs w:val="21"/>
                <w:lang w:bidi="ar"/>
              </w:rPr>
              <w:t>Non-frail group</w:t>
            </w:r>
          </w:p>
        </w:tc>
        <w:tc>
          <w:tcPr>
            <w:tcW w:w="1054" w:type="pct"/>
            <w:tcBorders>
              <w:left w:val="nil"/>
              <w:bottom w:val="single" w:color="000000" w:sz="8" w:space="0"/>
              <w:right w:val="nil"/>
            </w:tcBorders>
            <w:shd w:val="clear" w:color="auto" w:fill="auto"/>
            <w:vAlign w:val="center"/>
          </w:tcPr>
          <w:p w14:paraId="4EDF91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color w:val="000000"/>
                <w:kern w:val="0"/>
                <w:szCs w:val="21"/>
                <w:lang w:val="en-US" w:eastAsia="zh-CN" w:bidi="ar"/>
              </w:rPr>
              <w:t>Pre</w:t>
            </w:r>
            <w:r>
              <w:rPr>
                <w:rFonts w:hint="eastAsia" w:ascii="Times New Roman" w:hAnsi="Times New Roman" w:eastAsia="宋体" w:cs="Times New Roman"/>
                <w:color w:val="000000"/>
                <w:kern w:val="0"/>
                <w:szCs w:val="21"/>
                <w:lang w:bidi="ar"/>
              </w:rPr>
              <w:t>-frail group</w:t>
            </w:r>
          </w:p>
        </w:tc>
        <w:tc>
          <w:tcPr>
            <w:tcW w:w="559" w:type="pct"/>
            <w:vMerge w:val="restart"/>
            <w:tcBorders>
              <w:left w:val="nil"/>
              <w:bottom w:val="single" w:color="000000" w:sz="8" w:space="0"/>
              <w:right w:val="nil"/>
            </w:tcBorders>
            <w:shd w:val="clear" w:color="auto" w:fill="auto"/>
            <w:vAlign w:val="center"/>
          </w:tcPr>
          <w:p w14:paraId="001863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P-value</w:t>
            </w:r>
          </w:p>
        </w:tc>
        <w:tc>
          <w:tcPr>
            <w:tcW w:w="1054" w:type="pct"/>
            <w:tcBorders>
              <w:left w:val="nil"/>
              <w:bottom w:val="single" w:color="000000" w:sz="8" w:space="0"/>
              <w:right w:val="nil"/>
            </w:tcBorders>
            <w:shd w:val="clear" w:color="auto" w:fill="auto"/>
            <w:vAlign w:val="center"/>
          </w:tcPr>
          <w:p w14:paraId="3909485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color w:val="000000"/>
                <w:kern w:val="0"/>
                <w:szCs w:val="21"/>
                <w:lang w:val="en-US" w:eastAsia="zh-CN" w:bidi="ar"/>
              </w:rPr>
              <w:t>F</w:t>
            </w:r>
            <w:r>
              <w:rPr>
                <w:rFonts w:hint="eastAsia" w:ascii="Times New Roman" w:hAnsi="Times New Roman" w:eastAsia="宋体" w:cs="Times New Roman"/>
                <w:color w:val="000000"/>
                <w:kern w:val="0"/>
                <w:szCs w:val="21"/>
                <w:lang w:bidi="ar"/>
              </w:rPr>
              <w:t>rail group</w:t>
            </w:r>
          </w:p>
        </w:tc>
        <w:tc>
          <w:tcPr>
            <w:tcW w:w="559" w:type="pct"/>
            <w:vMerge w:val="restart"/>
            <w:tcBorders>
              <w:left w:val="nil"/>
              <w:bottom w:val="single" w:color="000000" w:sz="8" w:space="0"/>
              <w:right w:val="nil"/>
            </w:tcBorders>
            <w:shd w:val="clear" w:color="auto" w:fill="auto"/>
            <w:vAlign w:val="center"/>
          </w:tcPr>
          <w:p w14:paraId="69E4C6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P-value</w:t>
            </w:r>
          </w:p>
        </w:tc>
      </w:tr>
      <w:tr w14:paraId="2A92FC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65" w:type="pct"/>
            <w:vMerge w:val="continue"/>
            <w:tcBorders>
              <w:top w:val="single" w:color="000000" w:sz="12" w:space="0"/>
              <w:left w:val="nil"/>
              <w:bottom w:val="single" w:color="auto" w:sz="6" w:space="0"/>
              <w:right w:val="nil"/>
            </w:tcBorders>
            <w:shd w:val="clear" w:color="auto" w:fill="auto"/>
            <w:noWrap/>
            <w:vAlign w:val="center"/>
          </w:tcPr>
          <w:p w14:paraId="595FD9F1">
            <w:pPr>
              <w:jc w:val="center"/>
              <w:rPr>
                <w:rFonts w:hint="eastAsia" w:ascii="宋体" w:hAnsi="宋体" w:eastAsia="宋体" w:cs="宋体"/>
                <w:i w:val="0"/>
                <w:iCs w:val="0"/>
                <w:color w:val="000000"/>
                <w:sz w:val="22"/>
                <w:szCs w:val="22"/>
                <w:u w:val="none"/>
              </w:rPr>
            </w:pPr>
          </w:p>
        </w:tc>
        <w:tc>
          <w:tcPr>
            <w:tcW w:w="1005" w:type="pct"/>
            <w:vMerge w:val="continue"/>
            <w:tcBorders>
              <w:top w:val="single" w:color="000000" w:sz="12" w:space="0"/>
              <w:left w:val="nil"/>
              <w:bottom w:val="single" w:color="auto" w:sz="6" w:space="0"/>
              <w:right w:val="nil"/>
            </w:tcBorders>
            <w:shd w:val="clear" w:color="auto" w:fill="auto"/>
            <w:vAlign w:val="center"/>
          </w:tcPr>
          <w:p w14:paraId="60084418">
            <w:pPr>
              <w:jc w:val="center"/>
              <w:rPr>
                <w:rFonts w:hint="default" w:ascii="Times New Roman" w:hAnsi="Times New Roman" w:eastAsia="宋体" w:cs="Times New Roman"/>
                <w:i w:val="0"/>
                <w:iCs w:val="0"/>
                <w:color w:val="000000"/>
                <w:sz w:val="21"/>
                <w:szCs w:val="21"/>
                <w:u w:val="none"/>
              </w:rPr>
            </w:pPr>
          </w:p>
        </w:tc>
        <w:tc>
          <w:tcPr>
            <w:tcW w:w="1054" w:type="pct"/>
            <w:tcBorders>
              <w:top w:val="nil"/>
              <w:left w:val="nil"/>
              <w:bottom w:val="single" w:color="auto" w:sz="6" w:space="0"/>
              <w:right w:val="nil"/>
            </w:tcBorders>
            <w:shd w:val="clear" w:color="auto" w:fill="auto"/>
            <w:vAlign w:val="center"/>
          </w:tcPr>
          <w:p w14:paraId="2CEB27D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OR (95% CI)</w:t>
            </w:r>
          </w:p>
        </w:tc>
        <w:tc>
          <w:tcPr>
            <w:tcW w:w="559" w:type="pct"/>
            <w:vMerge w:val="continue"/>
            <w:tcBorders>
              <w:top w:val="single" w:color="000000" w:sz="12" w:space="0"/>
              <w:left w:val="nil"/>
              <w:bottom w:val="single" w:color="auto" w:sz="6" w:space="0"/>
              <w:right w:val="nil"/>
            </w:tcBorders>
            <w:shd w:val="clear" w:color="auto" w:fill="auto"/>
            <w:vAlign w:val="center"/>
          </w:tcPr>
          <w:p w14:paraId="467EA968">
            <w:pPr>
              <w:jc w:val="center"/>
              <w:rPr>
                <w:rFonts w:hint="default" w:ascii="Times New Roman" w:hAnsi="Times New Roman" w:eastAsia="宋体" w:cs="Times New Roman"/>
                <w:i w:val="0"/>
                <w:iCs w:val="0"/>
                <w:color w:val="000000"/>
                <w:sz w:val="21"/>
                <w:szCs w:val="21"/>
                <w:u w:val="none"/>
              </w:rPr>
            </w:pPr>
          </w:p>
        </w:tc>
        <w:tc>
          <w:tcPr>
            <w:tcW w:w="1054" w:type="pct"/>
            <w:tcBorders>
              <w:top w:val="nil"/>
              <w:left w:val="nil"/>
              <w:bottom w:val="single" w:color="auto" w:sz="6" w:space="0"/>
              <w:right w:val="nil"/>
            </w:tcBorders>
            <w:shd w:val="clear" w:color="auto" w:fill="auto"/>
            <w:vAlign w:val="center"/>
          </w:tcPr>
          <w:p w14:paraId="1DFDB8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OR (95% CI)</w:t>
            </w:r>
          </w:p>
        </w:tc>
        <w:tc>
          <w:tcPr>
            <w:tcW w:w="559" w:type="pct"/>
            <w:vMerge w:val="continue"/>
            <w:tcBorders>
              <w:top w:val="single" w:color="000000" w:sz="12" w:space="0"/>
              <w:left w:val="nil"/>
              <w:bottom w:val="single" w:color="auto" w:sz="6" w:space="0"/>
              <w:right w:val="nil"/>
            </w:tcBorders>
            <w:shd w:val="clear" w:color="auto" w:fill="auto"/>
            <w:vAlign w:val="center"/>
          </w:tcPr>
          <w:p w14:paraId="70180CC1">
            <w:pPr>
              <w:jc w:val="center"/>
              <w:rPr>
                <w:rFonts w:hint="default" w:ascii="Times New Roman" w:hAnsi="Times New Roman" w:eastAsia="宋体" w:cs="Times New Roman"/>
                <w:i w:val="0"/>
                <w:iCs w:val="0"/>
                <w:color w:val="000000"/>
                <w:sz w:val="21"/>
                <w:szCs w:val="21"/>
                <w:u w:val="none"/>
              </w:rPr>
            </w:pPr>
          </w:p>
        </w:tc>
      </w:tr>
      <w:tr w14:paraId="4310F7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5" w:type="pct"/>
            <w:tcBorders>
              <w:top w:val="nil"/>
              <w:left w:val="nil"/>
              <w:bottom w:val="nil"/>
              <w:right w:val="nil"/>
            </w:tcBorders>
            <w:shd w:val="clear" w:color="auto" w:fill="auto"/>
            <w:vAlign w:val="center"/>
          </w:tcPr>
          <w:p w14:paraId="48F113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Unadjusted</w:t>
            </w:r>
          </w:p>
        </w:tc>
        <w:tc>
          <w:tcPr>
            <w:tcW w:w="1005" w:type="pct"/>
            <w:tcBorders>
              <w:top w:val="nil"/>
              <w:left w:val="nil"/>
              <w:bottom w:val="nil"/>
              <w:right w:val="nil"/>
            </w:tcBorders>
            <w:shd w:val="clear" w:color="auto" w:fill="auto"/>
            <w:vAlign w:val="center"/>
          </w:tcPr>
          <w:p w14:paraId="4467F26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1054" w:type="pct"/>
            <w:tcBorders>
              <w:top w:val="nil"/>
              <w:left w:val="nil"/>
              <w:bottom w:val="nil"/>
              <w:right w:val="nil"/>
            </w:tcBorders>
            <w:shd w:val="clear" w:color="auto" w:fill="auto"/>
            <w:vAlign w:val="center"/>
          </w:tcPr>
          <w:p w14:paraId="32B956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85</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43</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40</w:t>
            </w:r>
            <w:r>
              <w:rPr>
                <w:rFonts w:hint="default" w:ascii="Times New Roman" w:hAnsi="Times New Roman" w:eastAsia="宋体" w:cs="Times New Roman"/>
                <w:i w:val="0"/>
                <w:iCs w:val="0"/>
                <w:color w:val="000000"/>
                <w:kern w:val="0"/>
                <w:sz w:val="21"/>
                <w:szCs w:val="21"/>
                <w:u w:val="none"/>
                <w:lang w:val="en-US" w:eastAsia="zh-CN" w:bidi="ar"/>
              </w:rPr>
              <w:t>)</w:t>
            </w:r>
          </w:p>
        </w:tc>
        <w:tc>
          <w:tcPr>
            <w:tcW w:w="559" w:type="pct"/>
            <w:tcBorders>
              <w:top w:val="nil"/>
              <w:left w:val="nil"/>
              <w:bottom w:val="nil"/>
              <w:right w:val="nil"/>
            </w:tcBorders>
            <w:shd w:val="clear" w:color="auto" w:fill="auto"/>
            <w:vAlign w:val="center"/>
          </w:tcPr>
          <w:p w14:paraId="51F7EB8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c>
          <w:tcPr>
            <w:tcW w:w="1054" w:type="pct"/>
            <w:tcBorders>
              <w:top w:val="nil"/>
              <w:left w:val="nil"/>
              <w:bottom w:val="nil"/>
              <w:right w:val="nil"/>
            </w:tcBorders>
            <w:shd w:val="clear" w:color="auto" w:fill="auto"/>
            <w:vAlign w:val="center"/>
          </w:tcPr>
          <w:p w14:paraId="2F118A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34</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1.79</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05</w:t>
            </w:r>
            <w:r>
              <w:rPr>
                <w:rFonts w:hint="default" w:ascii="Times New Roman" w:hAnsi="Times New Roman" w:eastAsia="宋体" w:cs="Times New Roman"/>
                <w:i w:val="0"/>
                <w:iCs w:val="0"/>
                <w:color w:val="000000"/>
                <w:kern w:val="0"/>
                <w:sz w:val="21"/>
                <w:szCs w:val="21"/>
                <w:u w:val="none"/>
                <w:lang w:val="en-US" w:eastAsia="zh-CN" w:bidi="ar"/>
              </w:rPr>
              <w:t>)</w:t>
            </w:r>
          </w:p>
        </w:tc>
        <w:tc>
          <w:tcPr>
            <w:tcW w:w="559" w:type="pct"/>
            <w:tcBorders>
              <w:top w:val="nil"/>
              <w:left w:val="nil"/>
              <w:bottom w:val="nil"/>
              <w:right w:val="nil"/>
            </w:tcBorders>
            <w:shd w:val="clear" w:color="auto" w:fill="auto"/>
            <w:vAlign w:val="center"/>
          </w:tcPr>
          <w:p w14:paraId="38FF8F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r>
      <w:tr w14:paraId="61D225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5" w:type="pct"/>
            <w:tcBorders>
              <w:top w:val="nil"/>
              <w:left w:val="nil"/>
              <w:bottom w:val="single" w:color="auto" w:sz="12" w:space="0"/>
              <w:right w:val="nil"/>
            </w:tcBorders>
            <w:shd w:val="clear" w:color="auto" w:fill="auto"/>
            <w:vAlign w:val="center"/>
          </w:tcPr>
          <w:p w14:paraId="1DEC81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Adjusted</w:t>
            </w:r>
          </w:p>
        </w:tc>
        <w:tc>
          <w:tcPr>
            <w:tcW w:w="1005" w:type="pct"/>
            <w:tcBorders>
              <w:top w:val="nil"/>
              <w:left w:val="nil"/>
              <w:bottom w:val="single" w:color="auto" w:sz="12" w:space="0"/>
              <w:right w:val="nil"/>
            </w:tcBorders>
            <w:shd w:val="clear" w:color="auto" w:fill="auto"/>
            <w:vAlign w:val="center"/>
          </w:tcPr>
          <w:p w14:paraId="02C959C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1054" w:type="pct"/>
            <w:tcBorders>
              <w:top w:val="nil"/>
              <w:left w:val="nil"/>
              <w:bottom w:val="single" w:color="auto" w:sz="12" w:space="0"/>
              <w:right w:val="nil"/>
            </w:tcBorders>
            <w:shd w:val="clear" w:color="auto" w:fill="auto"/>
            <w:vAlign w:val="center"/>
          </w:tcPr>
          <w:p w14:paraId="48B9A6F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79</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31</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45</w:t>
            </w:r>
            <w:r>
              <w:rPr>
                <w:rFonts w:hint="default" w:ascii="Times New Roman" w:hAnsi="Times New Roman" w:eastAsia="宋体" w:cs="Times New Roman"/>
                <w:i w:val="0"/>
                <w:iCs w:val="0"/>
                <w:color w:val="000000"/>
                <w:kern w:val="0"/>
                <w:sz w:val="21"/>
                <w:szCs w:val="21"/>
                <w:u w:val="none"/>
                <w:lang w:val="en-US" w:eastAsia="zh-CN" w:bidi="ar"/>
              </w:rPr>
              <w:t>)</w:t>
            </w:r>
          </w:p>
        </w:tc>
        <w:tc>
          <w:tcPr>
            <w:tcW w:w="559" w:type="pct"/>
            <w:tcBorders>
              <w:top w:val="nil"/>
              <w:left w:val="nil"/>
              <w:bottom w:val="single" w:color="auto" w:sz="12" w:space="0"/>
              <w:right w:val="nil"/>
            </w:tcBorders>
            <w:shd w:val="clear" w:color="auto" w:fill="auto"/>
            <w:vAlign w:val="center"/>
          </w:tcPr>
          <w:p w14:paraId="5FC3D1B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c>
          <w:tcPr>
            <w:tcW w:w="1054" w:type="pct"/>
            <w:tcBorders>
              <w:top w:val="nil"/>
              <w:left w:val="nil"/>
              <w:bottom w:val="single" w:color="auto" w:sz="12" w:space="0"/>
              <w:right w:val="nil"/>
            </w:tcBorders>
            <w:shd w:val="clear" w:color="auto" w:fill="auto"/>
            <w:vAlign w:val="center"/>
          </w:tcPr>
          <w:p w14:paraId="67DF97B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Times New Roman" w:hAnsi="Times New Roman" w:eastAsia="宋体" w:cs="Times New Roman"/>
                <w:i w:val="0"/>
                <w:iCs w:val="0"/>
                <w:color w:val="000000"/>
                <w:kern w:val="0"/>
                <w:sz w:val="21"/>
                <w:szCs w:val="21"/>
                <w:u w:val="none"/>
                <w:lang w:val="en-US" w:eastAsia="zh-CN" w:bidi="ar"/>
              </w:rPr>
              <w:t>89</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37</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p>
        </w:tc>
        <w:tc>
          <w:tcPr>
            <w:tcW w:w="559" w:type="pct"/>
            <w:tcBorders>
              <w:top w:val="nil"/>
              <w:left w:val="nil"/>
              <w:bottom w:val="single" w:color="auto" w:sz="12" w:space="0"/>
              <w:right w:val="nil"/>
            </w:tcBorders>
            <w:shd w:val="clear" w:color="auto" w:fill="auto"/>
            <w:vAlign w:val="center"/>
          </w:tcPr>
          <w:p w14:paraId="498FAF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&lt;0.001</w:t>
            </w:r>
          </w:p>
        </w:tc>
      </w:tr>
    </w:tbl>
    <w:p w14:paraId="5D06468D">
      <w:pPr>
        <w:rPr>
          <w:rFonts w:hint="eastAsia" w:ascii="Times New Roman" w:hAnsi="Times New Roman" w:cs="Times New Roman"/>
          <w:sz w:val="21"/>
          <w:szCs w:val="21"/>
          <w:lang w:val="en-US" w:eastAsia="zh-CN"/>
        </w:rPr>
      </w:pPr>
    </w:p>
    <w:p w14:paraId="4A88EA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1"/>
          <w:szCs w:val="21"/>
        </w:rPr>
      </w:pPr>
      <w:r>
        <w:rPr>
          <w:rFonts w:ascii="Times New Roman" w:hAnsi="Times New Roman" w:cs="Times New Roman"/>
          <w:sz w:val="21"/>
          <w:szCs w:val="21"/>
        </w:rPr>
        <w:t>Abbreviations: CI, confidence interval; OR, odds ratio</w:t>
      </w:r>
      <w:r>
        <w:rPr>
          <w:rFonts w:hint="eastAsia" w:ascii="Times New Roman" w:hAnsi="Times New Roman" w:cs="Times New Roman"/>
          <w:sz w:val="21"/>
          <w:szCs w:val="21"/>
        </w:rPr>
        <w:t xml:space="preserve">; </w:t>
      </w:r>
      <w:r>
        <w:rPr>
          <w:rFonts w:ascii="Times New Roman" w:hAnsi="Times New Roman" w:eastAsia="等线" w:cs="Times New Roman"/>
          <w:color w:val="000000"/>
          <w:kern w:val="0"/>
          <w:sz w:val="21"/>
          <w:szCs w:val="21"/>
          <w14:ligatures w14:val="none"/>
        </w:rPr>
        <w:t>PSM</w:t>
      </w:r>
      <w:r>
        <w:rPr>
          <w:rFonts w:hint="eastAsia" w:ascii="Times New Roman" w:hAnsi="Times New Roman" w:cs="Times New Roman"/>
          <w:sz w:val="21"/>
          <w:szCs w:val="21"/>
        </w:rPr>
        <w:t xml:space="preserve">, </w:t>
      </w:r>
      <w:r>
        <w:rPr>
          <w:rFonts w:ascii="Times New Roman" w:hAnsi="Times New Roman" w:cs="Times New Roman"/>
          <w:sz w:val="21"/>
          <w:szCs w:val="21"/>
        </w:rPr>
        <w:t xml:space="preserve">Propensity </w:t>
      </w:r>
      <w:r>
        <w:rPr>
          <w:rFonts w:hint="eastAsia" w:ascii="Times New Roman" w:hAnsi="Times New Roman" w:cs="Times New Roman"/>
          <w:sz w:val="21"/>
          <w:szCs w:val="21"/>
        </w:rPr>
        <w:t>S</w:t>
      </w:r>
      <w:r>
        <w:rPr>
          <w:rFonts w:ascii="Times New Roman" w:hAnsi="Times New Roman" w:cs="Times New Roman"/>
          <w:sz w:val="21"/>
          <w:szCs w:val="21"/>
        </w:rPr>
        <w:t>core-matched</w:t>
      </w:r>
      <w:r>
        <w:rPr>
          <w:rFonts w:hint="eastAsia" w:ascii="Times New Roman" w:hAnsi="Times New Roman" w:cs="Times New Roman"/>
          <w:sz w:val="21"/>
          <w:szCs w:val="21"/>
        </w:rPr>
        <w:t xml:space="preserve">; </w:t>
      </w:r>
      <w:r>
        <w:rPr>
          <w:rFonts w:ascii="Times New Roman" w:hAnsi="Times New Roman" w:cs="Times New Roman"/>
          <w:sz w:val="21"/>
          <w:szCs w:val="21"/>
        </w:rPr>
        <w:t>IPTW</w:t>
      </w:r>
      <w:r>
        <w:rPr>
          <w:rFonts w:hint="eastAsia" w:ascii="Times New Roman" w:hAnsi="Times New Roman" w:cs="Times New Roman"/>
          <w:sz w:val="21"/>
          <w:szCs w:val="21"/>
        </w:rPr>
        <w:t>, I</w:t>
      </w:r>
      <w:r>
        <w:rPr>
          <w:rFonts w:ascii="Times New Roman" w:hAnsi="Times New Roman" w:cs="Times New Roman"/>
          <w:sz w:val="21"/>
          <w:szCs w:val="21"/>
        </w:rPr>
        <w:t xml:space="preserve">nverse </w:t>
      </w:r>
      <w:r>
        <w:rPr>
          <w:rFonts w:hint="eastAsia" w:ascii="Times New Roman" w:hAnsi="Times New Roman" w:cs="Times New Roman"/>
          <w:sz w:val="21"/>
          <w:szCs w:val="21"/>
        </w:rPr>
        <w:t>P</w:t>
      </w:r>
      <w:r>
        <w:rPr>
          <w:rFonts w:ascii="Times New Roman" w:hAnsi="Times New Roman" w:cs="Times New Roman"/>
          <w:sz w:val="21"/>
          <w:szCs w:val="21"/>
        </w:rPr>
        <w:t xml:space="preserve">robability of </w:t>
      </w:r>
      <w:r>
        <w:rPr>
          <w:rFonts w:hint="eastAsia" w:ascii="Times New Roman" w:hAnsi="Times New Roman" w:cs="Times New Roman"/>
          <w:sz w:val="21"/>
          <w:szCs w:val="21"/>
        </w:rPr>
        <w:t>T</w:t>
      </w:r>
      <w:r>
        <w:rPr>
          <w:rFonts w:ascii="Times New Roman" w:hAnsi="Times New Roman" w:cs="Times New Roman"/>
          <w:sz w:val="21"/>
          <w:szCs w:val="21"/>
        </w:rPr>
        <w:t xml:space="preserve">reatment </w:t>
      </w:r>
      <w:r>
        <w:rPr>
          <w:rFonts w:hint="eastAsia" w:ascii="Times New Roman" w:hAnsi="Times New Roman" w:cs="Times New Roman"/>
          <w:sz w:val="21"/>
          <w:szCs w:val="21"/>
        </w:rPr>
        <w:t>W</w:t>
      </w:r>
      <w:r>
        <w:rPr>
          <w:rFonts w:ascii="Times New Roman" w:hAnsi="Times New Roman" w:cs="Times New Roman"/>
          <w:sz w:val="21"/>
          <w:szCs w:val="21"/>
        </w:rPr>
        <w:t>eighting</w:t>
      </w:r>
      <w:r>
        <w:rPr>
          <w:rFonts w:hint="eastAsia" w:ascii="Times New Roman" w:hAnsi="Times New Roman" w:cs="Times New Roman"/>
          <w:sz w:val="21"/>
          <w:szCs w:val="21"/>
        </w:rPr>
        <w:t>.</w:t>
      </w:r>
    </w:p>
    <w:p w14:paraId="04D7B9E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Note: The multivariate model was adjusted for age, sex, race, weight, glasgow coma scale, acute physiology score III, sequential organ failure assessment, Braden score, platelet, red blood cell, white blood cell, albumin, temperature, mean blood pressure, heart rate, respiratory rate hemoglobin, lactate, cerebrovascular disease, history of fall, invasive mechanical ventilation, and use of sedatives. </w:t>
      </w:r>
    </w:p>
    <w:p w14:paraId="560FBF8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Frailty status was defined based on the modified frailty index (MFI) score: a score greater than 3 indicates frailty, a score of 1-2 indicates pre-frailty, and a score of 0 indicates no frailty.</w:t>
      </w:r>
    </w:p>
    <w:p w14:paraId="22C9C28A">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br w:type="page"/>
      </w:r>
    </w:p>
    <w:p w14:paraId="3BE573C4">
      <w:pPr>
        <w:rPr>
          <w:rFonts w:hint="default" w:ascii="Times New Roman" w:hAnsi="Times New Roman" w:eastAsia="宋体" w:cs="Times New Roman"/>
          <w:kern w:val="0"/>
          <w:sz w:val="21"/>
          <w:szCs w:val="21"/>
          <w:lang w:val="en-US" w:eastAsia="zh-CN" w:bidi="ar-SA"/>
        </w:rPr>
      </w:pPr>
      <w:bookmarkStart w:id="0" w:name="_GoBack"/>
      <w:bookmarkEnd w:id="0"/>
    </w:p>
    <w:p w14:paraId="238FFCCF">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drawing>
          <wp:inline distT="0" distB="0" distL="114300" distR="114300">
            <wp:extent cx="5267325" cy="5944870"/>
            <wp:effectExtent l="0" t="0" r="0" b="8255"/>
            <wp:docPr id="1" name="图片 1" descr="s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Fig.1"/>
                    <pic:cNvPicPr>
                      <a:picLocks noChangeAspect="1"/>
                    </pic:cNvPicPr>
                  </pic:nvPicPr>
                  <pic:blipFill>
                    <a:blip r:embed="rId4"/>
                    <a:stretch>
                      <a:fillRect/>
                    </a:stretch>
                  </pic:blipFill>
                  <pic:spPr>
                    <a:xfrm>
                      <a:off x="0" y="0"/>
                      <a:ext cx="5267325" cy="5944870"/>
                    </a:xfrm>
                    <a:prstGeom prst="rect">
                      <a:avLst/>
                    </a:prstGeom>
                  </pic:spPr>
                </pic:pic>
              </a:graphicData>
            </a:graphic>
          </wp:inline>
        </w:drawing>
      </w:r>
    </w:p>
    <w:p w14:paraId="4F8EB500">
      <w:pPr>
        <w:rPr>
          <w:rFonts w:hint="eastAsia" w:ascii="Times New Roman" w:hAnsi="Times New Roman" w:cs="Times New Roman"/>
          <w:sz w:val="24"/>
          <w:szCs w:val="24"/>
          <w:lang w:val="en-US" w:eastAsia="zh-CN"/>
        </w:rPr>
      </w:pPr>
      <w:r>
        <w:rPr>
          <w:rFonts w:hint="eastAsia" w:ascii="Times New Roman" w:hAnsi="Times New Roman"/>
          <w:b/>
          <w:bCs w:val="0"/>
          <w:sz w:val="24"/>
          <w:szCs w:val="24"/>
        </w:rPr>
        <w:t>Supplementary</w:t>
      </w:r>
      <w:r>
        <w:rPr>
          <w:rFonts w:hint="eastAsia" w:ascii="Times New Roman" w:hAnsi="Times New Roman"/>
          <w:b/>
          <w:bCs w:val="0"/>
          <w:sz w:val="24"/>
          <w:szCs w:val="24"/>
          <w:lang w:val="en-US" w:eastAsia="zh-CN"/>
        </w:rPr>
        <w:t xml:space="preserve"> </w:t>
      </w:r>
      <w:r>
        <w:rPr>
          <w:rFonts w:hint="default" w:ascii="Times New Roman" w:hAnsi="Times New Roman" w:cs="Times New Roman"/>
          <w:b/>
          <w:bCs w:val="0"/>
          <w:sz w:val="24"/>
          <w:szCs w:val="24"/>
        </w:rPr>
        <w:t>Figure 1</w:t>
      </w:r>
      <w:r>
        <w:rPr>
          <w:rFonts w:hint="default" w:ascii="Times New Roman" w:hAnsi="Times New Roman" w:cs="Times New Roman"/>
          <w:sz w:val="24"/>
          <w:szCs w:val="24"/>
        </w:rPr>
        <w:t xml:space="preserve"> Variable </w:t>
      </w:r>
      <w:r>
        <w:rPr>
          <w:rFonts w:hint="eastAsia" w:ascii="Times New Roman" w:hAnsi="Times New Roman" w:cs="Times New Roman"/>
          <w:sz w:val="24"/>
          <w:szCs w:val="24"/>
          <w:lang w:val="en-US" w:eastAsia="zh-CN"/>
        </w:rPr>
        <w:t>i</w:t>
      </w:r>
      <w:r>
        <w:rPr>
          <w:rFonts w:hint="default" w:ascii="Times New Roman" w:hAnsi="Times New Roman" w:cs="Times New Roman"/>
          <w:sz w:val="24"/>
          <w:szCs w:val="24"/>
        </w:rPr>
        <w:t xml:space="preserve">mportance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 xml:space="preserve">lot for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redicting</w:t>
      </w:r>
      <w:r>
        <w:rPr>
          <w:rFonts w:hint="eastAsia" w:ascii="Times New Roman" w:hAnsi="Times New Roman" w:cs="Times New Roman"/>
          <w:sz w:val="24"/>
          <w:szCs w:val="24"/>
          <w:lang w:val="en-US" w:eastAsia="zh-CN"/>
        </w:rPr>
        <w:t xml:space="preserve"> sepsis-associated delirium using random forest method</w:t>
      </w:r>
    </w:p>
    <w:p w14:paraId="30781791">
      <w:pPr>
        <w:rPr>
          <w:rFonts w:hint="eastAsia" w:ascii="Times New Roman" w:hAnsi="Times New Roman" w:cs="Times New Roman"/>
          <w:sz w:val="24"/>
          <w:szCs w:val="24"/>
          <w:lang w:val="en-US" w:eastAsia="zh-CN"/>
        </w:rPr>
      </w:pPr>
    </w:p>
    <w:p w14:paraId="46C36CA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Abbreviations: GCS, Glasgow Coma Scale; APSIII, Acute Physiology Score III; SOFA, Sequential Organ Failure Assessment; IMV, Invasive Mechanical Ventilation; MBP, Mean Blood Pressure; RBC, Red Blood Cell count; WBC, White Blood Cell count; RRT, Renal Replacement Therapy.</w:t>
      </w:r>
    </w:p>
    <w:p w14:paraId="2A46905A">
      <w:pPr>
        <w:rPr>
          <w:rFonts w:hint="eastAsia" w:ascii="Times New Roman" w:hAnsi="Times New Roman" w:cs="Times New Roman"/>
          <w:sz w:val="24"/>
          <w:szCs w:val="24"/>
          <w:lang w:val="en-US" w:eastAsia="zh-CN"/>
        </w:rPr>
      </w:pPr>
    </w:p>
    <w:p w14:paraId="4612060A">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Note: This </w:t>
      </w:r>
      <w:r>
        <w:rPr>
          <w:rFonts w:hint="default" w:ascii="Times New Roman" w:hAnsi="Times New Roman" w:cs="Times New Roman" w:eastAsiaTheme="minorEastAsia"/>
          <w:kern w:val="2"/>
          <w:sz w:val="24"/>
          <w:szCs w:val="24"/>
          <w:lang w:val="en-US" w:eastAsia="zh-CN" w:bidi="ar-SA"/>
          <w14:ligatures w14:val="standardContextual"/>
        </w:rPr>
        <w:t>figure</w:t>
      </w:r>
      <w:r>
        <w:rPr>
          <w:rFonts w:hint="eastAsia" w:ascii="Times New Roman" w:hAnsi="Times New Roman" w:cs="Times New Roman"/>
          <w:sz w:val="24"/>
          <w:szCs w:val="24"/>
          <w:lang w:val="en-US" w:eastAsia="zh-CN"/>
        </w:rPr>
        <w:t xml:space="preserve"> displays the relative importance of various clinical variables in predicting sepsis-associated delirium in critically ill patients. The variables are ranked based on their importance scores, with higher scores indicating greater importance.</w:t>
      </w:r>
    </w:p>
    <w:p w14:paraId="3834F5E4">
      <w:pPr>
        <w:rPr>
          <w:rFonts w:hint="eastAsia" w:ascii="Times New Roman" w:hAnsi="Times New Roman" w:cs="Times New Roman"/>
          <w:sz w:val="24"/>
          <w:szCs w:val="24"/>
          <w:lang w:val="en-US" w:eastAsia="zh-CN"/>
        </w:rPr>
      </w:pPr>
    </w:p>
    <w:p w14:paraId="6EE0D1F2">
      <w:pPr>
        <w:rPr>
          <w:rFonts w:hint="default" w:ascii="Times New Roman" w:hAnsi="Times New Roman" w:eastAsia="宋体" w:cs="Times New Roman"/>
          <w:kern w:val="0"/>
          <w:sz w:val="21"/>
          <w:szCs w:val="21"/>
          <w:lang w:val="en-US" w:eastAsia="zh-CN" w:bidi="ar-SA"/>
        </w:rPr>
      </w:pPr>
    </w:p>
    <w:p w14:paraId="31FC5F03">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drawing>
          <wp:inline distT="0" distB="0" distL="114300" distR="114300">
            <wp:extent cx="5257800" cy="2921000"/>
            <wp:effectExtent l="0" t="0" r="0" b="3175"/>
            <wp:docPr id="2" name="图片 2" descr="s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Fig2"/>
                    <pic:cNvPicPr>
                      <a:picLocks noChangeAspect="1"/>
                    </pic:cNvPicPr>
                  </pic:nvPicPr>
                  <pic:blipFill>
                    <a:blip r:embed="rId5"/>
                    <a:stretch>
                      <a:fillRect/>
                    </a:stretch>
                  </pic:blipFill>
                  <pic:spPr>
                    <a:xfrm>
                      <a:off x="0" y="0"/>
                      <a:ext cx="5257800" cy="2921000"/>
                    </a:xfrm>
                    <a:prstGeom prst="rect">
                      <a:avLst/>
                    </a:prstGeom>
                  </pic:spPr>
                </pic:pic>
              </a:graphicData>
            </a:graphic>
          </wp:inline>
        </w:drawing>
      </w:r>
    </w:p>
    <w:p w14:paraId="14C31064">
      <w:pPr>
        <w:rPr>
          <w:rFonts w:hint="eastAsia" w:ascii="Times New Roman" w:hAnsi="Times New Roman" w:cs="Times New Roman"/>
          <w:sz w:val="24"/>
          <w:szCs w:val="24"/>
          <w:lang w:val="en-US" w:eastAsia="zh-CN"/>
        </w:rPr>
      </w:pPr>
      <w:r>
        <w:rPr>
          <w:rFonts w:hint="eastAsia" w:ascii="Times New Roman" w:hAnsi="Times New Roman"/>
          <w:b/>
          <w:bCs w:val="0"/>
          <w:sz w:val="24"/>
          <w:szCs w:val="24"/>
        </w:rPr>
        <w:t>Supplementary</w:t>
      </w:r>
      <w:r>
        <w:rPr>
          <w:rFonts w:hint="eastAsia" w:ascii="Times New Roman" w:hAnsi="Times New Roman"/>
          <w:b/>
          <w:bCs w:val="0"/>
          <w:sz w:val="24"/>
          <w:szCs w:val="24"/>
          <w:lang w:val="en-US" w:eastAsia="zh-CN"/>
        </w:rPr>
        <w:t xml:space="preserve"> </w:t>
      </w:r>
      <w:r>
        <w:rPr>
          <w:rFonts w:hint="eastAsia" w:ascii="Times New Roman" w:hAnsi="Times New Roman" w:cs="Times New Roman"/>
          <w:b/>
          <w:bCs w:val="0"/>
          <w:sz w:val="24"/>
          <w:szCs w:val="24"/>
          <w:lang w:val="en-US" w:eastAsia="zh-CN"/>
        </w:rPr>
        <w:t>Figure 2</w:t>
      </w:r>
      <w:r>
        <w:rPr>
          <w:rFonts w:hint="eastAsia" w:ascii="Times New Roman" w:hAnsi="Times New Roman" w:cs="Times New Roman"/>
          <w:sz w:val="24"/>
          <w:szCs w:val="24"/>
          <w:lang w:val="en-US" w:eastAsia="zh-CN"/>
        </w:rPr>
        <w:t>: Covariate balance before and after propensity score matching and inverse probability of treatment weighting</w:t>
      </w:r>
    </w:p>
    <w:p w14:paraId="1595E36C">
      <w:pPr>
        <w:rPr>
          <w:rFonts w:hint="eastAsia" w:ascii="Times New Roman" w:hAnsi="Times New Roman" w:cs="Times New Roman"/>
          <w:sz w:val="24"/>
          <w:szCs w:val="24"/>
          <w:lang w:val="en-US" w:eastAsia="zh-CN"/>
        </w:rPr>
      </w:pPr>
    </w:p>
    <w:p w14:paraId="42719D69">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 Covariate balance before and after PSM</w:t>
      </w:r>
    </w:p>
    <w:p w14:paraId="537F2018">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(B) Covariate balance before and after IPTW</w:t>
      </w:r>
    </w:p>
    <w:p w14:paraId="70FAE58A">
      <w:pPr>
        <w:rPr>
          <w:rFonts w:hint="eastAsia" w:ascii="Times New Roman" w:hAnsi="Times New Roman" w:cs="Times New Roman"/>
          <w:sz w:val="24"/>
          <w:szCs w:val="24"/>
          <w:lang w:val="en-US" w:eastAsia="zh-CN"/>
        </w:rPr>
      </w:pPr>
    </w:p>
    <w:p w14:paraId="3BD78CFC">
      <w:pPr>
        <w:rPr>
          <w:rFonts w:hint="eastAsia" w:ascii="Times New Roman" w:hAnsi="Times New Roman" w:cs="Times New Roman"/>
          <w:sz w:val="24"/>
          <w:szCs w:val="24"/>
          <w:lang w:val="en-US" w:eastAsia="zh-CN"/>
        </w:rPr>
      </w:pPr>
    </w:p>
    <w:p w14:paraId="7F226547">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Abbreviations: SMD, Standardized Mean Differences; PSM, Propensity Score Matching; IPTW, Inverse Probability of Treatment Weighting; APSIII, Acute Physiology Score III; SOFA, Sequential Organ Failure Assessment; IMV, Invasive Mechanical Ventilation; WBC, White Blood Cell count; MBP, Mean Blood Pressure; RBC, Red Blood Cell count; GCS, Glasgow Coma Scale.</w:t>
      </w:r>
    </w:p>
    <w:p w14:paraId="15F285CA">
      <w:pPr>
        <w:rPr>
          <w:rFonts w:hint="eastAsia" w:ascii="Times New Roman" w:hAnsi="Times New Roman" w:cs="Times New Roman"/>
          <w:sz w:val="24"/>
          <w:szCs w:val="24"/>
          <w:lang w:val="en-US" w:eastAsia="zh-CN"/>
        </w:rPr>
      </w:pPr>
    </w:p>
    <w:p w14:paraId="4FE42980">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Note: This figure shows the covariate balance for several clinical variables before and after applying propensity score matching and inverse probability of treatment weighting. The standardized mean differences are used to assess the balance between the treatment groups.</w:t>
      </w:r>
    </w:p>
    <w:p w14:paraId="05B53450">
      <w:pPr>
        <w:rPr>
          <w:rFonts w:hint="default" w:ascii="Times New Roman" w:hAnsi="Times New Roman" w:eastAsia="宋体" w:cs="Times New Roman"/>
          <w:kern w:val="0"/>
          <w:sz w:val="21"/>
          <w:szCs w:val="21"/>
          <w:lang w:val="en-US" w:eastAsia="zh-CN" w:bidi="ar-SA"/>
        </w:rPr>
      </w:pPr>
      <w:r>
        <w:rPr>
          <w:rFonts w:hint="default" w:ascii="Times New Roman" w:hAnsi="Times New Roman" w:eastAsia="宋体" w:cs="Times New Roman"/>
          <w:kern w:val="0"/>
          <w:sz w:val="21"/>
          <w:szCs w:val="21"/>
          <w:lang w:val="en-US" w:eastAsia="zh-CN" w:bidi="ar-SA"/>
        </w:rPr>
        <w:fldChar w:fldCharType="begin"/>
      </w:r>
      <w:r>
        <w:rPr>
          <w:rFonts w:hint="eastAsia" w:ascii="Times New Roman" w:hAnsi="Times New Roman" w:eastAsia="宋体" w:cs="Times New Roman"/>
          <w:kern w:val="0"/>
          <w:sz w:val="21"/>
          <w:szCs w:val="21"/>
          <w:lang w:val="en-US" w:eastAsia="zh-CN" w:bidi="ar-SA"/>
        </w:rPr>
        <w:instrText xml:space="preserve"> ADDIN NE.Bib</w:instrText>
      </w:r>
      <w:r>
        <w:rPr>
          <w:rFonts w:hint="default" w:ascii="Times New Roman" w:hAnsi="Times New Roman" w:eastAsia="宋体" w:cs="Times New Roman"/>
          <w:kern w:val="0"/>
          <w:sz w:val="21"/>
          <w:szCs w:val="21"/>
          <w:lang w:val="en-US" w:eastAsia="zh-CN" w:bidi="ar-SA"/>
        </w:rPr>
        <w:fldChar w:fldCharType="separate"/>
      </w:r>
      <w:r>
        <w:rPr>
          <w:rFonts w:hint="default" w:ascii="Times New Roman" w:hAnsi="Times New Roman" w:eastAsia="宋体" w:cs="Times New Roman"/>
          <w:kern w:val="0"/>
          <w:sz w:val="21"/>
          <w:szCs w:val="21"/>
          <w:lang w:val="en-US" w:eastAsia="zh-CN" w:bidi="ar-SA"/>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lOWZmNjFkNDViMTVmMDYzYTU0ZThkODRiZGJjZjcifQ=="/>
    <w:docVar w:name="NE.Ref{5C08A77A-88CB-471A-BE66-C478CF2CDD45}" w:val=" ADDIN NE.Ref.{5C08A77A-88CB-471A-BE66-C478CF2CDD45}&lt;Citation&gt;&lt;Group&gt;&lt;References&gt;&lt;Item&gt;&lt;ID&gt;1553&lt;/ID&gt;&lt;UID&gt;{6B7159D1-FBD3-409E-9A99-887DCF672E64}&lt;/UID&gt;&lt;Title&gt;Association between modified frailty index and postoperative delirium in patients  after cardiac surgery: A cohort study of 2080 older adults&lt;/Title&gt;&lt;Template&gt;Journal Article&lt;/Template&gt;&lt;Star&gt;0&lt;/Star&gt;&lt;Tag&gt;0&lt;/Tag&gt;&lt;Author&gt;Cheng, H; Ling, Y; Li, Q; Li, X; Tang, Y; Guo, J; Li, J; Wang, Z; Ming, W K; Lyu, J&lt;/Author&gt;&lt;Year&gt;2024&lt;/Year&gt;&lt;Details&gt;&lt;_accession_num&gt;38924691&lt;/_accession_num&gt;&lt;_author_adr&gt;School of Nursing, Jinan University, Guangzhou, China.; Department of Clinical Research, The First Affiliated Hospital of Jinan  University, Guangzhou, China.; Department of Neurology, The First Affiliated Hospital of Jinan University,  Guangzhou, China.; School of Nursing, Jinan University, Guangzhou, China.; School of Nursing, Jinan University, Guangzhou, China.; School of Nursing, Jinan University, Guangzhou, China.; School of Public Health, Shanxi University of Chinese Medicine, Xianyang, China.; School of Public Health, Shanxi University of Chinese Medicine, Xianyang, China.; Department of Clinical Research, The First Affiliated Hospital of Jinan  University, Guangzhou, China.; Department of Infectious Diseases and Public Health, City University of Hong  Kong, Hong Kong, China.; Department of Clinical Research, The First Affiliated Hospital of Jinan  University, Guangzhou, China.; Guangdong Provincial Key Laboratory of Traditional Chinese Medicine  Informatization, Guangzhou, China.&lt;/_author_adr&gt;&lt;_collection_scope&gt;SCIE&lt;/_collection_scope&gt;&lt;_created&gt;65507698&lt;/_created&gt;&lt;_date&gt;2024-06-01&lt;/_date&gt;&lt;_date_display&gt;2024 Jun&lt;/_date_display&gt;&lt;_db_updated&gt;PubMed&lt;/_db_updated&gt;&lt;_doi&gt;10.1111/cns.14762&lt;/_doi&gt;&lt;_impact_factor&gt;   5.243&lt;/_impact_factor&gt;&lt;_isbn&gt;1755-5949 (Electronic); 1755-5930 (Print); 1755-5930 (Linking)&lt;/_isbn&gt;&lt;_issue&gt;6&lt;/_issue&gt;&lt;_journal&gt;CNS Neurosci Ther&lt;/_journal&gt;&lt;_keywords&gt;cardiac surgery; frailty; modified frailty index; older adults; postoperative delirium; pressure injury&lt;/_keywords&gt;&lt;_language&gt;eng&lt;/_language&gt;&lt;_modified&gt;65507698&lt;/_modified&gt;&lt;_ori_publication&gt;(c) 2024 The Author(s). CNS Neuroscience &amp;amp; Therapeutics published by John Wiley &amp;amp; _x000d__x000a_      Sons Ltd.&lt;/_ori_publication&gt;&lt;_pages&gt;e14762&lt;/_pages&gt;&lt;_subject_headings&gt;Humans; Female; Male; Aged; *Cardiac Surgical Procedures/adverse effects; *Delirium/epidemiology/etiology/diagnosis; *Frailty/diagnosis/epidemiology; Aged, 80 and over; *Postoperative Complications/epidemiology/etiology/diagnosis; Retrospective Studies; Cohort Studies; Risk Factors&lt;/_subject_headings&gt;&lt;_tertiary_title&gt;CNS neuroscience &amp;amp; therapeutics&lt;/_tertiary_title&gt;&lt;_type_work&gt;Journal Article&lt;/_type_work&gt;&lt;_url&gt;http://www.ncbi.nlm.nih.gov/entrez/query.fcgi?cmd=Retrieve&amp;amp;db=pubmed&amp;amp;dopt=Abstract&amp;amp;list_uids=38924691&amp;amp;query_hl=1&lt;/_url&gt;&lt;_volume&gt;30&lt;/_volume&gt;&lt;/Details&gt;&lt;Extra&gt;&lt;DBUID&gt;{F96A950B-833F-4880-A151-76DA2D6A2879}&lt;/DBUID&gt;&lt;/Extra&gt;&lt;/Item&gt;&lt;/References&gt;&lt;/Group&gt;&lt;/Citation&gt;_x000a_"/>
    <w:docVar w:name="ne_docsoft" w:val="MSWord"/>
    <w:docVar w:name="ne_docversion" w:val="NoteExpress 2.0"/>
    <w:docVar w:name="ne_stylename" w:val="JAMA"/>
  </w:docVars>
  <w:rsids>
    <w:rsidRoot w:val="00172A27"/>
    <w:rsid w:val="08D62D82"/>
    <w:rsid w:val="0D9B01D7"/>
    <w:rsid w:val="506C1D63"/>
    <w:rsid w:val="59AA2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src"/>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1165</Words>
  <Characters>6708</Characters>
  <Lines>0</Lines>
  <Paragraphs>0</Paragraphs>
  <TotalTime>6</TotalTime>
  <ScaleCrop>false</ScaleCrop>
  <LinksUpToDate>false</LinksUpToDate>
  <CharactersWithSpaces>7693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2024-07-18T09:45:00Z</dcterms:created>
  <dc:creator>yizhi</dc:creator>
  <cp:lastModifiedBy>一只涛</cp:lastModifiedBy>
  <dcterms:modified xsi:type="dcterms:W3CDTF">2025-02-12T16:49:37Z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CB7892F2CFE042429F67A08C4009AE19_13</vt:lpwstr>
  </property>
  <property fmtid="{D5CDD505-2E9C-101B-9397-08002B2CF9AE}" pid="4" name="KSOTemplateDocerSaveRecord">
    <vt:lpwstr>eyJoZGlkIjoiNDNlOWZmNjFkNDViMTVmMDYzYTU0ZThkODRiZGJjZjciLCJ1c2VySWQiOiI5MjEzMTYxMDQifQ==</vt:lpwstr>
  </property>
</Properties>
</file>