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70E3E">
      <w:pPr>
        <w:rPr>
          <w:rFonts w:hint="default" w:ascii="Times New Roman" w:hAnsi="Times New Roman" w:cs="Times New Roman"/>
        </w:rPr>
      </w:pPr>
    </w:p>
    <w:p w14:paraId="210C0C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Table S1. Risk of </w:t>
      </w:r>
      <w:r>
        <w:rPr>
          <w:rFonts w:hint="default" w:ascii="Times New Roman" w:hAnsi="Times New Roman" w:cs="Times New Roman"/>
          <w:lang w:val="en-US" w:eastAsia="zh-CN"/>
        </w:rPr>
        <w:t xml:space="preserve">CVD and </w:t>
      </w:r>
      <w:r>
        <w:rPr>
          <w:rFonts w:hint="default" w:ascii="Times New Roman" w:hAnsi="Times New Roman" w:cs="Times New Roman"/>
          <w:lang w:val="en-US" w:eastAsia="zh-CN"/>
        </w:rPr>
        <w:t>death associated with Sarcopenia in populations with and without CKD.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2074"/>
        <w:gridCol w:w="1012"/>
        <w:gridCol w:w="2076"/>
        <w:gridCol w:w="1012"/>
      </w:tblGrid>
      <w:tr w14:paraId="6364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6" w:type="pct"/>
            <w:tcBorders>
              <w:top w:val="single" w:color="auto" w:sz="12" w:space="0"/>
            </w:tcBorders>
          </w:tcPr>
          <w:p w14:paraId="552E1186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811" w:type="pct"/>
            <w:gridSpan w:val="2"/>
            <w:tcBorders>
              <w:top w:val="single" w:color="auto" w:sz="12" w:space="0"/>
            </w:tcBorders>
          </w:tcPr>
          <w:p w14:paraId="0931B414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Without CKD </w:t>
            </w:r>
          </w:p>
        </w:tc>
        <w:tc>
          <w:tcPr>
            <w:tcW w:w="1812" w:type="pct"/>
            <w:gridSpan w:val="2"/>
            <w:tcBorders>
              <w:top w:val="single" w:color="auto" w:sz="12" w:space="0"/>
            </w:tcBorders>
          </w:tcPr>
          <w:p w14:paraId="0D2235BC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With CKD</w:t>
            </w:r>
          </w:p>
        </w:tc>
      </w:tr>
      <w:tr w14:paraId="28672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6" w:type="pct"/>
            <w:tcBorders>
              <w:bottom w:val="single" w:color="auto" w:sz="12" w:space="0"/>
            </w:tcBorders>
          </w:tcPr>
          <w:p w14:paraId="76F5103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217" w:type="pct"/>
            <w:tcBorders>
              <w:bottom w:val="single" w:color="auto" w:sz="12" w:space="0"/>
            </w:tcBorders>
          </w:tcPr>
          <w:p w14:paraId="5CA58099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HR (95%CI)</w:t>
            </w:r>
          </w:p>
        </w:tc>
        <w:tc>
          <w:tcPr>
            <w:tcW w:w="593" w:type="pct"/>
            <w:tcBorders>
              <w:bottom w:val="single" w:color="auto" w:sz="12" w:space="0"/>
            </w:tcBorders>
          </w:tcPr>
          <w:p w14:paraId="770A845C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P</w:t>
            </w:r>
          </w:p>
        </w:tc>
        <w:tc>
          <w:tcPr>
            <w:tcW w:w="1218" w:type="pct"/>
            <w:tcBorders>
              <w:bottom w:val="single" w:color="auto" w:sz="12" w:space="0"/>
            </w:tcBorders>
            <w:vAlign w:val="top"/>
          </w:tcPr>
          <w:p w14:paraId="274268D8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HR (95%CI)</w:t>
            </w:r>
          </w:p>
        </w:tc>
        <w:tc>
          <w:tcPr>
            <w:tcW w:w="593" w:type="pct"/>
            <w:tcBorders>
              <w:bottom w:val="single" w:color="auto" w:sz="12" w:space="0"/>
            </w:tcBorders>
            <w:vAlign w:val="top"/>
          </w:tcPr>
          <w:p w14:paraId="2A7A46F3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P</w:t>
            </w:r>
          </w:p>
        </w:tc>
      </w:tr>
      <w:tr w14:paraId="6D53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tcBorders>
              <w:top w:val="single" w:color="auto" w:sz="12" w:space="0"/>
            </w:tcBorders>
            <w:vAlign w:val="top"/>
          </w:tcPr>
          <w:p w14:paraId="60ECE95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stroke</w:t>
            </w:r>
          </w:p>
        </w:tc>
        <w:tc>
          <w:tcPr>
            <w:tcW w:w="121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3EF215E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5531E684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1F6D279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03FBD7BD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086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7E3E0A62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217" w:type="pct"/>
            <w:shd w:val="clear"/>
            <w:vAlign w:val="center"/>
          </w:tcPr>
          <w:p w14:paraId="7F315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1.49(1.32 - 1.67)</w:t>
            </w:r>
          </w:p>
        </w:tc>
        <w:tc>
          <w:tcPr>
            <w:tcW w:w="593" w:type="pct"/>
            <w:shd w:val="clear"/>
            <w:vAlign w:val="center"/>
          </w:tcPr>
          <w:p w14:paraId="15702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7F48D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1.92(1.41 - 2.61)</w:t>
            </w:r>
          </w:p>
        </w:tc>
        <w:tc>
          <w:tcPr>
            <w:tcW w:w="593" w:type="pct"/>
            <w:shd w:val="clear"/>
            <w:vAlign w:val="center"/>
          </w:tcPr>
          <w:p w14:paraId="4081E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&lt;0.001</w:t>
            </w:r>
          </w:p>
        </w:tc>
      </w:tr>
      <w:tr w14:paraId="41B5A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445EE314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217" w:type="pct"/>
            <w:shd w:val="clear"/>
            <w:vAlign w:val="center"/>
          </w:tcPr>
          <w:p w14:paraId="581D5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1.29(1.04 - 1.61)</w:t>
            </w:r>
          </w:p>
        </w:tc>
        <w:tc>
          <w:tcPr>
            <w:tcW w:w="593" w:type="pct"/>
            <w:shd w:val="clear"/>
            <w:vAlign w:val="center"/>
          </w:tcPr>
          <w:p w14:paraId="2D437D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0.021</w:t>
            </w:r>
          </w:p>
        </w:tc>
        <w:tc>
          <w:tcPr>
            <w:tcW w:w="1218" w:type="pct"/>
            <w:shd w:val="clear"/>
            <w:vAlign w:val="center"/>
          </w:tcPr>
          <w:p w14:paraId="3007E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1.54(1.04 - 2.29)</w:t>
            </w:r>
          </w:p>
        </w:tc>
        <w:tc>
          <w:tcPr>
            <w:tcW w:w="593" w:type="pct"/>
            <w:shd w:val="clear"/>
            <w:vAlign w:val="center"/>
          </w:tcPr>
          <w:p w14:paraId="5267B8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0.033</w:t>
            </w:r>
          </w:p>
        </w:tc>
      </w:tr>
      <w:tr w14:paraId="5E89A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6" w:type="pct"/>
            <w:vAlign w:val="top"/>
          </w:tcPr>
          <w:p w14:paraId="7FDE0EE5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CAD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1460290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6220438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359492B2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672863F7">
            <w:pPr>
              <w:jc w:val="righ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F83E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2A213F2E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217" w:type="pct"/>
            <w:shd w:val="clear"/>
            <w:vAlign w:val="center"/>
          </w:tcPr>
          <w:p w14:paraId="1873C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1.36(1.31 - 1.42)</w:t>
            </w:r>
          </w:p>
        </w:tc>
        <w:tc>
          <w:tcPr>
            <w:tcW w:w="593" w:type="pct"/>
            <w:shd w:val="clear"/>
            <w:vAlign w:val="center"/>
          </w:tcPr>
          <w:p w14:paraId="53E31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3CF7D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1.72(1.5 - 1.99)</w:t>
            </w:r>
          </w:p>
        </w:tc>
        <w:tc>
          <w:tcPr>
            <w:tcW w:w="593" w:type="pct"/>
            <w:shd w:val="clear"/>
            <w:vAlign w:val="center"/>
          </w:tcPr>
          <w:p w14:paraId="6DD25482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&lt;0.001</w:t>
            </w:r>
          </w:p>
        </w:tc>
      </w:tr>
      <w:tr w14:paraId="5F174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61103E31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217" w:type="pct"/>
            <w:shd w:val="clear"/>
            <w:vAlign w:val="center"/>
          </w:tcPr>
          <w:p w14:paraId="0DBDC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1.17(1.1 - 1.26)</w:t>
            </w:r>
          </w:p>
        </w:tc>
        <w:tc>
          <w:tcPr>
            <w:tcW w:w="593" w:type="pct"/>
            <w:shd w:val="clear"/>
            <w:vAlign w:val="center"/>
          </w:tcPr>
          <w:p w14:paraId="60035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6CC4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1.28(1.11 - 1.48)</w:t>
            </w:r>
          </w:p>
        </w:tc>
        <w:tc>
          <w:tcPr>
            <w:tcW w:w="593" w:type="pct"/>
            <w:shd w:val="clear"/>
            <w:vAlign w:val="center"/>
          </w:tcPr>
          <w:p w14:paraId="6630A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0.001</w:t>
            </w:r>
          </w:p>
        </w:tc>
      </w:tr>
      <w:tr w14:paraId="2CA5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vAlign w:val="top"/>
          </w:tcPr>
          <w:p w14:paraId="42AF521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HF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0C2B5312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1789EA5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24F5F24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18EFB7C6">
            <w:pPr>
              <w:jc w:val="righ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6D9D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56AF91FC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217" w:type="pct"/>
            <w:shd w:val="clear"/>
            <w:vAlign w:val="center"/>
          </w:tcPr>
          <w:p w14:paraId="4780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1.63(1.56 - 1.71)</w:t>
            </w:r>
          </w:p>
        </w:tc>
        <w:tc>
          <w:tcPr>
            <w:tcW w:w="593" w:type="pct"/>
            <w:shd w:val="clear"/>
            <w:vAlign w:val="center"/>
          </w:tcPr>
          <w:p w14:paraId="43EB1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094A4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1.66(1.43 - 1.92)</w:t>
            </w:r>
          </w:p>
        </w:tc>
        <w:tc>
          <w:tcPr>
            <w:tcW w:w="593" w:type="pct"/>
            <w:shd w:val="clear"/>
            <w:vAlign w:val="center"/>
          </w:tcPr>
          <w:p w14:paraId="0F180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6BA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40B4B5DD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217" w:type="pct"/>
            <w:shd w:val="clear"/>
            <w:vAlign w:val="center"/>
          </w:tcPr>
          <w:p w14:paraId="0FBDC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1.24(1.14 - 1.35)</w:t>
            </w:r>
          </w:p>
        </w:tc>
        <w:tc>
          <w:tcPr>
            <w:tcW w:w="593" w:type="pct"/>
            <w:shd w:val="clear"/>
            <w:vAlign w:val="center"/>
          </w:tcPr>
          <w:p w14:paraId="01AE5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109FD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1.55(1.33 - 1.81)</w:t>
            </w:r>
          </w:p>
        </w:tc>
        <w:tc>
          <w:tcPr>
            <w:tcW w:w="593" w:type="pct"/>
            <w:shd w:val="clear"/>
            <w:vAlign w:val="center"/>
          </w:tcPr>
          <w:p w14:paraId="69086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502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vAlign w:val="top"/>
          </w:tcPr>
          <w:p w14:paraId="3928EF5D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All-cause mortality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5065A4E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2D601EC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34952F7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FFFFFF"/>
            <w:vAlign w:val="center"/>
          </w:tcPr>
          <w:p w14:paraId="650B6C48">
            <w:pPr>
              <w:jc w:val="righ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B5B0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vAlign w:val="top"/>
          </w:tcPr>
          <w:p w14:paraId="7975B9F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217" w:type="pct"/>
            <w:shd w:val="clear"/>
            <w:vAlign w:val="center"/>
          </w:tcPr>
          <w:p w14:paraId="68840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1.5(1.45 - 1.55)</w:t>
            </w:r>
          </w:p>
        </w:tc>
        <w:tc>
          <w:tcPr>
            <w:tcW w:w="593" w:type="pct"/>
            <w:shd w:val="clear"/>
            <w:vAlign w:val="center"/>
          </w:tcPr>
          <w:p w14:paraId="7ADE8B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66888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1.67(1.51 - 1.85)</w:t>
            </w:r>
          </w:p>
        </w:tc>
        <w:tc>
          <w:tcPr>
            <w:tcW w:w="593" w:type="pct"/>
            <w:shd w:val="clear"/>
            <w:vAlign w:val="center"/>
          </w:tcPr>
          <w:p w14:paraId="4A04D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&lt;0.001</w:t>
            </w:r>
          </w:p>
        </w:tc>
      </w:tr>
      <w:tr w14:paraId="26CEE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vAlign w:val="top"/>
          </w:tcPr>
          <w:p w14:paraId="24823C08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217" w:type="pct"/>
            <w:shd w:val="clear"/>
            <w:vAlign w:val="center"/>
          </w:tcPr>
          <w:p w14:paraId="03CCB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1.37(1.29 - 1.45)</w:t>
            </w:r>
          </w:p>
        </w:tc>
        <w:tc>
          <w:tcPr>
            <w:tcW w:w="593" w:type="pct"/>
            <w:shd w:val="clear"/>
            <w:vAlign w:val="center"/>
          </w:tcPr>
          <w:p w14:paraId="7FF11D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3B904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1.4(1.15 - 1.71)</w:t>
            </w:r>
          </w:p>
        </w:tc>
        <w:tc>
          <w:tcPr>
            <w:tcW w:w="593" w:type="pct"/>
            <w:shd w:val="clear"/>
            <w:vAlign w:val="center"/>
          </w:tcPr>
          <w:p w14:paraId="6C57A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0.001</w:t>
            </w:r>
          </w:p>
        </w:tc>
      </w:tr>
      <w:tr w14:paraId="7B3E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vAlign w:val="top"/>
          </w:tcPr>
          <w:p w14:paraId="0EA7F563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CVD mortality</w:t>
            </w:r>
          </w:p>
        </w:tc>
        <w:tc>
          <w:tcPr>
            <w:tcW w:w="1217" w:type="pct"/>
            <w:shd w:val="clear" w:color="auto" w:fill="auto"/>
            <w:vAlign w:val="center"/>
          </w:tcPr>
          <w:p w14:paraId="2294A4F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6C197ED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3CFBEA5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3CD6C0D4">
            <w:pPr>
              <w:jc w:val="righ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312A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shd w:val="clear" w:color="auto" w:fill="auto"/>
            <w:vAlign w:val="top"/>
          </w:tcPr>
          <w:p w14:paraId="50BBD797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217" w:type="pct"/>
            <w:shd w:val="clear"/>
            <w:vAlign w:val="center"/>
          </w:tcPr>
          <w:p w14:paraId="35B70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1.76(1.65 - 1.89)</w:t>
            </w:r>
          </w:p>
        </w:tc>
        <w:tc>
          <w:tcPr>
            <w:tcW w:w="593" w:type="pct"/>
            <w:shd w:val="clear"/>
            <w:vAlign w:val="center"/>
          </w:tcPr>
          <w:p w14:paraId="40F746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shd w:val="clear"/>
            <w:vAlign w:val="center"/>
          </w:tcPr>
          <w:p w14:paraId="7578F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2.05(1.69 - 2.49)</w:t>
            </w:r>
          </w:p>
        </w:tc>
        <w:tc>
          <w:tcPr>
            <w:tcW w:w="593" w:type="pct"/>
            <w:shd w:val="clear"/>
            <w:vAlign w:val="center"/>
          </w:tcPr>
          <w:p w14:paraId="4A374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&lt;0.001</w:t>
            </w:r>
          </w:p>
        </w:tc>
      </w:tr>
      <w:tr w14:paraId="05FD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76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60EC97B1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217" w:type="pct"/>
            <w:tcBorders>
              <w:bottom w:val="single" w:color="auto" w:sz="12" w:space="0"/>
            </w:tcBorders>
            <w:shd w:val="clear"/>
            <w:vAlign w:val="center"/>
          </w:tcPr>
          <w:p w14:paraId="0DE1C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1.55(1.37 - 1.76)</w:t>
            </w:r>
          </w:p>
        </w:tc>
        <w:tc>
          <w:tcPr>
            <w:tcW w:w="593" w:type="pct"/>
            <w:tcBorders>
              <w:bottom w:val="single" w:color="auto" w:sz="12" w:space="0"/>
            </w:tcBorders>
            <w:shd w:val="clear"/>
            <w:vAlign w:val="center"/>
          </w:tcPr>
          <w:p w14:paraId="6D325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18" w:type="pct"/>
            <w:tcBorders>
              <w:bottom w:val="single" w:color="auto" w:sz="12" w:space="0"/>
            </w:tcBorders>
            <w:shd w:val="clear"/>
            <w:vAlign w:val="center"/>
          </w:tcPr>
          <w:p w14:paraId="4E64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1.86(1.28 - 2.7)</w:t>
            </w:r>
          </w:p>
        </w:tc>
        <w:tc>
          <w:tcPr>
            <w:tcW w:w="593" w:type="pct"/>
            <w:tcBorders>
              <w:bottom w:val="single" w:color="auto" w:sz="12" w:space="0"/>
            </w:tcBorders>
            <w:shd w:val="clear"/>
            <w:vAlign w:val="center"/>
          </w:tcPr>
          <w:p w14:paraId="0C677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0.001</w:t>
            </w:r>
          </w:p>
        </w:tc>
      </w:tr>
    </w:tbl>
    <w:p w14:paraId="47D5008B">
      <w:pPr>
        <w:rPr>
          <w:rFonts w:hint="default" w:ascii="Times New Roman" w:hAnsi="Times New Roman" w:cs="Times New Roman"/>
        </w:rPr>
      </w:pPr>
    </w:p>
    <w:p w14:paraId="71A868EB">
      <w:pPr>
        <w:rPr>
          <w:rFonts w:hint="default" w:ascii="Times New Roman" w:hAnsi="Times New Roman" w:cs="Times New Roman"/>
        </w:rPr>
      </w:pPr>
    </w:p>
    <w:p w14:paraId="347730B8"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79D132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 Sensitivity analysis excluding events occurring in the first two years.</w:t>
      </w:r>
    </w:p>
    <w:tbl>
      <w:tblPr>
        <w:tblStyle w:val="6"/>
        <w:tblpPr w:leftFromText="180" w:rightFromText="180" w:vertAnchor="text" w:horzAnchor="page" w:tblpX="1582" w:tblpY="530"/>
        <w:tblOverlap w:val="never"/>
        <w:tblW w:w="49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2417"/>
        <w:gridCol w:w="1303"/>
        <w:gridCol w:w="2195"/>
        <w:gridCol w:w="1208"/>
        <w:gridCol w:w="2306"/>
        <w:gridCol w:w="1251"/>
      </w:tblGrid>
      <w:tr w14:paraId="66E05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44B59EE1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E12E2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Stroke</w:t>
            </w:r>
          </w:p>
        </w:tc>
        <w:tc>
          <w:tcPr>
            <w:tcW w:w="468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513C15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2F4F7D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HF</w:t>
            </w:r>
          </w:p>
        </w:tc>
        <w:tc>
          <w:tcPr>
            <w:tcW w:w="434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5EC296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5D02E9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CAD</w:t>
            </w:r>
          </w:p>
        </w:tc>
        <w:tc>
          <w:tcPr>
            <w:tcW w:w="450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1BC654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124E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E8654CE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355AC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ED466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78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31915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D5368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2A6D1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HR (95%CI)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0CF03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</w:p>
        </w:tc>
      </w:tr>
      <w:tr w14:paraId="7C44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56E09FA7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86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37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F3A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EF7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931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A2B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5C7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2C3C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E6294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Non-CKD non-sarcopenia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BB37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DE40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800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DFD2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15E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07F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7121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581312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CKD non-sarcopenia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83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2.3(1.93 - 2.74)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2D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47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2.91(2.72 - 3.11)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C6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45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1.88(1.77 - 2)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C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B49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61422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Non-CKD sarcopenia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F3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1.46(1.28 - 1.65)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B3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91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1.65(1.57 - 1.73)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B9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AC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1.38(1.33 - 1.44)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EF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2EE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D9863B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CKD sarcopenia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EE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2.3(1.45 - 3.67)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6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20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4.63(4.02 - 5.32)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B5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69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3.16(2.76 - 3.62)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0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442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16EC58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2FD2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4150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15D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FCE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390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69C6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7D03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4D9489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Non-CKD non-sarcopenia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6C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F63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420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900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A8B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340B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2F98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59933B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CKD non-sarcopenia</w:t>
            </w:r>
          </w:p>
          <w:p w14:paraId="416631CE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1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1.66(1.43 - 1.92)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37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EE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2.04(1.56 - 2.67)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1A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56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1.47(1.1 - 1.96)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E6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F4C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14AB9A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Non-CKD sarcopenia</w:t>
            </w:r>
          </w:p>
          <w:p w14:paraId="06D42054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AF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1.31(1.19 - 1.44)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EA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DD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1.24(1.14 - 1.35)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45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C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1.17(1.09 - 1.26)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1D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C46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8A16266"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CKD sarcopenia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1146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2.15(1.6 - 2.89)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5E32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0740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2.14(1.91 - 2.4)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0BAF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72BA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1.54(1.38 - 1.71)</w:t>
            </w:r>
            <w:bookmarkEnd w:id="0"/>
          </w:p>
        </w:tc>
        <w:tc>
          <w:tcPr>
            <w:tcW w:w="4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3576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0.01</w:t>
            </w:r>
          </w:p>
        </w:tc>
      </w:tr>
    </w:tbl>
    <w:p w14:paraId="47A0947B">
      <w:pPr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210D84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. Sensitivity analysis excluding patients who died in the first two years.</w:t>
      </w:r>
    </w:p>
    <w:tbl>
      <w:tblPr>
        <w:tblStyle w:val="6"/>
        <w:tblpPr w:leftFromText="180" w:rightFromText="180" w:vertAnchor="text" w:horzAnchor="page" w:tblpX="2654" w:tblpY="452"/>
        <w:tblOverlap w:val="never"/>
        <w:tblW w:w="37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3"/>
        <w:gridCol w:w="2367"/>
        <w:gridCol w:w="1421"/>
        <w:gridCol w:w="2149"/>
        <w:gridCol w:w="1364"/>
      </w:tblGrid>
      <w:tr w14:paraId="6C5D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tcBorders>
              <w:top w:val="single" w:color="auto" w:sz="12" w:space="0"/>
            </w:tcBorders>
          </w:tcPr>
          <w:p w14:paraId="7A327A11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99" w:type="pct"/>
            <w:tcBorders>
              <w:top w:val="single" w:color="auto" w:sz="12" w:space="0"/>
            </w:tcBorders>
          </w:tcPr>
          <w:p w14:paraId="27A9ED6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All-cause mortality</w:t>
            </w:r>
          </w:p>
        </w:tc>
        <w:tc>
          <w:tcPr>
            <w:tcW w:w="660" w:type="pct"/>
            <w:tcBorders>
              <w:top w:val="single" w:color="auto" w:sz="12" w:space="0"/>
            </w:tcBorders>
          </w:tcPr>
          <w:p w14:paraId="502C335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998" w:type="pct"/>
            <w:tcBorders>
              <w:top w:val="single" w:color="auto" w:sz="12" w:space="0"/>
            </w:tcBorders>
            <w:vAlign w:val="top"/>
          </w:tcPr>
          <w:p w14:paraId="0E1EFB0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CVD mortality</w:t>
            </w:r>
          </w:p>
          <w:p w14:paraId="2DAB135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33" w:type="pct"/>
            <w:tcBorders>
              <w:top w:val="single" w:color="auto" w:sz="12" w:space="0"/>
            </w:tcBorders>
            <w:vAlign w:val="top"/>
          </w:tcPr>
          <w:p w14:paraId="5F3EF17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D01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tcBorders>
              <w:bottom w:val="single" w:color="auto" w:sz="12" w:space="0"/>
            </w:tcBorders>
          </w:tcPr>
          <w:p w14:paraId="4A2800B5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99" w:type="pct"/>
            <w:tcBorders>
              <w:bottom w:val="single" w:color="auto" w:sz="12" w:space="0"/>
            </w:tcBorders>
          </w:tcPr>
          <w:p w14:paraId="5101C19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HR (95%CI)</w:t>
            </w:r>
          </w:p>
        </w:tc>
        <w:tc>
          <w:tcPr>
            <w:tcW w:w="660" w:type="pct"/>
            <w:tcBorders>
              <w:bottom w:val="single" w:color="auto" w:sz="12" w:space="0"/>
            </w:tcBorders>
          </w:tcPr>
          <w:p w14:paraId="5497C12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</w:t>
            </w:r>
          </w:p>
        </w:tc>
        <w:tc>
          <w:tcPr>
            <w:tcW w:w="998" w:type="pct"/>
            <w:tcBorders>
              <w:bottom w:val="single" w:color="auto" w:sz="12" w:space="0"/>
            </w:tcBorders>
            <w:vAlign w:val="top"/>
          </w:tcPr>
          <w:p w14:paraId="03B08C82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HR (95%CI)</w:t>
            </w:r>
          </w:p>
        </w:tc>
        <w:tc>
          <w:tcPr>
            <w:tcW w:w="633" w:type="pct"/>
            <w:tcBorders>
              <w:bottom w:val="single" w:color="auto" w:sz="12" w:space="0"/>
            </w:tcBorders>
            <w:vAlign w:val="top"/>
          </w:tcPr>
          <w:p w14:paraId="6B2E7E6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</w:t>
            </w:r>
          </w:p>
        </w:tc>
      </w:tr>
      <w:tr w14:paraId="17D8F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tcBorders>
              <w:top w:val="single" w:color="auto" w:sz="12" w:space="0"/>
            </w:tcBorders>
            <w:vAlign w:val="top"/>
          </w:tcPr>
          <w:p w14:paraId="259359B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1</w:t>
            </w:r>
          </w:p>
        </w:tc>
        <w:tc>
          <w:tcPr>
            <w:tcW w:w="109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4D870F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6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76EB11E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99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AA33F2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14:paraId="3952CA8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519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vAlign w:val="top"/>
          </w:tcPr>
          <w:p w14:paraId="70AE53C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Non-CKD non-sarcopenia</w:t>
            </w:r>
          </w:p>
        </w:tc>
        <w:tc>
          <w:tcPr>
            <w:tcW w:w="1099" w:type="pct"/>
            <w:shd w:val="clear" w:color="auto" w:fill="auto"/>
            <w:vAlign w:val="center"/>
          </w:tcPr>
          <w:p w14:paraId="1169FC4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Ref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3484EA7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BF5BCC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Ref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5BF0203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E4C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vAlign w:val="top"/>
          </w:tcPr>
          <w:p w14:paraId="57FA4B3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CKD non-sarcopenia</w:t>
            </w:r>
          </w:p>
        </w:tc>
        <w:tc>
          <w:tcPr>
            <w:tcW w:w="1099" w:type="pct"/>
            <w:shd w:val="clear"/>
            <w:vAlign w:val="center"/>
          </w:tcPr>
          <w:p w14:paraId="230B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2.28(2.17 - 2.39)</w:t>
            </w:r>
          </w:p>
        </w:tc>
        <w:tc>
          <w:tcPr>
            <w:tcW w:w="660" w:type="pct"/>
            <w:shd w:val="clear"/>
            <w:vAlign w:val="center"/>
          </w:tcPr>
          <w:p w14:paraId="6C15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shd w:val="clear"/>
            <w:vAlign w:val="center"/>
          </w:tcPr>
          <w:p w14:paraId="6333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3.25(2.95 - 3.57)</w:t>
            </w:r>
          </w:p>
        </w:tc>
        <w:tc>
          <w:tcPr>
            <w:tcW w:w="633" w:type="pct"/>
            <w:shd w:val="clear"/>
            <w:vAlign w:val="center"/>
          </w:tcPr>
          <w:p w14:paraId="28ED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4E7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vAlign w:val="top"/>
          </w:tcPr>
          <w:p w14:paraId="0CC6A54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Non-CKD sarcopenia</w:t>
            </w:r>
          </w:p>
        </w:tc>
        <w:tc>
          <w:tcPr>
            <w:tcW w:w="1099" w:type="pct"/>
            <w:shd w:val="clear"/>
            <w:vAlign w:val="center"/>
          </w:tcPr>
          <w:p w14:paraId="454D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1.5(1.45 - 1.55)</w:t>
            </w:r>
          </w:p>
        </w:tc>
        <w:tc>
          <w:tcPr>
            <w:tcW w:w="660" w:type="pct"/>
            <w:shd w:val="clear"/>
            <w:vAlign w:val="center"/>
          </w:tcPr>
          <w:p w14:paraId="3289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shd w:val="clear"/>
            <w:vAlign w:val="center"/>
          </w:tcPr>
          <w:p w14:paraId="794B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1.77(1.65 - 1.9)</w:t>
            </w:r>
          </w:p>
        </w:tc>
        <w:tc>
          <w:tcPr>
            <w:tcW w:w="633" w:type="pct"/>
            <w:shd w:val="clear"/>
            <w:vAlign w:val="center"/>
          </w:tcPr>
          <w:p w14:paraId="6C9B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3CC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vAlign w:val="top"/>
          </w:tcPr>
          <w:p w14:paraId="0F646AB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CKD sarcopenia</w:t>
            </w:r>
          </w:p>
        </w:tc>
        <w:tc>
          <w:tcPr>
            <w:tcW w:w="1099" w:type="pct"/>
            <w:shd w:val="clear"/>
            <w:vAlign w:val="center"/>
          </w:tcPr>
          <w:p w14:paraId="3A9C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3.68(3.34 - 4.04)</w:t>
            </w:r>
          </w:p>
        </w:tc>
        <w:tc>
          <w:tcPr>
            <w:tcW w:w="660" w:type="pct"/>
            <w:shd w:val="clear"/>
            <w:vAlign w:val="center"/>
          </w:tcPr>
          <w:p w14:paraId="1EB0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shd w:val="clear"/>
            <w:vAlign w:val="center"/>
          </w:tcPr>
          <w:p w14:paraId="0F90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6.06(5.04 - 7.28)</w:t>
            </w:r>
          </w:p>
        </w:tc>
        <w:tc>
          <w:tcPr>
            <w:tcW w:w="633" w:type="pct"/>
            <w:shd w:val="clear"/>
            <w:vAlign w:val="center"/>
          </w:tcPr>
          <w:p w14:paraId="0417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5915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shd w:val="clear" w:color="auto" w:fill="auto"/>
            <w:vAlign w:val="top"/>
          </w:tcPr>
          <w:p w14:paraId="52A7F76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 2</w:t>
            </w:r>
          </w:p>
        </w:tc>
        <w:tc>
          <w:tcPr>
            <w:tcW w:w="1099" w:type="pct"/>
            <w:shd w:val="clear" w:color="auto" w:fill="auto"/>
            <w:vAlign w:val="center"/>
          </w:tcPr>
          <w:p w14:paraId="0F3D430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5EAE7A4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7B45679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4DA51F6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587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shd w:val="clear" w:color="auto" w:fill="auto"/>
            <w:vAlign w:val="top"/>
          </w:tcPr>
          <w:p w14:paraId="350C302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Non-CKD non-sarcopenia</w:t>
            </w:r>
          </w:p>
          <w:p w14:paraId="4197C27B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99" w:type="pct"/>
            <w:shd w:val="clear" w:color="auto" w:fill="auto"/>
            <w:vAlign w:val="center"/>
          </w:tcPr>
          <w:p w14:paraId="6542B5C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Ref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139A210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01288BF2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Ref</w:t>
            </w:r>
          </w:p>
        </w:tc>
        <w:tc>
          <w:tcPr>
            <w:tcW w:w="633" w:type="pct"/>
            <w:shd w:val="clear" w:color="auto" w:fill="FFFFFF"/>
            <w:vAlign w:val="center"/>
          </w:tcPr>
          <w:p w14:paraId="36D32D0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CE7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shd w:val="clear" w:color="auto" w:fill="auto"/>
            <w:vAlign w:val="top"/>
          </w:tcPr>
          <w:p w14:paraId="7D75125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CKD non-sarcopenia</w:t>
            </w:r>
          </w:p>
        </w:tc>
        <w:tc>
          <w:tcPr>
            <w:tcW w:w="1099" w:type="pct"/>
            <w:shd w:val="clear"/>
            <w:vAlign w:val="center"/>
          </w:tcPr>
          <w:p w14:paraId="3130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1.95(1.79 - 2.11)</w:t>
            </w:r>
          </w:p>
        </w:tc>
        <w:tc>
          <w:tcPr>
            <w:tcW w:w="660" w:type="pct"/>
            <w:shd w:val="clear"/>
            <w:vAlign w:val="center"/>
          </w:tcPr>
          <w:p w14:paraId="3605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shd w:val="clear"/>
            <w:vAlign w:val="center"/>
          </w:tcPr>
          <w:p w14:paraId="1B25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2.49(2.1 - 2.95)</w:t>
            </w:r>
          </w:p>
        </w:tc>
        <w:tc>
          <w:tcPr>
            <w:tcW w:w="633" w:type="pct"/>
            <w:shd w:val="clear"/>
            <w:vAlign w:val="center"/>
          </w:tcPr>
          <w:p w14:paraId="7B65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D7B8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shd w:val="clear" w:color="auto" w:fill="auto"/>
            <w:vAlign w:val="top"/>
          </w:tcPr>
          <w:p w14:paraId="0C030C4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Non-CKD sarcopenia</w:t>
            </w:r>
          </w:p>
        </w:tc>
        <w:tc>
          <w:tcPr>
            <w:tcW w:w="1099" w:type="pct"/>
            <w:shd w:val="clear"/>
            <w:vAlign w:val="center"/>
          </w:tcPr>
          <w:p w14:paraId="09A5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1.38(1.3 - 1.46)</w:t>
            </w:r>
          </w:p>
        </w:tc>
        <w:tc>
          <w:tcPr>
            <w:tcW w:w="660" w:type="pct"/>
            <w:shd w:val="clear"/>
            <w:vAlign w:val="center"/>
          </w:tcPr>
          <w:p w14:paraId="6262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shd w:val="clear"/>
            <w:vAlign w:val="center"/>
          </w:tcPr>
          <w:p w14:paraId="5B34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1.56(1.37 - 1.78)</w:t>
            </w:r>
          </w:p>
        </w:tc>
        <w:tc>
          <w:tcPr>
            <w:tcW w:w="633" w:type="pct"/>
            <w:shd w:val="clear"/>
            <w:vAlign w:val="center"/>
          </w:tcPr>
          <w:p w14:paraId="0354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5D6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08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242E446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CKD sarcopenia</w:t>
            </w:r>
          </w:p>
        </w:tc>
        <w:tc>
          <w:tcPr>
            <w:tcW w:w="1099" w:type="pct"/>
            <w:tcBorders>
              <w:bottom w:val="single" w:color="auto" w:sz="12" w:space="0"/>
            </w:tcBorders>
            <w:shd w:val="clear"/>
            <w:vAlign w:val="center"/>
          </w:tcPr>
          <w:p w14:paraId="4FD7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2.5(2.08 - 3.01)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shd w:val="clear"/>
            <w:vAlign w:val="center"/>
          </w:tcPr>
          <w:p w14:paraId="630E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bottom w:val="single" w:color="auto" w:sz="12" w:space="0"/>
            </w:tcBorders>
            <w:shd w:val="clear"/>
            <w:vAlign w:val="center"/>
          </w:tcPr>
          <w:p w14:paraId="4B6D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 w:color="FF0000"/>
                <w:lang w:val="en-US" w:eastAsia="zh-CN" w:bidi="ar"/>
              </w:rPr>
              <w:t>3.68(2.58 - 5.25)</w:t>
            </w:r>
          </w:p>
        </w:tc>
        <w:tc>
          <w:tcPr>
            <w:tcW w:w="633" w:type="pct"/>
            <w:tcBorders>
              <w:bottom w:val="single" w:color="auto" w:sz="12" w:space="0"/>
            </w:tcBorders>
            <w:shd w:val="clear"/>
            <w:vAlign w:val="center"/>
          </w:tcPr>
          <w:p w14:paraId="1380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 w:color="FF000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 w14:paraId="66F8607D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806D8"/>
    <w:rsid w:val="000002F1"/>
    <w:rsid w:val="0098388D"/>
    <w:rsid w:val="01EE6939"/>
    <w:rsid w:val="02366271"/>
    <w:rsid w:val="03C95A0C"/>
    <w:rsid w:val="09C27724"/>
    <w:rsid w:val="134E314E"/>
    <w:rsid w:val="138D11AB"/>
    <w:rsid w:val="145D0DF7"/>
    <w:rsid w:val="14986BC1"/>
    <w:rsid w:val="18D7229B"/>
    <w:rsid w:val="1BA54A74"/>
    <w:rsid w:val="1D960619"/>
    <w:rsid w:val="22E806D8"/>
    <w:rsid w:val="23447B16"/>
    <w:rsid w:val="23A10B26"/>
    <w:rsid w:val="25AD693C"/>
    <w:rsid w:val="2A4B1F72"/>
    <w:rsid w:val="30C06AB7"/>
    <w:rsid w:val="34026776"/>
    <w:rsid w:val="360348A6"/>
    <w:rsid w:val="3D4C7446"/>
    <w:rsid w:val="43D16AC8"/>
    <w:rsid w:val="45806640"/>
    <w:rsid w:val="4659358D"/>
    <w:rsid w:val="48A242A1"/>
    <w:rsid w:val="493375A8"/>
    <w:rsid w:val="4BD70CA8"/>
    <w:rsid w:val="4E487916"/>
    <w:rsid w:val="510078F8"/>
    <w:rsid w:val="53C74E26"/>
    <w:rsid w:val="62C36DAF"/>
    <w:rsid w:val="6E53197C"/>
    <w:rsid w:val="6E607B07"/>
    <w:rsid w:val="6F2F5BED"/>
    <w:rsid w:val="743C71B2"/>
    <w:rsid w:val="76DE6142"/>
    <w:rsid w:val="7A2B5CDA"/>
    <w:rsid w:val="7F92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u w:val="none" w:color="FF000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beforeAutospacing="0" w:after="360" w:afterLines="0" w:afterAutospacing="0" w:line="240" w:lineRule="auto"/>
      <w:jc w:val="center"/>
      <w:outlineLvl w:val="0"/>
    </w:pPr>
    <w:rPr>
      <w:rFonts w:ascii="Times New Roman" w:hAnsi="Times New Roman" w:eastAsia="黑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480" w:beforeLines="0" w:beforeAutospacing="0" w:after="120" w:afterLines="0" w:afterAutospacing="0" w:line="240" w:lineRule="auto"/>
      <w:jc w:val="left"/>
      <w:outlineLvl w:val="1"/>
    </w:pPr>
    <w:rPr>
      <w:rFonts w:ascii="Arial" w:hAnsi="Arial" w:eastAsia="黑体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240" w:after="120"/>
      <w:ind w:firstLine="800" w:firstLineChars="200"/>
      <w:outlineLvl w:val="2"/>
    </w:pPr>
    <w:rPr>
      <w:rFonts w:ascii="Times New Roman" w:hAnsi="Times New Roman" w:eastAsia="黑体"/>
      <w:sz w:val="26"/>
      <w:szCs w:val="2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样式"/>
    <w:basedOn w:val="1"/>
    <w:qFormat/>
    <w:uiPriority w:val="0"/>
    <w:rPr>
      <w:rFonts w:ascii="Times New Roman" w:hAnsi="Times New Roman"/>
      <w:b/>
      <w:bCs/>
    </w:rPr>
  </w:style>
  <w:style w:type="paragraph" w:customStyle="1" w:styleId="9">
    <w:name w:val="表注"/>
    <w:basedOn w:val="1"/>
    <w:qFormat/>
    <w:uiPriority w:val="0"/>
    <w:pPr>
      <w:spacing w:before="120" w:after="120" w:line="240" w:lineRule="auto"/>
      <w:ind w:firstLine="0" w:firstLineChars="0"/>
      <w:jc w:val="center"/>
    </w:pPr>
    <w:rPr>
      <w:rFonts w:hint="eastAsia" w:ascii="Times New Roman" w:hAnsi="Times New Roman" w:eastAsia="黑体"/>
      <w:b/>
      <w:bCs/>
      <w:sz w:val="21"/>
      <w:szCs w:val="21"/>
    </w:rPr>
  </w:style>
  <w:style w:type="paragraph" w:customStyle="1" w:styleId="10">
    <w:name w:val="图标题"/>
    <w:basedOn w:val="1"/>
    <w:qFormat/>
    <w:uiPriority w:val="0"/>
    <w:pPr>
      <w:spacing w:before="120" w:after="240" w:line="240" w:lineRule="auto"/>
      <w:ind w:firstLine="0" w:firstLineChars="0"/>
      <w:jc w:val="center"/>
    </w:pPr>
    <w:rPr>
      <w:rFonts w:hint="eastAsia" w:ascii="Times New Roman" w:hAnsi="Times New Roman"/>
      <w:b/>
      <w:bCs/>
      <w:sz w:val="21"/>
      <w:szCs w:val="21"/>
    </w:rPr>
  </w:style>
  <w:style w:type="paragraph" w:customStyle="1" w:styleId="11">
    <w:name w:val="表下注释"/>
    <w:basedOn w:val="1"/>
    <w:autoRedefine/>
    <w:qFormat/>
    <w:uiPriority w:val="0"/>
    <w:pPr>
      <w:spacing w:after="120" w:line="240" w:lineRule="auto"/>
      <w:ind w:left="420" w:leftChars="200" w:right="420" w:rightChars="200" w:firstLine="0" w:firstLineChars="0"/>
    </w:pPr>
    <w:rPr>
      <w:rFonts w:ascii="Times New Roman" w:hAnsi="Times New Roman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</Words>
  <Characters>1809</Characters>
  <Lines>0</Lines>
  <Paragraphs>0</Paragraphs>
  <TotalTime>0</TotalTime>
  <ScaleCrop>false</ScaleCrop>
  <LinksUpToDate>false</LinksUpToDate>
  <CharactersWithSpaces>2035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2024-12-28T14:06:00Z</dcterms:created>
  <dc:creator>Peter Pan</dc:creator>
  <cp:lastModifiedBy>Peter Pan</cp:lastModifiedBy>
  <dcterms:modified xsi:type="dcterms:W3CDTF">2025-02-25T13:46:26Z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CC05A47E85874F30A05660148E592247_13</vt:lpwstr>
  </property>
  <property fmtid="{D5CDD505-2E9C-101B-9397-08002B2CF9AE}" pid="4" name="KSOTemplateDocerSaveRecord">
    <vt:lpwstr>eyJoZGlkIjoiOWY3NDljZjNiNTZjOWQyMTJjMDNiMjAxZDRiODczOWQiLCJ1c2VySWQiOiIyNjUyNjg1MzUifQ==</vt:lpwstr>
  </property>
</Properties>
</file>