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9C9DC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Temporal association between chronic pain and frailty</w:t>
      </w:r>
      <w:r>
        <w:rPr>
          <w:rFonts w:hint="eastAsia" w:ascii="Times New Roman" w:hAnsi="Times New Roman"/>
          <w:b/>
          <w:sz w:val="28"/>
          <w:szCs w:val="28"/>
        </w:rPr>
        <w:t xml:space="preserve"> occurrence</w:t>
      </w:r>
      <w:r>
        <w:rPr>
          <w:rFonts w:ascii="Times New Roman" w:hAnsi="Times New Roman"/>
          <w:b/>
          <w:sz w:val="28"/>
          <w:szCs w:val="28"/>
        </w:rPr>
        <w:t xml:space="preserve">, and </w:t>
      </w:r>
      <w:r>
        <w:rPr>
          <w:rFonts w:hint="eastAsia" w:ascii="Times New Roman" w:hAnsi="Times New Roman"/>
          <w:b/>
          <w:sz w:val="28"/>
          <w:szCs w:val="28"/>
        </w:rPr>
        <w:t>the modifiable</w:t>
      </w:r>
      <w:r>
        <w:rPr>
          <w:rFonts w:ascii="Times New Roman" w:hAnsi="Times New Roman"/>
          <w:b/>
          <w:sz w:val="28"/>
          <w:szCs w:val="28"/>
        </w:rPr>
        <w:t xml:space="preserve"> role of </w:t>
      </w:r>
      <w:r>
        <w:rPr>
          <w:rFonts w:hint="eastAsia" w:ascii="Times New Roman" w:hAnsi="Times New Roman"/>
          <w:b/>
          <w:sz w:val="28"/>
          <w:szCs w:val="28"/>
        </w:rPr>
        <w:t xml:space="preserve">a </w:t>
      </w:r>
      <w:r>
        <w:rPr>
          <w:rFonts w:ascii="Times New Roman" w:hAnsi="Times New Roman"/>
          <w:b/>
          <w:sz w:val="28"/>
          <w:szCs w:val="28"/>
        </w:rPr>
        <w:t>healthy lifestyle</w:t>
      </w:r>
      <w:r>
        <w:rPr>
          <w:rFonts w:hint="eastAsia" w:ascii="Times New Roman" w:hAnsi="Times New Roman"/>
          <w:b/>
          <w:sz w:val="28"/>
          <w:szCs w:val="28"/>
        </w:rPr>
        <w:t xml:space="preserve"> in </w:t>
      </w:r>
      <w:r>
        <w:rPr>
          <w:rFonts w:ascii="Times New Roman" w:hAnsi="Times New Roman"/>
          <w:b/>
          <w:sz w:val="28"/>
          <w:szCs w:val="28"/>
        </w:rPr>
        <w:t xml:space="preserve">Chinese </w:t>
      </w:r>
      <w:r>
        <w:rPr>
          <w:rFonts w:hint="eastAsia" w:ascii="Times New Roman" w:hAnsi="Times New Roman"/>
          <w:b/>
          <w:sz w:val="28"/>
          <w:szCs w:val="28"/>
        </w:rPr>
        <w:t>m</w:t>
      </w:r>
      <w:r>
        <w:rPr>
          <w:rFonts w:ascii="Times New Roman" w:hAnsi="Times New Roman"/>
          <w:b/>
          <w:sz w:val="28"/>
          <w:szCs w:val="28"/>
        </w:rPr>
        <w:t>iddle</w:t>
      </w:r>
      <w:r>
        <w:rPr>
          <w:rFonts w:hint="eastAsia"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aged and </w:t>
      </w:r>
      <w:r>
        <w:rPr>
          <w:rFonts w:hint="eastAsia" w:ascii="Times New Roman" w:hAnsi="Times New Roman"/>
          <w:b/>
          <w:sz w:val="28"/>
          <w:szCs w:val="28"/>
        </w:rPr>
        <w:t>o</w:t>
      </w:r>
      <w:r>
        <w:rPr>
          <w:rFonts w:ascii="Times New Roman" w:hAnsi="Times New Roman"/>
          <w:b/>
          <w:sz w:val="28"/>
          <w:szCs w:val="28"/>
        </w:rPr>
        <w:t>lder population: a community based, prospective cohort study</w:t>
      </w:r>
    </w:p>
    <w:p w14:paraId="4AD1AB74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14:paraId="68AB5343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Chao Li,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Na Zeng,</w:t>
      </w:r>
      <w:r>
        <w:rPr>
          <w:rFonts w:hint="eastAsia" w:ascii="Times New Roman" w:hAnsi="Times New Roman"/>
          <w:b/>
          <w:sz w:val="24"/>
        </w:rPr>
        <w:t xml:space="preserve"> Fu-Shan Xue</w:t>
      </w:r>
    </w:p>
    <w:p w14:paraId="0FA60E2E">
      <w:pPr>
        <w:rPr>
          <w:rFonts w:ascii="Times New Roman" w:hAnsi="Times New Roman" w:cs="Times New Roman"/>
          <w:sz w:val="22"/>
          <w:szCs w:val="28"/>
        </w:rPr>
      </w:pPr>
    </w:p>
    <w:p w14:paraId="707AB035">
      <w:pPr>
        <w:rPr>
          <w:rFonts w:ascii="Times New Roman" w:hAnsi="Times New Roman" w:cs="Times New Roman"/>
          <w:sz w:val="22"/>
          <w:szCs w:val="28"/>
        </w:rPr>
      </w:pPr>
    </w:p>
    <w:p w14:paraId="2DC6D59E">
      <w:pPr>
        <w:rPr>
          <w:rFonts w:ascii="Times New Roman" w:hAnsi="Times New Roman" w:cs="Times New Roman"/>
          <w:sz w:val="22"/>
          <w:szCs w:val="28"/>
        </w:rPr>
      </w:pPr>
    </w:p>
    <w:p w14:paraId="3FFDEBAF">
      <w:pPr>
        <w:rPr>
          <w:rFonts w:ascii="Times New Roman" w:hAnsi="Times New Roman" w:cs="Times New Roman"/>
          <w:sz w:val="22"/>
          <w:szCs w:val="28"/>
        </w:rPr>
      </w:pPr>
    </w:p>
    <w:p w14:paraId="0B4777E3">
      <w:pPr>
        <w:rPr>
          <w:rFonts w:ascii="Times New Roman" w:hAnsi="Times New Roman" w:cs="Times New Roman"/>
          <w:sz w:val="22"/>
          <w:szCs w:val="28"/>
        </w:rPr>
      </w:pPr>
    </w:p>
    <w:p w14:paraId="4FCEF4BD">
      <w:pPr>
        <w:rPr>
          <w:rFonts w:ascii="Times New Roman" w:hAnsi="Times New Roman" w:cs="Times New Roman"/>
          <w:sz w:val="22"/>
          <w:szCs w:val="28"/>
        </w:rPr>
      </w:pPr>
    </w:p>
    <w:p w14:paraId="518FD61E">
      <w:pPr>
        <w:rPr>
          <w:rFonts w:ascii="Times New Roman" w:hAnsi="Times New Roman" w:cs="Times New Roman"/>
          <w:sz w:val="22"/>
          <w:szCs w:val="28"/>
        </w:rPr>
      </w:pPr>
    </w:p>
    <w:p w14:paraId="1616267A">
      <w:pPr>
        <w:rPr>
          <w:rFonts w:ascii="Times New Roman" w:hAnsi="Times New Roman" w:cs="Times New Roman"/>
          <w:sz w:val="22"/>
          <w:szCs w:val="28"/>
        </w:rPr>
      </w:pPr>
    </w:p>
    <w:p w14:paraId="6ACEC72C">
      <w:pPr>
        <w:rPr>
          <w:rFonts w:ascii="Times New Roman" w:hAnsi="Times New Roman" w:cs="Times New Roman"/>
          <w:sz w:val="22"/>
          <w:szCs w:val="28"/>
        </w:rPr>
      </w:pPr>
    </w:p>
    <w:p w14:paraId="19BBCD4F">
      <w:pPr>
        <w:rPr>
          <w:rFonts w:ascii="Times New Roman" w:hAnsi="Times New Roman" w:cs="Times New Roman"/>
          <w:sz w:val="22"/>
          <w:szCs w:val="28"/>
        </w:rPr>
      </w:pPr>
    </w:p>
    <w:p w14:paraId="54C01FF2">
      <w:pPr>
        <w:rPr>
          <w:rFonts w:ascii="Times New Roman" w:hAnsi="Times New Roman" w:cs="Times New Roman"/>
          <w:sz w:val="22"/>
          <w:szCs w:val="28"/>
        </w:rPr>
      </w:pPr>
    </w:p>
    <w:p w14:paraId="6996755B">
      <w:pPr>
        <w:rPr>
          <w:rFonts w:ascii="Times New Roman" w:hAnsi="Times New Roman" w:cs="Times New Roman"/>
          <w:sz w:val="22"/>
          <w:szCs w:val="28"/>
        </w:rPr>
      </w:pPr>
    </w:p>
    <w:p w14:paraId="4C211A38">
      <w:pPr>
        <w:rPr>
          <w:rFonts w:ascii="Times New Roman" w:hAnsi="Times New Roman" w:cs="Times New Roman"/>
          <w:sz w:val="22"/>
          <w:szCs w:val="28"/>
        </w:rPr>
      </w:pPr>
    </w:p>
    <w:p w14:paraId="2CF7C158">
      <w:pPr>
        <w:rPr>
          <w:rFonts w:ascii="Times New Roman" w:hAnsi="Times New Roman" w:cs="Times New Roman"/>
          <w:sz w:val="22"/>
          <w:szCs w:val="28"/>
        </w:rPr>
      </w:pPr>
    </w:p>
    <w:p w14:paraId="37C10F22">
      <w:pPr>
        <w:rPr>
          <w:rFonts w:ascii="Times New Roman" w:hAnsi="Times New Roman" w:cs="Times New Roman"/>
          <w:sz w:val="22"/>
          <w:szCs w:val="28"/>
        </w:rPr>
      </w:pPr>
    </w:p>
    <w:p w14:paraId="046E4DBE">
      <w:pPr>
        <w:rPr>
          <w:rFonts w:ascii="Times New Roman" w:hAnsi="Times New Roman" w:cs="Times New Roman"/>
          <w:sz w:val="22"/>
          <w:szCs w:val="28"/>
        </w:rPr>
      </w:pPr>
    </w:p>
    <w:p w14:paraId="16A922F4">
      <w:pPr>
        <w:rPr>
          <w:rFonts w:ascii="Times New Roman" w:hAnsi="Times New Roman" w:cs="Times New Roman"/>
          <w:sz w:val="22"/>
          <w:szCs w:val="28"/>
        </w:rPr>
      </w:pPr>
    </w:p>
    <w:p w14:paraId="71AEB591">
      <w:pPr>
        <w:rPr>
          <w:rFonts w:ascii="Times New Roman" w:hAnsi="Times New Roman" w:cs="Times New Roman"/>
          <w:sz w:val="22"/>
          <w:szCs w:val="28"/>
        </w:rPr>
      </w:pPr>
    </w:p>
    <w:p w14:paraId="56786E17">
      <w:pPr>
        <w:rPr>
          <w:rFonts w:ascii="Times New Roman" w:hAnsi="Times New Roman" w:cs="Times New Roman"/>
          <w:sz w:val="22"/>
          <w:szCs w:val="28"/>
        </w:rPr>
      </w:pPr>
    </w:p>
    <w:p w14:paraId="65245047">
      <w:pPr>
        <w:rPr>
          <w:rFonts w:ascii="Times New Roman" w:hAnsi="Times New Roman" w:cs="Times New Roman"/>
          <w:sz w:val="24"/>
        </w:rPr>
      </w:pPr>
      <w:bookmarkStart w:id="0" w:name="OLE_LINK1"/>
      <w:r>
        <w:rPr>
          <w:rFonts w:ascii="Times New Roman" w:hAnsi="Times New Roman" w:cs="Times New Roman"/>
          <w:sz w:val="24"/>
        </w:rPr>
        <w:br w:type="page"/>
      </w:r>
    </w:p>
    <w:p w14:paraId="3D28B18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1.  Components of Constructed 29-Item Frailty Index</w:t>
      </w:r>
    </w:p>
    <w:tbl>
      <w:tblPr>
        <w:tblStyle w:val="13"/>
        <w:tblpPr w:leftFromText="180" w:rightFromText="180" w:vertAnchor="text" w:horzAnchor="page" w:tblpX="2653" w:tblpY="449"/>
        <w:tblOverlap w:val="never"/>
        <w:tblW w:w="12167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8"/>
        <w:gridCol w:w="8054"/>
        <w:gridCol w:w="2825"/>
      </w:tblGrid>
      <w:tr w14:paraId="7B9F17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288" w:type="dxa"/>
            <w:tcBorders>
              <w:top w:val="single" w:color="auto" w:sz="12" w:space="0"/>
              <w:bottom w:val="single" w:color="auto" w:sz="12" w:space="0"/>
            </w:tcBorders>
          </w:tcPr>
          <w:p w14:paraId="5D2F339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Item number </w:t>
            </w:r>
          </w:p>
        </w:tc>
        <w:tc>
          <w:tcPr>
            <w:tcW w:w="8054" w:type="dxa"/>
            <w:tcBorders>
              <w:top w:val="single" w:color="auto" w:sz="12" w:space="0"/>
              <w:bottom w:val="single" w:color="auto" w:sz="12" w:space="0"/>
            </w:tcBorders>
          </w:tcPr>
          <w:p w14:paraId="76DA7CB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Item definition</w:t>
            </w:r>
          </w:p>
        </w:tc>
        <w:tc>
          <w:tcPr>
            <w:tcW w:w="2825" w:type="dxa"/>
            <w:tcBorders>
              <w:top w:val="single" w:color="auto" w:sz="12" w:space="0"/>
              <w:bottom w:val="single" w:color="auto" w:sz="12" w:space="0"/>
            </w:tcBorders>
          </w:tcPr>
          <w:p w14:paraId="36EEA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Scoring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b</w:t>
            </w:r>
          </w:p>
        </w:tc>
      </w:tr>
      <w:tr w14:paraId="705E2B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288" w:type="dxa"/>
            <w:tcBorders>
              <w:top w:val="single" w:color="auto" w:sz="12" w:space="0"/>
            </w:tcBorders>
          </w:tcPr>
          <w:p w14:paraId="21601C0A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054" w:type="dxa"/>
            <w:tcBorders>
              <w:top w:val="single" w:color="auto" w:sz="12" w:space="0"/>
            </w:tcBorders>
          </w:tcPr>
          <w:p w14:paraId="7F207116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bathing because of a physical, mental, emotional or memory problem.</w:t>
            </w:r>
          </w:p>
        </w:tc>
        <w:tc>
          <w:tcPr>
            <w:tcW w:w="2825" w:type="dxa"/>
            <w:tcBorders>
              <w:top w:val="single" w:color="auto" w:sz="12" w:space="0"/>
            </w:tcBorders>
          </w:tcPr>
          <w:p w14:paraId="1A9F67C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6A11B9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288" w:type="dxa"/>
          </w:tcPr>
          <w:p w14:paraId="67C1E78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054" w:type="dxa"/>
          </w:tcPr>
          <w:p w14:paraId="14DCF50D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dressing because of a physical, mental, emotional or memory problem.</w:t>
            </w:r>
          </w:p>
        </w:tc>
        <w:tc>
          <w:tcPr>
            <w:tcW w:w="2825" w:type="dxa"/>
          </w:tcPr>
          <w:p w14:paraId="7BB1AB9E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2224EE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1288" w:type="dxa"/>
          </w:tcPr>
          <w:p w14:paraId="4508E28A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8054" w:type="dxa"/>
          </w:tcPr>
          <w:p w14:paraId="00E7B36F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getting in/out of bed because of a physical, mental, emotional or memory problem.</w:t>
            </w:r>
          </w:p>
        </w:tc>
        <w:tc>
          <w:tcPr>
            <w:tcW w:w="2825" w:type="dxa"/>
          </w:tcPr>
          <w:p w14:paraId="53DB60F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06EADC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288" w:type="dxa"/>
          </w:tcPr>
          <w:p w14:paraId="7DEDF82B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054" w:type="dxa"/>
          </w:tcPr>
          <w:p w14:paraId="2D568B2C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walking around the house because of a physical, mental, emotional or memory problem.</w:t>
            </w:r>
          </w:p>
        </w:tc>
        <w:tc>
          <w:tcPr>
            <w:tcW w:w="2825" w:type="dxa"/>
          </w:tcPr>
          <w:p w14:paraId="6C25F312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17C273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288" w:type="dxa"/>
          </w:tcPr>
          <w:p w14:paraId="7B17D242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8054" w:type="dxa"/>
          </w:tcPr>
          <w:p w14:paraId="5BEA2DCE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eating because of a physical,  mental, emotional or memory problem.</w:t>
            </w:r>
          </w:p>
        </w:tc>
        <w:tc>
          <w:tcPr>
            <w:tcW w:w="2825" w:type="dxa"/>
          </w:tcPr>
          <w:p w14:paraId="41EC0D2E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3A81AF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288" w:type="dxa"/>
          </w:tcPr>
          <w:p w14:paraId="19CD5545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054" w:type="dxa"/>
          </w:tcPr>
          <w:p w14:paraId="754CEFCF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finishing daily activities of using the toilet because of a physical, mental, emotional or memory problem.</w:t>
            </w:r>
          </w:p>
        </w:tc>
        <w:tc>
          <w:tcPr>
            <w:tcW w:w="2825" w:type="dxa"/>
          </w:tcPr>
          <w:p w14:paraId="2398DDCC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3D5328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288" w:type="dxa"/>
          </w:tcPr>
          <w:p w14:paraId="1C4428B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8054" w:type="dxa"/>
          </w:tcPr>
          <w:p w14:paraId="7DDBE619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Total number (0-5) of self- reported  difficulties  in  finishing daily activities including bathing, dressing, eating, getting in/out of bed, walking around the house.</w:t>
            </w:r>
          </w:p>
        </w:tc>
        <w:tc>
          <w:tcPr>
            <w:tcW w:w="2825" w:type="dxa"/>
          </w:tcPr>
          <w:p w14:paraId="78174E8E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Any difficulties=1.00; </w:t>
            </w:r>
          </w:p>
          <w:p w14:paraId="312D98FE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difficulties=0.00</w:t>
            </w:r>
          </w:p>
        </w:tc>
      </w:tr>
      <w:tr w14:paraId="5AD37E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288" w:type="dxa"/>
          </w:tcPr>
          <w:p w14:paraId="3A41F95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054" w:type="dxa"/>
          </w:tcPr>
          <w:p w14:paraId="10077D76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shopping because of a physical, mental, emotional or memory problem.</w:t>
            </w:r>
          </w:p>
        </w:tc>
        <w:tc>
          <w:tcPr>
            <w:tcW w:w="2825" w:type="dxa"/>
          </w:tcPr>
          <w:p w14:paraId="0A64DF3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01AEF7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288" w:type="dxa"/>
          </w:tcPr>
          <w:p w14:paraId="7EA3C9F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8054" w:type="dxa"/>
          </w:tcPr>
          <w:p w14:paraId="6C88FA0D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preparing hot meal because of a physical, mental, emotional or memory problem.</w:t>
            </w:r>
          </w:p>
        </w:tc>
        <w:tc>
          <w:tcPr>
            <w:tcW w:w="2825" w:type="dxa"/>
          </w:tcPr>
          <w:p w14:paraId="5DEDAA6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61DA1B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288" w:type="dxa"/>
          </w:tcPr>
          <w:p w14:paraId="305E968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8054" w:type="dxa"/>
          </w:tcPr>
          <w:p w14:paraId="37C1BE58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taking prescribed medications because of a physical, mental, emotional or memory problem.</w:t>
            </w:r>
          </w:p>
        </w:tc>
        <w:tc>
          <w:tcPr>
            <w:tcW w:w="2825" w:type="dxa"/>
          </w:tcPr>
          <w:p w14:paraId="1EB005C5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7A2196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288" w:type="dxa"/>
          </w:tcPr>
          <w:p w14:paraId="07525C0E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8054" w:type="dxa"/>
          </w:tcPr>
          <w:p w14:paraId="7DA24778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managing money because of 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physical, mental, emotional or memory problem.</w:t>
            </w:r>
          </w:p>
        </w:tc>
        <w:tc>
          <w:tcPr>
            <w:tcW w:w="2825" w:type="dxa"/>
          </w:tcPr>
          <w:p w14:paraId="559CC43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</w:tbl>
    <w:p w14:paraId="758E0EA2">
      <w:pPr>
        <w:spacing w:line="360" w:lineRule="exact"/>
        <w:jc w:val="center"/>
        <w:rPr>
          <w:rFonts w:ascii="Times New Roman" w:hAnsi="Times New Roman" w:cs="Times New Roman"/>
          <w:sz w:val="24"/>
        </w:rPr>
      </w:pPr>
    </w:p>
    <w:p w14:paraId="65D44094">
      <w:pPr>
        <w:spacing w:line="360" w:lineRule="exact"/>
        <w:jc w:val="center"/>
        <w:rPr>
          <w:rFonts w:ascii="Times New Roman" w:hAnsi="Times New Roman" w:cs="Times New Roman"/>
          <w:sz w:val="24"/>
        </w:rPr>
      </w:pPr>
    </w:p>
    <w:p w14:paraId="1ABE64FB">
      <w:pPr>
        <w:spacing w:line="360" w:lineRule="exac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1534A44A">
      <w:pPr>
        <w:spacing w:line="360" w:lineRule="exact"/>
        <w:jc w:val="center"/>
        <w:rPr>
          <w:rFonts w:ascii="Times New Roman" w:hAnsi="Times New Roman" w:cs="Times New Roman"/>
          <w:sz w:val="24"/>
        </w:rPr>
      </w:pPr>
    </w:p>
    <w:p w14:paraId="1F8F59B7">
      <w:pPr>
        <w:spacing w:line="360" w:lineRule="exact"/>
        <w:jc w:val="center"/>
        <w:rPr>
          <w:rFonts w:ascii="Times New Roman" w:hAnsi="Times New Roman" w:cs="Times New Roman"/>
          <w:sz w:val="24"/>
        </w:rPr>
      </w:pPr>
    </w:p>
    <w:p w14:paraId="5971891C">
      <w:pPr>
        <w:spacing w:line="360" w:lineRule="exact"/>
        <w:jc w:val="center"/>
        <w:rPr>
          <w:rFonts w:ascii="Times New Roman" w:hAnsi="Times New Roman" w:cs="Times New Roman"/>
          <w:sz w:val="24"/>
        </w:rPr>
      </w:pPr>
    </w:p>
    <w:tbl>
      <w:tblPr>
        <w:tblStyle w:val="13"/>
        <w:tblW w:w="12158" w:type="dxa"/>
        <w:tblInd w:w="1189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8043"/>
        <w:gridCol w:w="2790"/>
      </w:tblGrid>
      <w:tr w14:paraId="542B6B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5" w:type="dxa"/>
            <w:tcBorders>
              <w:top w:val="single" w:color="auto" w:sz="4" w:space="0"/>
            </w:tcBorders>
          </w:tcPr>
          <w:p w14:paraId="73A5E9E2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043" w:type="dxa"/>
            <w:tcBorders>
              <w:top w:val="single" w:color="auto" w:sz="4" w:space="0"/>
            </w:tcBorders>
          </w:tcPr>
          <w:p w14:paraId="3F0A86D3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</w:tcBorders>
          </w:tcPr>
          <w:p w14:paraId="11E33315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7AB08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325" w:type="dxa"/>
          </w:tcPr>
          <w:p w14:paraId="20D04970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8043" w:type="dxa"/>
          </w:tcPr>
          <w:p w14:paraId="719E0E20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getting up from a chair because of a physical, mental, emotional or memory problem.</w:t>
            </w:r>
          </w:p>
        </w:tc>
        <w:tc>
          <w:tcPr>
            <w:tcW w:w="2790" w:type="dxa"/>
          </w:tcPr>
          <w:p w14:paraId="5790C38E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6BABF7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325" w:type="dxa"/>
          </w:tcPr>
          <w:p w14:paraId="275F245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8043" w:type="dxa"/>
          </w:tcPr>
          <w:p w14:paraId="08031CB8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climbing several flights of stairs because of a physical, mental, emotional or memory problem.</w:t>
            </w:r>
          </w:p>
        </w:tc>
        <w:tc>
          <w:tcPr>
            <w:tcW w:w="2790" w:type="dxa"/>
          </w:tcPr>
          <w:p w14:paraId="7A7167E7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301F69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325" w:type="dxa"/>
          </w:tcPr>
          <w:p w14:paraId="3F405A8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8043" w:type="dxa"/>
          </w:tcPr>
          <w:p w14:paraId="22DDDAF7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lifting or carrying weights over 10 pounds because of a physical, mental, emotional or memory problem.</w:t>
            </w:r>
          </w:p>
        </w:tc>
        <w:tc>
          <w:tcPr>
            <w:tcW w:w="2790" w:type="dxa"/>
          </w:tcPr>
          <w:p w14:paraId="3425FB1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0A363D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5" w:type="dxa"/>
          </w:tcPr>
          <w:p w14:paraId="400CA45B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8043" w:type="dxa"/>
          </w:tcPr>
          <w:p w14:paraId="400A1219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difficulties in walking one block because of a physical, mental, emotional or memory problem.</w:t>
            </w:r>
          </w:p>
        </w:tc>
        <w:tc>
          <w:tcPr>
            <w:tcW w:w="2790" w:type="dxa"/>
          </w:tcPr>
          <w:p w14:paraId="5D65172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3C0EF6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25" w:type="dxa"/>
            <w:tcBorders>
              <w:bottom w:val="nil"/>
            </w:tcBorders>
          </w:tcPr>
          <w:p w14:paraId="5DEA435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8043" w:type="dxa"/>
            <w:tcBorders>
              <w:bottom w:val="nil"/>
            </w:tcBorders>
          </w:tcPr>
          <w:p w14:paraId="7F261A5F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rating of health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status.</w:t>
            </w:r>
          </w:p>
        </w:tc>
        <w:tc>
          <w:tcPr>
            <w:tcW w:w="2790" w:type="dxa"/>
            <w:tcBorders>
              <w:bottom w:val="nil"/>
            </w:tcBorders>
          </w:tcPr>
          <w:p w14:paraId="73CEB06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Poor=1.00;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</w:p>
          <w:p w14:paraId="5B53915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Fair=0.75; </w:t>
            </w:r>
          </w:p>
          <w:p w14:paraId="2FFB18DC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Good=0.50; </w:t>
            </w:r>
          </w:p>
          <w:p w14:paraId="4EF5857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Very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Good=0.25; Excellent=0.00</w:t>
            </w:r>
          </w:p>
        </w:tc>
      </w:tr>
      <w:tr w14:paraId="4E9CCC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25" w:type="dxa"/>
            <w:tcBorders>
              <w:top w:val="nil"/>
            </w:tcBorders>
          </w:tcPr>
          <w:p w14:paraId="25221A37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8043" w:type="dxa"/>
            <w:tcBorders>
              <w:top w:val="nil"/>
            </w:tcBorders>
          </w:tcPr>
          <w:p w14:paraId="285468DA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Change in self-reported rating of health status.</w:t>
            </w:r>
          </w:p>
        </w:tc>
        <w:tc>
          <w:tcPr>
            <w:tcW w:w="2790" w:type="dxa"/>
            <w:tcBorders>
              <w:top w:val="nil"/>
            </w:tcBorders>
          </w:tcPr>
          <w:p w14:paraId="494747D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Worse=1.00; Better/Same=0.00</w:t>
            </w:r>
          </w:p>
        </w:tc>
      </w:tr>
      <w:tr w14:paraId="3281B9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325" w:type="dxa"/>
          </w:tcPr>
          <w:p w14:paraId="706C237B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8043" w:type="dxa"/>
          </w:tcPr>
          <w:p w14:paraId="7F9A26C8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Feeling that everything is an effort much of time.</w:t>
            </w:r>
          </w:p>
        </w:tc>
        <w:tc>
          <w:tcPr>
            <w:tcW w:w="2790" w:type="dxa"/>
          </w:tcPr>
          <w:p w14:paraId="57CEC5A9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079847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325" w:type="dxa"/>
          </w:tcPr>
          <w:p w14:paraId="35BF5D3B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8043" w:type="dxa"/>
          </w:tcPr>
          <w:p w14:paraId="0968648C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Feeling depressed much of time.</w:t>
            </w:r>
          </w:p>
        </w:tc>
        <w:tc>
          <w:tcPr>
            <w:tcW w:w="2790" w:type="dxa"/>
          </w:tcPr>
          <w:p w14:paraId="04E6069C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5B3F0C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325" w:type="dxa"/>
          </w:tcPr>
          <w:p w14:paraId="77FD7429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8043" w:type="dxa"/>
          </w:tcPr>
          <w:p w14:paraId="515E52D6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Feeling happy much of time.</w:t>
            </w:r>
          </w:p>
        </w:tc>
        <w:tc>
          <w:tcPr>
            <w:tcW w:w="2790" w:type="dxa"/>
          </w:tcPr>
          <w:p w14:paraId="2A9CC505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No=1.00; Yes=0.00</w:t>
            </w:r>
          </w:p>
        </w:tc>
      </w:tr>
      <w:tr w14:paraId="685952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325" w:type="dxa"/>
          </w:tcPr>
          <w:p w14:paraId="1CC25557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8043" w:type="dxa"/>
          </w:tcPr>
          <w:p w14:paraId="6650B947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Feeling lonely much of time.</w:t>
            </w:r>
          </w:p>
        </w:tc>
        <w:tc>
          <w:tcPr>
            <w:tcW w:w="2790" w:type="dxa"/>
          </w:tcPr>
          <w:p w14:paraId="41E0CE5B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0D7900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325" w:type="dxa"/>
          </w:tcPr>
          <w:p w14:paraId="45C5739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8043" w:type="dxa"/>
          </w:tcPr>
          <w:p w14:paraId="42F133CA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Feeling that could not get going much of time.</w:t>
            </w:r>
          </w:p>
        </w:tc>
        <w:tc>
          <w:tcPr>
            <w:tcW w:w="2790" w:type="dxa"/>
          </w:tcPr>
          <w:p w14:paraId="3A5C997C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4F0F05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325" w:type="dxa"/>
          </w:tcPr>
          <w:p w14:paraId="760FD33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8043" w:type="dxa"/>
          </w:tcPr>
          <w:p w14:paraId="5826C03E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diagnosis of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hypertension by physician.</w:t>
            </w:r>
          </w:p>
        </w:tc>
        <w:tc>
          <w:tcPr>
            <w:tcW w:w="2790" w:type="dxa"/>
          </w:tcPr>
          <w:p w14:paraId="61A9EDA7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711713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325" w:type="dxa"/>
          </w:tcPr>
          <w:p w14:paraId="0E4FCD57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8043" w:type="dxa"/>
          </w:tcPr>
          <w:p w14:paraId="26853290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diagnosis of stroke by physician.</w:t>
            </w:r>
          </w:p>
        </w:tc>
        <w:tc>
          <w:tcPr>
            <w:tcW w:w="2790" w:type="dxa"/>
          </w:tcPr>
          <w:p w14:paraId="5EF17B61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552682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325" w:type="dxa"/>
          </w:tcPr>
          <w:p w14:paraId="1D53F87C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8043" w:type="dxa"/>
          </w:tcPr>
          <w:p w14:paraId="39705E93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diagnosis of cancer by physician.</w:t>
            </w:r>
          </w:p>
        </w:tc>
        <w:tc>
          <w:tcPr>
            <w:tcW w:w="2790" w:type="dxa"/>
          </w:tcPr>
          <w:p w14:paraId="26E909B7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03BBD1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325" w:type="dxa"/>
          </w:tcPr>
          <w:p w14:paraId="4179A8F2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8043" w:type="dxa"/>
          </w:tcPr>
          <w:p w14:paraId="73532680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diagnosis of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diabetes by physician.</w:t>
            </w:r>
          </w:p>
        </w:tc>
        <w:tc>
          <w:tcPr>
            <w:tcW w:w="2790" w:type="dxa"/>
          </w:tcPr>
          <w:p w14:paraId="57F8ED7E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35B309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325" w:type="dxa"/>
          </w:tcPr>
          <w:p w14:paraId="5759E265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8043" w:type="dxa"/>
          </w:tcPr>
          <w:p w14:paraId="2E4F31F5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diagnosis of arthritis by physician.</w:t>
            </w:r>
          </w:p>
        </w:tc>
        <w:tc>
          <w:tcPr>
            <w:tcW w:w="2790" w:type="dxa"/>
          </w:tcPr>
          <w:p w14:paraId="2F3C41B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002D74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325" w:type="dxa"/>
          </w:tcPr>
          <w:p w14:paraId="3085967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8043" w:type="dxa"/>
          </w:tcPr>
          <w:p w14:paraId="0FEA54C9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Self-reported diagnosis of chronic lung disease by physician.</w:t>
            </w:r>
          </w:p>
        </w:tc>
        <w:tc>
          <w:tcPr>
            <w:tcW w:w="2790" w:type="dxa"/>
          </w:tcPr>
          <w:p w14:paraId="2BC358AB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Yes=1.00; No=0.00</w:t>
            </w:r>
          </w:p>
        </w:tc>
      </w:tr>
      <w:tr w14:paraId="609B23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1325" w:type="dxa"/>
          </w:tcPr>
          <w:p w14:paraId="6ACA386A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8043" w:type="dxa"/>
          </w:tcPr>
          <w:p w14:paraId="6AE339F6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Cognitive status, based on combination of self-reported diagnosis, and cognition score.</w:t>
            </w:r>
          </w:p>
        </w:tc>
        <w:tc>
          <w:tcPr>
            <w:tcW w:w="2790" w:type="dxa"/>
          </w:tcPr>
          <w:p w14:paraId="2A33798C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Dementia=1.00;                Cognitive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impairment but not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demented=0.50; </w:t>
            </w:r>
          </w:p>
          <w:p w14:paraId="13CAA7FC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Cognitive healthy=0.00</w:t>
            </w:r>
          </w:p>
        </w:tc>
      </w:tr>
    </w:tbl>
    <w:p w14:paraId="3ABCEE9E">
      <w:pPr>
        <w:spacing w:line="360" w:lineRule="auto"/>
        <w:ind w:firstLine="1200" w:firstLineChars="50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Item definition was based on self-reported information or objective measurements or both. </w:t>
      </w:r>
    </w:p>
    <w:p w14:paraId="7D1B08D9">
      <w:pPr>
        <w:spacing w:line="360" w:lineRule="auto"/>
        <w:ind w:firstLine="1200" w:firstLineChars="50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The frailty index was calculated as the sum of scoring divided by the total number of items.</w:t>
      </w:r>
    </w:p>
    <w:p w14:paraId="112F6A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bookmarkEnd w:id="0"/>
    <w:p w14:paraId="632087E5">
      <w:pPr>
        <w:widowControl/>
        <w:jc w:val="center"/>
        <w:textAlignment w:val="center"/>
        <w:rPr>
          <w:rFonts w:ascii="Times New Roman" w:hAnsi="Times New Roman" w:eastAsia="宋体" w:cs="Times New Roman"/>
          <w:b/>
          <w:bCs/>
          <w:color w:val="000000"/>
          <w:kern w:val="0"/>
          <w:sz w:val="24"/>
        </w:rPr>
      </w:pPr>
      <w:bookmarkStart w:id="1" w:name="OLE_LINK2"/>
      <w:bookmarkStart w:id="2" w:name="OLE_LINK3"/>
      <w:r>
        <w:rPr>
          <w:rFonts w:hint="eastAsia" w:ascii="Times New Roman" w:hAnsi="Times New Roman" w:eastAsia="宋体" w:cs="Times New Roman"/>
          <w:b/>
          <w:bCs/>
          <w:color w:val="FF0000"/>
          <w:kern w:val="0"/>
          <w:sz w:val="24"/>
        </w:rPr>
        <w:t>Table S2</w:t>
      </w:r>
      <w:bookmarkEnd w:id="1"/>
      <w:r>
        <w:rPr>
          <w:rFonts w:hint="eastAsia" w:ascii="Times New Roman" w:hAnsi="Times New Roman" w:eastAsia="宋体" w:cs="Times New Roman"/>
          <w:b/>
          <w:bCs/>
          <w:color w:val="FF0000"/>
          <w:kern w:val="0"/>
          <w:sz w:val="24"/>
        </w:rPr>
        <w:t xml:space="preserve">. </w:t>
      </w:r>
      <w:bookmarkStart w:id="3" w:name="OLE_LINK4"/>
      <w:r>
        <w:rPr>
          <w:rFonts w:ascii="Times New Roman" w:hAnsi="Times New Roman" w:eastAsia="宋体" w:cs="Times New Roman"/>
          <w:b/>
          <w:bCs/>
          <w:color w:val="FF0000"/>
          <w:kern w:val="0"/>
          <w:sz w:val="24"/>
        </w:rPr>
        <w:t>Subgroup analysis of the association between baseline pain and the risk of frailty by residential area</w:t>
      </w:r>
      <w:bookmarkEnd w:id="3"/>
    </w:p>
    <w:bookmarkEnd w:id="2"/>
    <w:tbl>
      <w:tblPr>
        <w:tblStyle w:val="5"/>
        <w:tblW w:w="1279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0"/>
        <w:gridCol w:w="2370"/>
        <w:gridCol w:w="2370"/>
        <w:gridCol w:w="2085"/>
      </w:tblGrid>
      <w:tr w14:paraId="7DF72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20A4517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F0968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Non-pain</w:t>
            </w:r>
          </w:p>
        </w:tc>
        <w:tc>
          <w:tcPr>
            <w:tcW w:w="237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6FE05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Pain</w:t>
            </w:r>
          </w:p>
        </w:tc>
        <w:tc>
          <w:tcPr>
            <w:tcW w:w="208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A1C62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P value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s</w:t>
            </w:r>
          </w:p>
        </w:tc>
      </w:tr>
      <w:tr w14:paraId="178FD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A728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articipants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 xml:space="preserve"> living in urban area 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(N=5819)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95960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67CA8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92F7F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407CC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60333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No. of participants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57F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4147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5CE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1672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807B6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10D00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59354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No. of frailty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1B1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850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111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335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C85A6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545CC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10C48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Follow-up, person-years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0E9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27167.23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E31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10560.36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021C8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1C53C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9728F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Follow-up, years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C8B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6.9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2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 xml:space="preserve"> (6.90-7.0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AC6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6.92 (6.90-7.0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A1490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1E6B5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A2664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Hazard ratio for frailty (95% CI, P value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s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FB1E1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7DFA0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AE3A1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1FB09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09755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Unadjusted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A58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reference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95C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03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 xml:space="preserve"> (0.9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17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686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8373</w:t>
            </w:r>
          </w:p>
        </w:tc>
      </w:tr>
      <w:tr w14:paraId="3C33B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330AC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Adjusted model 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F11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reference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2EF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02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90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16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FAD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0.7703</w:t>
            </w:r>
          </w:p>
        </w:tc>
      </w:tr>
      <w:tr w14:paraId="52712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054CF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Adjusted model 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257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reference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53C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03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 xml:space="preserve"> (0.9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1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-1.1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7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CED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0.6594</w:t>
            </w:r>
          </w:p>
        </w:tc>
      </w:tr>
      <w:tr w14:paraId="37503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802C02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Adjusted model 3</w:t>
            </w:r>
          </w:p>
        </w:tc>
        <w:tc>
          <w:tcPr>
            <w:tcW w:w="2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2522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reference</w:t>
            </w:r>
          </w:p>
        </w:tc>
        <w:tc>
          <w:tcPr>
            <w:tcW w:w="2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B485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05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 xml:space="preserve"> (0.9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2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20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)</w:t>
            </w:r>
          </w:p>
        </w:tc>
        <w:tc>
          <w:tcPr>
            <w:tcW w:w="20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83FB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0.4564</w:t>
            </w:r>
          </w:p>
        </w:tc>
      </w:tr>
      <w:tr w14:paraId="4BB1C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2DC7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articipants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 xml:space="preserve"> living in rural area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 xml:space="preserve"> (N =7782)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13666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0A71E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80F5A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48294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CE20F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No. of participants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959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5288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B6D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2494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B4817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6650C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B1EB6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 xml:space="preserve">No. 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o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frailty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633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1290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02B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881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AEE9D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77A23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C081A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Follow-up, person-years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FB7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38419.15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9D0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2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7545.43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9CA4A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7FA4D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02942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Follow-up, years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B8F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6.9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 xml:space="preserve">0 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(6.9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-7.0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C5E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6.9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 xml:space="preserve"> (6.9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-7.0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3F82F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6548A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D4520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Hazard ratio for frailty (95% CI, P value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s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1BEB5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DF6C1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00B27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</w:p>
        </w:tc>
      </w:tr>
      <w:tr w14:paraId="304C5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D01A5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Unadjusted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4DC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reference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25D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1.18 (1.0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5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-1.31)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3EB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23</w:t>
            </w:r>
          </w:p>
        </w:tc>
      </w:tr>
      <w:tr w14:paraId="01FA5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6D705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Adjusted model 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3E1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reference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035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 xml:space="preserve">6 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(1.0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5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-1.31)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CF1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47</w:t>
            </w:r>
          </w:p>
        </w:tc>
      </w:tr>
      <w:tr w14:paraId="727E5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415C2D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Adjusted model 2</w:t>
            </w:r>
          </w:p>
        </w:tc>
        <w:tc>
          <w:tcPr>
            <w:tcW w:w="2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7A20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reference</w:t>
            </w:r>
          </w:p>
        </w:tc>
        <w:tc>
          <w:tcPr>
            <w:tcW w:w="2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3B3D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6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 xml:space="preserve"> (1.0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3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-1.31)</w:t>
            </w:r>
          </w:p>
        </w:tc>
        <w:tc>
          <w:tcPr>
            <w:tcW w:w="20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B08F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58</w:t>
            </w:r>
          </w:p>
        </w:tc>
      </w:tr>
      <w:tr w14:paraId="3FF0C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34EB272">
            <w:pPr>
              <w:widowControl/>
              <w:ind w:firstLine="480" w:firstLineChars="200"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Adjusted model 3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D20BA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reference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BABEA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6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 xml:space="preserve"> (1.0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3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-1.31)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D4D0C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4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4"/>
              </w:rPr>
              <w:t>67</w:t>
            </w:r>
          </w:p>
        </w:tc>
      </w:tr>
    </w:tbl>
    <w:p w14:paraId="12FFC95B">
      <w:pPr>
        <w:jc w:val="left"/>
        <w:rPr>
          <w:color w:val="FF0000"/>
        </w:rPr>
      </w:pPr>
      <w:bookmarkStart w:id="7" w:name="_GoBack"/>
      <w:r>
        <w:rPr>
          <w:rFonts w:hint="eastAsia" w:ascii="Times New Roman" w:hAnsi="Times New Roman" w:eastAsia="宋体" w:cs="Times New Roman"/>
          <w:color w:val="FF0000"/>
          <w:kern w:val="0"/>
          <w:sz w:val="24"/>
        </w:rPr>
        <w:t>Data were present as m</w:t>
      </w:r>
      <w:r>
        <w:rPr>
          <w:rFonts w:ascii="Times New Roman" w:hAnsi="Times New Roman" w:eastAsia="宋体" w:cs="Times New Roman"/>
          <w:color w:val="FF0000"/>
          <w:kern w:val="0"/>
          <w:sz w:val="24"/>
        </w:rPr>
        <w:t>edian</w:t>
      </w:r>
      <w:r>
        <w:rPr>
          <w:rFonts w:hint="eastAsia" w:ascii="Times New Roman" w:hAnsi="Times New Roman" w:eastAsia="宋体" w:cs="Times New Roman"/>
          <w:color w:val="FF0000"/>
          <w:kern w:val="0"/>
          <w:sz w:val="24"/>
        </w:rPr>
        <w:t xml:space="preserve"> (</w:t>
      </w:r>
      <w:r>
        <w:rPr>
          <w:rFonts w:ascii="Times New Roman" w:hAnsi="Times New Roman" w:eastAsia="宋体" w:cs="Times New Roman"/>
          <w:color w:val="FF0000"/>
          <w:kern w:val="0"/>
          <w:sz w:val="24"/>
        </w:rPr>
        <w:t>interquartile range</w:t>
      </w:r>
      <w:r>
        <w:rPr>
          <w:rFonts w:hint="eastAsia" w:ascii="Times New Roman" w:hAnsi="Times New Roman" w:eastAsia="宋体" w:cs="Times New Roman"/>
          <w:color w:val="FF0000"/>
          <w:kern w:val="0"/>
          <w:sz w:val="24"/>
        </w:rPr>
        <w:t>) e</w:t>
      </w:r>
      <w:r>
        <w:rPr>
          <w:rFonts w:ascii="Times New Roman" w:hAnsi="Times New Roman" w:eastAsia="宋体" w:cs="Times New Roman"/>
          <w:color w:val="FF0000"/>
          <w:kern w:val="0"/>
          <w:sz w:val="24"/>
        </w:rPr>
        <w:t>xcept for special</w:t>
      </w:r>
      <w:r>
        <w:rPr>
          <w:rFonts w:hint="eastAsia" w:ascii="Times New Roman" w:hAnsi="Times New Roman" w:eastAsia="宋体" w:cs="Times New Roman"/>
          <w:color w:val="FF0000"/>
          <w:kern w:val="0"/>
          <w:sz w:val="24"/>
        </w:rPr>
        <w:t>ly</w:t>
      </w:r>
      <w:r>
        <w:rPr>
          <w:rFonts w:ascii="Times New Roman" w:hAnsi="Times New Roman" w:eastAsia="宋体" w:cs="Times New Roman"/>
          <w:color w:val="FF0000"/>
          <w:kern w:val="0"/>
          <w:sz w:val="24"/>
        </w:rPr>
        <w:t xml:space="preserve"> state</w:t>
      </w:r>
      <w:r>
        <w:rPr>
          <w:rFonts w:hint="eastAsia" w:ascii="Times New Roman" w:hAnsi="Times New Roman" w:eastAsia="宋体" w:cs="Times New Roman"/>
          <w:color w:val="FF0000"/>
          <w:kern w:val="0"/>
          <w:sz w:val="24"/>
        </w:rPr>
        <w:t>d.</w:t>
      </w:r>
    </w:p>
    <w:p w14:paraId="79DC5F81">
      <w:pPr>
        <w:spacing w:line="360" w:lineRule="auto"/>
        <w:jc w:val="left"/>
        <w:rPr>
          <w:rFonts w:ascii="Times New Roman" w:hAnsi="Times New Roman"/>
          <w:color w:val="FF0000"/>
          <w:sz w:val="24"/>
        </w:rPr>
      </w:pPr>
      <w:r>
        <w:rPr>
          <w:rFonts w:hint="eastAsia" w:ascii="Times New Roman" w:hAnsi="Times New Roman"/>
          <w:color w:val="FF0000"/>
          <w:sz w:val="24"/>
        </w:rPr>
        <w:t>M</w:t>
      </w:r>
      <w:r>
        <w:rPr>
          <w:rFonts w:ascii="Times New Roman" w:hAnsi="Times New Roman"/>
          <w:color w:val="FF0000"/>
          <w:sz w:val="24"/>
        </w:rPr>
        <w:t>odel 1</w:t>
      </w:r>
      <w:r>
        <w:rPr>
          <w:rFonts w:hint="eastAsia" w:ascii="Times New Roman" w:hAnsi="Times New Roman"/>
          <w:color w:val="FF0000"/>
          <w:sz w:val="24"/>
        </w:rPr>
        <w:t xml:space="preserve"> was</w:t>
      </w:r>
      <w:r>
        <w:rPr>
          <w:rFonts w:ascii="Times New Roman" w:hAnsi="Times New Roman"/>
          <w:color w:val="FF0000"/>
          <w:sz w:val="24"/>
        </w:rPr>
        <w:t xml:space="preserve"> adjusted for age and sex</w:t>
      </w:r>
      <w:r>
        <w:rPr>
          <w:rFonts w:hint="eastAsia" w:ascii="Times New Roman" w:hAnsi="Times New Roman"/>
          <w:color w:val="FF0000"/>
          <w:sz w:val="24"/>
        </w:rPr>
        <w:t xml:space="preserve">; </w:t>
      </w:r>
      <w:r>
        <w:rPr>
          <w:rFonts w:ascii="Times New Roman" w:hAnsi="Times New Roman"/>
          <w:color w:val="FF0000"/>
          <w:sz w:val="24"/>
        </w:rPr>
        <w:t>model 2, additionally adjusted for education level</w:t>
      </w:r>
      <w:r>
        <w:rPr>
          <w:rFonts w:hint="eastAsia" w:ascii="Times New Roman" w:hAnsi="Times New Roman"/>
          <w:color w:val="FF0000"/>
          <w:sz w:val="24"/>
        </w:rPr>
        <w:t>s</w:t>
      </w:r>
      <w:r>
        <w:rPr>
          <w:rFonts w:ascii="Times New Roman" w:hAnsi="Times New Roman"/>
          <w:color w:val="FF0000"/>
          <w:sz w:val="24"/>
        </w:rPr>
        <w:t>, average household income</w:t>
      </w:r>
      <w:r>
        <w:rPr>
          <w:rFonts w:hint="eastAsia" w:ascii="Times New Roman" w:hAnsi="Times New Roman"/>
          <w:color w:val="FF0000"/>
          <w:sz w:val="24"/>
        </w:rPr>
        <w:t>s</w:t>
      </w:r>
      <w:r>
        <w:rPr>
          <w:rFonts w:ascii="Times New Roman" w:hAnsi="Times New Roman"/>
          <w:color w:val="FF0000"/>
          <w:sz w:val="24"/>
        </w:rPr>
        <w:t xml:space="preserve">, marital status, </w:t>
      </w:r>
    </w:p>
    <w:p w14:paraId="1648C197">
      <w:pPr>
        <w:spacing w:line="360" w:lineRule="auto"/>
        <w:jc w:val="left"/>
        <w:rPr>
          <w:color w:val="FF0000"/>
        </w:rPr>
      </w:pPr>
      <w:r>
        <w:rPr>
          <w:rFonts w:ascii="Times New Roman" w:hAnsi="Times New Roman"/>
          <w:color w:val="FF0000"/>
          <w:sz w:val="24"/>
        </w:rPr>
        <w:t xml:space="preserve">status of smoking and alcohol intake; model 3 </w:t>
      </w:r>
      <w:r>
        <w:rPr>
          <w:rFonts w:hint="eastAsia" w:ascii="Times New Roman" w:hAnsi="Times New Roman"/>
          <w:color w:val="FF0000"/>
          <w:sz w:val="24"/>
        </w:rPr>
        <w:t xml:space="preserve">further </w:t>
      </w:r>
      <w:r>
        <w:rPr>
          <w:rFonts w:ascii="Times New Roman" w:hAnsi="Times New Roman"/>
          <w:color w:val="FF0000"/>
          <w:sz w:val="24"/>
        </w:rPr>
        <w:t xml:space="preserve">include sleep duration and </w:t>
      </w:r>
      <w:r>
        <w:rPr>
          <w:rFonts w:hint="eastAsia" w:ascii="Times New Roman" w:hAnsi="Times New Roman"/>
          <w:color w:val="FF0000"/>
          <w:sz w:val="24"/>
        </w:rPr>
        <w:t>body mass index</w:t>
      </w:r>
      <w:r>
        <w:rPr>
          <w:rFonts w:ascii="Times New Roman" w:hAnsi="Times New Roman"/>
          <w:color w:val="FF0000"/>
          <w:sz w:val="24"/>
        </w:rPr>
        <w:t>.</w:t>
      </w:r>
    </w:p>
    <w:bookmarkEnd w:id="7"/>
    <w:p w14:paraId="00377CB9">
      <w:pPr>
        <w:spacing w:line="360" w:lineRule="auto"/>
        <w:jc w:val="center"/>
      </w:pPr>
    </w:p>
    <w:p w14:paraId="6BB887E4">
      <w:pPr>
        <w:spacing w:line="360" w:lineRule="auto"/>
        <w:jc w:val="center"/>
      </w:pPr>
    </w:p>
    <w:p w14:paraId="214228FF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FF0000"/>
          <w:sz w:val="24"/>
        </w:rPr>
        <w:t>S3</w:t>
      </w:r>
      <w:r>
        <w:rPr>
          <w:rFonts w:ascii="Times New Roman" w:hAnsi="Times New Roman" w:cs="Times New Roman"/>
          <w:b/>
          <w:bCs/>
          <w:color w:val="FF0000"/>
          <w:sz w:val="24"/>
        </w:rPr>
        <w:t>.</w:t>
      </w:r>
      <w:bookmarkStart w:id="4" w:name="OLE_LINK5"/>
      <w:r>
        <w:rPr>
          <w:rFonts w:ascii="Times New Roman" w:hAnsi="Times New Roman" w:cs="Times New Roman"/>
          <w:b/>
          <w:bCs/>
          <w:color w:val="FF0000"/>
          <w:sz w:val="24"/>
        </w:rPr>
        <w:t xml:space="preserve"> Sensitivity analysis regarding risk of </w:t>
      </w:r>
      <w:r>
        <w:rPr>
          <w:rFonts w:hint="eastAsia" w:ascii="Times New Roman" w:hAnsi="Times New Roman" w:cs="Times New Roman"/>
          <w:b/>
          <w:bCs/>
          <w:color w:val="FF0000"/>
          <w:sz w:val="24"/>
        </w:rPr>
        <w:t>frailty</w:t>
      </w:r>
      <w:r>
        <w:rPr>
          <w:rFonts w:ascii="Times New Roman" w:hAnsi="Times New Roman" w:cs="Times New Roman"/>
          <w:b/>
          <w:bCs/>
          <w:color w:val="FF0000"/>
          <w:sz w:val="24"/>
        </w:rPr>
        <w:t xml:space="preserve"> with baseline </w:t>
      </w:r>
      <w:r>
        <w:rPr>
          <w:rFonts w:hint="eastAsia" w:ascii="Times New Roman" w:hAnsi="Times New Roman" w:cs="Times New Roman"/>
          <w:b/>
          <w:bCs/>
          <w:color w:val="FF0000"/>
          <w:sz w:val="24"/>
        </w:rPr>
        <w:t>pain</w:t>
      </w:r>
      <w:r>
        <w:rPr>
          <w:rFonts w:ascii="Times New Roman" w:hAnsi="Times New Roman" w:cs="Times New Roman"/>
          <w:b/>
          <w:bCs/>
          <w:color w:val="FF0000"/>
          <w:sz w:val="24"/>
        </w:rPr>
        <w:t xml:space="preserve"> status</w:t>
      </w:r>
      <w:bookmarkEnd w:id="4"/>
      <w:r>
        <w:rPr>
          <w:rFonts w:ascii="Times New Roman" w:hAnsi="Times New Roman" w:cs="Times New Roman"/>
          <w:b/>
          <w:bCs/>
          <w:color w:val="FF0000"/>
          <w:sz w:val="24"/>
        </w:rPr>
        <w:t>.</w:t>
      </w:r>
    </w:p>
    <w:tbl>
      <w:tblPr>
        <w:tblStyle w:val="5"/>
        <w:tblW w:w="1237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9"/>
        <w:gridCol w:w="1970"/>
        <w:gridCol w:w="1616"/>
        <w:gridCol w:w="1971"/>
        <w:gridCol w:w="1241"/>
      </w:tblGrid>
      <w:tr w14:paraId="54C7A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57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22B878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Pain status</w:t>
            </w:r>
          </w:p>
        </w:tc>
        <w:tc>
          <w:tcPr>
            <w:tcW w:w="197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AFBAF3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Incident frailty</w:t>
            </w:r>
          </w:p>
        </w:tc>
        <w:tc>
          <w:tcPr>
            <w:tcW w:w="161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47DDB6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Participants</w:t>
            </w:r>
          </w:p>
        </w:tc>
        <w:tc>
          <w:tcPr>
            <w:tcW w:w="19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B55CF2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HR (95%CI)</w:t>
            </w:r>
          </w:p>
        </w:tc>
        <w:tc>
          <w:tcPr>
            <w:tcW w:w="124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5F937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P values</w:t>
            </w:r>
          </w:p>
        </w:tc>
      </w:tr>
      <w:tr w14:paraId="2F329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57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C978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CF31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1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5F71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6243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4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86EE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68F2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332E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Sensitivity analysis 1: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 xml:space="preserve"> competing risk model for pain at baseline 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48C2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2866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AA7A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FFB9F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E10A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0E88E">
            <w:pPr>
              <w:widowControl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Pain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647B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1216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E9C67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4166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FA9A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1.04 (1.02-1.05)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C777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1FFF6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BFF04">
            <w:pPr>
              <w:widowControl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Non</w:t>
            </w:r>
            <w:r>
              <w:rPr>
                <w:rFonts w:hint="default" w:ascii="Times New Roman" w:hAnsi="Times New Roman" w:eastAsia="MS Sans Serif" w:cs="Times New Roman"/>
                <w:color w:val="000000"/>
                <w:sz w:val="24"/>
                <w:shd w:val="clear" w:color="auto" w:fill="FFFFFF"/>
              </w:rPr>
              <w:t xml:space="preserve"> pain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731E6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2140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617EF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9435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018F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reference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A190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2141D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B503A">
            <w:pPr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18674"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FF1A0"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546AB"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4C2CB"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2D023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C216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Sensitivity analysis 2: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 xml:space="preserve"> exclude those who developed frailty in first 2 years.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A4E93"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53572"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01A4D"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DC52E"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AA5F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2975">
            <w:pPr>
              <w:widowControl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Pain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F5BA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848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BC99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3678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1A157"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1.04 (1.01-1.15)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7474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0.023</w:t>
            </w:r>
          </w:p>
        </w:tc>
      </w:tr>
      <w:tr w14:paraId="19210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B56751E">
            <w:pPr>
              <w:widowControl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Non</w:t>
            </w:r>
            <w:r>
              <w:rPr>
                <w:rFonts w:hint="default" w:ascii="Times New Roman" w:hAnsi="Times New Roman" w:eastAsia="MS Sans Serif" w:cs="Times New Roman"/>
                <w:color w:val="000000"/>
                <w:sz w:val="24"/>
                <w:shd w:val="clear" w:color="auto" w:fill="FFFFFF"/>
              </w:rPr>
              <w:t xml:space="preserve"> pain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ED7E9B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2076</w:t>
            </w:r>
          </w:p>
        </w:tc>
        <w:tc>
          <w:tcPr>
            <w:tcW w:w="16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C2D3DC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9255</w:t>
            </w:r>
          </w:p>
        </w:tc>
        <w:tc>
          <w:tcPr>
            <w:tcW w:w="19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EA825F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reference</w:t>
            </w:r>
          </w:p>
        </w:tc>
        <w:tc>
          <w:tcPr>
            <w:tcW w:w="124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3C5DFA1"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</w:tbl>
    <w:p w14:paraId="2432B3B4">
      <w:pPr>
        <w:spacing w:line="360" w:lineRule="auto"/>
        <w:jc w:val="center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824C6E6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</w:rPr>
      </w:pPr>
      <w:bookmarkStart w:id="5" w:name="OLE_LINK6"/>
      <w:r>
        <w:rPr>
          <w:rFonts w:hint="eastAsia" w:ascii="Times New Roman" w:hAnsi="Times New Roman" w:cs="Times New Roman"/>
          <w:b/>
          <w:bCs/>
          <w:color w:val="FF0000"/>
          <w:sz w:val="24"/>
        </w:rPr>
        <w:t>T</w:t>
      </w:r>
      <w:r>
        <w:rPr>
          <w:rFonts w:ascii="Times New Roman" w:hAnsi="Times New Roman" w:cs="Times New Roman"/>
          <w:b/>
          <w:bCs/>
          <w:color w:val="FF0000"/>
          <w:sz w:val="24"/>
        </w:rPr>
        <w:t xml:space="preserve">able </w:t>
      </w:r>
      <w:r>
        <w:rPr>
          <w:rFonts w:hint="eastAsia" w:ascii="Times New Roman" w:hAnsi="Times New Roman" w:cs="Times New Roman"/>
          <w:b/>
          <w:bCs/>
          <w:color w:val="FF0000"/>
          <w:sz w:val="24"/>
        </w:rPr>
        <w:t>S4</w:t>
      </w:r>
      <w:r>
        <w:rPr>
          <w:rFonts w:ascii="Times New Roman" w:hAnsi="Times New Roman" w:cs="Times New Roman"/>
          <w:b/>
          <w:bCs/>
          <w:color w:val="FF0000"/>
          <w:sz w:val="24"/>
        </w:rPr>
        <w:t xml:space="preserve">. </w:t>
      </w:r>
      <w:bookmarkStart w:id="6" w:name="_Hlk193626482"/>
      <w:r>
        <w:rPr>
          <w:rFonts w:hint="eastAsia" w:ascii="Times New Roman" w:hAnsi="Times New Roman" w:cs="Times New Roman"/>
          <w:b/>
          <w:bCs/>
          <w:color w:val="FF0000"/>
          <w:sz w:val="24"/>
        </w:rPr>
        <w:t>Mediation analysis of chronic pain, healthy lifestyle and frailty</w:t>
      </w:r>
      <w:bookmarkEnd w:id="5"/>
      <w:r>
        <w:rPr>
          <w:rFonts w:ascii="Times New Roman" w:hAnsi="Times New Roman" w:cs="Times New Roman"/>
          <w:b/>
          <w:bCs/>
          <w:color w:val="FF0000"/>
          <w:sz w:val="24"/>
        </w:rPr>
        <w:t>.</w:t>
      </w:r>
    </w:p>
    <w:bookmarkEnd w:id="6"/>
    <w:p w14:paraId="45EF3C79">
      <w:pPr>
        <w:spacing w:line="360" w:lineRule="auto"/>
        <w:jc w:val="center"/>
        <w:rPr>
          <w:color w:val="FF0000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3"/>
        <w:gridCol w:w="2986"/>
        <w:gridCol w:w="3148"/>
        <w:gridCol w:w="2601"/>
        <w:gridCol w:w="2516"/>
      </w:tblGrid>
      <w:tr w14:paraId="0F0203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" w:type="pct"/>
            <w:tcBorders>
              <w:top w:val="single" w:color="auto" w:sz="12" w:space="0"/>
              <w:bottom w:val="single" w:color="auto" w:sz="12" w:space="0"/>
            </w:tcBorders>
          </w:tcPr>
          <w:p w14:paraId="05EFBC6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8"/>
              </w:rPr>
              <w:t>Model</w:t>
            </w:r>
          </w:p>
        </w:tc>
        <w:tc>
          <w:tcPr>
            <w:tcW w:w="1053" w:type="pct"/>
            <w:tcBorders>
              <w:top w:val="single" w:color="auto" w:sz="12" w:space="0"/>
              <w:bottom w:val="single" w:color="auto" w:sz="12" w:space="0"/>
            </w:tcBorders>
          </w:tcPr>
          <w:p w14:paraId="591BC2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8"/>
              </w:rPr>
              <w:t>Direct effect</w:t>
            </w:r>
          </w:p>
        </w:tc>
        <w:tc>
          <w:tcPr>
            <w:tcW w:w="1110" w:type="pct"/>
            <w:tcBorders>
              <w:top w:val="single" w:color="auto" w:sz="12" w:space="0"/>
              <w:bottom w:val="single" w:color="auto" w:sz="12" w:space="0"/>
            </w:tcBorders>
          </w:tcPr>
          <w:p w14:paraId="18FF28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8"/>
              </w:rPr>
              <w:t>Indirect effect</w:t>
            </w:r>
          </w:p>
        </w:tc>
        <w:tc>
          <w:tcPr>
            <w:tcW w:w="917" w:type="pct"/>
            <w:tcBorders>
              <w:top w:val="single" w:color="auto" w:sz="12" w:space="0"/>
              <w:bottom w:val="single" w:color="auto" w:sz="12" w:space="0"/>
            </w:tcBorders>
          </w:tcPr>
          <w:p w14:paraId="0FC7E3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8"/>
              </w:rPr>
              <w:t>Proportion mediated</w:t>
            </w:r>
          </w:p>
        </w:tc>
        <w:tc>
          <w:tcPr>
            <w:tcW w:w="887" w:type="pct"/>
            <w:tcBorders>
              <w:top w:val="single" w:color="auto" w:sz="12" w:space="0"/>
              <w:bottom w:val="single" w:color="auto" w:sz="12" w:space="0"/>
            </w:tcBorders>
          </w:tcPr>
          <w:p w14:paraId="0279A0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8"/>
              </w:rPr>
              <w:t>Mediated effect P value</w:t>
            </w:r>
          </w:p>
        </w:tc>
      </w:tr>
      <w:tr w14:paraId="2DA615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" w:type="pct"/>
            <w:tcBorders>
              <w:top w:val="single" w:color="auto" w:sz="12" w:space="0"/>
            </w:tcBorders>
          </w:tcPr>
          <w:p w14:paraId="5B3D33B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Overall population</w:t>
            </w:r>
          </w:p>
        </w:tc>
        <w:tc>
          <w:tcPr>
            <w:tcW w:w="1053" w:type="pct"/>
            <w:tcBorders>
              <w:top w:val="single" w:color="auto" w:sz="12" w:space="0"/>
            </w:tcBorders>
          </w:tcPr>
          <w:p w14:paraId="55F4EFD5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0.17</w:t>
            </w:r>
            <w:r>
              <w:rPr>
                <w:rFonts w:hint="eastAsia" w:ascii="Times New Roman" w:hAnsi="Times New Roman" w:cs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(0.082-0.25)</w:t>
            </w:r>
          </w:p>
        </w:tc>
        <w:tc>
          <w:tcPr>
            <w:tcW w:w="1110" w:type="pct"/>
            <w:tcBorders>
              <w:top w:val="single" w:color="auto" w:sz="12" w:space="0"/>
            </w:tcBorders>
          </w:tcPr>
          <w:p w14:paraId="30A192C0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0.0053 (0.00098-0.01)</w:t>
            </w:r>
          </w:p>
        </w:tc>
        <w:tc>
          <w:tcPr>
            <w:tcW w:w="917" w:type="pct"/>
            <w:tcBorders>
              <w:top w:val="single" w:color="auto" w:sz="12" w:space="0"/>
            </w:tcBorders>
          </w:tcPr>
          <w:p w14:paraId="41879775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2.97%</w:t>
            </w:r>
          </w:p>
        </w:tc>
        <w:tc>
          <w:tcPr>
            <w:tcW w:w="887" w:type="pct"/>
            <w:tcBorders>
              <w:top w:val="single" w:color="auto" w:sz="12" w:space="0"/>
            </w:tcBorders>
          </w:tcPr>
          <w:p w14:paraId="09CA36D4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0.014</w:t>
            </w:r>
          </w:p>
        </w:tc>
      </w:tr>
      <w:tr w14:paraId="522199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" w:type="pct"/>
          </w:tcPr>
          <w:p w14:paraId="57A2B27B">
            <w:pPr>
              <w:spacing w:line="360" w:lineRule="auto"/>
              <w:ind w:left="420" w:leftChars="200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Male</w:t>
            </w:r>
          </w:p>
        </w:tc>
        <w:tc>
          <w:tcPr>
            <w:tcW w:w="1053" w:type="pct"/>
          </w:tcPr>
          <w:p w14:paraId="17A5ECAE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0.17 (0.074-0.26)</w:t>
            </w:r>
          </w:p>
        </w:tc>
        <w:tc>
          <w:tcPr>
            <w:tcW w:w="1110" w:type="pct"/>
          </w:tcPr>
          <w:p w14:paraId="53759A70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0.0087 (0.0021-0.02)</w:t>
            </w:r>
          </w:p>
        </w:tc>
        <w:tc>
          <w:tcPr>
            <w:tcW w:w="917" w:type="pct"/>
          </w:tcPr>
          <w:p w14:paraId="61B2A29C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4.99%</w:t>
            </w:r>
          </w:p>
        </w:tc>
        <w:tc>
          <w:tcPr>
            <w:tcW w:w="887" w:type="pct"/>
          </w:tcPr>
          <w:p w14:paraId="1D153867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0.008</w:t>
            </w:r>
          </w:p>
        </w:tc>
      </w:tr>
      <w:tr w14:paraId="702027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" w:type="pct"/>
          </w:tcPr>
          <w:p w14:paraId="6E03805B">
            <w:pPr>
              <w:spacing w:line="360" w:lineRule="auto"/>
              <w:ind w:left="420" w:leftChars="200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Female</w:t>
            </w:r>
          </w:p>
        </w:tc>
        <w:tc>
          <w:tcPr>
            <w:tcW w:w="1053" w:type="pct"/>
          </w:tcPr>
          <w:p w14:paraId="17600B49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0.14 (0.011-0.26)</w:t>
            </w:r>
          </w:p>
        </w:tc>
        <w:tc>
          <w:tcPr>
            <w:tcW w:w="1110" w:type="pct"/>
          </w:tcPr>
          <w:p w14:paraId="5A9DBC78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0.0091 (0.00097-0.02)</w:t>
            </w:r>
          </w:p>
        </w:tc>
        <w:tc>
          <w:tcPr>
            <w:tcW w:w="917" w:type="pct"/>
          </w:tcPr>
          <w:p w14:paraId="70543656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5.93%</w:t>
            </w:r>
          </w:p>
        </w:tc>
        <w:tc>
          <w:tcPr>
            <w:tcW w:w="887" w:type="pct"/>
          </w:tcPr>
          <w:p w14:paraId="69B56CE9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0.032</w:t>
            </w:r>
          </w:p>
        </w:tc>
      </w:tr>
      <w:tr w14:paraId="281684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" w:type="pct"/>
          </w:tcPr>
          <w:p w14:paraId="1C9BE337">
            <w:pPr>
              <w:spacing w:line="360" w:lineRule="auto"/>
              <w:ind w:left="420" w:leftChars="200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Middle-aged adults</w:t>
            </w:r>
          </w:p>
        </w:tc>
        <w:tc>
          <w:tcPr>
            <w:tcW w:w="1053" w:type="pct"/>
          </w:tcPr>
          <w:p w14:paraId="23686529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0.20 (0.10-0.30)</w:t>
            </w:r>
          </w:p>
        </w:tc>
        <w:tc>
          <w:tcPr>
            <w:tcW w:w="1110" w:type="pct"/>
          </w:tcPr>
          <w:p w14:paraId="76FDA7DD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0.0046 (0.00047-0.01)</w:t>
            </w:r>
          </w:p>
        </w:tc>
        <w:tc>
          <w:tcPr>
            <w:tcW w:w="917" w:type="pct"/>
          </w:tcPr>
          <w:p w14:paraId="7C1DBE8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2.09%</w:t>
            </w:r>
          </w:p>
        </w:tc>
        <w:tc>
          <w:tcPr>
            <w:tcW w:w="887" w:type="pct"/>
          </w:tcPr>
          <w:p w14:paraId="1C23E50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0.03</w:t>
            </w:r>
          </w:p>
        </w:tc>
      </w:tr>
      <w:tr w14:paraId="6DD74F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" w:type="pct"/>
            <w:tcBorders>
              <w:bottom w:val="single" w:color="auto" w:sz="12" w:space="0"/>
            </w:tcBorders>
          </w:tcPr>
          <w:p w14:paraId="02F65F34">
            <w:pPr>
              <w:spacing w:line="360" w:lineRule="auto"/>
              <w:ind w:left="420" w:leftChars="200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Older adults</w:t>
            </w:r>
          </w:p>
        </w:tc>
        <w:tc>
          <w:tcPr>
            <w:tcW w:w="1053" w:type="pct"/>
            <w:tcBorders>
              <w:bottom w:val="single" w:color="auto" w:sz="12" w:space="0"/>
            </w:tcBorders>
          </w:tcPr>
          <w:p w14:paraId="40AEFEF8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0.088 (-0.074-0.25)</w:t>
            </w:r>
          </w:p>
        </w:tc>
        <w:tc>
          <w:tcPr>
            <w:tcW w:w="1110" w:type="pct"/>
            <w:tcBorders>
              <w:bottom w:val="single" w:color="auto" w:sz="12" w:space="0"/>
            </w:tcBorders>
          </w:tcPr>
          <w:p w14:paraId="147848F7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0.0059 (-0.0028-0.02)</w:t>
            </w:r>
          </w:p>
        </w:tc>
        <w:tc>
          <w:tcPr>
            <w:tcW w:w="917" w:type="pct"/>
            <w:tcBorders>
              <w:bottom w:val="single" w:color="auto" w:sz="12" w:space="0"/>
            </w:tcBorders>
          </w:tcPr>
          <w:p w14:paraId="6593E02E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4.12%</w:t>
            </w:r>
          </w:p>
        </w:tc>
        <w:tc>
          <w:tcPr>
            <w:tcW w:w="887" w:type="pct"/>
            <w:tcBorders>
              <w:bottom w:val="single" w:color="auto" w:sz="12" w:space="0"/>
            </w:tcBorders>
          </w:tcPr>
          <w:p w14:paraId="750C243E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0.21</w:t>
            </w:r>
          </w:p>
        </w:tc>
      </w:tr>
    </w:tbl>
    <w:p w14:paraId="7801126B">
      <w:pPr>
        <w:spacing w:line="360" w:lineRule="auto"/>
      </w:pPr>
    </w:p>
    <w:p w14:paraId="5C2C8B94">
      <w:pPr>
        <w:spacing w:line="360" w:lineRule="auto"/>
      </w:pPr>
    </w:p>
    <w:p w14:paraId="33F39E95">
      <w:pPr>
        <w:spacing w:line="360" w:lineRule="auto"/>
      </w:pPr>
    </w:p>
    <w:p w14:paraId="24179099">
      <w:pPr>
        <w:spacing w:line="360" w:lineRule="auto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4745355</wp:posOffset>
                </wp:positionV>
                <wp:extent cx="8192770" cy="702945"/>
                <wp:effectExtent l="0" t="0" r="11430" b="825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3024" cy="702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0E7DB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</w:rPr>
                              <w:t>Figure S1. Healthy lifestyle at wave 2 potentially mitigated the adverse impact chronic pain have on frailty at wave 4. (A) In males; (B) In females; (C) In middle-aged participants and (D) In older participants.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373.65pt;height:55.35pt;width:645.1pt;mso-position-horizontal:center;mso-position-horizontal-relative:margin;z-index:251659264;mso-width-relative:page;mso-height-relative:page;" fillcolor="#FFFFFF [3201]" filled="t" stroked="f" coordsize="21600,21600" o:gfxdata="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A0JZOTVAAAACQEAAA8AAAAA&#10;AAAAAQAgAAAAIgAAAGRycy9kb3ducmV2LnhtbFBLAQIUABQAAAAIAIdO4kAl0HfwUAIAAI8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F0E7DB4">
                      <w:pPr>
                        <w:spacing w:line="360" w:lineRule="auto"/>
                        <w:rPr>
                          <w:rFonts w:ascii="Times New Roman" w:hAnsi="Times New Roman" w:cs="Times New Roman"/>
                          <w:color w:val="FF0000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24"/>
                        </w:rPr>
                        <w:t>Figure S1. Healthy lifestyle at wave 2 potentially mitigated the adverse impact chronic pain have on frailty at wave 4. (A) In males; (B) In females; (C) In middle-aged participants and (D) In older participants.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8863330" cy="4985385"/>
            <wp:effectExtent l="0" t="0" r="0" b="5715"/>
            <wp:docPr id="5819306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30612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Sans Serif">
    <w:altName w:val="宋体"/>
    <w:panose1 w:val="00000000000000000000"/>
    <w:charset w:val="86"/>
    <w:family w:val="swiss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xZTBlYjU4NmVkZDU2YWE0OThmMzFkNGY1MmM1YjUifQ=="/>
    <w:docVar w:name="KSO_WPS_MARK_KEY" w:val="7e6c8595-e32c-4af9-bb9a-0d1d076b0b47"/>
  </w:docVars>
  <w:rsids>
    <w:rsidRoot w:val="00172A27"/>
    <w:rsid w:val="00172A27"/>
    <w:rsid w:val="001E35D1"/>
    <w:rsid w:val="00236745"/>
    <w:rsid w:val="00395E47"/>
    <w:rsid w:val="003C29B4"/>
    <w:rsid w:val="00400DD2"/>
    <w:rsid w:val="0043349D"/>
    <w:rsid w:val="005404DD"/>
    <w:rsid w:val="005F0802"/>
    <w:rsid w:val="00754082"/>
    <w:rsid w:val="007842F6"/>
    <w:rsid w:val="00794238"/>
    <w:rsid w:val="007A69DF"/>
    <w:rsid w:val="008465C6"/>
    <w:rsid w:val="0085412D"/>
    <w:rsid w:val="00A42F20"/>
    <w:rsid w:val="00A52D2F"/>
    <w:rsid w:val="00A962CB"/>
    <w:rsid w:val="00AB328C"/>
    <w:rsid w:val="00B13BF0"/>
    <w:rsid w:val="00B44D87"/>
    <w:rsid w:val="00BA4F68"/>
    <w:rsid w:val="00BF7B3E"/>
    <w:rsid w:val="00C6710A"/>
    <w:rsid w:val="00CD6378"/>
    <w:rsid w:val="00D84D47"/>
    <w:rsid w:val="00D86FC9"/>
    <w:rsid w:val="00DA3E3C"/>
    <w:rsid w:val="00E7407C"/>
    <w:rsid w:val="00F136D1"/>
    <w:rsid w:val="00F355E6"/>
    <w:rsid w:val="00FE7BD6"/>
    <w:rsid w:val="01780AE5"/>
    <w:rsid w:val="041A2F36"/>
    <w:rsid w:val="04E2157A"/>
    <w:rsid w:val="0B772805"/>
    <w:rsid w:val="103813AE"/>
    <w:rsid w:val="114B2D77"/>
    <w:rsid w:val="13221D1E"/>
    <w:rsid w:val="13FF3EF7"/>
    <w:rsid w:val="182C5840"/>
    <w:rsid w:val="18490724"/>
    <w:rsid w:val="1B4902D4"/>
    <w:rsid w:val="25381017"/>
    <w:rsid w:val="2A1174F4"/>
    <w:rsid w:val="2A3745C6"/>
    <w:rsid w:val="2AC3330D"/>
    <w:rsid w:val="2C155C0E"/>
    <w:rsid w:val="2D0025B4"/>
    <w:rsid w:val="30E16A06"/>
    <w:rsid w:val="31574969"/>
    <w:rsid w:val="36A06A1C"/>
    <w:rsid w:val="37EB016A"/>
    <w:rsid w:val="3ADB521F"/>
    <w:rsid w:val="3B7F268E"/>
    <w:rsid w:val="3CB47266"/>
    <w:rsid w:val="3FA62B83"/>
    <w:rsid w:val="448300B5"/>
    <w:rsid w:val="505F4DFA"/>
    <w:rsid w:val="526E1DA8"/>
    <w:rsid w:val="558F59A2"/>
    <w:rsid w:val="5D093E67"/>
    <w:rsid w:val="5E4C6A83"/>
    <w:rsid w:val="60727EEE"/>
    <w:rsid w:val="65BD2F49"/>
    <w:rsid w:val="68311D5D"/>
    <w:rsid w:val="6B0F5943"/>
    <w:rsid w:val="6CA44BF5"/>
    <w:rsid w:val="6F0A616F"/>
    <w:rsid w:val="70516826"/>
    <w:rsid w:val="7156141B"/>
    <w:rsid w:val="747E1443"/>
    <w:rsid w:val="750C40CF"/>
    <w:rsid w:val="760B0875"/>
    <w:rsid w:val="77997FBB"/>
    <w:rsid w:val="7ACE2B9F"/>
    <w:rsid w:val="7B15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827</Words>
  <Characters>5063</Characters>
  <Lines>43</Lines>
  <Paragraphs>12</Paragraphs>
  <TotalTime>66</TotalTime>
  <ScaleCrop>false</ScaleCrop>
  <LinksUpToDate>false</LinksUpToDate>
  <CharactersWithSpaces>5698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2024-08-27T08:05:00Z</dcterms:created>
  <dc:creator>曾娜</dc:creator>
  <cp:lastModifiedBy>乔尔玛</cp:lastModifiedBy>
  <dcterms:modified xsi:type="dcterms:W3CDTF">2025-03-29T06:59:20Z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5C18BC1F5EA646279CAA71CAE1750A53_13</vt:lpwstr>
  </property>
  <property fmtid="{D5CDD505-2E9C-101B-9397-08002B2CF9AE}" pid="4" name="KSOTemplateDocerSaveRecord">
    <vt:lpwstr>eyJoZGlkIjoiZDE4MzhiNGY3N2ZjNzAyMmRiZDUzYjhhYTIwY2FkY2EiLCJ1c2VySWQiOiI0MjY5MTY0OTAifQ==</vt:lpwstr>
  </property>
</Properties>
</file>