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390CF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8074AE9">
      <w:pPr>
        <w:spacing w:line="360" w:lineRule="auto"/>
        <w:jc w:val="center"/>
        <w:rPr>
          <w:rFonts w:hint="eastAsia" w:ascii="Times New Roman" w:hAnsi="Times New Roman" w:cs="Times New Roman" w:eastAsiaTheme="minorEastAsia"/>
          <w:b/>
          <w:bCs/>
          <w:sz w:val="36"/>
          <w:szCs w:val="36"/>
          <w:lang w:val="en-US" w:eastAsia="zh-CN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Supplementary Table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s</w:t>
      </w:r>
    </w:p>
    <w:p w14:paraId="5CA1ABF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eastAsia="zh-CN"/>
        </w:rPr>
      </w:pPr>
    </w:p>
    <w:p w14:paraId="27812320">
      <w:pPr>
        <w:spacing w:line="36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bookmarkStart w:id="0" w:name="OLE_LINK12"/>
      <w:r>
        <w:rPr>
          <w:rFonts w:hint="eastAsia" w:ascii="Times New Roman" w:hAnsi="Times New Roman" w:cs="Times New Roman"/>
          <w:b/>
          <w:bCs w:val="0"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1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able</w:t>
      </w:r>
      <w:bookmarkEnd w:id="0"/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Univari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ate logistic regression analysis of risk factors associated with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osteoporosis</w:t>
      </w:r>
    </w:p>
    <w:tbl>
      <w:tblPr>
        <w:tblStyle w:val="5"/>
        <w:tblW w:w="4595" w:type="pct"/>
        <w:jc w:val="center"/>
        <w:tblLayout w:type="autofit"/>
        <w:tblCellMar>
          <w:top w:w="15" w:type="dxa"/>
          <w:left w:w="15" w:type="dxa"/>
          <w:bottom w:w="0" w:type="dxa"/>
          <w:right w:w="15" w:type="dxa"/>
        </w:tblCellMar>
      </w:tblPr>
      <w:tblGrid>
        <w:gridCol w:w="2527"/>
        <w:gridCol w:w="1713"/>
        <w:gridCol w:w="1713"/>
        <w:gridCol w:w="1708"/>
      </w:tblGrid>
      <w:tr w14:paraId="29DD7AD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649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3911B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118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2C49F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118" w:type="pct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41A78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14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6CC11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14:paraId="376C80B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649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F6952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7CA2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vMerge w:val="continue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89109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51A6B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95E2E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8DAE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Age, (years)</w:t>
            </w:r>
          </w:p>
        </w:tc>
        <w:tc>
          <w:tcPr>
            <w:tcW w:w="1118" w:type="pc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143A8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1.09 </w:t>
            </w:r>
          </w:p>
        </w:tc>
        <w:tc>
          <w:tcPr>
            <w:tcW w:w="1118" w:type="pc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A2298D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1.06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1.11</w:t>
            </w:r>
          </w:p>
        </w:tc>
        <w:tc>
          <w:tcPr>
            <w:tcW w:w="1114" w:type="pc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C9A73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&lt;0.001</w:t>
            </w:r>
          </w:p>
        </w:tc>
      </w:tr>
      <w:tr w14:paraId="5133E6B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517AA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Gender, n (%)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358F331D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4.14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3750B9C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2.37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7.26</w:t>
            </w:r>
          </w:p>
        </w:tc>
        <w:tc>
          <w:tcPr>
            <w:tcW w:w="1114" w:type="pct"/>
            <w:shd w:val="clear" w:color="auto" w:fill="auto"/>
            <w:noWrap/>
            <w:vAlign w:val="center"/>
          </w:tcPr>
          <w:p w14:paraId="781D84A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&lt;0.001</w:t>
            </w:r>
          </w:p>
        </w:tc>
      </w:tr>
      <w:tr w14:paraId="6CDECE6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6E8235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level, n (%)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04D9CC5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2449083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4" w:type="pct"/>
            <w:shd w:val="clear" w:color="auto" w:fill="auto"/>
            <w:noWrap/>
            <w:vAlign w:val="center"/>
          </w:tcPr>
          <w:p w14:paraId="0F5E4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A7732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06564A78"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 school or lower</w:t>
            </w:r>
          </w:p>
        </w:tc>
        <w:tc>
          <w:tcPr>
            <w:tcW w:w="1118" w:type="pct"/>
            <w:shd w:val="clear" w:color="auto" w:fill="auto"/>
            <w:noWrap/>
          </w:tcPr>
          <w:p w14:paraId="4F57689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39379C0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Reference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56BB80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19A8B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6EEDE650"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1118" w:type="pct"/>
            <w:shd w:val="clear" w:color="auto" w:fill="auto"/>
            <w:noWrap/>
          </w:tcPr>
          <w:p w14:paraId="29ABC37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0.92 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3483ACE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0.47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1.79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13678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0.800</w:t>
            </w:r>
          </w:p>
        </w:tc>
      </w:tr>
      <w:tr w14:paraId="77C5D48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07583086"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College or more</w:t>
            </w:r>
          </w:p>
        </w:tc>
        <w:tc>
          <w:tcPr>
            <w:tcW w:w="1118" w:type="pct"/>
            <w:shd w:val="clear" w:color="auto" w:fill="auto"/>
            <w:noWrap/>
          </w:tcPr>
          <w:p w14:paraId="44324F6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0.33 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10394FC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0.24-0.45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09FF7F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0.444</w:t>
            </w:r>
          </w:p>
        </w:tc>
      </w:tr>
      <w:tr w14:paraId="090E377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270D28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status, n (%)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3C576AD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00FE43F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4" w:type="pct"/>
            <w:shd w:val="clear" w:color="auto" w:fill="auto"/>
            <w:noWrap/>
            <w:vAlign w:val="center"/>
          </w:tcPr>
          <w:p w14:paraId="4D6BD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49FFF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1890ECB8"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118" w:type="pct"/>
            <w:shd w:val="clear" w:color="auto" w:fill="auto"/>
            <w:noWrap/>
          </w:tcPr>
          <w:p w14:paraId="085BE71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763CA4F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Reference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076D90B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14:paraId="3102553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3BC7A164"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married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71C5DCD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0.62  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0E9BB65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0.19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2.05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4616C1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0.433</w:t>
            </w:r>
          </w:p>
        </w:tc>
      </w:tr>
      <w:tr w14:paraId="26DAF9E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11F44A27">
            <w:pPr>
              <w:spacing w:line="360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714A384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2.46 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49E929A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1.53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3.93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4B09613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.001</w:t>
            </w:r>
          </w:p>
        </w:tc>
      </w:tr>
      <w:tr w14:paraId="0F5CEFE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1CC1DA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PIR, n (%)</w:t>
            </w:r>
          </w:p>
        </w:tc>
        <w:tc>
          <w:tcPr>
            <w:tcW w:w="1118" w:type="pct"/>
            <w:shd w:val="clear" w:color="auto" w:fill="auto"/>
            <w:noWrap/>
          </w:tcPr>
          <w:p w14:paraId="2D95A62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0.80 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350E339D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0.69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0.92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4875D31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0.002</w:t>
            </w:r>
          </w:p>
        </w:tc>
      </w:tr>
      <w:tr w14:paraId="7CABF62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5C337B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616E537E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0.86 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2509146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0.90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47F0FD9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&lt;0.001</w:t>
            </w:r>
          </w:p>
        </w:tc>
      </w:tr>
      <w:tr w14:paraId="7305C47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00B43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Drinking status, n (%)</w:t>
            </w:r>
          </w:p>
        </w:tc>
        <w:tc>
          <w:tcPr>
            <w:tcW w:w="1118" w:type="pct"/>
            <w:shd w:val="clear" w:color="auto" w:fill="auto"/>
            <w:noWrap/>
          </w:tcPr>
          <w:p w14:paraId="2B950C6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1.26</w:t>
            </w:r>
          </w:p>
        </w:tc>
        <w:tc>
          <w:tcPr>
            <w:tcW w:w="1118" w:type="pct"/>
            <w:shd w:val="clear" w:color="auto" w:fill="auto"/>
            <w:noWrap/>
          </w:tcPr>
          <w:p w14:paraId="65EBA81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0.99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1.62</w:t>
            </w:r>
          </w:p>
        </w:tc>
        <w:tc>
          <w:tcPr>
            <w:tcW w:w="1114" w:type="pct"/>
            <w:shd w:val="clear" w:color="auto" w:fill="auto"/>
            <w:noWrap/>
          </w:tcPr>
          <w:p w14:paraId="60793DC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0.065</w:t>
            </w:r>
          </w:p>
        </w:tc>
      </w:tr>
      <w:tr w14:paraId="58C526D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1317F7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Smoking status, n (%)</w:t>
            </w:r>
          </w:p>
        </w:tc>
        <w:tc>
          <w:tcPr>
            <w:tcW w:w="1118" w:type="pct"/>
            <w:shd w:val="clear" w:color="auto" w:fill="auto"/>
            <w:noWrap/>
          </w:tcPr>
          <w:p w14:paraId="7C07AD0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1.23 </w:t>
            </w:r>
          </w:p>
        </w:tc>
        <w:tc>
          <w:tcPr>
            <w:tcW w:w="1118" w:type="pct"/>
            <w:shd w:val="clear" w:color="auto" w:fill="auto"/>
            <w:noWrap/>
          </w:tcPr>
          <w:p w14:paraId="1BB383A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0.78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1.95</w:t>
            </w:r>
          </w:p>
        </w:tc>
        <w:tc>
          <w:tcPr>
            <w:tcW w:w="1114" w:type="pct"/>
            <w:shd w:val="clear" w:color="auto" w:fill="auto"/>
            <w:noWrap/>
          </w:tcPr>
          <w:p w14:paraId="1EE8A18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0.376</w:t>
            </w:r>
          </w:p>
        </w:tc>
      </w:tr>
      <w:tr w14:paraId="72D46D8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bottom"/>
          </w:tcPr>
          <w:p w14:paraId="635304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Physical activity</w:t>
            </w:r>
          </w:p>
        </w:tc>
        <w:tc>
          <w:tcPr>
            <w:tcW w:w="1118" w:type="pct"/>
            <w:shd w:val="clear" w:color="auto" w:fill="FFFFFF"/>
            <w:noWrap/>
            <w:vAlign w:val="bottom"/>
          </w:tcPr>
          <w:p w14:paraId="7D5791D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bottom"/>
          </w:tcPr>
          <w:p w14:paraId="0E51E87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4" w:type="pct"/>
            <w:shd w:val="clear" w:color="auto" w:fill="FFFFFF"/>
            <w:noWrap/>
            <w:vAlign w:val="bottom"/>
          </w:tcPr>
          <w:p w14:paraId="05B896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A1B0D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bottom"/>
          </w:tcPr>
          <w:p w14:paraId="77043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edentary</w:t>
            </w:r>
          </w:p>
        </w:tc>
        <w:tc>
          <w:tcPr>
            <w:tcW w:w="3350" w:type="pct"/>
            <w:gridSpan w:val="3"/>
            <w:shd w:val="clear" w:color="auto" w:fill="FFFFFF"/>
            <w:noWrap/>
            <w:vAlign w:val="bottom"/>
          </w:tcPr>
          <w:p w14:paraId="0497C7D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Reference</w:t>
            </w:r>
          </w:p>
        </w:tc>
      </w:tr>
      <w:tr w14:paraId="35B6C23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bottom"/>
          </w:tcPr>
          <w:p w14:paraId="56E8FA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nsufficient</w:t>
            </w:r>
          </w:p>
        </w:tc>
        <w:tc>
          <w:tcPr>
            <w:tcW w:w="1118" w:type="pct"/>
            <w:shd w:val="clear" w:color="auto" w:fill="FFFFFF"/>
            <w:noWrap/>
            <w:vAlign w:val="bottom"/>
          </w:tcPr>
          <w:p w14:paraId="1093FC1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0.76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bottom"/>
          </w:tcPr>
          <w:p w14:paraId="6EA5350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0.39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1.45</w:t>
            </w:r>
          </w:p>
        </w:tc>
        <w:tc>
          <w:tcPr>
            <w:tcW w:w="1114" w:type="pct"/>
            <w:shd w:val="clear" w:color="auto" w:fill="FFFFFF"/>
            <w:noWrap/>
            <w:vAlign w:val="bottom"/>
          </w:tcPr>
          <w:p w14:paraId="70BE6CC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0.399</w:t>
            </w:r>
          </w:p>
        </w:tc>
      </w:tr>
      <w:tr w14:paraId="19F0B59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bottom"/>
          </w:tcPr>
          <w:p w14:paraId="05B153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oderate</w:t>
            </w:r>
          </w:p>
        </w:tc>
        <w:tc>
          <w:tcPr>
            <w:tcW w:w="1118" w:type="pct"/>
            <w:shd w:val="clear" w:color="auto" w:fill="FFFFFF"/>
            <w:noWrap/>
            <w:vAlign w:val="bottom"/>
          </w:tcPr>
          <w:p w14:paraId="552D8AA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1.10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bottom"/>
          </w:tcPr>
          <w:p w14:paraId="0984A56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0.58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2.08</w:t>
            </w:r>
          </w:p>
        </w:tc>
        <w:tc>
          <w:tcPr>
            <w:tcW w:w="1114" w:type="pct"/>
            <w:shd w:val="clear" w:color="auto" w:fill="FFFFFF"/>
            <w:noWrap/>
            <w:vAlign w:val="bottom"/>
          </w:tcPr>
          <w:p w14:paraId="03352D4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0.778</w:t>
            </w:r>
          </w:p>
        </w:tc>
      </w:tr>
      <w:tr w14:paraId="56EF49A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bottom"/>
          </w:tcPr>
          <w:p w14:paraId="5917FA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igorous</w:t>
            </w:r>
          </w:p>
        </w:tc>
        <w:tc>
          <w:tcPr>
            <w:tcW w:w="1118" w:type="pct"/>
            <w:shd w:val="clear" w:color="auto" w:fill="FFFFFF"/>
            <w:noWrap/>
            <w:vAlign w:val="bottom"/>
          </w:tcPr>
          <w:p w14:paraId="6FE03AF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0.27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bottom"/>
          </w:tcPr>
          <w:p w14:paraId="5841A23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0.65</w:t>
            </w:r>
          </w:p>
        </w:tc>
        <w:tc>
          <w:tcPr>
            <w:tcW w:w="1114" w:type="pct"/>
            <w:shd w:val="clear" w:color="auto" w:fill="FFFFFF"/>
            <w:noWrap/>
            <w:vAlign w:val="bottom"/>
          </w:tcPr>
          <w:p w14:paraId="34FBB0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0.003</w:t>
            </w:r>
          </w:p>
        </w:tc>
      </w:tr>
      <w:tr w14:paraId="3905689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513A2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mellitus, n (%)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2BC109B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1.10 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5B00C18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0.70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1.75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0AE2FD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0.674</w:t>
            </w:r>
          </w:p>
        </w:tc>
      </w:tr>
      <w:tr w14:paraId="6C228A2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318FDA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Hypertension, n (%)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4989C1C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1.81 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2934737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0.35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0.89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28294D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0.015</w:t>
            </w:r>
          </w:p>
        </w:tc>
      </w:tr>
      <w:tr w14:paraId="5C0A645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shd w:val="clear" w:color="auto" w:fill="auto"/>
            <w:noWrap/>
            <w:vAlign w:val="center"/>
          </w:tcPr>
          <w:p w14:paraId="07296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Log10 Pb μg/dL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4E6DB53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1.81</w:t>
            </w:r>
          </w:p>
        </w:tc>
        <w:tc>
          <w:tcPr>
            <w:tcW w:w="1118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0267557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4.06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33F8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0.151</w:t>
            </w:r>
          </w:p>
        </w:tc>
      </w:tr>
      <w:tr w14:paraId="22C41D6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noWrap/>
            <w:vAlign w:val="center"/>
          </w:tcPr>
          <w:p w14:paraId="715C3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327593"/>
            <w:r>
              <w:rPr>
                <w:rFonts w:ascii="Times New Roman" w:hAnsi="Times New Roman" w:cs="Times New Roman"/>
                <w:sz w:val="24"/>
                <w:szCs w:val="24"/>
              </w:rPr>
              <w:t>Log10 Cd μg/dL</w:t>
            </w:r>
          </w:p>
        </w:tc>
        <w:tc>
          <w:tcPr>
            <w:tcW w:w="1118" w:type="pct"/>
            <w:shd w:val="clear" w:color="auto" w:fill="auto"/>
            <w:noWrap/>
          </w:tcPr>
          <w:p w14:paraId="1F389B3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3.83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1F736E8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2.08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7.02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3FC22C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.001</w:t>
            </w:r>
          </w:p>
        </w:tc>
      </w:tr>
      <w:tr w14:paraId="661E57C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noWrap/>
            <w:vAlign w:val="center"/>
          </w:tcPr>
          <w:p w14:paraId="5E2264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Log10 Hg μg/dL</w:t>
            </w:r>
          </w:p>
        </w:tc>
        <w:tc>
          <w:tcPr>
            <w:tcW w:w="1118" w:type="pct"/>
            <w:shd w:val="clear" w:color="auto" w:fill="auto"/>
            <w:noWrap/>
          </w:tcPr>
          <w:p w14:paraId="2FF50FB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1.18 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5A71134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0.71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1.98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3BA746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0.517</w:t>
            </w:r>
          </w:p>
        </w:tc>
      </w:tr>
      <w:tr w14:paraId="0BFA187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noWrap/>
            <w:vAlign w:val="center"/>
          </w:tcPr>
          <w:p w14:paraId="19128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Log10 Se μg/dL</w:t>
            </w:r>
          </w:p>
        </w:tc>
        <w:tc>
          <w:tcPr>
            <w:tcW w:w="1118" w:type="pct"/>
            <w:shd w:val="clear" w:color="auto" w:fill="auto"/>
            <w:noWrap/>
          </w:tcPr>
          <w:p w14:paraId="3FC4019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0.00  </w:t>
            </w:r>
          </w:p>
        </w:tc>
        <w:tc>
          <w:tcPr>
            <w:tcW w:w="1118" w:type="pct"/>
            <w:shd w:val="clear" w:color="auto" w:fill="FFFFFF"/>
            <w:noWrap/>
            <w:vAlign w:val="center"/>
          </w:tcPr>
          <w:p w14:paraId="1FDBB15E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0.00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0.02</w:t>
            </w:r>
          </w:p>
        </w:tc>
        <w:tc>
          <w:tcPr>
            <w:tcW w:w="1114" w:type="pct"/>
            <w:shd w:val="clear" w:color="auto" w:fill="FFFFFF"/>
            <w:noWrap/>
            <w:vAlign w:val="center"/>
          </w:tcPr>
          <w:p w14:paraId="38E2E2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&lt;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  <w:t>.001</w:t>
            </w:r>
          </w:p>
        </w:tc>
      </w:tr>
      <w:tr w14:paraId="415FA1B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64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01C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Log10 Mn μg/dL</w:t>
            </w:r>
          </w:p>
        </w:tc>
        <w:tc>
          <w:tcPr>
            <w:tcW w:w="1118" w:type="pct"/>
            <w:tcBorders>
              <w:bottom w:val="single" w:color="auto" w:sz="12" w:space="0"/>
            </w:tcBorders>
            <w:shd w:val="clear" w:color="auto" w:fill="auto"/>
            <w:noWrap/>
          </w:tcPr>
          <w:p w14:paraId="5895E06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2.38</w:t>
            </w:r>
          </w:p>
        </w:tc>
        <w:tc>
          <w:tcPr>
            <w:tcW w:w="1118" w:type="pct"/>
            <w:tcBorders>
              <w:bottom w:val="single" w:color="auto" w:sz="12" w:space="0"/>
            </w:tcBorders>
            <w:shd w:val="clear" w:color="auto" w:fill="FFFFFF"/>
            <w:noWrap/>
            <w:vAlign w:val="center"/>
          </w:tcPr>
          <w:p w14:paraId="668AE02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10.92</w:t>
            </w:r>
          </w:p>
        </w:tc>
        <w:tc>
          <w:tcPr>
            <w:tcW w:w="1114" w:type="pct"/>
            <w:tcBorders>
              <w:bottom w:val="single" w:color="auto" w:sz="12" w:space="0"/>
            </w:tcBorders>
            <w:shd w:val="clear" w:color="auto" w:fill="FFFFFF"/>
            <w:noWrap/>
            <w:vAlign w:val="center"/>
          </w:tcPr>
          <w:p w14:paraId="3B2E86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0.264</w:t>
            </w:r>
          </w:p>
        </w:tc>
      </w:tr>
      <w:bookmarkEnd w:id="1"/>
    </w:tbl>
    <w:p w14:paraId="43A326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BMI, body mass index; PIR, family poverty income ratio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Pb, lead; Cd, cadmium; Hg, mercury; Se, selenium; Mn, manganese.</w:t>
      </w:r>
    </w:p>
    <w:p w14:paraId="0762A697">
      <w:pPr>
        <w:spacing w:line="360" w:lineRule="auto"/>
        <w:rPr>
          <w:rFonts w:ascii="Times New Roman" w:hAnsi="Times New Roman" w:eastAsia="等线" w:cs="Times New Roman"/>
          <w:b w:val="0"/>
          <w:bCs w:val="0"/>
          <w:sz w:val="24"/>
          <w:szCs w:val="24"/>
        </w:rPr>
      </w:pPr>
    </w:p>
    <w:p w14:paraId="3F5AFD53">
      <w:pPr>
        <w:spacing w:line="36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 w14:paraId="359FB84F">
      <w:pPr>
        <w:spacing w:line="360" w:lineRule="auto"/>
        <w:rPr>
          <w:rFonts w:hint="eastAsia" w:ascii="Times New Roman" w:hAnsi="Times New Roman" w:cs="Times New Roman"/>
          <w:b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 w:val="0"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2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able The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joint effect of heavy metals mixtures on the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eastAsia="zh-CN"/>
        </w:rPr>
        <w:t>risk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of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>osteoporosis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in WQS model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127"/>
        <w:gridCol w:w="2021"/>
        <w:gridCol w:w="2074"/>
      </w:tblGrid>
      <w:tr w14:paraId="7EAF3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 w14:paraId="369702B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Outcome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 w14:paraId="0BA4841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OR</w:t>
            </w:r>
          </w:p>
        </w:tc>
        <w:tc>
          <w:tcPr>
            <w:tcW w:w="2021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 w14:paraId="6716BFC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95% CI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 w14:paraId="0AA5C58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-value</w:t>
            </w:r>
          </w:p>
        </w:tc>
      </w:tr>
      <w:tr w14:paraId="2EE4D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vAlign w:val="top"/>
          </w:tcPr>
          <w:p w14:paraId="13509B94">
            <w:pPr>
              <w:spacing w:line="360" w:lineRule="auto"/>
              <w:jc w:val="left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ositive</w:t>
            </w:r>
          </w:p>
        </w:tc>
      </w:tr>
      <w:tr w14:paraId="1E965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 w14:paraId="12594F1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ude model</w:t>
            </w:r>
          </w:p>
        </w:tc>
        <w:tc>
          <w:tcPr>
            <w:tcW w:w="2127" w:type="dxa"/>
            <w:vAlign w:val="top"/>
          </w:tcPr>
          <w:p w14:paraId="2BB838AB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1.0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21" w:type="dxa"/>
            <w:vAlign w:val="top"/>
          </w:tcPr>
          <w:p w14:paraId="4C58F605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1.02-1.02</w:t>
            </w:r>
          </w:p>
        </w:tc>
        <w:tc>
          <w:tcPr>
            <w:tcW w:w="2074" w:type="dxa"/>
            <w:vAlign w:val="top"/>
          </w:tcPr>
          <w:p w14:paraId="36D34B1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14:paraId="69830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bottom w:val="single" w:color="auto" w:sz="12" w:space="0"/>
            </w:tcBorders>
            <w:vAlign w:val="top"/>
          </w:tcPr>
          <w:p w14:paraId="4245D28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Model I</w:t>
            </w:r>
          </w:p>
        </w:tc>
        <w:tc>
          <w:tcPr>
            <w:tcW w:w="2127" w:type="dxa"/>
            <w:tcBorders>
              <w:bottom w:val="single" w:color="auto" w:sz="12" w:space="0"/>
            </w:tcBorders>
            <w:vAlign w:val="top"/>
          </w:tcPr>
          <w:p w14:paraId="5CB1628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1.03</w:t>
            </w:r>
          </w:p>
        </w:tc>
        <w:tc>
          <w:tcPr>
            <w:tcW w:w="2021" w:type="dxa"/>
            <w:tcBorders>
              <w:bottom w:val="single" w:color="auto" w:sz="12" w:space="0"/>
            </w:tcBorders>
            <w:vAlign w:val="top"/>
          </w:tcPr>
          <w:p w14:paraId="2237F96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1.01, 1.05</w:t>
            </w:r>
          </w:p>
        </w:tc>
        <w:tc>
          <w:tcPr>
            <w:tcW w:w="2074" w:type="dxa"/>
            <w:tcBorders>
              <w:bottom w:val="single" w:color="auto" w:sz="12" w:space="0"/>
            </w:tcBorders>
            <w:vAlign w:val="top"/>
          </w:tcPr>
          <w:p w14:paraId="58F967C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0.005</w:t>
            </w:r>
          </w:p>
        </w:tc>
      </w:tr>
      <w:tr w14:paraId="206B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12" w:space="0"/>
            </w:tcBorders>
            <w:vAlign w:val="top"/>
          </w:tcPr>
          <w:p w14:paraId="02B17550">
            <w:pPr>
              <w:spacing w:line="360" w:lineRule="auto"/>
              <w:jc w:val="left"/>
              <w:rPr>
                <w:rFonts w:hint="default"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egative</w:t>
            </w:r>
          </w:p>
        </w:tc>
      </w:tr>
      <w:tr w14:paraId="64C2F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top"/>
          </w:tcPr>
          <w:p w14:paraId="627E077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Crude model</w:t>
            </w:r>
          </w:p>
        </w:tc>
        <w:tc>
          <w:tcPr>
            <w:tcW w:w="2127" w:type="dxa"/>
            <w:vAlign w:val="top"/>
          </w:tcPr>
          <w:p w14:paraId="4F2B29C6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0.98</w:t>
            </w:r>
          </w:p>
        </w:tc>
        <w:tc>
          <w:tcPr>
            <w:tcW w:w="2021" w:type="dxa"/>
            <w:vAlign w:val="top"/>
          </w:tcPr>
          <w:p w14:paraId="26E6DE43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-0.03, 0.00</w:t>
            </w:r>
          </w:p>
        </w:tc>
        <w:tc>
          <w:tcPr>
            <w:tcW w:w="2074" w:type="dxa"/>
            <w:vAlign w:val="top"/>
          </w:tcPr>
          <w:p w14:paraId="19C8558A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0.098</w:t>
            </w:r>
          </w:p>
        </w:tc>
      </w:tr>
      <w:tr w14:paraId="6B533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bottom w:val="single" w:color="auto" w:sz="12" w:space="0"/>
            </w:tcBorders>
            <w:vAlign w:val="top"/>
          </w:tcPr>
          <w:p w14:paraId="1A92F24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Model I</w:t>
            </w:r>
          </w:p>
        </w:tc>
        <w:tc>
          <w:tcPr>
            <w:tcW w:w="2127" w:type="dxa"/>
            <w:tcBorders>
              <w:bottom w:val="single" w:color="auto" w:sz="12" w:space="0"/>
            </w:tcBorders>
            <w:vAlign w:val="top"/>
          </w:tcPr>
          <w:p w14:paraId="2F4F0DF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0.98</w:t>
            </w:r>
          </w:p>
        </w:tc>
        <w:tc>
          <w:tcPr>
            <w:tcW w:w="2021" w:type="dxa"/>
            <w:tcBorders>
              <w:bottom w:val="single" w:color="auto" w:sz="12" w:space="0"/>
            </w:tcBorders>
            <w:vAlign w:val="top"/>
          </w:tcPr>
          <w:p w14:paraId="779A5A19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0.96, 1.0</w:t>
            </w:r>
          </w:p>
        </w:tc>
        <w:tc>
          <w:tcPr>
            <w:tcW w:w="2074" w:type="dxa"/>
            <w:tcBorders>
              <w:bottom w:val="single" w:color="auto" w:sz="12" w:space="0"/>
            </w:tcBorders>
            <w:vAlign w:val="top"/>
          </w:tcPr>
          <w:p w14:paraId="70C6426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0.061</w:t>
            </w:r>
          </w:p>
        </w:tc>
      </w:tr>
    </w:tbl>
    <w:p w14:paraId="4470AE2B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WQS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weighted quantile sum; 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odds ratio; CI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interval; Crude model adjusted for </w:t>
      </w:r>
      <w:r>
        <w:rPr>
          <w:rFonts w:hint="eastAsia" w:ascii="Times New Roman" w:hAnsi="Times New Roman" w:cs="Times New Roman"/>
          <w:sz w:val="24"/>
          <w:szCs w:val="24"/>
        </w:rPr>
        <w:t>none</w:t>
      </w:r>
      <w:r>
        <w:rPr>
          <w:rFonts w:ascii="Times New Roman" w:hAnsi="Times New Roman" w:cs="Times New Roman"/>
          <w:sz w:val="24"/>
          <w:szCs w:val="24"/>
        </w:rPr>
        <w:t>, while Model I adjusted for all covariates.</w:t>
      </w:r>
    </w:p>
    <w:p w14:paraId="24DEFC30">
      <w:pPr>
        <w:spacing w:line="360" w:lineRule="auto"/>
      </w:pPr>
    </w:p>
    <w:p w14:paraId="3F5C40BF">
      <w:pPr>
        <w:spacing w:line="360" w:lineRule="auto"/>
      </w:pPr>
    </w:p>
    <w:p w14:paraId="1EEB252C">
      <w:pPr>
        <w:spacing w:line="36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 w:val="0"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3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able PI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Ps of each heavy metal for the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eastAsia="zh-CN"/>
        </w:rPr>
        <w:t>risk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of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>osteoporosis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in </w:t>
      </w:r>
      <w:bookmarkStart w:id="2" w:name="OLE_LINK176"/>
      <w:r>
        <w:rPr>
          <w:rFonts w:ascii="Times New Roman" w:hAnsi="Times New Roman" w:cs="Times New Roman"/>
          <w:b/>
          <w:bCs w:val="0"/>
          <w:sz w:val="24"/>
          <w:szCs w:val="24"/>
        </w:rPr>
        <w:t>BKMR</w:t>
      </w:r>
      <w:bookmarkEnd w:id="2"/>
      <w:r>
        <w:rPr>
          <w:rFonts w:ascii="Times New Roman" w:hAnsi="Times New Roman" w:cs="Times New Roman"/>
          <w:b/>
          <w:bCs w:val="0"/>
          <w:sz w:val="24"/>
          <w:szCs w:val="24"/>
        </w:rPr>
        <w:t xml:space="preserve"> model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966"/>
      </w:tblGrid>
      <w:tr w14:paraId="5355F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op w:val="single" w:color="auto" w:sz="12" w:space="0"/>
              <w:bottom w:val="single" w:color="auto" w:sz="12" w:space="0"/>
            </w:tcBorders>
          </w:tcPr>
          <w:p w14:paraId="505277F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color="auto" w:sz="12" w:space="0"/>
              <w:bottom w:val="single" w:color="auto" w:sz="12" w:space="0"/>
            </w:tcBorders>
          </w:tcPr>
          <w:p w14:paraId="3A84804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PIP</w:t>
            </w:r>
          </w:p>
        </w:tc>
      </w:tr>
      <w:tr w14:paraId="5D501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5371D1D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log10 Pb</w:t>
            </w:r>
          </w:p>
        </w:tc>
        <w:tc>
          <w:tcPr>
            <w:tcW w:w="1966" w:type="dxa"/>
            <w:tcBorders>
              <w:top w:val="single" w:color="auto" w:sz="12" w:space="0"/>
            </w:tcBorders>
          </w:tcPr>
          <w:p w14:paraId="400A4D2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0.40</w:t>
            </w:r>
          </w:p>
        </w:tc>
      </w:tr>
      <w:tr w14:paraId="175F4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048" w:type="dxa"/>
            <w:vAlign w:val="center"/>
          </w:tcPr>
          <w:p w14:paraId="5AE91A82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  <w:lang w:val="en-US" w:eastAsia="zh-CN"/>
              </w:rPr>
              <w:t>log10 Cd</w:t>
            </w:r>
          </w:p>
        </w:tc>
        <w:tc>
          <w:tcPr>
            <w:tcW w:w="1966" w:type="dxa"/>
          </w:tcPr>
          <w:p w14:paraId="540A12A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  <w:lang w:val="en-US" w:eastAsia="zh-CN"/>
              </w:rPr>
              <w:t>1.00</w:t>
            </w:r>
          </w:p>
        </w:tc>
      </w:tr>
      <w:tr w14:paraId="3D08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0919A31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log10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  <w:t xml:space="preserve"> Hg</w:t>
            </w:r>
          </w:p>
        </w:tc>
        <w:tc>
          <w:tcPr>
            <w:tcW w:w="1966" w:type="dxa"/>
          </w:tcPr>
          <w:p w14:paraId="3D157A1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0.00</w:t>
            </w:r>
          </w:p>
        </w:tc>
      </w:tr>
      <w:tr w14:paraId="64F7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041FE28C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log10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  <w:t xml:space="preserve"> Se</w:t>
            </w:r>
          </w:p>
        </w:tc>
        <w:tc>
          <w:tcPr>
            <w:tcW w:w="1966" w:type="dxa"/>
          </w:tcPr>
          <w:p w14:paraId="3FF7529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0.86</w:t>
            </w:r>
          </w:p>
        </w:tc>
      </w:tr>
      <w:tr w14:paraId="50D9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4E5E7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log10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  <w:t xml:space="preserve"> Mn</w:t>
            </w:r>
          </w:p>
        </w:tc>
        <w:tc>
          <w:tcPr>
            <w:tcW w:w="1966" w:type="dxa"/>
            <w:tcBorders>
              <w:bottom w:val="single" w:color="auto" w:sz="12" w:space="0"/>
            </w:tcBorders>
          </w:tcPr>
          <w:p w14:paraId="003664D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  <w:lang w:val="en-US" w:eastAsia="zh-CN"/>
              </w:rPr>
              <w:t>0.84</w:t>
            </w:r>
          </w:p>
        </w:tc>
      </w:tr>
    </w:tbl>
    <w:p w14:paraId="0C496F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model adjusted for all covariates. PIP, posterior inclusion probability; </w:t>
      </w:r>
      <w:bookmarkStart w:id="3" w:name="OLE_LINK181"/>
      <w:r>
        <w:rPr>
          <w:rFonts w:ascii="Times New Roman" w:hAnsi="Times New Roman" w:cs="Times New Roman"/>
          <w:sz w:val="24"/>
          <w:szCs w:val="24"/>
        </w:rPr>
        <w:t>BKMR, Bayesian kernel machine regression</w:t>
      </w:r>
      <w:bookmarkEnd w:id="3"/>
      <w:r>
        <w:rPr>
          <w:rFonts w:ascii="Times New Roman" w:hAnsi="Times New Roman" w:cs="Times New Roman"/>
          <w:sz w:val="24"/>
          <w:szCs w:val="24"/>
        </w:rPr>
        <w:t>; Pb, lead; Cd, cadmium; Hg, mercury; Se, selenium; Mn, manganese.</w:t>
      </w:r>
    </w:p>
    <w:p w14:paraId="4722E8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DA6E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9B64D7">
      <w:pPr>
        <w:spacing w:line="360" w:lineRule="auto"/>
        <w:rPr>
          <w:rFonts w:ascii="Times New Roman" w:hAnsi="Times New Roman" w:eastAsia="等线" w:cs="Times New Roman"/>
          <w:b/>
          <w:bCs w:val="0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eastAsia="zh-CN"/>
        </w:rPr>
        <w:t>S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 xml:space="preserve">4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>able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>Associ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 xml:space="preserve">ation between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eastAsia="zh-CN"/>
        </w:rPr>
        <w:t>Cd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 xml:space="preserve"> exposure and inflammation and oxidative stress</w:t>
      </w:r>
    </w:p>
    <w:tbl>
      <w:tblPr>
        <w:tblStyle w:val="11"/>
        <w:tblW w:w="8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1781"/>
        <w:gridCol w:w="901"/>
        <w:gridCol w:w="222"/>
        <w:gridCol w:w="14"/>
        <w:gridCol w:w="1782"/>
        <w:gridCol w:w="1029"/>
      </w:tblGrid>
      <w:tr w14:paraId="7F73B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0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1B3E3C9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Inflammation and oxidative </w:t>
            </w:r>
          </w:p>
          <w:p w14:paraId="2576B8F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stress markers</w:t>
            </w:r>
          </w:p>
        </w:tc>
        <w:tc>
          <w:tcPr>
            <w:tcW w:w="2682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EC4606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>del I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right w:val="nil"/>
            </w:tcBorders>
          </w:tcPr>
          <w:p w14:paraId="2EC44AF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33EE413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>del II</w:t>
            </w:r>
          </w:p>
        </w:tc>
      </w:tr>
      <w:tr w14:paraId="06D55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70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11847FDB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2497EB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β (95% CI)</w:t>
            </w:r>
          </w:p>
        </w:tc>
        <w:tc>
          <w:tcPr>
            <w:tcW w:w="90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2A1418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-value</w:t>
            </w:r>
          </w:p>
        </w:tc>
        <w:tc>
          <w:tcPr>
            <w:tcW w:w="222" w:type="dxa"/>
            <w:tcBorders>
              <w:left w:val="nil"/>
              <w:bottom w:val="single" w:color="auto" w:sz="12" w:space="0"/>
              <w:right w:val="nil"/>
            </w:tcBorders>
          </w:tcPr>
          <w:p w14:paraId="0D93E6A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369A39E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β (95% CI)</w:t>
            </w:r>
          </w:p>
        </w:tc>
        <w:tc>
          <w:tcPr>
            <w:tcW w:w="102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04C2D2B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-value</w:t>
            </w:r>
          </w:p>
        </w:tc>
      </w:tr>
      <w:tr w14:paraId="5647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0" w:type="dxa"/>
            <w:tcBorders>
              <w:top w:val="single" w:color="auto" w:sz="12" w:space="0"/>
            </w:tcBorders>
          </w:tcPr>
          <w:p w14:paraId="05EC67F1">
            <w:pPr>
              <w:spacing w:line="360" w:lineRule="auto"/>
              <w:rPr>
                <w:rFonts w:ascii="Times New Roman" w:hAnsi="Times New Roman" w:eastAsia="等线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sz w:val="20"/>
                <w:szCs w:val="20"/>
              </w:rPr>
              <w:t>White blood cell</w:t>
            </w:r>
          </w:p>
        </w:tc>
        <w:tc>
          <w:tcPr>
            <w:tcW w:w="1781" w:type="dxa"/>
            <w:tcBorders>
              <w:top w:val="single" w:color="auto" w:sz="12" w:space="0"/>
            </w:tcBorders>
            <w:vAlign w:val="bottom"/>
          </w:tcPr>
          <w:p w14:paraId="7A1A40BB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0.63(0.24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1.02)</w:t>
            </w:r>
          </w:p>
        </w:tc>
        <w:tc>
          <w:tcPr>
            <w:tcW w:w="901" w:type="dxa"/>
            <w:tcBorders>
              <w:top w:val="single" w:color="auto" w:sz="12" w:space="0"/>
            </w:tcBorders>
            <w:vAlign w:val="bottom"/>
          </w:tcPr>
          <w:p w14:paraId="3E7AD383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22" w:type="dxa"/>
            <w:tcBorders>
              <w:top w:val="single" w:color="auto" w:sz="12" w:space="0"/>
            </w:tcBorders>
            <w:vAlign w:val="bottom"/>
          </w:tcPr>
          <w:p w14:paraId="216FBBF9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single" w:color="auto" w:sz="12" w:space="0"/>
            </w:tcBorders>
            <w:vAlign w:val="bottom"/>
          </w:tcPr>
          <w:p w14:paraId="2CF88637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0.72(0.31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1.13)</w:t>
            </w:r>
          </w:p>
        </w:tc>
        <w:tc>
          <w:tcPr>
            <w:tcW w:w="1029" w:type="dxa"/>
            <w:tcBorders>
              <w:top w:val="single" w:color="auto" w:sz="12" w:space="0"/>
            </w:tcBorders>
            <w:vAlign w:val="bottom"/>
          </w:tcPr>
          <w:p w14:paraId="4895195A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14:paraId="0608F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0" w:type="dxa"/>
          </w:tcPr>
          <w:p w14:paraId="1343481B">
            <w:pPr>
              <w:spacing w:line="360" w:lineRule="auto"/>
              <w:rPr>
                <w:rFonts w:ascii="Times New Roman" w:hAnsi="Times New Roman" w:eastAsia="等线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sz w:val="20"/>
                <w:szCs w:val="20"/>
              </w:rPr>
              <w:t>Alkaline phosphatase</w:t>
            </w:r>
          </w:p>
        </w:tc>
        <w:tc>
          <w:tcPr>
            <w:tcW w:w="1781" w:type="dxa"/>
            <w:vAlign w:val="bottom"/>
          </w:tcPr>
          <w:p w14:paraId="1A176B8A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4.58(2.17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6.99)</w:t>
            </w:r>
          </w:p>
        </w:tc>
        <w:tc>
          <w:tcPr>
            <w:tcW w:w="901" w:type="dxa"/>
            <w:vAlign w:val="bottom"/>
          </w:tcPr>
          <w:p w14:paraId="691F0812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222" w:type="dxa"/>
            <w:vAlign w:val="bottom"/>
          </w:tcPr>
          <w:p w14:paraId="0AC04870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vAlign w:val="bottom"/>
          </w:tcPr>
          <w:p w14:paraId="1C4474A0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2.62(0.25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4.98)</w:t>
            </w:r>
          </w:p>
        </w:tc>
        <w:tc>
          <w:tcPr>
            <w:tcW w:w="1029" w:type="dxa"/>
            <w:vAlign w:val="bottom"/>
          </w:tcPr>
          <w:p w14:paraId="5702B727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0.030</w:t>
            </w:r>
          </w:p>
        </w:tc>
      </w:tr>
      <w:tr w14:paraId="7233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0" w:type="dxa"/>
          </w:tcPr>
          <w:p w14:paraId="41BC5C56">
            <w:pPr>
              <w:spacing w:line="360" w:lineRule="auto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>Bilirubin</w:t>
            </w:r>
          </w:p>
        </w:tc>
        <w:tc>
          <w:tcPr>
            <w:tcW w:w="1781" w:type="dxa"/>
            <w:vAlign w:val="bottom"/>
          </w:tcPr>
          <w:p w14:paraId="0D63C3C3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-0.06(-0.11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-0.01)</w:t>
            </w:r>
          </w:p>
        </w:tc>
        <w:tc>
          <w:tcPr>
            <w:tcW w:w="901" w:type="dxa"/>
            <w:vAlign w:val="bottom"/>
          </w:tcPr>
          <w:p w14:paraId="600F2645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0.020</w:t>
            </w:r>
          </w:p>
        </w:tc>
        <w:tc>
          <w:tcPr>
            <w:tcW w:w="236" w:type="dxa"/>
            <w:gridSpan w:val="2"/>
            <w:vAlign w:val="bottom"/>
          </w:tcPr>
          <w:p w14:paraId="4E41EB03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2" w:type="dxa"/>
            <w:vAlign w:val="bottom"/>
          </w:tcPr>
          <w:p w14:paraId="444F225F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-0.09(-0.14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-0.0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9" w:type="dxa"/>
            <w:vAlign w:val="bottom"/>
          </w:tcPr>
          <w:p w14:paraId="5AE2118B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14:paraId="69BCE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E0654C5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Gamma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glutamyl transferase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0072D7A2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9.32(-0.67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19.31)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34D39FA7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0.068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610F65E2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7CA596BD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3.92(-6.47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14.31)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7CF2E83D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0.460</w:t>
            </w:r>
          </w:p>
        </w:tc>
      </w:tr>
    </w:tbl>
    <w:p w14:paraId="55A34D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I adjusted for all covariates. Model II adjusted for all covariates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heavy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metals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Cd,</w:t>
      </w:r>
      <w:r>
        <w:rPr>
          <w:rFonts w:ascii="Times New Roman" w:hAnsi="Times New Roman" w:cs="Times New Roman"/>
          <w:sz w:val="24"/>
          <w:szCs w:val="24"/>
        </w:rPr>
        <w:t xml:space="preserve"> manganese; 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odds ratio; CI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interval.</w:t>
      </w:r>
    </w:p>
    <w:p w14:paraId="2E271D58">
      <w:pPr>
        <w:spacing w:line="36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45F8CD57">
      <w:pPr>
        <w:spacing w:line="36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78A18FDF">
      <w:pPr>
        <w:spacing w:line="36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eastAsia="zh-CN"/>
        </w:rPr>
        <w:t>S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 xml:space="preserve">5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>able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>The eff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 xml:space="preserve">ects of inflammation and oxidative stress biomarkers on the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eastAsia="zh-CN"/>
        </w:rPr>
        <w:t>risk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 xml:space="preserve"> of 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>o</w:t>
      </w:r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eastAsia="zh-CN"/>
        </w:rPr>
        <w:t>steoporosis</w:t>
      </w:r>
      <w:r>
        <w:rPr>
          <w:rFonts w:ascii="Times New Roman" w:hAnsi="Times New Roman" w:eastAsia="等线" w:cs="Times New Roman"/>
          <w:b/>
          <w:bCs w:val="0"/>
          <w:sz w:val="24"/>
          <w:szCs w:val="24"/>
        </w:rPr>
        <w:t>.</w:t>
      </w:r>
    </w:p>
    <w:tbl>
      <w:tblPr>
        <w:tblStyle w:val="1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9"/>
        <w:gridCol w:w="1733"/>
        <w:gridCol w:w="980"/>
        <w:gridCol w:w="228"/>
        <w:gridCol w:w="1733"/>
        <w:gridCol w:w="979"/>
      </w:tblGrid>
      <w:tr w14:paraId="74028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9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top"/>
          </w:tcPr>
          <w:p w14:paraId="444945B4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Inflammation and oxidative stress markers</w:t>
            </w:r>
          </w:p>
        </w:tc>
        <w:tc>
          <w:tcPr>
            <w:tcW w:w="271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5C7687B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2"/>
              </w:rPr>
              <w:t>Model I</w:t>
            </w:r>
          </w:p>
        </w:tc>
        <w:tc>
          <w:tcPr>
            <w:tcW w:w="228" w:type="dxa"/>
            <w:tcBorders>
              <w:top w:val="single" w:color="auto" w:sz="12" w:space="0"/>
              <w:left w:val="nil"/>
              <w:right w:val="nil"/>
            </w:tcBorders>
            <w:vAlign w:val="top"/>
          </w:tcPr>
          <w:p w14:paraId="16C5FC1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</w:p>
        </w:tc>
        <w:tc>
          <w:tcPr>
            <w:tcW w:w="2712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54BE9D2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2"/>
              </w:rPr>
              <w:t>Model II</w:t>
            </w:r>
          </w:p>
        </w:tc>
      </w:tr>
      <w:tr w14:paraId="0464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9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top"/>
          </w:tcPr>
          <w:p w14:paraId="22F28F89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</w:p>
        </w:tc>
        <w:tc>
          <w:tcPr>
            <w:tcW w:w="17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57577D3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OR (95% CI)</w:t>
            </w:r>
          </w:p>
        </w:tc>
        <w:tc>
          <w:tcPr>
            <w:tcW w:w="98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6CDE8A3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sz w:val="22"/>
              </w:rPr>
              <w:t>-value</w:t>
            </w:r>
          </w:p>
        </w:tc>
        <w:tc>
          <w:tcPr>
            <w:tcW w:w="228" w:type="dxa"/>
            <w:tcBorders>
              <w:left w:val="nil"/>
              <w:bottom w:val="single" w:color="auto" w:sz="12" w:space="0"/>
              <w:right w:val="nil"/>
            </w:tcBorders>
            <w:vAlign w:val="top"/>
          </w:tcPr>
          <w:p w14:paraId="06D2CDE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2"/>
              </w:rPr>
            </w:pPr>
          </w:p>
        </w:tc>
        <w:tc>
          <w:tcPr>
            <w:tcW w:w="17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2A4BA2A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OR (95% CI)</w:t>
            </w:r>
          </w:p>
        </w:tc>
        <w:tc>
          <w:tcPr>
            <w:tcW w:w="97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4EDF97D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2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sz w:val="22"/>
              </w:rPr>
              <w:t>-value</w:t>
            </w:r>
          </w:p>
        </w:tc>
      </w:tr>
      <w:tr w14:paraId="7DF62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9" w:type="dxa"/>
            <w:tcBorders>
              <w:top w:val="single" w:color="auto" w:sz="12" w:space="0"/>
            </w:tcBorders>
            <w:vAlign w:val="top"/>
          </w:tcPr>
          <w:p w14:paraId="1AE7BED8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White blood cell</w:t>
            </w:r>
          </w:p>
        </w:tc>
        <w:tc>
          <w:tcPr>
            <w:tcW w:w="1733" w:type="dxa"/>
            <w:tcBorders>
              <w:top w:val="single" w:color="auto" w:sz="12" w:space="0"/>
            </w:tcBorders>
            <w:vAlign w:val="bottom"/>
          </w:tcPr>
          <w:p w14:paraId="391AD289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1.00(0.90</w:t>
            </w:r>
            <w:r>
              <w:rPr>
                <w:rFonts w:hint="eastAsia" w:ascii="Times New Roman" w:hAnsi="Times New Roman" w:eastAsia="等线" w:cs="Times New Roman"/>
                <w:sz w:val="22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22"/>
              </w:rPr>
              <w:t xml:space="preserve"> 1.11)</w:t>
            </w:r>
          </w:p>
        </w:tc>
        <w:tc>
          <w:tcPr>
            <w:tcW w:w="980" w:type="dxa"/>
            <w:tcBorders>
              <w:top w:val="single" w:color="auto" w:sz="12" w:space="0"/>
            </w:tcBorders>
            <w:vAlign w:val="bottom"/>
          </w:tcPr>
          <w:p w14:paraId="0B13E743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0.990</w:t>
            </w:r>
          </w:p>
        </w:tc>
        <w:tc>
          <w:tcPr>
            <w:tcW w:w="228" w:type="dxa"/>
            <w:tcBorders>
              <w:top w:val="single" w:color="auto" w:sz="12" w:space="0"/>
            </w:tcBorders>
            <w:vAlign w:val="bottom"/>
          </w:tcPr>
          <w:p w14:paraId="5582B795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</w:p>
        </w:tc>
        <w:tc>
          <w:tcPr>
            <w:tcW w:w="1733" w:type="dxa"/>
            <w:tcBorders>
              <w:top w:val="single" w:color="auto" w:sz="12" w:space="0"/>
            </w:tcBorders>
            <w:vAlign w:val="bottom"/>
          </w:tcPr>
          <w:p w14:paraId="3E3BBA7B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1.00(0.91</w:t>
            </w:r>
            <w:r>
              <w:rPr>
                <w:rFonts w:hint="eastAsia" w:ascii="Times New Roman" w:hAnsi="Times New Roman" w:eastAsia="等线" w:cs="Times New Roman"/>
                <w:sz w:val="22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22"/>
              </w:rPr>
              <w:t xml:space="preserve"> 1.11)</w:t>
            </w:r>
          </w:p>
        </w:tc>
        <w:tc>
          <w:tcPr>
            <w:tcW w:w="979" w:type="dxa"/>
            <w:tcBorders>
              <w:top w:val="single" w:color="auto" w:sz="12" w:space="0"/>
            </w:tcBorders>
            <w:vAlign w:val="bottom"/>
          </w:tcPr>
          <w:p w14:paraId="5C3FF1F1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0.944</w:t>
            </w:r>
          </w:p>
        </w:tc>
      </w:tr>
      <w:tr w14:paraId="69DE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9" w:type="dxa"/>
            <w:vAlign w:val="top"/>
          </w:tcPr>
          <w:p w14:paraId="2E1CE41B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Alkaline phosphatase</w:t>
            </w:r>
          </w:p>
        </w:tc>
        <w:tc>
          <w:tcPr>
            <w:tcW w:w="1733" w:type="dxa"/>
            <w:vAlign w:val="bottom"/>
          </w:tcPr>
          <w:p w14:paraId="0AA64E6E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1.01(1.01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 xml:space="preserve"> 1.02)</w:t>
            </w:r>
          </w:p>
        </w:tc>
        <w:tc>
          <w:tcPr>
            <w:tcW w:w="980" w:type="dxa"/>
            <w:vAlign w:val="bottom"/>
          </w:tcPr>
          <w:p w14:paraId="33595E38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0.015</w:t>
            </w:r>
          </w:p>
        </w:tc>
        <w:tc>
          <w:tcPr>
            <w:tcW w:w="228" w:type="dxa"/>
            <w:vAlign w:val="bottom"/>
          </w:tcPr>
          <w:p w14:paraId="3BEEAC75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</w:p>
        </w:tc>
        <w:tc>
          <w:tcPr>
            <w:tcW w:w="1733" w:type="dxa"/>
            <w:vAlign w:val="bottom"/>
          </w:tcPr>
          <w:p w14:paraId="30B5379C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1.01(1.01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 xml:space="preserve"> 1.02)</w:t>
            </w:r>
          </w:p>
        </w:tc>
        <w:tc>
          <w:tcPr>
            <w:tcW w:w="979" w:type="dxa"/>
            <w:vAlign w:val="bottom"/>
          </w:tcPr>
          <w:p w14:paraId="240E54E2">
            <w:pPr>
              <w:spacing w:line="360" w:lineRule="auto"/>
              <w:rPr>
                <w:rFonts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0.013</w:t>
            </w:r>
          </w:p>
        </w:tc>
      </w:tr>
      <w:tr w14:paraId="29AE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9" w:type="dxa"/>
            <w:vAlign w:val="top"/>
          </w:tcPr>
          <w:p w14:paraId="7478BB8D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Bilirubin</w:t>
            </w:r>
          </w:p>
        </w:tc>
        <w:tc>
          <w:tcPr>
            <w:tcW w:w="1733" w:type="dxa"/>
            <w:vAlign w:val="bottom"/>
          </w:tcPr>
          <w:p w14:paraId="611469DE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>0.31(0.11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>0.82)</w:t>
            </w:r>
          </w:p>
        </w:tc>
        <w:tc>
          <w:tcPr>
            <w:tcW w:w="980" w:type="dxa"/>
            <w:vAlign w:val="bottom"/>
          </w:tcPr>
          <w:p w14:paraId="3E6B1827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>0.019</w:t>
            </w:r>
          </w:p>
        </w:tc>
        <w:tc>
          <w:tcPr>
            <w:tcW w:w="228" w:type="dxa"/>
            <w:vAlign w:val="bottom"/>
          </w:tcPr>
          <w:p w14:paraId="6A39D33E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</w:pPr>
          </w:p>
        </w:tc>
        <w:tc>
          <w:tcPr>
            <w:tcW w:w="1733" w:type="dxa"/>
            <w:vAlign w:val="bottom"/>
          </w:tcPr>
          <w:p w14:paraId="6E695BF0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>0.35(0.13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 xml:space="preserve"> 0.90)</w:t>
            </w:r>
          </w:p>
        </w:tc>
        <w:tc>
          <w:tcPr>
            <w:tcW w:w="979" w:type="dxa"/>
            <w:vAlign w:val="bottom"/>
          </w:tcPr>
          <w:p w14:paraId="4B7E5979"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  <w:lang w:val="en-US" w:eastAsia="zh-CN"/>
              </w:rPr>
              <w:t>0.030</w:t>
            </w:r>
          </w:p>
        </w:tc>
      </w:tr>
      <w:tr w14:paraId="46A7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DD9879B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Gamma glutamyl transferase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2FA5715E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1.00(0.99</w:t>
            </w:r>
            <w:r>
              <w:rPr>
                <w:rFonts w:hint="eastAsia" w:ascii="Times New Roman" w:hAnsi="Times New Roman" w:eastAsia="等线" w:cs="Times New Roman"/>
                <w:sz w:val="22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22"/>
              </w:rPr>
              <w:t xml:space="preserve"> 1.00)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343B1CFE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0.325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5F5B5BE1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0FA30502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1.00(0.99</w:t>
            </w:r>
            <w:r>
              <w:rPr>
                <w:rFonts w:hint="eastAsia" w:ascii="Times New Roman" w:hAnsi="Times New Roman" w:eastAsia="等线" w:cs="Times New Roman"/>
                <w:sz w:val="22"/>
                <w:lang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22"/>
              </w:rPr>
              <w:t xml:space="preserve"> 1.00)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14:paraId="484DC519">
            <w:pPr>
              <w:spacing w:line="360" w:lineRule="auto"/>
              <w:rPr>
                <w:rFonts w:ascii="Times New Roman" w:hAnsi="Times New Roman" w:eastAsia="等线" w:cs="Times New Roman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0.331</w:t>
            </w:r>
          </w:p>
        </w:tc>
      </w:tr>
    </w:tbl>
    <w:p w14:paraId="016B3FF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Model I adjusted for all covariates. Model II adjusted for all covariates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heavy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metals</w:t>
      </w:r>
      <w:r>
        <w:rPr>
          <w:rFonts w:ascii="Times New Roman" w:hAnsi="Times New Roman" w:cs="Times New Roman"/>
          <w:sz w:val="24"/>
          <w:szCs w:val="24"/>
        </w:rPr>
        <w:t>. 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 xml:space="preserve"> odds ratio; CI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interval.</w:t>
      </w:r>
    </w:p>
    <w:p w14:paraId="0AB6185B">
      <w:pPr>
        <w:spacing w:line="360" w:lineRule="auto"/>
      </w:pPr>
    </w:p>
    <w:p w14:paraId="123BA411">
      <w:pPr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br w:type="page"/>
      </w:r>
    </w:p>
    <w:p w14:paraId="2B4E8113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Supplementary Figure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s</w:t>
      </w:r>
    </w:p>
    <w:p w14:paraId="16F630A6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</w:p>
    <w:p w14:paraId="3E7A44CD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4649470" cy="3933190"/>
            <wp:effectExtent l="0" t="0" r="13970" b="13970"/>
            <wp:docPr id="3" name="图片 3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D4699">
      <w:pPr>
        <w:spacing w:line="360" w:lineRule="auto"/>
        <w:jc w:val="both"/>
        <w:rPr>
          <w:rFonts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S1 Fig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 xml:space="preserve"> Flowc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 xml:space="preserve">hart of participants included in this study. </w:t>
      </w:r>
      <w:r>
        <w:rPr>
          <w:rFonts w:ascii="Times New Roman" w:hAnsi="Times New Roman" w:eastAsia="宋体" w:cs="Times New Roman"/>
          <w:sz w:val="21"/>
          <w:szCs w:val="21"/>
        </w:rPr>
        <w:t xml:space="preserve">NHANES, National Health and Nutrition Examination Survey;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BMD</w:t>
      </w:r>
      <w:r>
        <w:rPr>
          <w:rFonts w:ascii="Times New Roman" w:hAnsi="Times New Roman" w:eastAsia="宋体" w:cs="Times New Roman"/>
          <w:sz w:val="21"/>
          <w:szCs w:val="21"/>
        </w:rPr>
        <w:t xml:space="preserve">,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b</w:t>
      </w:r>
      <w:r>
        <w:rPr>
          <w:rFonts w:ascii="Times New Roman" w:hAnsi="Times New Roman" w:eastAsia="宋体" w:cs="Times New Roman"/>
          <w:sz w:val="21"/>
          <w:szCs w:val="21"/>
        </w:rPr>
        <w:t xml:space="preserve">one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宋体" w:cs="Times New Roman"/>
          <w:sz w:val="21"/>
          <w:szCs w:val="21"/>
        </w:rPr>
        <w:t xml:space="preserve">ineral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d</w:t>
      </w:r>
      <w:r>
        <w:rPr>
          <w:rFonts w:ascii="Times New Roman" w:hAnsi="Times New Roman" w:eastAsia="宋体" w:cs="Times New Roman"/>
          <w:sz w:val="21"/>
          <w:szCs w:val="21"/>
        </w:rPr>
        <w:t>ensity; BMI, body mass index; PIR, family poverty income ratio; GGT, gamma glutamyl transferase</w:t>
      </w:r>
      <w:r>
        <w:rPr>
          <w:rFonts w:ascii="Times New Roman" w:hAnsi="Times New Roman" w:eastAsia="宋体" w:cs="Times New Roman"/>
          <w:color w:val="000000"/>
          <w:sz w:val="21"/>
          <w:szCs w:val="21"/>
        </w:rPr>
        <w:t>.</w:t>
      </w:r>
    </w:p>
    <w:p w14:paraId="1CF5FEA6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47DD9175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6F1C0C60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50E04C82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7906846F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56CDFD15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211C6F4C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571CD6FF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</w:p>
    <w:p w14:paraId="2B3B6044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drawing>
          <wp:inline distT="0" distB="0" distL="114300" distR="114300">
            <wp:extent cx="5271770" cy="4864100"/>
            <wp:effectExtent l="0" t="0" r="1270" b="12700"/>
            <wp:docPr id="4" name="图片 4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77439"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 xml:space="preserve"> Fig Pears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>on correlations among the five heavy metals.</w:t>
      </w:r>
      <w:r>
        <w:rPr>
          <w:rFonts w:hint="eastAsia" w:ascii="Times New Roman" w:hAnsi="Times New Roman" w:eastAsia="宋体" w:cs="Times New Roman"/>
          <w:color w:val="4874CB" w:themeColor="accent1"/>
          <w:sz w:val="21"/>
          <w:szCs w:val="21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>Pb, lead; Cd, cadmium; Hg, mercury; Se, selenium; Mn, manganese.</w:t>
      </w:r>
    </w:p>
    <w:sectPr>
      <w:headerReference r:id="rId3" w:type="first"/>
      <w:footerReference r:id="rId5" w:type="first"/>
      <w:footerReference r:id="rId4" w:type="default"/>
      <w:pgSz w:w="11906" w:h="16838"/>
      <w:pgMar w:top="1440" w:right="1800" w:bottom="1440" w:left="1800" w:header="851" w:footer="992" w:gutter="0"/>
      <w:lnNumType w:countBy="0" w:restart="continuous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EBF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C60E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3C60E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8528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2320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22320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AED23">
    <w:pPr>
      <w:pStyle w:val="3"/>
      <w:jc w:val="center"/>
      <w:rPr>
        <w:rFonts w:hint="default" w:ascii="Times New Roman" w:hAnsi="Times New Roman" w:cs="Times New Roman"/>
        <w:b/>
        <w:bCs/>
        <w:sz w:val="40"/>
        <w:szCs w:val="56"/>
      </w:rPr>
    </w:pPr>
    <w:r>
      <w:rPr>
        <w:rFonts w:hint="default" w:ascii="Times New Roman" w:hAnsi="Times New Roman" w:cs="Times New Roman"/>
        <w:b/>
        <w:bCs/>
        <w:sz w:val="40"/>
        <w:szCs w:val="56"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mYzE2OTM0MGEwOTNiYzgwMDFjZDg3YTlkNWU4YTkifQ=="/>
  </w:docVars>
  <w:rsids>
    <w:rsidRoot w:val="4BCA6A64"/>
    <w:rsid w:val="4AB22E61"/>
    <w:rsid w:val="4BCA6A64"/>
    <w:rsid w:val="67465241"/>
    <w:rsid w:val="717E2EDA"/>
    <w:rsid w:val="7EE2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customStyle="1" w:styleId="7">
    <w:name w:val="网格型1"/>
    <w:basedOn w:val="5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2"/>
    <w:basedOn w:val="5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网格型3"/>
    <w:basedOn w:val="5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网格型4"/>
    <w:basedOn w:val="5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5"/>
    <w:basedOn w:val="5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网格型6"/>
    <w:basedOn w:val="5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518</Words>
  <Characters>3001</Characters>
  <Lines>0</Lines>
  <Paragraphs>0</Paragraphs>
  <TotalTime>1</TotalTime>
  <ScaleCrop>false</ScaleCrop>
  <LinksUpToDate>false</LinksUpToDate>
  <CharactersWithSpaces>3339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2024-07-25T13:13:00Z</dcterms:created>
  <dc:creator>李</dc:creator>
  <cp:lastModifiedBy>李</cp:lastModifiedBy>
  <dcterms:modified xsi:type="dcterms:W3CDTF">2025-03-28T12:43:43Z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CB42B62AA05B44C0955CB1B8AC64BAF6_11</vt:lpwstr>
  </property>
  <property fmtid="{D5CDD505-2E9C-101B-9397-08002B2CF9AE}" pid="4" name="KSOTemplateDocerSaveRecord">
    <vt:lpwstr>eyJoZGlkIjoiZjI0NTQwOWYyODI0Mzg5NDBkNDgwYTVlMGU5YzQzZjEiLCJ1c2VySWQiOiIzOTMyNjY0MDAifQ==</vt:lpwstr>
  </property>
</Properties>
</file>