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F7E02D" w14:textId="77777777" w:rsidR="00B5557E" w:rsidRDefault="00000000">
      <w:pPr>
        <w:spacing w:line="360" w:lineRule="auto"/>
        <w:jc w:val="center"/>
        <w:rPr>
          <w:rFonts w:ascii="Times New Roman" w:hAnsi="Times New Roman" w:cs="Times New Roman"/>
          <w:b/>
          <w:sz w:val="22"/>
        </w:rPr>
      </w:pPr>
      <w:r>
        <w:rPr>
          <w:rFonts w:ascii="Times New Roman" w:hAnsi="Times New Roman" w:cs="Times New Roman" w:hint="eastAsia"/>
          <w:b/>
          <w:sz w:val="22"/>
        </w:rPr>
        <w:t>Supplementary material</w:t>
      </w:r>
      <w:r>
        <w:rPr>
          <w:rFonts w:ascii="Times New Roman" w:hAnsi="Times New Roman" w:cs="Times New Roman"/>
          <w:b/>
          <w:sz w:val="22"/>
        </w:rPr>
        <w:t xml:space="preserve"> 2</w:t>
      </w:r>
    </w:p>
    <w:p w14:paraId="1367EB38" w14:textId="77777777" w:rsidR="00102EEC" w:rsidRDefault="00102EEC" w:rsidP="00102EEC">
      <w:pPr>
        <w:spacing w:line="360" w:lineRule="auto"/>
        <w:jc w:val="left"/>
        <w:rPr>
          <w:rFonts w:ascii="Times New Roman" w:hAnsi="Times New Roman" w:cs="Times New Roman"/>
          <w:bCs/>
          <w:sz w:val="22"/>
        </w:rPr>
      </w:pPr>
      <w:bookmarkStart w:id="0" w:name="_Hlk175660999"/>
      <w:r>
        <w:rPr>
          <w:rFonts w:ascii="Times New Roman" w:hAnsi="Times New Roman" w:cs="Times New Roman" w:hint="eastAsia"/>
          <w:b/>
          <w:sz w:val="22"/>
        </w:rPr>
        <w:t>A</w:t>
      </w:r>
      <w:r w:rsidRPr="00E32B4A">
        <w:rPr>
          <w:rFonts w:ascii="Times New Roman" w:hAnsi="Times New Roman" w:cs="Times New Roman" w:hint="eastAsia"/>
          <w:b/>
          <w:sz w:val="22"/>
        </w:rPr>
        <w:t>rticle title</w:t>
      </w:r>
      <w:r>
        <w:rPr>
          <w:rFonts w:ascii="Times New Roman" w:hAnsi="Times New Roman" w:cs="Times New Roman" w:hint="eastAsia"/>
          <w:b/>
          <w:sz w:val="22"/>
        </w:rPr>
        <w:t>:</w:t>
      </w:r>
      <w:r w:rsidRPr="00E32B4A">
        <w:rPr>
          <w:rFonts w:hint="eastAsia"/>
        </w:rPr>
        <w:t xml:space="preserve"> </w:t>
      </w:r>
      <w:r w:rsidRPr="00E32B4A">
        <w:rPr>
          <w:rFonts w:ascii="Times New Roman" w:hAnsi="Times New Roman" w:cs="Times New Roman" w:hint="eastAsia"/>
          <w:bCs/>
          <w:sz w:val="22"/>
        </w:rPr>
        <w:t>The Impact of Behavioral Patterns on Accelerated Aging in the UK Biobank</w:t>
      </w:r>
      <w:r>
        <w:rPr>
          <w:rFonts w:ascii="Times New Roman" w:hAnsi="Times New Roman" w:cs="Times New Roman" w:hint="eastAsia"/>
          <w:bCs/>
          <w:sz w:val="22"/>
        </w:rPr>
        <w:t>.</w:t>
      </w:r>
    </w:p>
    <w:p w14:paraId="14B78B34" w14:textId="77777777" w:rsidR="00102EEC" w:rsidRPr="00E32B4A" w:rsidRDefault="00102EEC" w:rsidP="00102EEC">
      <w:pPr>
        <w:spacing w:line="360" w:lineRule="auto"/>
        <w:jc w:val="left"/>
        <w:rPr>
          <w:rFonts w:ascii="Times New Roman" w:hAnsi="Times New Roman" w:cs="Times New Roman"/>
          <w:b/>
          <w:sz w:val="22"/>
        </w:rPr>
      </w:pPr>
      <w:r w:rsidRPr="00E32B4A">
        <w:rPr>
          <w:rFonts w:ascii="Times New Roman" w:hAnsi="Times New Roman" w:cs="Times New Roman" w:hint="eastAsia"/>
          <w:b/>
          <w:sz w:val="22"/>
        </w:rPr>
        <w:t>Journal name:</w:t>
      </w:r>
      <w:r w:rsidRPr="00E32B4A">
        <w:rPr>
          <w:rFonts w:hint="eastAsia"/>
        </w:rPr>
        <w:t xml:space="preserve"> </w:t>
      </w:r>
      <w:r>
        <w:rPr>
          <w:rFonts w:ascii="Times New Roman" w:hAnsi="Times New Roman" w:cs="Times New Roman" w:hint="eastAsia"/>
          <w:bCs/>
          <w:sz w:val="22"/>
        </w:rPr>
        <w:t>A</w:t>
      </w:r>
      <w:r w:rsidRPr="00E32B4A">
        <w:rPr>
          <w:rFonts w:ascii="Times New Roman" w:hAnsi="Times New Roman" w:cs="Times New Roman" w:hint="eastAsia"/>
          <w:bCs/>
          <w:sz w:val="22"/>
        </w:rPr>
        <w:t xml:space="preserve">ging </w:t>
      </w:r>
      <w:r>
        <w:rPr>
          <w:rFonts w:ascii="Times New Roman" w:hAnsi="Times New Roman" w:cs="Times New Roman" w:hint="eastAsia"/>
          <w:bCs/>
          <w:sz w:val="22"/>
        </w:rPr>
        <w:t>C</w:t>
      </w:r>
      <w:r w:rsidRPr="00E32B4A">
        <w:rPr>
          <w:rFonts w:ascii="Times New Roman" w:hAnsi="Times New Roman" w:cs="Times New Roman" w:hint="eastAsia"/>
          <w:bCs/>
          <w:sz w:val="22"/>
        </w:rPr>
        <w:t xml:space="preserve">linical and </w:t>
      </w:r>
      <w:r>
        <w:rPr>
          <w:rFonts w:ascii="Times New Roman" w:hAnsi="Times New Roman" w:cs="Times New Roman" w:hint="eastAsia"/>
          <w:bCs/>
          <w:sz w:val="22"/>
        </w:rPr>
        <w:t>E</w:t>
      </w:r>
      <w:r w:rsidRPr="00E32B4A">
        <w:rPr>
          <w:rFonts w:ascii="Times New Roman" w:hAnsi="Times New Roman" w:cs="Times New Roman" w:hint="eastAsia"/>
          <w:bCs/>
          <w:sz w:val="22"/>
        </w:rPr>
        <w:t xml:space="preserve">xperimental </w:t>
      </w:r>
      <w:r>
        <w:rPr>
          <w:rFonts w:ascii="Times New Roman" w:hAnsi="Times New Roman" w:cs="Times New Roman" w:hint="eastAsia"/>
          <w:bCs/>
          <w:sz w:val="22"/>
        </w:rPr>
        <w:t>R</w:t>
      </w:r>
      <w:r w:rsidRPr="00E32B4A">
        <w:rPr>
          <w:rFonts w:ascii="Times New Roman" w:hAnsi="Times New Roman" w:cs="Times New Roman" w:hint="eastAsia"/>
          <w:bCs/>
          <w:sz w:val="22"/>
        </w:rPr>
        <w:t>esearch</w:t>
      </w:r>
    </w:p>
    <w:p w14:paraId="606404C8" w14:textId="77777777" w:rsidR="00102EEC" w:rsidRDefault="00102EEC" w:rsidP="00102EEC">
      <w:pPr>
        <w:spacing w:line="360" w:lineRule="auto"/>
        <w:jc w:val="left"/>
        <w:rPr>
          <w:rFonts w:ascii="Times New Roman" w:hAnsi="Times New Roman" w:cs="Times New Roman"/>
          <w:bCs/>
          <w:sz w:val="22"/>
        </w:rPr>
      </w:pPr>
      <w:r w:rsidRPr="00E32B4A">
        <w:rPr>
          <w:rFonts w:ascii="Times New Roman" w:hAnsi="Times New Roman" w:cs="Times New Roman" w:hint="eastAsia"/>
          <w:b/>
          <w:sz w:val="22"/>
        </w:rPr>
        <w:t>Author</w:t>
      </w:r>
      <w:r w:rsidRPr="00E32B4A">
        <w:rPr>
          <w:rFonts w:hint="eastAsia"/>
        </w:rPr>
        <w:t xml:space="preserve"> </w:t>
      </w:r>
      <w:r w:rsidRPr="00E32B4A">
        <w:rPr>
          <w:rFonts w:ascii="Times New Roman" w:hAnsi="Times New Roman" w:cs="Times New Roman" w:hint="eastAsia"/>
          <w:b/>
          <w:sz w:val="22"/>
        </w:rPr>
        <w:t>names:</w:t>
      </w:r>
      <w:r w:rsidRPr="00E32B4A">
        <w:rPr>
          <w:rFonts w:hint="eastAsia"/>
        </w:rPr>
        <w:t xml:space="preserve"> </w:t>
      </w:r>
      <w:r w:rsidRPr="00E32B4A">
        <w:rPr>
          <w:rFonts w:ascii="Times New Roman" w:hAnsi="Times New Roman" w:cs="Times New Roman" w:hint="eastAsia"/>
          <w:bCs/>
          <w:sz w:val="22"/>
        </w:rPr>
        <w:t>Rui Mao, Xin Meng, Fan Wang, Yun Zhong, Tongtong Zhang, Hu Zhang</w:t>
      </w:r>
    </w:p>
    <w:p w14:paraId="78186404" w14:textId="77777777" w:rsidR="00102EEC" w:rsidRPr="00E32B4A" w:rsidRDefault="00102EEC" w:rsidP="00102EEC">
      <w:pPr>
        <w:spacing w:line="480" w:lineRule="auto"/>
        <w:jc w:val="left"/>
        <w:rPr>
          <w:rFonts w:ascii="Times New Roman" w:eastAsia="宋体" w:hAnsi="Times New Roman" w:cs="Times New Roman"/>
          <w:bCs/>
          <w:sz w:val="22"/>
        </w:rPr>
      </w:pPr>
      <w:r w:rsidRPr="00E32B4A">
        <w:rPr>
          <w:rFonts w:ascii="Times New Roman" w:eastAsia="宋体" w:hAnsi="Times New Roman" w:cs="Times New Roman"/>
          <w:b/>
          <w:sz w:val="22"/>
        </w:rPr>
        <w:t>Correspondence author:</w:t>
      </w:r>
      <w:r w:rsidRPr="00E32B4A">
        <w:rPr>
          <w:rFonts w:ascii="Times New Roman" w:eastAsia="宋体" w:hAnsi="Times New Roman" w:cs="Times New Roman"/>
          <w:bCs/>
          <w:sz w:val="22"/>
        </w:rPr>
        <w:t xml:space="preserve"> Hu Zhang, Ph.D., The Third People’s Hospital of Chengdu, Chengdu, 610031, China, E-mail: mr1995@my.swjtu.edu.cn </w:t>
      </w:r>
    </w:p>
    <w:bookmarkEnd w:id="0"/>
    <w:p w14:paraId="12268069" w14:textId="77777777" w:rsidR="00B5557E" w:rsidRPr="00102EEC" w:rsidRDefault="00B5557E">
      <w:pPr>
        <w:spacing w:line="360" w:lineRule="auto"/>
        <w:rPr>
          <w:rFonts w:ascii="Times New Roman" w:hAnsi="Times New Roman" w:cs="Times New Roman"/>
          <w:b/>
          <w:sz w:val="22"/>
        </w:rPr>
      </w:pPr>
    </w:p>
    <w:p w14:paraId="293B7EEF" w14:textId="77777777" w:rsidR="00B5557E" w:rsidRDefault="00000000">
      <w:pPr>
        <w:spacing w:line="360" w:lineRule="auto"/>
        <w:rPr>
          <w:rFonts w:ascii="Times New Roman" w:hAnsi="Times New Roman" w:cs="Times New Roman"/>
          <w:b/>
          <w:sz w:val="22"/>
        </w:rPr>
      </w:pPr>
      <w:r>
        <w:rPr>
          <w:rFonts w:ascii="Times New Roman" w:hAnsi="Times New Roman" w:cs="Times New Roman"/>
          <w:b/>
          <w:sz w:val="22"/>
        </w:rPr>
        <w:t>e</w:t>
      </w:r>
      <w:r>
        <w:rPr>
          <w:rFonts w:ascii="Times New Roman" w:hAnsi="Times New Roman" w:cs="Times New Roman" w:hint="eastAsia"/>
          <w:b/>
          <w:sz w:val="22"/>
        </w:rPr>
        <w:t>M</w:t>
      </w:r>
      <w:r>
        <w:rPr>
          <w:rFonts w:ascii="Times New Roman" w:hAnsi="Times New Roman" w:cs="Times New Roman"/>
          <w:b/>
          <w:sz w:val="22"/>
        </w:rPr>
        <w:t>ethods</w:t>
      </w:r>
    </w:p>
    <w:p w14:paraId="09A80D8E" w14:textId="77777777" w:rsidR="00B5557E" w:rsidRDefault="00000000">
      <w:pPr>
        <w:spacing w:line="360" w:lineRule="auto"/>
        <w:rPr>
          <w:rFonts w:ascii="Times New Roman" w:hAnsi="Times New Roman" w:cs="Times New Roman"/>
          <w:sz w:val="22"/>
        </w:rPr>
      </w:pPr>
      <w:r>
        <w:rPr>
          <w:rFonts w:ascii="Times New Roman" w:hAnsi="Times New Roman" w:cs="Times New Roman"/>
          <w:b/>
          <w:sz w:val="22"/>
        </w:rPr>
        <w:t>sTable 1</w:t>
      </w:r>
      <w:r>
        <w:rPr>
          <w:rFonts w:ascii="Times New Roman" w:hAnsi="Times New Roman" w:cs="Times New Roman"/>
          <w:sz w:val="22"/>
        </w:rPr>
        <w:t>.</w:t>
      </w:r>
      <w:r>
        <w:rPr>
          <w:rFonts w:ascii="Times New Roman" w:hAnsi="Times New Roman" w:cs="Times New Roman" w:hint="eastAsia"/>
          <w:sz w:val="22"/>
        </w:rPr>
        <w:t xml:space="preserve"> </w:t>
      </w:r>
      <w:r>
        <w:rPr>
          <w:rFonts w:ascii="Times New Roman" w:hAnsi="Times New Roman" w:cs="Times New Roman"/>
          <w:sz w:val="22"/>
        </w:rPr>
        <w:t>STROBE-MR checklist of recommended items to address in reports of Mendelian randomisation studies.</w:t>
      </w:r>
    </w:p>
    <w:p w14:paraId="026B27B7" w14:textId="38BD7AD8" w:rsidR="00B5557E" w:rsidRDefault="00000000">
      <w:pPr>
        <w:spacing w:line="360" w:lineRule="auto"/>
        <w:rPr>
          <w:rFonts w:ascii="Times New Roman" w:hAnsi="Times New Roman" w:cs="Times New Roman" w:hint="eastAsia"/>
          <w:b/>
          <w:sz w:val="22"/>
        </w:rPr>
        <w:sectPr w:rsidR="00B5557E">
          <w:pgSz w:w="11906" w:h="16838"/>
          <w:pgMar w:top="1080" w:right="1440" w:bottom="1080" w:left="1440" w:header="851" w:footer="992" w:gutter="0"/>
          <w:cols w:space="425"/>
          <w:docGrid w:type="lines" w:linePitch="312"/>
        </w:sectPr>
      </w:pPr>
      <w:r>
        <w:rPr>
          <w:rFonts w:ascii="Times New Roman" w:hAnsi="Times New Roman" w:cs="Times New Roman"/>
          <w:b/>
          <w:sz w:val="22"/>
        </w:rPr>
        <w:t>sTable 2</w:t>
      </w:r>
      <w:r>
        <w:rPr>
          <w:rFonts w:ascii="Times New Roman" w:hAnsi="Times New Roman" w:cs="Times New Roman"/>
          <w:sz w:val="22"/>
        </w:rPr>
        <w:t>. Phenotype descriptions and distribution</w:t>
      </w:r>
    </w:p>
    <w:p w14:paraId="4B63FBDA" w14:textId="77777777" w:rsidR="00B5557E" w:rsidRDefault="00B5557E">
      <w:pPr>
        <w:spacing w:line="360" w:lineRule="auto"/>
        <w:rPr>
          <w:rFonts w:ascii="Times New Roman" w:hAnsi="Times New Roman" w:cs="Times New Roman"/>
          <w:b/>
          <w:sz w:val="22"/>
        </w:rPr>
      </w:pPr>
    </w:p>
    <w:p w14:paraId="16ED1F7C" w14:textId="77777777" w:rsidR="00B5557E" w:rsidRDefault="00000000">
      <w:pPr>
        <w:spacing w:line="360" w:lineRule="auto"/>
        <w:rPr>
          <w:rFonts w:ascii="Times New Roman" w:hAnsi="Times New Roman" w:cs="Times New Roman"/>
          <w:b/>
          <w:sz w:val="22"/>
        </w:rPr>
      </w:pPr>
      <w:r>
        <w:rPr>
          <w:rFonts w:ascii="Times New Roman" w:hAnsi="Times New Roman" w:cs="Times New Roman"/>
          <w:b/>
          <w:sz w:val="22"/>
        </w:rPr>
        <w:t>e</w:t>
      </w:r>
      <w:r>
        <w:rPr>
          <w:rFonts w:ascii="Times New Roman" w:hAnsi="Times New Roman" w:cs="Times New Roman" w:hint="eastAsia"/>
          <w:b/>
          <w:sz w:val="22"/>
        </w:rPr>
        <w:t>M</w:t>
      </w:r>
      <w:r>
        <w:rPr>
          <w:rFonts w:ascii="Times New Roman" w:hAnsi="Times New Roman" w:cs="Times New Roman"/>
          <w:b/>
          <w:sz w:val="22"/>
        </w:rPr>
        <w:t>ethods</w:t>
      </w:r>
    </w:p>
    <w:p w14:paraId="57EDB442" w14:textId="77777777" w:rsidR="00B5557E" w:rsidRDefault="00000000">
      <w:pPr>
        <w:spacing w:line="360" w:lineRule="auto"/>
        <w:rPr>
          <w:rFonts w:ascii="Times New Roman" w:hAnsi="Times New Roman" w:cs="Times New Roman"/>
          <w:sz w:val="22"/>
        </w:rPr>
      </w:pPr>
      <w:r>
        <w:rPr>
          <w:rFonts w:ascii="Times New Roman" w:hAnsi="Times New Roman" w:cs="Times New Roman"/>
          <w:b/>
          <w:sz w:val="22"/>
        </w:rPr>
        <w:t>Mendelian Randomization</w:t>
      </w:r>
    </w:p>
    <w:p w14:paraId="62704A4B" w14:textId="77777777" w:rsidR="00B5557E" w:rsidRDefault="00000000">
      <w:pPr>
        <w:spacing w:line="360" w:lineRule="auto"/>
        <w:ind w:firstLineChars="100" w:firstLine="220"/>
        <w:rPr>
          <w:rFonts w:ascii="Times New Roman" w:hAnsi="Times New Roman" w:cs="Times New Roman"/>
          <w:sz w:val="22"/>
        </w:rPr>
      </w:pPr>
      <w:r>
        <w:rPr>
          <w:rFonts w:ascii="Times New Roman" w:hAnsi="Times New Roman" w:cs="Times New Roman"/>
          <w:sz w:val="22"/>
        </w:rPr>
        <w:t>To explore the connections between sleep duration, physical activity, sedentary behavior, and biological age acceleration, our study utilized the MRlap</w:t>
      </w:r>
      <w:r>
        <w:rPr>
          <w:rFonts w:ascii="Times New Roman" w:hAnsi="Times New Roman" w:cs="Times New Roman"/>
          <w:sz w:val="22"/>
        </w:rPr>
        <w:fldChar w:fldCharType="begin"/>
      </w:r>
      <w:r>
        <w:rPr>
          <w:rFonts w:ascii="Times New Roman" w:hAnsi="Times New Roman" w:cs="Times New Roman"/>
          <w:sz w:val="22"/>
        </w:rPr>
        <w:instrText xml:space="preserve"> ADDIN ZOTERO_ITEM CSL_CITATION {"citationID":"dxpkHpmP","properties":{"formattedCitation":"\\super 1\\nosupersub{}","plainCitation":"1","noteIndex":0},"citationItems":[{"id":992,"uris":["http://zotero.org/users/10463810/items/UF4E3G5A"],"itemData":{"id":992,"type":"software","abstract":"R package to perform two-sample Mendelian Randomisation (MR) analyses using (potentially) overlapping samples","genre":"R","license":"GPL-2.0","note":"original-date: 2021-02-26T09:44:07Z","source":"GitHub","title":"MRlap","URL":"https://github.com/n-mounier/MRlap","author":[{"family":"Mounier","given":"Ninon"}],"accessed":{"date-parts":[["2023",9,17]]},"issued":{"date-parts":[["2023",9,9]]}}}],"schema":"https://github.com/citation-style-language/schema/raw/master/csl-citation.json"} </w:instrText>
      </w:r>
      <w:r>
        <w:rPr>
          <w:rFonts w:ascii="Times New Roman" w:hAnsi="Times New Roman" w:cs="Times New Roman"/>
          <w:sz w:val="22"/>
        </w:rPr>
        <w:fldChar w:fldCharType="separate"/>
      </w:r>
      <w:r>
        <w:rPr>
          <w:rFonts w:ascii="Times New Roman" w:hAnsi="Times New Roman" w:cs="Times New Roman"/>
          <w:kern w:val="0"/>
          <w:sz w:val="22"/>
          <w:szCs w:val="24"/>
          <w:vertAlign w:val="superscript"/>
        </w:rPr>
        <w:t>1</w:t>
      </w:r>
      <w:r>
        <w:rPr>
          <w:rFonts w:ascii="Times New Roman" w:hAnsi="Times New Roman" w:cs="Times New Roman"/>
          <w:sz w:val="22"/>
        </w:rPr>
        <w:fldChar w:fldCharType="end"/>
      </w:r>
      <w:r>
        <w:rPr>
          <w:rFonts w:ascii="Times New Roman" w:hAnsi="Times New Roman" w:cs="Times New Roman"/>
          <w:sz w:val="22"/>
        </w:rPr>
        <w:t xml:space="preserve"> analytical method, an R-package specifically designed for two-sample Mendelian Randomization (MR) using summary statistics from potentially overlapping GWAS cohorts. Given the UK Biobank (UKB) was the primary source for GWAS data concerning sleep duration, physical activity, sedentary behavior, and biological age acceleration</w:t>
      </w:r>
      <w:r>
        <w:rPr>
          <w:rFonts w:ascii="Times New Roman" w:hAnsi="Times New Roman" w:cs="Times New Roman"/>
          <w:sz w:val="22"/>
        </w:rPr>
        <w:fldChar w:fldCharType="begin"/>
      </w:r>
      <w:r>
        <w:rPr>
          <w:rFonts w:ascii="Times New Roman" w:hAnsi="Times New Roman" w:cs="Times New Roman"/>
          <w:sz w:val="22"/>
        </w:rPr>
        <w:instrText xml:space="preserve"> ADDIN ZOTERO_ITEM CSL_CITATION {"citationID":"K6AuhzbQ","properties":{"formattedCitation":"\\super 2\\nosupersub{}","plainCitation":"2","noteIndex":0},"citationItems":[{"id":917,"uris":["http://zotero.org/users/10463810/items/NSTU796B"],"itemData":{"id":917,"type":"article-journal","abstract":"Biological age measures outperform chronological age in predicting various aging outcomes, yet little is known regarding genetic predisposition. We performed genome-wide association scans of two age-adjusted biological age measures (PhenoAgeAcceleration and BioAgeAcceleration), estimated from clinical biochemistry markers (Levine et al., 2018; Levine, 2013) in European-descent participants from UK Biobank. The strongest signals were found in the APOE gene, tagged by the two major protein-coding SNPs, PhenoAgeAccel—rs429358 (APOE e4 determinant) (p = 1.50 × 10−72); BioAgeAccel—rs7412 (APOE e2 determinant) (p = 3.16 × 10−60). Interestingly, we observed inverse APOE e2 and e4 associations and unique pathway enrichments when comparing the two biological age measures. Genes associated with BioAgeAccel were enriched in lipid related pathways, while genes associated with PhenoAgeAccel showed enrichment for immune system, cell function, and carbohydrate homeostasis pathways, suggesting the two measures capture different aging domains. Our study reaffirms that aging patterns are heterogeneous across individuals, and the manner in which a person ages may be partly attributed to genetic predisposition.","container-title":"Aging Cell","DOI":"10.1111/acel.13376","ISSN":"1474-9726","issue":"6","language":"en","license":"© 2021 The Authors. Aging Cell published by the Anatomical Society and John Wiley &amp; Sons Ltd.","note":"_eprint: https://onlinelibrary.wiley.com/doi/pdf/10.1111/acel.13376","page":"e13376","source":"Wiley Online Library","title":"Genetic associations for two biological age measures point to distinct aging phenotypes","volume":"20","author":[{"family":"Kuo","given":"Chia-Ling"},{"family":"Pilling","given":"Luke C."},{"family":"Liu","given":"Zuyun"},{"family":"Atkins","given":"Janice L."},{"family":"Levine","given":"Morgan E."}],"issued":{"date-parts":[["2021"]]}}}],"schema":"https://github.com/citation-style-language/schema/raw/master/csl-citation.json"} </w:instrText>
      </w:r>
      <w:r>
        <w:rPr>
          <w:rFonts w:ascii="Times New Roman" w:hAnsi="Times New Roman" w:cs="Times New Roman"/>
          <w:sz w:val="22"/>
        </w:rPr>
        <w:fldChar w:fldCharType="separate"/>
      </w:r>
      <w:r>
        <w:rPr>
          <w:rFonts w:ascii="Times New Roman" w:hAnsi="Times New Roman" w:cs="Times New Roman"/>
          <w:kern w:val="0"/>
          <w:sz w:val="22"/>
          <w:szCs w:val="24"/>
          <w:vertAlign w:val="superscript"/>
        </w:rPr>
        <w:t>2</w:t>
      </w:r>
      <w:r>
        <w:rPr>
          <w:rFonts w:ascii="Times New Roman" w:hAnsi="Times New Roman" w:cs="Times New Roman"/>
          <w:sz w:val="22"/>
        </w:rPr>
        <w:fldChar w:fldCharType="end"/>
      </w:r>
      <w:r>
        <w:rPr>
          <w:rFonts w:ascii="Times New Roman" w:hAnsi="Times New Roman" w:cs="Times New Roman"/>
          <w:sz w:val="22"/>
        </w:rPr>
        <w:t xml:space="preserve">, we anticipated sample overlap. MRlap was thus pivotal for our MR analyses, as it accommodates the overlap inherent in the biological age acceleration data from the UKB and related GWAS data. </w:t>
      </w:r>
    </w:p>
    <w:p w14:paraId="3EE1728D" w14:textId="77777777" w:rsidR="00B5557E" w:rsidRDefault="00000000">
      <w:pPr>
        <w:spacing w:line="360" w:lineRule="auto"/>
        <w:ind w:firstLineChars="100" w:firstLine="220"/>
        <w:rPr>
          <w:rFonts w:ascii="Times New Roman" w:hAnsi="Times New Roman" w:cs="Times New Roman"/>
          <w:sz w:val="22"/>
        </w:rPr>
        <w:sectPr w:rsidR="00B5557E">
          <w:pgSz w:w="11906" w:h="16838"/>
          <w:pgMar w:top="1080" w:right="1440" w:bottom="1080" w:left="1440" w:header="851" w:footer="992" w:gutter="0"/>
          <w:lnNumType w:countBy="1" w:restart="continuous"/>
          <w:cols w:space="425"/>
          <w:docGrid w:type="lines" w:linePitch="312"/>
        </w:sectPr>
      </w:pPr>
      <w:r>
        <w:rPr>
          <w:rFonts w:ascii="Times New Roman" w:hAnsi="Times New Roman" w:cs="Times New Roman"/>
          <w:sz w:val="22"/>
        </w:rPr>
        <w:t>Instrumental variable (IV) selection adhered to four key criteria</w:t>
      </w:r>
      <w:r>
        <w:rPr>
          <w:rFonts w:ascii="Times New Roman" w:hAnsi="Times New Roman" w:cs="Times New Roman"/>
          <w:sz w:val="22"/>
        </w:rPr>
        <w:fldChar w:fldCharType="begin"/>
      </w:r>
      <w:r>
        <w:rPr>
          <w:rFonts w:ascii="Times New Roman" w:hAnsi="Times New Roman" w:cs="Times New Roman"/>
          <w:sz w:val="22"/>
        </w:rPr>
        <w:instrText xml:space="preserve"> ADDIN ZOTERO_ITEM CSL_CITATION {"citationID":"90ELlLze","properties":{"formattedCitation":"\\super 3\\nosupersub{}","plainCitation":"3","noteIndex":0},"citationItems":[{"id":613,"uris":["http://zotero.org/users/10463810/items/CEWI6GNH"],"itemData":{"id":613,"type":"article-journal","container-title":"JAMA","DOI":"10.1001/jama.2017.17219","ISSN":"1538-3598","issue":"19","journalAbbreviation":"JAMA","language":"eng","note":"PMID: 29164242","page":"1925-1926","source":"PubMed","title":"Mendelian Randomization","volume":"318","author":[{"family":"Emdin","given":"Connor A."},{"family":"Khera","given":"Amit V."},{"family":"Kathiresan","given":"Sekar"}],"issued":{"date-parts":[["2017",11,21]]}}}],"schema":"https://github.com/citation-style-language/schema/raw/master/csl-citation.json"} </w:instrText>
      </w:r>
      <w:r>
        <w:rPr>
          <w:rFonts w:ascii="Times New Roman" w:hAnsi="Times New Roman" w:cs="Times New Roman"/>
          <w:sz w:val="22"/>
        </w:rPr>
        <w:fldChar w:fldCharType="separate"/>
      </w:r>
      <w:r>
        <w:rPr>
          <w:rFonts w:ascii="Times New Roman" w:hAnsi="Times New Roman" w:cs="Times New Roman"/>
          <w:kern w:val="0"/>
          <w:sz w:val="22"/>
          <w:szCs w:val="24"/>
          <w:vertAlign w:val="superscript"/>
        </w:rPr>
        <w:t>3</w:t>
      </w:r>
      <w:r>
        <w:rPr>
          <w:rFonts w:ascii="Times New Roman" w:hAnsi="Times New Roman" w:cs="Times New Roman"/>
          <w:sz w:val="22"/>
        </w:rPr>
        <w:fldChar w:fldCharType="end"/>
      </w:r>
      <w:r>
        <w:rPr>
          <w:rFonts w:ascii="Times New Roman" w:hAnsi="Times New Roman" w:cs="Times New Roman"/>
          <w:sz w:val="22"/>
        </w:rPr>
        <w:t>. SNPs first had to meet a locus-wide significance threshold (P &lt; 5 × 10</w:t>
      </w:r>
      <w:r>
        <w:rPr>
          <w:rFonts w:ascii="Times New Roman" w:hAnsi="Times New Roman" w:cs="Times New Roman"/>
          <w:sz w:val="22"/>
          <w:vertAlign w:val="superscript"/>
        </w:rPr>
        <w:t>-8</w:t>
      </w:r>
      <w:r>
        <w:rPr>
          <w:rFonts w:ascii="Times New Roman" w:hAnsi="Times New Roman" w:cs="Times New Roman"/>
          <w:sz w:val="22"/>
        </w:rPr>
        <w:t>)</w:t>
      </w:r>
      <w:r>
        <w:t xml:space="preserve"> </w:t>
      </w:r>
      <w:r>
        <w:rPr>
          <w:rFonts w:ascii="Times New Roman" w:hAnsi="Times New Roman" w:cs="Times New Roman"/>
          <w:sz w:val="22"/>
        </w:rPr>
        <w:t>and were excluded if the minor allele frequencies (MAF) were ≤ 0.01. We then selected SNPs with an R</w:t>
      </w:r>
      <w:r>
        <w:rPr>
          <w:rFonts w:ascii="Times New Roman" w:hAnsi="Times New Roman" w:cs="Times New Roman"/>
          <w:sz w:val="22"/>
          <w:vertAlign w:val="superscript"/>
        </w:rPr>
        <w:t>2</w:t>
      </w:r>
      <w:r>
        <w:rPr>
          <w:rFonts w:ascii="Times New Roman" w:hAnsi="Times New Roman" w:cs="Times New Roman"/>
          <w:sz w:val="22"/>
        </w:rPr>
        <w:t xml:space="preserve"> &lt; 0.001 within a 10,000 kb clumping window, retaining only the SNP with the lowest P-value in each locus. For palindromic SNPs, forward-strand alleles were determined using allele frequency data. We utilized the inverse variance-weighted (IVW) method to assess the aggregate causal effect of these phenotypes on PhenoAge acceleration and KDM-BA acceleration, with the F-statistic calculated to assess instrument strength and rule out weak instrument bias (F &gt; 10 indicating robustness). All computational procedures were executed in R (version 4.3.1), leveraging the TwoSampleMR (version 0.5.6) and MRlap (version 0.0.3) packages for MR analysis.</w:t>
      </w:r>
    </w:p>
    <w:p w14:paraId="114E1381" w14:textId="77777777" w:rsidR="00B5557E" w:rsidRDefault="00B5557E">
      <w:pPr>
        <w:spacing w:line="360" w:lineRule="auto"/>
        <w:rPr>
          <w:rFonts w:ascii="Times New Roman" w:hAnsi="Times New Roman" w:cs="Times New Roman"/>
          <w:sz w:val="22"/>
        </w:rPr>
      </w:pPr>
    </w:p>
    <w:p w14:paraId="3E7042B6" w14:textId="77777777" w:rsidR="00B5557E" w:rsidRDefault="00B5557E">
      <w:pPr>
        <w:rPr>
          <w:rFonts w:hint="eastAsia"/>
        </w:rPr>
      </w:pPr>
    </w:p>
    <w:tbl>
      <w:tblPr>
        <w:tblW w:w="13892" w:type="dxa"/>
        <w:jc w:val="center"/>
        <w:tblLook w:val="04A0" w:firstRow="1" w:lastRow="0" w:firstColumn="1" w:lastColumn="0" w:noHBand="0" w:noVBand="1"/>
      </w:tblPr>
      <w:tblGrid>
        <w:gridCol w:w="700"/>
        <w:gridCol w:w="1977"/>
        <w:gridCol w:w="7371"/>
        <w:gridCol w:w="3844"/>
      </w:tblGrid>
      <w:tr w:rsidR="00B5557E" w14:paraId="2A5B2366" w14:textId="77777777">
        <w:trPr>
          <w:trHeight w:val="600"/>
          <w:jc w:val="center"/>
        </w:trPr>
        <w:tc>
          <w:tcPr>
            <w:tcW w:w="13892" w:type="dxa"/>
            <w:gridSpan w:val="4"/>
            <w:tcBorders>
              <w:top w:val="nil"/>
              <w:bottom w:val="single" w:sz="8" w:space="0" w:color="7F7F7F"/>
            </w:tcBorders>
            <w:shd w:val="clear" w:color="auto" w:fill="auto"/>
            <w:vAlign w:val="center"/>
          </w:tcPr>
          <w:p w14:paraId="14661CF7"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sTable 1. STROBE-MR checklist of recommended items to address in reports of Mendelian randomisation studies.</w:t>
            </w:r>
          </w:p>
        </w:tc>
      </w:tr>
      <w:tr w:rsidR="00B5557E" w14:paraId="1BAA5AFF" w14:textId="77777777">
        <w:trPr>
          <w:trHeight w:val="600"/>
          <w:jc w:val="center"/>
        </w:trPr>
        <w:tc>
          <w:tcPr>
            <w:tcW w:w="700" w:type="dxa"/>
            <w:tcBorders>
              <w:top w:val="nil"/>
              <w:left w:val="single" w:sz="8" w:space="0" w:color="auto"/>
              <w:bottom w:val="single" w:sz="8" w:space="0" w:color="7F7F7F"/>
              <w:right w:val="nil"/>
            </w:tcBorders>
            <w:shd w:val="clear" w:color="auto" w:fill="auto"/>
            <w:vAlign w:val="center"/>
          </w:tcPr>
          <w:p w14:paraId="00C7210A"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Item No.</w:t>
            </w:r>
          </w:p>
        </w:tc>
        <w:tc>
          <w:tcPr>
            <w:tcW w:w="1977" w:type="dxa"/>
            <w:tcBorders>
              <w:top w:val="nil"/>
              <w:left w:val="nil"/>
              <w:bottom w:val="single" w:sz="8" w:space="0" w:color="7F7F7F"/>
              <w:right w:val="nil"/>
            </w:tcBorders>
            <w:shd w:val="clear" w:color="auto" w:fill="auto"/>
            <w:vAlign w:val="center"/>
          </w:tcPr>
          <w:p w14:paraId="02ED1DC5"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Section</w:t>
            </w:r>
          </w:p>
        </w:tc>
        <w:tc>
          <w:tcPr>
            <w:tcW w:w="7371" w:type="dxa"/>
            <w:tcBorders>
              <w:top w:val="nil"/>
              <w:left w:val="nil"/>
              <w:bottom w:val="single" w:sz="8" w:space="0" w:color="7F7F7F"/>
              <w:right w:val="nil"/>
            </w:tcBorders>
            <w:shd w:val="clear" w:color="auto" w:fill="auto"/>
            <w:vAlign w:val="center"/>
          </w:tcPr>
          <w:p w14:paraId="5F0540B5"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Checklist item </w:t>
            </w:r>
          </w:p>
        </w:tc>
        <w:tc>
          <w:tcPr>
            <w:tcW w:w="3844" w:type="dxa"/>
            <w:tcBorders>
              <w:top w:val="nil"/>
              <w:left w:val="nil"/>
              <w:bottom w:val="single" w:sz="8" w:space="0" w:color="7F7F7F"/>
              <w:right w:val="single" w:sz="8" w:space="0" w:color="auto"/>
            </w:tcBorders>
            <w:shd w:val="clear" w:color="auto" w:fill="auto"/>
            <w:vAlign w:val="center"/>
          </w:tcPr>
          <w:p w14:paraId="063ADE57"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Section (paragraph number)</w:t>
            </w:r>
          </w:p>
        </w:tc>
      </w:tr>
      <w:tr w:rsidR="00B5557E" w14:paraId="4A72388C" w14:textId="77777777">
        <w:trPr>
          <w:trHeight w:val="600"/>
          <w:jc w:val="center"/>
        </w:trPr>
        <w:tc>
          <w:tcPr>
            <w:tcW w:w="700" w:type="dxa"/>
            <w:tcBorders>
              <w:top w:val="nil"/>
              <w:left w:val="single" w:sz="8" w:space="0" w:color="auto"/>
              <w:bottom w:val="single" w:sz="8" w:space="0" w:color="7F7F7F"/>
              <w:right w:val="nil"/>
            </w:tcBorders>
            <w:shd w:val="clear" w:color="000000" w:fill="EEEEEE"/>
            <w:vAlign w:val="center"/>
          </w:tcPr>
          <w:p w14:paraId="5D832123"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c>
          <w:tcPr>
            <w:tcW w:w="1977" w:type="dxa"/>
            <w:tcBorders>
              <w:top w:val="nil"/>
              <w:left w:val="nil"/>
              <w:bottom w:val="single" w:sz="8" w:space="0" w:color="7F7F7F"/>
              <w:right w:val="nil"/>
            </w:tcBorders>
            <w:shd w:val="clear" w:color="000000" w:fill="EEEEEE"/>
            <w:vAlign w:val="center"/>
          </w:tcPr>
          <w:p w14:paraId="53984391"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TITLE and ABSTRACT</w:t>
            </w:r>
          </w:p>
        </w:tc>
        <w:tc>
          <w:tcPr>
            <w:tcW w:w="7371" w:type="dxa"/>
            <w:tcBorders>
              <w:top w:val="nil"/>
              <w:left w:val="nil"/>
              <w:bottom w:val="single" w:sz="8" w:space="0" w:color="7F7F7F"/>
              <w:right w:val="nil"/>
            </w:tcBorders>
            <w:shd w:val="clear" w:color="000000" w:fill="EEEEEE"/>
            <w:vAlign w:val="center"/>
          </w:tcPr>
          <w:p w14:paraId="5C44CC0A"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Indicate Mendelian randomisation as the study’s design in the title and/or the abstract if that is a main purpose of the study</w:t>
            </w:r>
          </w:p>
        </w:tc>
        <w:tc>
          <w:tcPr>
            <w:tcW w:w="3844" w:type="dxa"/>
            <w:tcBorders>
              <w:top w:val="nil"/>
              <w:left w:val="nil"/>
              <w:bottom w:val="single" w:sz="8" w:space="0" w:color="7F7F7F"/>
              <w:right w:val="single" w:sz="8" w:space="0" w:color="auto"/>
            </w:tcBorders>
            <w:shd w:val="clear" w:color="000000" w:fill="EEEEEE"/>
            <w:vAlign w:val="center"/>
          </w:tcPr>
          <w:p w14:paraId="34ECAD71"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Title &amp; Abstract page</w:t>
            </w:r>
          </w:p>
        </w:tc>
      </w:tr>
      <w:tr w:rsidR="00B5557E" w14:paraId="474D4C41" w14:textId="77777777">
        <w:trPr>
          <w:trHeight w:val="480"/>
          <w:jc w:val="center"/>
        </w:trPr>
        <w:tc>
          <w:tcPr>
            <w:tcW w:w="700" w:type="dxa"/>
            <w:tcBorders>
              <w:top w:val="nil"/>
              <w:left w:val="single" w:sz="8" w:space="0" w:color="auto"/>
              <w:bottom w:val="nil"/>
              <w:right w:val="nil"/>
            </w:tcBorders>
            <w:shd w:val="clear" w:color="auto" w:fill="auto"/>
            <w:vAlign w:val="center"/>
          </w:tcPr>
          <w:p w14:paraId="10201B95"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auto" w:fill="auto"/>
            <w:vAlign w:val="center"/>
          </w:tcPr>
          <w:p w14:paraId="01B2DC53"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INTRODUCTION</w:t>
            </w:r>
          </w:p>
        </w:tc>
        <w:tc>
          <w:tcPr>
            <w:tcW w:w="7371" w:type="dxa"/>
            <w:tcBorders>
              <w:top w:val="nil"/>
              <w:left w:val="nil"/>
              <w:bottom w:val="nil"/>
              <w:right w:val="nil"/>
            </w:tcBorders>
            <w:shd w:val="clear" w:color="auto" w:fill="auto"/>
            <w:vAlign w:val="center"/>
          </w:tcPr>
          <w:p w14:paraId="518F5E95" w14:textId="77777777" w:rsidR="00B5557E" w:rsidRDefault="00B5557E">
            <w:pPr>
              <w:widowControl/>
              <w:jc w:val="left"/>
              <w:rPr>
                <w:rFonts w:ascii="Times New Roman" w:eastAsia="等线" w:hAnsi="Times New Roman" w:cs="Times New Roman"/>
                <w:b/>
                <w:bCs/>
                <w:color w:val="000000"/>
                <w:kern w:val="0"/>
                <w:sz w:val="22"/>
              </w:rPr>
            </w:pPr>
          </w:p>
        </w:tc>
        <w:tc>
          <w:tcPr>
            <w:tcW w:w="3844" w:type="dxa"/>
            <w:tcBorders>
              <w:top w:val="nil"/>
              <w:left w:val="nil"/>
              <w:bottom w:val="nil"/>
              <w:right w:val="single" w:sz="8" w:space="0" w:color="auto"/>
            </w:tcBorders>
            <w:shd w:val="clear" w:color="auto" w:fill="auto"/>
            <w:vAlign w:val="center"/>
          </w:tcPr>
          <w:p w14:paraId="2EE0B3CF"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w:t>
            </w:r>
          </w:p>
        </w:tc>
      </w:tr>
      <w:tr w:rsidR="00B5557E" w14:paraId="3C0FF9EE" w14:textId="77777777">
        <w:trPr>
          <w:trHeight w:val="600"/>
          <w:jc w:val="center"/>
        </w:trPr>
        <w:tc>
          <w:tcPr>
            <w:tcW w:w="700" w:type="dxa"/>
            <w:tcBorders>
              <w:top w:val="nil"/>
              <w:left w:val="single" w:sz="8" w:space="0" w:color="auto"/>
              <w:bottom w:val="nil"/>
              <w:right w:val="nil"/>
            </w:tcBorders>
            <w:shd w:val="clear" w:color="000000" w:fill="EEEEEE"/>
            <w:vAlign w:val="center"/>
          </w:tcPr>
          <w:p w14:paraId="7DF42E03"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2</w:t>
            </w:r>
          </w:p>
        </w:tc>
        <w:tc>
          <w:tcPr>
            <w:tcW w:w="1977" w:type="dxa"/>
            <w:tcBorders>
              <w:top w:val="nil"/>
              <w:left w:val="nil"/>
              <w:bottom w:val="nil"/>
              <w:right w:val="nil"/>
            </w:tcBorders>
            <w:shd w:val="clear" w:color="000000" w:fill="EEEEEE"/>
            <w:vAlign w:val="center"/>
          </w:tcPr>
          <w:p w14:paraId="10C08083"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Background</w:t>
            </w:r>
          </w:p>
        </w:tc>
        <w:tc>
          <w:tcPr>
            <w:tcW w:w="7371" w:type="dxa"/>
            <w:tcBorders>
              <w:top w:val="nil"/>
              <w:left w:val="nil"/>
              <w:bottom w:val="nil"/>
              <w:right w:val="nil"/>
            </w:tcBorders>
            <w:shd w:val="clear" w:color="000000" w:fill="EEEEEE"/>
            <w:vAlign w:val="center"/>
          </w:tcPr>
          <w:p w14:paraId="19D78EB9"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Explain the scientific background and rationale for the reported study. What is the exposure? Is a potential causal relationship between exposure and outcome plausible? Justify why MR is a helpful method to address the study question</w:t>
            </w:r>
          </w:p>
        </w:tc>
        <w:tc>
          <w:tcPr>
            <w:tcW w:w="3844" w:type="dxa"/>
            <w:tcBorders>
              <w:top w:val="nil"/>
              <w:left w:val="nil"/>
              <w:bottom w:val="nil"/>
              <w:right w:val="single" w:sz="8" w:space="0" w:color="auto"/>
            </w:tcBorders>
            <w:shd w:val="clear" w:color="000000" w:fill="EEEEEE"/>
            <w:vAlign w:val="center"/>
          </w:tcPr>
          <w:p w14:paraId="0464B261"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Introduction (paragraphs 3)</w:t>
            </w:r>
          </w:p>
        </w:tc>
      </w:tr>
      <w:tr w:rsidR="00B5557E" w14:paraId="742D3F42" w14:textId="77777777">
        <w:trPr>
          <w:trHeight w:val="600"/>
          <w:jc w:val="center"/>
        </w:trPr>
        <w:tc>
          <w:tcPr>
            <w:tcW w:w="700" w:type="dxa"/>
            <w:tcBorders>
              <w:top w:val="nil"/>
              <w:left w:val="single" w:sz="8" w:space="0" w:color="auto"/>
              <w:bottom w:val="single" w:sz="8" w:space="0" w:color="7F7F7F"/>
              <w:right w:val="nil"/>
            </w:tcBorders>
            <w:shd w:val="clear" w:color="auto" w:fill="auto"/>
            <w:vAlign w:val="center"/>
          </w:tcPr>
          <w:p w14:paraId="08C980AB"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3</w:t>
            </w:r>
          </w:p>
        </w:tc>
        <w:tc>
          <w:tcPr>
            <w:tcW w:w="1977" w:type="dxa"/>
            <w:tcBorders>
              <w:top w:val="nil"/>
              <w:left w:val="nil"/>
              <w:bottom w:val="single" w:sz="8" w:space="0" w:color="7F7F7F"/>
              <w:right w:val="nil"/>
            </w:tcBorders>
            <w:shd w:val="clear" w:color="auto" w:fill="auto"/>
            <w:vAlign w:val="center"/>
          </w:tcPr>
          <w:p w14:paraId="2107ABB8"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Objectives</w:t>
            </w:r>
          </w:p>
        </w:tc>
        <w:tc>
          <w:tcPr>
            <w:tcW w:w="7371" w:type="dxa"/>
            <w:tcBorders>
              <w:top w:val="nil"/>
              <w:left w:val="nil"/>
              <w:bottom w:val="single" w:sz="8" w:space="0" w:color="7F7F7F"/>
              <w:right w:val="nil"/>
            </w:tcBorders>
            <w:shd w:val="clear" w:color="auto" w:fill="auto"/>
            <w:vAlign w:val="center"/>
          </w:tcPr>
          <w:p w14:paraId="12873CBB"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State specific objectives clearly, including pre-specified causal hypotheses (if any). State that MR is a method that, under specific assumptions, intends to estimate causal effects</w:t>
            </w:r>
          </w:p>
        </w:tc>
        <w:tc>
          <w:tcPr>
            <w:tcW w:w="3844" w:type="dxa"/>
            <w:tcBorders>
              <w:top w:val="nil"/>
              <w:left w:val="nil"/>
              <w:bottom w:val="single" w:sz="8" w:space="0" w:color="7F7F7F"/>
              <w:right w:val="single" w:sz="8" w:space="0" w:color="auto"/>
            </w:tcBorders>
            <w:shd w:val="clear" w:color="auto" w:fill="auto"/>
            <w:vAlign w:val="center"/>
          </w:tcPr>
          <w:p w14:paraId="4B86D86B"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Introduction (paragraph 3) </w:t>
            </w:r>
          </w:p>
        </w:tc>
      </w:tr>
      <w:tr w:rsidR="00B5557E" w14:paraId="667BA9B5" w14:textId="77777777">
        <w:trPr>
          <w:trHeight w:val="480"/>
          <w:jc w:val="center"/>
        </w:trPr>
        <w:tc>
          <w:tcPr>
            <w:tcW w:w="700" w:type="dxa"/>
            <w:tcBorders>
              <w:top w:val="nil"/>
              <w:left w:val="single" w:sz="8" w:space="0" w:color="auto"/>
              <w:bottom w:val="nil"/>
              <w:right w:val="nil"/>
            </w:tcBorders>
            <w:shd w:val="clear" w:color="000000" w:fill="EEEEEE"/>
            <w:vAlign w:val="center"/>
          </w:tcPr>
          <w:p w14:paraId="75ED27E7"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000000" w:fill="EEEEEE"/>
            <w:vAlign w:val="center"/>
          </w:tcPr>
          <w:p w14:paraId="4ABB2824"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METHODS</w:t>
            </w:r>
          </w:p>
        </w:tc>
        <w:tc>
          <w:tcPr>
            <w:tcW w:w="7371" w:type="dxa"/>
            <w:tcBorders>
              <w:top w:val="nil"/>
              <w:left w:val="nil"/>
              <w:bottom w:val="nil"/>
              <w:right w:val="nil"/>
            </w:tcBorders>
            <w:shd w:val="clear" w:color="000000" w:fill="EEEEEE"/>
            <w:vAlign w:val="center"/>
          </w:tcPr>
          <w:p w14:paraId="1452F2F4"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w:t>
            </w:r>
          </w:p>
        </w:tc>
        <w:tc>
          <w:tcPr>
            <w:tcW w:w="3844" w:type="dxa"/>
            <w:tcBorders>
              <w:top w:val="nil"/>
              <w:left w:val="nil"/>
              <w:bottom w:val="nil"/>
              <w:right w:val="single" w:sz="8" w:space="0" w:color="auto"/>
            </w:tcBorders>
            <w:shd w:val="clear" w:color="000000" w:fill="EEEEEE"/>
            <w:vAlign w:val="center"/>
          </w:tcPr>
          <w:p w14:paraId="3C660813"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w:t>
            </w:r>
          </w:p>
        </w:tc>
      </w:tr>
      <w:tr w:rsidR="00B5557E" w14:paraId="13AE0B9B" w14:textId="77777777">
        <w:trPr>
          <w:trHeight w:val="600"/>
          <w:jc w:val="center"/>
        </w:trPr>
        <w:tc>
          <w:tcPr>
            <w:tcW w:w="700" w:type="dxa"/>
            <w:tcBorders>
              <w:top w:val="nil"/>
              <w:left w:val="single" w:sz="8" w:space="0" w:color="auto"/>
              <w:bottom w:val="nil"/>
              <w:right w:val="nil"/>
            </w:tcBorders>
            <w:shd w:val="clear" w:color="auto" w:fill="auto"/>
            <w:vAlign w:val="center"/>
          </w:tcPr>
          <w:p w14:paraId="354CD30D"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4</w:t>
            </w:r>
          </w:p>
        </w:tc>
        <w:tc>
          <w:tcPr>
            <w:tcW w:w="1977" w:type="dxa"/>
            <w:tcBorders>
              <w:top w:val="nil"/>
              <w:left w:val="nil"/>
              <w:bottom w:val="nil"/>
              <w:right w:val="nil"/>
            </w:tcBorders>
            <w:shd w:val="clear" w:color="auto" w:fill="auto"/>
            <w:vAlign w:val="center"/>
          </w:tcPr>
          <w:p w14:paraId="29136058"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Study design and data sources</w:t>
            </w:r>
          </w:p>
        </w:tc>
        <w:tc>
          <w:tcPr>
            <w:tcW w:w="7371" w:type="dxa"/>
            <w:tcBorders>
              <w:top w:val="nil"/>
              <w:left w:val="nil"/>
              <w:bottom w:val="nil"/>
              <w:right w:val="nil"/>
            </w:tcBorders>
            <w:shd w:val="clear" w:color="auto" w:fill="auto"/>
            <w:vAlign w:val="center"/>
          </w:tcPr>
          <w:p w14:paraId="13276509"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Present key elements of the study design early in the article. Consider including a table listing sources of data for all phases of the study. For each data source contributing to the analysis, describe the following: </w:t>
            </w:r>
          </w:p>
        </w:tc>
        <w:tc>
          <w:tcPr>
            <w:tcW w:w="3844" w:type="dxa"/>
            <w:tcBorders>
              <w:top w:val="nil"/>
              <w:left w:val="nil"/>
              <w:bottom w:val="nil"/>
              <w:right w:val="single" w:sz="8" w:space="0" w:color="auto"/>
            </w:tcBorders>
            <w:shd w:val="clear" w:color="auto" w:fill="auto"/>
            <w:vAlign w:val="center"/>
          </w:tcPr>
          <w:p w14:paraId="5A67F7CA"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Methods (Mendelian Randomization) &amp; eMethods (Mendelian Randomization)</w:t>
            </w:r>
          </w:p>
        </w:tc>
      </w:tr>
      <w:tr w:rsidR="00B5557E" w14:paraId="2FFDB3B6" w14:textId="77777777">
        <w:trPr>
          <w:trHeight w:val="600"/>
          <w:jc w:val="center"/>
        </w:trPr>
        <w:tc>
          <w:tcPr>
            <w:tcW w:w="700" w:type="dxa"/>
            <w:tcBorders>
              <w:top w:val="nil"/>
              <w:left w:val="single" w:sz="8" w:space="0" w:color="auto"/>
              <w:bottom w:val="nil"/>
              <w:right w:val="nil"/>
            </w:tcBorders>
            <w:shd w:val="clear" w:color="000000" w:fill="EEEEEE"/>
            <w:vAlign w:val="center"/>
          </w:tcPr>
          <w:p w14:paraId="0A3197B9"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000000" w:fill="EEEEEE"/>
            <w:vAlign w:val="center"/>
          </w:tcPr>
          <w:p w14:paraId="1E20797F"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a)</w:t>
            </w:r>
          </w:p>
        </w:tc>
        <w:tc>
          <w:tcPr>
            <w:tcW w:w="7371" w:type="dxa"/>
            <w:tcBorders>
              <w:top w:val="nil"/>
              <w:left w:val="nil"/>
              <w:bottom w:val="nil"/>
              <w:right w:val="nil"/>
            </w:tcBorders>
            <w:shd w:val="clear" w:color="000000" w:fill="EEEEEE"/>
            <w:vAlign w:val="center"/>
          </w:tcPr>
          <w:p w14:paraId="7B3BB9C8"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Setting: Describe the study design and the underlying population, if possible. Describe the setting, locations, and relevant dates, including periods of recruitment, exposure, follow-up, and data collection, when available.</w:t>
            </w:r>
          </w:p>
        </w:tc>
        <w:tc>
          <w:tcPr>
            <w:tcW w:w="3844" w:type="dxa"/>
            <w:tcBorders>
              <w:top w:val="nil"/>
              <w:left w:val="nil"/>
              <w:bottom w:val="nil"/>
              <w:right w:val="single" w:sz="8" w:space="0" w:color="auto"/>
            </w:tcBorders>
            <w:shd w:val="clear" w:color="000000" w:fill="EEEEEE"/>
            <w:vAlign w:val="center"/>
          </w:tcPr>
          <w:p w14:paraId="0E1E666A"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Methods (Mendelian Randomization) &amp; eMethods (Mendelian Randomization) &amp; Supplement 2 (sTable 2)</w:t>
            </w:r>
          </w:p>
        </w:tc>
      </w:tr>
      <w:tr w:rsidR="00B5557E" w14:paraId="0314C1ED" w14:textId="77777777">
        <w:trPr>
          <w:trHeight w:val="600"/>
          <w:jc w:val="center"/>
        </w:trPr>
        <w:tc>
          <w:tcPr>
            <w:tcW w:w="700" w:type="dxa"/>
            <w:tcBorders>
              <w:top w:val="nil"/>
              <w:left w:val="single" w:sz="8" w:space="0" w:color="auto"/>
              <w:bottom w:val="nil"/>
              <w:right w:val="nil"/>
            </w:tcBorders>
            <w:shd w:val="clear" w:color="auto" w:fill="auto"/>
            <w:vAlign w:val="center"/>
          </w:tcPr>
          <w:p w14:paraId="388615D3"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auto" w:fill="auto"/>
            <w:vAlign w:val="center"/>
          </w:tcPr>
          <w:p w14:paraId="3106E29A"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b)</w:t>
            </w:r>
          </w:p>
        </w:tc>
        <w:tc>
          <w:tcPr>
            <w:tcW w:w="7371" w:type="dxa"/>
            <w:tcBorders>
              <w:top w:val="nil"/>
              <w:left w:val="nil"/>
              <w:bottom w:val="nil"/>
              <w:right w:val="nil"/>
            </w:tcBorders>
            <w:shd w:val="clear" w:color="auto" w:fill="auto"/>
            <w:vAlign w:val="center"/>
          </w:tcPr>
          <w:p w14:paraId="36C9DB56"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Participants: Give the eligibility criteria, and the sources and methods of selection of participants. Report the sample size, and whether any power or sample size calculations were carried out prior to the main analysis</w:t>
            </w:r>
          </w:p>
        </w:tc>
        <w:tc>
          <w:tcPr>
            <w:tcW w:w="3844" w:type="dxa"/>
            <w:tcBorders>
              <w:top w:val="nil"/>
              <w:left w:val="nil"/>
              <w:bottom w:val="nil"/>
              <w:right w:val="single" w:sz="8" w:space="0" w:color="auto"/>
            </w:tcBorders>
            <w:shd w:val="clear" w:color="auto" w:fill="auto"/>
            <w:vAlign w:val="center"/>
          </w:tcPr>
          <w:p w14:paraId="08B37E79"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Methods (Mendelian Randomization) &amp; eMethods (Mendelian Randomization) &amp; Supplement 2 (sTable 2)</w:t>
            </w:r>
          </w:p>
        </w:tc>
      </w:tr>
      <w:tr w:rsidR="00B5557E" w14:paraId="1108431E" w14:textId="77777777">
        <w:trPr>
          <w:trHeight w:val="600"/>
          <w:jc w:val="center"/>
        </w:trPr>
        <w:tc>
          <w:tcPr>
            <w:tcW w:w="700" w:type="dxa"/>
            <w:tcBorders>
              <w:top w:val="nil"/>
              <w:left w:val="single" w:sz="8" w:space="0" w:color="auto"/>
              <w:bottom w:val="nil"/>
              <w:right w:val="nil"/>
            </w:tcBorders>
            <w:shd w:val="clear" w:color="000000" w:fill="EEEEEE"/>
            <w:vAlign w:val="center"/>
          </w:tcPr>
          <w:p w14:paraId="7CAF6E0F"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000000" w:fill="EEEEEE"/>
            <w:vAlign w:val="center"/>
          </w:tcPr>
          <w:p w14:paraId="32718E75"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c)</w:t>
            </w:r>
          </w:p>
        </w:tc>
        <w:tc>
          <w:tcPr>
            <w:tcW w:w="7371" w:type="dxa"/>
            <w:tcBorders>
              <w:top w:val="nil"/>
              <w:left w:val="nil"/>
              <w:bottom w:val="nil"/>
              <w:right w:val="nil"/>
            </w:tcBorders>
            <w:shd w:val="clear" w:color="000000" w:fill="EEEEEE"/>
            <w:vAlign w:val="center"/>
          </w:tcPr>
          <w:p w14:paraId="0940EADA"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Describe measurement, quality control and selection of genetic variants</w:t>
            </w:r>
          </w:p>
        </w:tc>
        <w:tc>
          <w:tcPr>
            <w:tcW w:w="3844" w:type="dxa"/>
            <w:tcBorders>
              <w:top w:val="nil"/>
              <w:left w:val="nil"/>
              <w:bottom w:val="nil"/>
              <w:right w:val="single" w:sz="8" w:space="0" w:color="auto"/>
            </w:tcBorders>
            <w:shd w:val="clear" w:color="000000" w:fill="EEEEEE"/>
            <w:vAlign w:val="center"/>
          </w:tcPr>
          <w:p w14:paraId="4FB4EEC9"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Methods (Mendelian Randomization) &amp; eMethods (Mendelian Randomization)</w:t>
            </w:r>
          </w:p>
        </w:tc>
      </w:tr>
      <w:tr w:rsidR="00B5557E" w14:paraId="6990A7C3" w14:textId="77777777">
        <w:trPr>
          <w:trHeight w:val="600"/>
          <w:jc w:val="center"/>
        </w:trPr>
        <w:tc>
          <w:tcPr>
            <w:tcW w:w="700" w:type="dxa"/>
            <w:tcBorders>
              <w:top w:val="nil"/>
              <w:left w:val="single" w:sz="8" w:space="0" w:color="auto"/>
              <w:bottom w:val="nil"/>
              <w:right w:val="nil"/>
            </w:tcBorders>
            <w:shd w:val="clear" w:color="auto" w:fill="auto"/>
            <w:vAlign w:val="center"/>
          </w:tcPr>
          <w:p w14:paraId="1238D0B4"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lastRenderedPageBreak/>
              <w:t xml:space="preserve">　</w:t>
            </w:r>
          </w:p>
        </w:tc>
        <w:tc>
          <w:tcPr>
            <w:tcW w:w="1977" w:type="dxa"/>
            <w:tcBorders>
              <w:top w:val="nil"/>
              <w:left w:val="nil"/>
              <w:bottom w:val="nil"/>
              <w:right w:val="nil"/>
            </w:tcBorders>
            <w:shd w:val="clear" w:color="auto" w:fill="auto"/>
            <w:vAlign w:val="center"/>
          </w:tcPr>
          <w:p w14:paraId="4035599E"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w:t>
            </w:r>
          </w:p>
        </w:tc>
        <w:tc>
          <w:tcPr>
            <w:tcW w:w="7371" w:type="dxa"/>
            <w:tcBorders>
              <w:top w:val="nil"/>
              <w:left w:val="nil"/>
              <w:bottom w:val="nil"/>
              <w:right w:val="nil"/>
            </w:tcBorders>
            <w:shd w:val="clear" w:color="auto" w:fill="auto"/>
            <w:vAlign w:val="center"/>
          </w:tcPr>
          <w:p w14:paraId="5D71936E"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For each exposure, outcome, and other relevant variables, describe methods of assessment and diagnostic criteria for diseases</w:t>
            </w:r>
          </w:p>
        </w:tc>
        <w:tc>
          <w:tcPr>
            <w:tcW w:w="3844" w:type="dxa"/>
            <w:tcBorders>
              <w:top w:val="nil"/>
              <w:left w:val="nil"/>
              <w:bottom w:val="nil"/>
              <w:right w:val="single" w:sz="8" w:space="0" w:color="auto"/>
            </w:tcBorders>
            <w:shd w:val="clear" w:color="auto" w:fill="auto"/>
            <w:vAlign w:val="center"/>
          </w:tcPr>
          <w:p w14:paraId="0889C0DF"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Methods (Mendelian Randomization) &amp; eMethods (Mendelian Randomization)</w:t>
            </w:r>
          </w:p>
        </w:tc>
      </w:tr>
      <w:tr w:rsidR="00B5557E" w14:paraId="6854A21A" w14:textId="77777777">
        <w:trPr>
          <w:trHeight w:val="600"/>
          <w:jc w:val="center"/>
        </w:trPr>
        <w:tc>
          <w:tcPr>
            <w:tcW w:w="700" w:type="dxa"/>
            <w:tcBorders>
              <w:top w:val="nil"/>
              <w:left w:val="single" w:sz="8" w:space="0" w:color="auto"/>
              <w:bottom w:val="nil"/>
              <w:right w:val="nil"/>
            </w:tcBorders>
            <w:shd w:val="clear" w:color="000000" w:fill="EEEEEE"/>
            <w:vAlign w:val="center"/>
          </w:tcPr>
          <w:p w14:paraId="2E5D856B"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000000" w:fill="EEEEEE"/>
            <w:vAlign w:val="center"/>
          </w:tcPr>
          <w:p w14:paraId="3797FFF9"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e)</w:t>
            </w:r>
          </w:p>
        </w:tc>
        <w:tc>
          <w:tcPr>
            <w:tcW w:w="7371" w:type="dxa"/>
            <w:tcBorders>
              <w:top w:val="nil"/>
              <w:left w:val="nil"/>
              <w:bottom w:val="nil"/>
              <w:right w:val="nil"/>
            </w:tcBorders>
            <w:shd w:val="clear" w:color="000000" w:fill="EEEEEE"/>
            <w:vAlign w:val="center"/>
          </w:tcPr>
          <w:p w14:paraId="74625753"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Provide details of ethics committee approval and participant informed consent, if relevant</w:t>
            </w:r>
          </w:p>
        </w:tc>
        <w:tc>
          <w:tcPr>
            <w:tcW w:w="3844" w:type="dxa"/>
            <w:tcBorders>
              <w:top w:val="nil"/>
              <w:left w:val="nil"/>
              <w:bottom w:val="nil"/>
              <w:right w:val="single" w:sz="8" w:space="0" w:color="auto"/>
            </w:tcBorders>
            <w:shd w:val="clear" w:color="000000" w:fill="EEEEEE"/>
            <w:vAlign w:val="center"/>
          </w:tcPr>
          <w:p w14:paraId="5BCAD500"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Methods (Mendelian Randomization) &amp; eMethods (Mendelian Randomization)</w:t>
            </w:r>
          </w:p>
        </w:tc>
      </w:tr>
      <w:tr w:rsidR="00B5557E" w14:paraId="2E6897E0" w14:textId="77777777">
        <w:trPr>
          <w:trHeight w:val="600"/>
          <w:jc w:val="center"/>
        </w:trPr>
        <w:tc>
          <w:tcPr>
            <w:tcW w:w="700" w:type="dxa"/>
            <w:tcBorders>
              <w:top w:val="nil"/>
              <w:left w:val="single" w:sz="8" w:space="0" w:color="auto"/>
              <w:bottom w:val="nil"/>
              <w:right w:val="nil"/>
            </w:tcBorders>
            <w:shd w:val="clear" w:color="auto" w:fill="auto"/>
            <w:vAlign w:val="center"/>
          </w:tcPr>
          <w:p w14:paraId="3EA43DBF"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5</w:t>
            </w:r>
          </w:p>
        </w:tc>
        <w:tc>
          <w:tcPr>
            <w:tcW w:w="1977" w:type="dxa"/>
            <w:tcBorders>
              <w:top w:val="nil"/>
              <w:left w:val="nil"/>
              <w:bottom w:val="nil"/>
              <w:right w:val="nil"/>
            </w:tcBorders>
            <w:shd w:val="clear" w:color="auto" w:fill="auto"/>
            <w:vAlign w:val="center"/>
          </w:tcPr>
          <w:p w14:paraId="76AC9639"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Assumptions</w:t>
            </w:r>
          </w:p>
        </w:tc>
        <w:tc>
          <w:tcPr>
            <w:tcW w:w="7371" w:type="dxa"/>
            <w:tcBorders>
              <w:top w:val="nil"/>
              <w:left w:val="nil"/>
              <w:bottom w:val="nil"/>
              <w:right w:val="nil"/>
            </w:tcBorders>
            <w:shd w:val="clear" w:color="auto" w:fill="auto"/>
            <w:vAlign w:val="center"/>
          </w:tcPr>
          <w:p w14:paraId="63078530"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Explicitly state the three core IV assumptions for the main analysis (relevance, independence and exclusion restriction) as well assumptions for any additional or sensitivity analysis</w:t>
            </w:r>
          </w:p>
        </w:tc>
        <w:tc>
          <w:tcPr>
            <w:tcW w:w="3844" w:type="dxa"/>
            <w:tcBorders>
              <w:top w:val="nil"/>
              <w:left w:val="nil"/>
              <w:bottom w:val="nil"/>
              <w:right w:val="single" w:sz="8" w:space="0" w:color="auto"/>
            </w:tcBorders>
            <w:shd w:val="clear" w:color="auto" w:fill="auto"/>
            <w:vAlign w:val="center"/>
          </w:tcPr>
          <w:p w14:paraId="0C10128F"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Methods (Mendelian Randomization) &amp; eMethods (Mendelian Randomization)</w:t>
            </w:r>
          </w:p>
        </w:tc>
      </w:tr>
      <w:tr w:rsidR="00B5557E" w14:paraId="4A0A9926" w14:textId="77777777">
        <w:trPr>
          <w:trHeight w:val="600"/>
          <w:jc w:val="center"/>
        </w:trPr>
        <w:tc>
          <w:tcPr>
            <w:tcW w:w="700" w:type="dxa"/>
            <w:tcBorders>
              <w:top w:val="nil"/>
              <w:left w:val="single" w:sz="8" w:space="0" w:color="auto"/>
              <w:bottom w:val="nil"/>
              <w:right w:val="nil"/>
            </w:tcBorders>
            <w:shd w:val="clear" w:color="000000" w:fill="EEEEEE"/>
            <w:vAlign w:val="center"/>
          </w:tcPr>
          <w:p w14:paraId="2BE3DD33"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6</w:t>
            </w:r>
          </w:p>
        </w:tc>
        <w:tc>
          <w:tcPr>
            <w:tcW w:w="1977" w:type="dxa"/>
            <w:tcBorders>
              <w:top w:val="nil"/>
              <w:left w:val="nil"/>
              <w:bottom w:val="nil"/>
              <w:right w:val="nil"/>
            </w:tcBorders>
            <w:shd w:val="clear" w:color="000000" w:fill="EEEEEE"/>
            <w:vAlign w:val="center"/>
          </w:tcPr>
          <w:p w14:paraId="6612AE93"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Statistical methods: main analysis</w:t>
            </w:r>
          </w:p>
        </w:tc>
        <w:tc>
          <w:tcPr>
            <w:tcW w:w="7371" w:type="dxa"/>
            <w:tcBorders>
              <w:top w:val="nil"/>
              <w:left w:val="nil"/>
              <w:bottom w:val="nil"/>
              <w:right w:val="nil"/>
            </w:tcBorders>
            <w:shd w:val="clear" w:color="000000" w:fill="EEEEEE"/>
            <w:vAlign w:val="center"/>
          </w:tcPr>
          <w:p w14:paraId="5EC4A872"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Describe statistical methods and statistics used</w:t>
            </w:r>
          </w:p>
        </w:tc>
        <w:tc>
          <w:tcPr>
            <w:tcW w:w="3844" w:type="dxa"/>
            <w:tcBorders>
              <w:top w:val="nil"/>
              <w:left w:val="nil"/>
              <w:bottom w:val="nil"/>
              <w:right w:val="single" w:sz="8" w:space="0" w:color="auto"/>
            </w:tcBorders>
            <w:shd w:val="clear" w:color="000000" w:fill="EEEEEE"/>
            <w:vAlign w:val="center"/>
          </w:tcPr>
          <w:p w14:paraId="3AE0EAF2"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w:t>
            </w:r>
          </w:p>
        </w:tc>
      </w:tr>
      <w:tr w:rsidR="00B5557E" w14:paraId="7DFEE98C" w14:textId="77777777">
        <w:trPr>
          <w:trHeight w:val="600"/>
          <w:jc w:val="center"/>
        </w:trPr>
        <w:tc>
          <w:tcPr>
            <w:tcW w:w="700" w:type="dxa"/>
            <w:tcBorders>
              <w:top w:val="nil"/>
              <w:left w:val="single" w:sz="8" w:space="0" w:color="auto"/>
              <w:bottom w:val="nil"/>
              <w:right w:val="nil"/>
            </w:tcBorders>
            <w:shd w:val="clear" w:color="auto" w:fill="auto"/>
            <w:vAlign w:val="center"/>
          </w:tcPr>
          <w:p w14:paraId="0A07FCD8"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auto" w:fill="auto"/>
            <w:vAlign w:val="center"/>
          </w:tcPr>
          <w:p w14:paraId="6FEC7C52"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a)</w:t>
            </w:r>
          </w:p>
        </w:tc>
        <w:tc>
          <w:tcPr>
            <w:tcW w:w="7371" w:type="dxa"/>
            <w:tcBorders>
              <w:top w:val="nil"/>
              <w:left w:val="nil"/>
              <w:bottom w:val="nil"/>
              <w:right w:val="nil"/>
            </w:tcBorders>
            <w:shd w:val="clear" w:color="auto" w:fill="auto"/>
            <w:vAlign w:val="center"/>
          </w:tcPr>
          <w:p w14:paraId="777FBD83"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Describe how quantitative variables were handled in the analyses (i.e., scale, units, model)</w:t>
            </w:r>
          </w:p>
        </w:tc>
        <w:tc>
          <w:tcPr>
            <w:tcW w:w="3844" w:type="dxa"/>
            <w:tcBorders>
              <w:top w:val="nil"/>
              <w:left w:val="nil"/>
              <w:bottom w:val="nil"/>
              <w:right w:val="single" w:sz="8" w:space="0" w:color="auto"/>
            </w:tcBorders>
            <w:shd w:val="clear" w:color="auto" w:fill="auto"/>
            <w:vAlign w:val="center"/>
          </w:tcPr>
          <w:p w14:paraId="081BE3BC"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Methods (Mendelian Randomization) &amp; eMethods (Mendelian Randomization)</w:t>
            </w:r>
          </w:p>
        </w:tc>
      </w:tr>
      <w:tr w:rsidR="00B5557E" w14:paraId="56B2FF36" w14:textId="77777777">
        <w:trPr>
          <w:trHeight w:val="600"/>
          <w:jc w:val="center"/>
        </w:trPr>
        <w:tc>
          <w:tcPr>
            <w:tcW w:w="700" w:type="dxa"/>
            <w:tcBorders>
              <w:top w:val="nil"/>
              <w:left w:val="single" w:sz="8" w:space="0" w:color="auto"/>
              <w:bottom w:val="nil"/>
              <w:right w:val="nil"/>
            </w:tcBorders>
            <w:shd w:val="clear" w:color="000000" w:fill="EEEEEE"/>
            <w:vAlign w:val="center"/>
          </w:tcPr>
          <w:p w14:paraId="775205D5"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000000" w:fill="EEEEEE"/>
            <w:vAlign w:val="center"/>
          </w:tcPr>
          <w:p w14:paraId="62C5D8F5"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b)</w:t>
            </w:r>
          </w:p>
        </w:tc>
        <w:tc>
          <w:tcPr>
            <w:tcW w:w="7371" w:type="dxa"/>
            <w:tcBorders>
              <w:top w:val="nil"/>
              <w:left w:val="nil"/>
              <w:bottom w:val="nil"/>
              <w:right w:val="nil"/>
            </w:tcBorders>
            <w:shd w:val="clear" w:color="000000" w:fill="EEEEEE"/>
            <w:vAlign w:val="center"/>
          </w:tcPr>
          <w:p w14:paraId="38AA1FBB"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Describe how genetic variants were handled in the analyses and, if applicable, how their weights were selected</w:t>
            </w:r>
          </w:p>
        </w:tc>
        <w:tc>
          <w:tcPr>
            <w:tcW w:w="3844" w:type="dxa"/>
            <w:tcBorders>
              <w:top w:val="nil"/>
              <w:left w:val="nil"/>
              <w:bottom w:val="nil"/>
              <w:right w:val="single" w:sz="8" w:space="0" w:color="auto"/>
            </w:tcBorders>
            <w:shd w:val="clear" w:color="000000" w:fill="EEEEEE"/>
            <w:vAlign w:val="center"/>
          </w:tcPr>
          <w:p w14:paraId="51E83D1F"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Methods (Mendelian Randomization) &amp; eMethods (Mendelian Randomization)</w:t>
            </w:r>
          </w:p>
        </w:tc>
      </w:tr>
      <w:tr w:rsidR="00B5557E" w14:paraId="54E4FCC0" w14:textId="77777777">
        <w:trPr>
          <w:trHeight w:val="600"/>
          <w:jc w:val="center"/>
        </w:trPr>
        <w:tc>
          <w:tcPr>
            <w:tcW w:w="700" w:type="dxa"/>
            <w:tcBorders>
              <w:top w:val="nil"/>
              <w:left w:val="single" w:sz="8" w:space="0" w:color="auto"/>
              <w:bottom w:val="nil"/>
              <w:right w:val="nil"/>
            </w:tcBorders>
            <w:shd w:val="clear" w:color="auto" w:fill="auto"/>
            <w:vAlign w:val="center"/>
          </w:tcPr>
          <w:p w14:paraId="4331C7A4"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auto" w:fill="auto"/>
            <w:vAlign w:val="center"/>
          </w:tcPr>
          <w:p w14:paraId="0F2FB361"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c)</w:t>
            </w:r>
          </w:p>
        </w:tc>
        <w:tc>
          <w:tcPr>
            <w:tcW w:w="7371" w:type="dxa"/>
            <w:tcBorders>
              <w:top w:val="nil"/>
              <w:left w:val="nil"/>
              <w:bottom w:val="nil"/>
              <w:right w:val="nil"/>
            </w:tcBorders>
            <w:shd w:val="clear" w:color="auto" w:fill="auto"/>
            <w:vAlign w:val="center"/>
          </w:tcPr>
          <w:p w14:paraId="253FFC9E"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Describe the MR estimator (e.g. two-stage least squares, Wald ratio) and related statistics. Detail the included covariates and, in case of two-sample MR, whether the same covariate set was used for adjustment in the two samples</w:t>
            </w:r>
          </w:p>
        </w:tc>
        <w:tc>
          <w:tcPr>
            <w:tcW w:w="3844" w:type="dxa"/>
            <w:tcBorders>
              <w:top w:val="nil"/>
              <w:left w:val="nil"/>
              <w:bottom w:val="nil"/>
              <w:right w:val="single" w:sz="8" w:space="0" w:color="auto"/>
            </w:tcBorders>
            <w:shd w:val="clear" w:color="auto" w:fill="auto"/>
            <w:vAlign w:val="center"/>
          </w:tcPr>
          <w:p w14:paraId="7C1588AA"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Methods (Mendelian Randomization) &amp; eMethods (Mendelian Randomization)</w:t>
            </w:r>
          </w:p>
        </w:tc>
      </w:tr>
      <w:tr w:rsidR="00B5557E" w14:paraId="27F71F61" w14:textId="77777777">
        <w:trPr>
          <w:trHeight w:val="600"/>
          <w:jc w:val="center"/>
        </w:trPr>
        <w:tc>
          <w:tcPr>
            <w:tcW w:w="700" w:type="dxa"/>
            <w:tcBorders>
              <w:top w:val="nil"/>
              <w:left w:val="single" w:sz="8" w:space="0" w:color="auto"/>
              <w:bottom w:val="nil"/>
              <w:right w:val="nil"/>
            </w:tcBorders>
            <w:shd w:val="clear" w:color="000000" w:fill="EEEEEE"/>
            <w:vAlign w:val="center"/>
          </w:tcPr>
          <w:p w14:paraId="76AEDF82"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000000" w:fill="EEEEEE"/>
            <w:vAlign w:val="center"/>
          </w:tcPr>
          <w:p w14:paraId="04CB869A"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w:t>
            </w:r>
          </w:p>
        </w:tc>
        <w:tc>
          <w:tcPr>
            <w:tcW w:w="7371" w:type="dxa"/>
            <w:tcBorders>
              <w:top w:val="nil"/>
              <w:left w:val="nil"/>
              <w:bottom w:val="nil"/>
              <w:right w:val="nil"/>
            </w:tcBorders>
            <w:shd w:val="clear" w:color="000000" w:fill="EEEEEE"/>
            <w:vAlign w:val="center"/>
          </w:tcPr>
          <w:p w14:paraId="287DED03"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Explain how missing data were addressed</w:t>
            </w:r>
          </w:p>
        </w:tc>
        <w:tc>
          <w:tcPr>
            <w:tcW w:w="3844" w:type="dxa"/>
            <w:tcBorders>
              <w:top w:val="nil"/>
              <w:left w:val="nil"/>
              <w:bottom w:val="nil"/>
              <w:right w:val="single" w:sz="8" w:space="0" w:color="auto"/>
            </w:tcBorders>
            <w:shd w:val="clear" w:color="000000" w:fill="EEEEEE"/>
            <w:vAlign w:val="center"/>
          </w:tcPr>
          <w:p w14:paraId="48B9A524"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N/A</w:t>
            </w:r>
          </w:p>
        </w:tc>
      </w:tr>
      <w:tr w:rsidR="00B5557E" w14:paraId="1D5BBCF1" w14:textId="77777777">
        <w:trPr>
          <w:trHeight w:val="600"/>
          <w:jc w:val="center"/>
        </w:trPr>
        <w:tc>
          <w:tcPr>
            <w:tcW w:w="700" w:type="dxa"/>
            <w:tcBorders>
              <w:top w:val="nil"/>
              <w:left w:val="single" w:sz="8" w:space="0" w:color="auto"/>
              <w:bottom w:val="nil"/>
              <w:right w:val="nil"/>
            </w:tcBorders>
            <w:shd w:val="clear" w:color="auto" w:fill="auto"/>
            <w:vAlign w:val="center"/>
          </w:tcPr>
          <w:p w14:paraId="286DB961"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auto" w:fill="auto"/>
            <w:vAlign w:val="center"/>
          </w:tcPr>
          <w:p w14:paraId="310CF4BF"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e)</w:t>
            </w:r>
          </w:p>
        </w:tc>
        <w:tc>
          <w:tcPr>
            <w:tcW w:w="7371" w:type="dxa"/>
            <w:tcBorders>
              <w:top w:val="nil"/>
              <w:left w:val="nil"/>
              <w:bottom w:val="nil"/>
              <w:right w:val="nil"/>
            </w:tcBorders>
            <w:shd w:val="clear" w:color="auto" w:fill="auto"/>
            <w:vAlign w:val="center"/>
          </w:tcPr>
          <w:p w14:paraId="23D15BA6"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If applicable, indicate how multiple testing was addressed</w:t>
            </w:r>
          </w:p>
        </w:tc>
        <w:tc>
          <w:tcPr>
            <w:tcW w:w="3844" w:type="dxa"/>
            <w:tcBorders>
              <w:top w:val="nil"/>
              <w:left w:val="nil"/>
              <w:bottom w:val="nil"/>
              <w:right w:val="single" w:sz="8" w:space="0" w:color="auto"/>
            </w:tcBorders>
            <w:shd w:val="clear" w:color="auto" w:fill="auto"/>
            <w:vAlign w:val="center"/>
          </w:tcPr>
          <w:p w14:paraId="7D8D030D"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N/A</w:t>
            </w:r>
          </w:p>
        </w:tc>
      </w:tr>
      <w:tr w:rsidR="00B5557E" w14:paraId="68A411D9" w14:textId="77777777">
        <w:trPr>
          <w:trHeight w:val="600"/>
          <w:jc w:val="center"/>
        </w:trPr>
        <w:tc>
          <w:tcPr>
            <w:tcW w:w="700" w:type="dxa"/>
            <w:tcBorders>
              <w:top w:val="nil"/>
              <w:left w:val="single" w:sz="8" w:space="0" w:color="auto"/>
              <w:bottom w:val="nil"/>
              <w:right w:val="nil"/>
            </w:tcBorders>
            <w:shd w:val="clear" w:color="000000" w:fill="EEEEEE"/>
            <w:vAlign w:val="center"/>
          </w:tcPr>
          <w:p w14:paraId="1D1942A5"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7</w:t>
            </w:r>
          </w:p>
        </w:tc>
        <w:tc>
          <w:tcPr>
            <w:tcW w:w="1977" w:type="dxa"/>
            <w:tcBorders>
              <w:top w:val="nil"/>
              <w:left w:val="nil"/>
              <w:bottom w:val="nil"/>
              <w:right w:val="nil"/>
            </w:tcBorders>
            <w:shd w:val="clear" w:color="000000" w:fill="EEEEEE"/>
            <w:vAlign w:val="center"/>
          </w:tcPr>
          <w:p w14:paraId="76813270"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Assessment of assumptions</w:t>
            </w:r>
          </w:p>
        </w:tc>
        <w:tc>
          <w:tcPr>
            <w:tcW w:w="7371" w:type="dxa"/>
            <w:tcBorders>
              <w:top w:val="nil"/>
              <w:left w:val="nil"/>
              <w:bottom w:val="nil"/>
              <w:right w:val="nil"/>
            </w:tcBorders>
            <w:shd w:val="clear" w:color="000000" w:fill="EEEEEE"/>
            <w:vAlign w:val="center"/>
          </w:tcPr>
          <w:p w14:paraId="01E0A6B4"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Describe any methods or prior knowledge used to assess the assumptions or justify their validity </w:t>
            </w:r>
          </w:p>
        </w:tc>
        <w:tc>
          <w:tcPr>
            <w:tcW w:w="3844" w:type="dxa"/>
            <w:tcBorders>
              <w:top w:val="nil"/>
              <w:left w:val="nil"/>
              <w:bottom w:val="nil"/>
              <w:right w:val="single" w:sz="8" w:space="0" w:color="auto"/>
            </w:tcBorders>
            <w:shd w:val="clear" w:color="000000" w:fill="EEEEEE"/>
            <w:vAlign w:val="center"/>
          </w:tcPr>
          <w:p w14:paraId="4D7C963A"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Methods (Mendelian Randomization) &amp; eMethods (Mendelian Randomization)</w:t>
            </w:r>
          </w:p>
        </w:tc>
      </w:tr>
      <w:tr w:rsidR="00B5557E" w14:paraId="38B6EB4D" w14:textId="77777777">
        <w:trPr>
          <w:trHeight w:val="600"/>
          <w:jc w:val="center"/>
        </w:trPr>
        <w:tc>
          <w:tcPr>
            <w:tcW w:w="700" w:type="dxa"/>
            <w:tcBorders>
              <w:top w:val="nil"/>
              <w:left w:val="single" w:sz="8" w:space="0" w:color="auto"/>
              <w:bottom w:val="nil"/>
              <w:right w:val="nil"/>
            </w:tcBorders>
            <w:shd w:val="clear" w:color="auto" w:fill="auto"/>
            <w:vAlign w:val="center"/>
          </w:tcPr>
          <w:p w14:paraId="4F2927D3"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8</w:t>
            </w:r>
          </w:p>
        </w:tc>
        <w:tc>
          <w:tcPr>
            <w:tcW w:w="1977" w:type="dxa"/>
            <w:tcBorders>
              <w:top w:val="nil"/>
              <w:left w:val="nil"/>
              <w:bottom w:val="nil"/>
              <w:right w:val="nil"/>
            </w:tcBorders>
            <w:shd w:val="clear" w:color="auto" w:fill="auto"/>
            <w:vAlign w:val="center"/>
          </w:tcPr>
          <w:p w14:paraId="77D8B614"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Sensitivity analyses and additional analyses</w:t>
            </w:r>
          </w:p>
        </w:tc>
        <w:tc>
          <w:tcPr>
            <w:tcW w:w="7371" w:type="dxa"/>
            <w:tcBorders>
              <w:top w:val="nil"/>
              <w:left w:val="nil"/>
              <w:bottom w:val="nil"/>
              <w:right w:val="nil"/>
            </w:tcBorders>
            <w:shd w:val="clear" w:color="auto" w:fill="auto"/>
            <w:vAlign w:val="center"/>
          </w:tcPr>
          <w:p w14:paraId="1426D8AF"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Describe any sensitivity analyses or additional analyses performed (e.g. comparison of effect estimates from different approaches, independent replication, bias analytic techniques, validation of instruments, simulations)</w:t>
            </w:r>
          </w:p>
        </w:tc>
        <w:tc>
          <w:tcPr>
            <w:tcW w:w="3844" w:type="dxa"/>
            <w:tcBorders>
              <w:top w:val="nil"/>
              <w:left w:val="nil"/>
              <w:bottom w:val="nil"/>
              <w:right w:val="single" w:sz="8" w:space="0" w:color="auto"/>
            </w:tcBorders>
            <w:shd w:val="clear" w:color="auto" w:fill="auto"/>
            <w:vAlign w:val="center"/>
          </w:tcPr>
          <w:p w14:paraId="4215076D"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Methods (Mendelian Randomization) &amp; eMethods (Mendelian Randomization)</w:t>
            </w:r>
          </w:p>
        </w:tc>
      </w:tr>
      <w:tr w:rsidR="00B5557E" w14:paraId="0AA30A23" w14:textId="77777777">
        <w:trPr>
          <w:trHeight w:val="600"/>
          <w:jc w:val="center"/>
        </w:trPr>
        <w:tc>
          <w:tcPr>
            <w:tcW w:w="700" w:type="dxa"/>
            <w:tcBorders>
              <w:top w:val="nil"/>
              <w:left w:val="single" w:sz="8" w:space="0" w:color="auto"/>
              <w:bottom w:val="nil"/>
              <w:right w:val="nil"/>
            </w:tcBorders>
            <w:shd w:val="clear" w:color="000000" w:fill="EEEEEE"/>
            <w:vAlign w:val="center"/>
          </w:tcPr>
          <w:p w14:paraId="553C8E8C"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9</w:t>
            </w:r>
          </w:p>
        </w:tc>
        <w:tc>
          <w:tcPr>
            <w:tcW w:w="1977" w:type="dxa"/>
            <w:tcBorders>
              <w:top w:val="nil"/>
              <w:left w:val="nil"/>
              <w:bottom w:val="nil"/>
              <w:right w:val="nil"/>
            </w:tcBorders>
            <w:shd w:val="clear" w:color="000000" w:fill="EEEEEE"/>
            <w:vAlign w:val="center"/>
          </w:tcPr>
          <w:p w14:paraId="5AA2844E"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Software and pre-registration</w:t>
            </w:r>
          </w:p>
        </w:tc>
        <w:tc>
          <w:tcPr>
            <w:tcW w:w="7371" w:type="dxa"/>
            <w:tcBorders>
              <w:top w:val="nil"/>
              <w:left w:val="nil"/>
              <w:bottom w:val="nil"/>
              <w:right w:val="nil"/>
            </w:tcBorders>
            <w:shd w:val="clear" w:color="000000" w:fill="EEEEEE"/>
            <w:vAlign w:val="center"/>
          </w:tcPr>
          <w:p w14:paraId="185E8AAC"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w:t>
            </w:r>
          </w:p>
        </w:tc>
        <w:tc>
          <w:tcPr>
            <w:tcW w:w="3844" w:type="dxa"/>
            <w:tcBorders>
              <w:top w:val="nil"/>
              <w:left w:val="nil"/>
              <w:bottom w:val="nil"/>
              <w:right w:val="single" w:sz="8" w:space="0" w:color="auto"/>
            </w:tcBorders>
            <w:shd w:val="clear" w:color="000000" w:fill="EEEEEE"/>
            <w:vAlign w:val="center"/>
          </w:tcPr>
          <w:p w14:paraId="1E84D0D5"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w:t>
            </w:r>
          </w:p>
        </w:tc>
      </w:tr>
      <w:tr w:rsidR="00B5557E" w14:paraId="044A0008" w14:textId="77777777">
        <w:trPr>
          <w:trHeight w:val="600"/>
          <w:jc w:val="center"/>
        </w:trPr>
        <w:tc>
          <w:tcPr>
            <w:tcW w:w="700" w:type="dxa"/>
            <w:tcBorders>
              <w:top w:val="nil"/>
              <w:left w:val="single" w:sz="8" w:space="0" w:color="auto"/>
              <w:bottom w:val="nil"/>
              <w:right w:val="nil"/>
            </w:tcBorders>
            <w:shd w:val="clear" w:color="auto" w:fill="auto"/>
            <w:vAlign w:val="center"/>
          </w:tcPr>
          <w:p w14:paraId="41DE2282"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lastRenderedPageBreak/>
              <w:t xml:space="preserve">　</w:t>
            </w:r>
          </w:p>
        </w:tc>
        <w:tc>
          <w:tcPr>
            <w:tcW w:w="1977" w:type="dxa"/>
            <w:tcBorders>
              <w:top w:val="nil"/>
              <w:left w:val="nil"/>
              <w:bottom w:val="nil"/>
              <w:right w:val="nil"/>
            </w:tcBorders>
            <w:shd w:val="clear" w:color="auto" w:fill="auto"/>
            <w:vAlign w:val="center"/>
          </w:tcPr>
          <w:p w14:paraId="0A259977"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a)</w:t>
            </w:r>
          </w:p>
        </w:tc>
        <w:tc>
          <w:tcPr>
            <w:tcW w:w="7371" w:type="dxa"/>
            <w:tcBorders>
              <w:top w:val="nil"/>
              <w:left w:val="nil"/>
              <w:bottom w:val="nil"/>
              <w:right w:val="nil"/>
            </w:tcBorders>
            <w:shd w:val="clear" w:color="auto" w:fill="auto"/>
            <w:vAlign w:val="center"/>
          </w:tcPr>
          <w:p w14:paraId="6A8CAA6C"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Name statistical software and package(s), including version and settings used </w:t>
            </w:r>
          </w:p>
        </w:tc>
        <w:tc>
          <w:tcPr>
            <w:tcW w:w="3844" w:type="dxa"/>
            <w:tcBorders>
              <w:top w:val="nil"/>
              <w:left w:val="nil"/>
              <w:bottom w:val="nil"/>
              <w:right w:val="single" w:sz="8" w:space="0" w:color="auto"/>
            </w:tcBorders>
            <w:shd w:val="clear" w:color="auto" w:fill="auto"/>
            <w:vAlign w:val="center"/>
          </w:tcPr>
          <w:p w14:paraId="2E2018B8"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Methods (Mendelian Randomization) &amp; eMethods (Mendelian Randomization)</w:t>
            </w:r>
          </w:p>
        </w:tc>
      </w:tr>
      <w:tr w:rsidR="00B5557E" w14:paraId="65887CB3" w14:textId="77777777">
        <w:trPr>
          <w:trHeight w:val="600"/>
          <w:jc w:val="center"/>
        </w:trPr>
        <w:tc>
          <w:tcPr>
            <w:tcW w:w="700" w:type="dxa"/>
            <w:tcBorders>
              <w:top w:val="nil"/>
              <w:left w:val="single" w:sz="8" w:space="0" w:color="auto"/>
              <w:bottom w:val="single" w:sz="8" w:space="0" w:color="7F7F7F"/>
              <w:right w:val="nil"/>
            </w:tcBorders>
            <w:shd w:val="clear" w:color="000000" w:fill="EEEEEE"/>
            <w:vAlign w:val="center"/>
          </w:tcPr>
          <w:p w14:paraId="5D00984B"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single" w:sz="8" w:space="0" w:color="7F7F7F"/>
              <w:right w:val="nil"/>
            </w:tcBorders>
            <w:shd w:val="clear" w:color="000000" w:fill="EEEEEE"/>
            <w:vAlign w:val="center"/>
          </w:tcPr>
          <w:p w14:paraId="74214F24"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b)</w:t>
            </w:r>
          </w:p>
        </w:tc>
        <w:tc>
          <w:tcPr>
            <w:tcW w:w="7371" w:type="dxa"/>
            <w:tcBorders>
              <w:top w:val="nil"/>
              <w:left w:val="nil"/>
              <w:bottom w:val="single" w:sz="8" w:space="0" w:color="7F7F7F"/>
              <w:right w:val="nil"/>
            </w:tcBorders>
            <w:shd w:val="clear" w:color="000000" w:fill="EEEEEE"/>
            <w:vAlign w:val="center"/>
          </w:tcPr>
          <w:p w14:paraId="5948DC94"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State whether the study protocol and details were pre-registered (as well as when and where)</w:t>
            </w:r>
          </w:p>
        </w:tc>
        <w:tc>
          <w:tcPr>
            <w:tcW w:w="3844" w:type="dxa"/>
            <w:tcBorders>
              <w:top w:val="nil"/>
              <w:left w:val="nil"/>
              <w:bottom w:val="single" w:sz="8" w:space="0" w:color="7F7F7F"/>
              <w:right w:val="single" w:sz="8" w:space="0" w:color="auto"/>
            </w:tcBorders>
            <w:shd w:val="clear" w:color="000000" w:fill="EEEEEE"/>
            <w:vAlign w:val="center"/>
          </w:tcPr>
          <w:p w14:paraId="7283B048"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N/A</w:t>
            </w:r>
          </w:p>
        </w:tc>
      </w:tr>
      <w:tr w:rsidR="00B5557E" w14:paraId="567FDF86" w14:textId="77777777">
        <w:trPr>
          <w:trHeight w:val="441"/>
          <w:jc w:val="center"/>
        </w:trPr>
        <w:tc>
          <w:tcPr>
            <w:tcW w:w="700" w:type="dxa"/>
            <w:tcBorders>
              <w:top w:val="nil"/>
              <w:left w:val="single" w:sz="8" w:space="0" w:color="auto"/>
              <w:bottom w:val="nil"/>
              <w:right w:val="nil"/>
            </w:tcBorders>
            <w:shd w:val="clear" w:color="auto" w:fill="auto"/>
            <w:vAlign w:val="center"/>
          </w:tcPr>
          <w:p w14:paraId="0CBBA61C"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auto" w:fill="auto"/>
            <w:vAlign w:val="center"/>
          </w:tcPr>
          <w:p w14:paraId="47F1A6C9"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RESULTS</w:t>
            </w:r>
          </w:p>
        </w:tc>
        <w:tc>
          <w:tcPr>
            <w:tcW w:w="7371" w:type="dxa"/>
            <w:tcBorders>
              <w:top w:val="nil"/>
              <w:left w:val="nil"/>
              <w:bottom w:val="nil"/>
              <w:right w:val="nil"/>
            </w:tcBorders>
            <w:shd w:val="clear" w:color="auto" w:fill="auto"/>
            <w:vAlign w:val="center"/>
          </w:tcPr>
          <w:p w14:paraId="57C1D4EF" w14:textId="77777777" w:rsidR="00B5557E" w:rsidRDefault="00B5557E">
            <w:pPr>
              <w:widowControl/>
              <w:jc w:val="left"/>
              <w:rPr>
                <w:rFonts w:ascii="Times New Roman" w:eastAsia="等线" w:hAnsi="Times New Roman" w:cs="Times New Roman"/>
                <w:b/>
                <w:bCs/>
                <w:color w:val="000000"/>
                <w:kern w:val="0"/>
                <w:sz w:val="22"/>
              </w:rPr>
            </w:pPr>
          </w:p>
        </w:tc>
        <w:tc>
          <w:tcPr>
            <w:tcW w:w="3844" w:type="dxa"/>
            <w:tcBorders>
              <w:top w:val="nil"/>
              <w:left w:val="nil"/>
              <w:bottom w:val="nil"/>
              <w:right w:val="single" w:sz="8" w:space="0" w:color="auto"/>
            </w:tcBorders>
            <w:shd w:val="clear" w:color="auto" w:fill="auto"/>
            <w:vAlign w:val="center"/>
          </w:tcPr>
          <w:p w14:paraId="0DA4F5A7"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w:t>
            </w:r>
          </w:p>
        </w:tc>
      </w:tr>
      <w:tr w:rsidR="00B5557E" w14:paraId="44FE7920" w14:textId="77777777">
        <w:trPr>
          <w:trHeight w:val="600"/>
          <w:jc w:val="center"/>
        </w:trPr>
        <w:tc>
          <w:tcPr>
            <w:tcW w:w="700" w:type="dxa"/>
            <w:tcBorders>
              <w:top w:val="nil"/>
              <w:left w:val="single" w:sz="8" w:space="0" w:color="auto"/>
              <w:bottom w:val="nil"/>
              <w:right w:val="nil"/>
            </w:tcBorders>
            <w:shd w:val="clear" w:color="000000" w:fill="EEEEEE"/>
            <w:vAlign w:val="center"/>
          </w:tcPr>
          <w:p w14:paraId="232ADF90"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10</w:t>
            </w:r>
          </w:p>
        </w:tc>
        <w:tc>
          <w:tcPr>
            <w:tcW w:w="1977" w:type="dxa"/>
            <w:tcBorders>
              <w:top w:val="nil"/>
              <w:left w:val="nil"/>
              <w:bottom w:val="nil"/>
              <w:right w:val="nil"/>
            </w:tcBorders>
            <w:shd w:val="clear" w:color="000000" w:fill="EEEEEE"/>
            <w:vAlign w:val="center"/>
          </w:tcPr>
          <w:p w14:paraId="40D0E558"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Descriptive data</w:t>
            </w:r>
          </w:p>
        </w:tc>
        <w:tc>
          <w:tcPr>
            <w:tcW w:w="7371" w:type="dxa"/>
            <w:tcBorders>
              <w:top w:val="nil"/>
              <w:left w:val="nil"/>
              <w:bottom w:val="nil"/>
              <w:right w:val="nil"/>
            </w:tcBorders>
            <w:shd w:val="clear" w:color="000000" w:fill="EEEEEE"/>
            <w:vAlign w:val="center"/>
          </w:tcPr>
          <w:p w14:paraId="35D01D3A"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w:t>
            </w:r>
          </w:p>
        </w:tc>
        <w:tc>
          <w:tcPr>
            <w:tcW w:w="3844" w:type="dxa"/>
            <w:tcBorders>
              <w:top w:val="nil"/>
              <w:left w:val="nil"/>
              <w:bottom w:val="nil"/>
              <w:right w:val="single" w:sz="8" w:space="0" w:color="auto"/>
            </w:tcBorders>
            <w:shd w:val="clear" w:color="000000" w:fill="EEEEEE"/>
            <w:vAlign w:val="center"/>
          </w:tcPr>
          <w:p w14:paraId="7051629B"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w:t>
            </w:r>
          </w:p>
        </w:tc>
      </w:tr>
      <w:tr w:rsidR="00B5557E" w14:paraId="2C046E4E" w14:textId="77777777">
        <w:trPr>
          <w:trHeight w:val="600"/>
          <w:jc w:val="center"/>
        </w:trPr>
        <w:tc>
          <w:tcPr>
            <w:tcW w:w="700" w:type="dxa"/>
            <w:tcBorders>
              <w:top w:val="nil"/>
              <w:left w:val="single" w:sz="8" w:space="0" w:color="auto"/>
              <w:bottom w:val="nil"/>
              <w:right w:val="nil"/>
            </w:tcBorders>
            <w:shd w:val="clear" w:color="auto" w:fill="auto"/>
            <w:vAlign w:val="center"/>
          </w:tcPr>
          <w:p w14:paraId="48A671A4"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auto" w:fill="auto"/>
            <w:vAlign w:val="center"/>
          </w:tcPr>
          <w:p w14:paraId="21D7DCB5"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a)</w:t>
            </w:r>
          </w:p>
        </w:tc>
        <w:tc>
          <w:tcPr>
            <w:tcW w:w="7371" w:type="dxa"/>
            <w:tcBorders>
              <w:top w:val="nil"/>
              <w:left w:val="nil"/>
              <w:bottom w:val="nil"/>
              <w:right w:val="nil"/>
            </w:tcBorders>
            <w:shd w:val="clear" w:color="auto" w:fill="auto"/>
            <w:vAlign w:val="center"/>
          </w:tcPr>
          <w:p w14:paraId="03CB618D"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Report the numbers of individuals at each stage of included studies and reasons for exclusion. Consider use of a flow-diagram</w:t>
            </w:r>
          </w:p>
        </w:tc>
        <w:tc>
          <w:tcPr>
            <w:tcW w:w="3844" w:type="dxa"/>
            <w:tcBorders>
              <w:top w:val="nil"/>
              <w:left w:val="nil"/>
              <w:bottom w:val="nil"/>
              <w:right w:val="single" w:sz="8" w:space="0" w:color="auto"/>
            </w:tcBorders>
            <w:shd w:val="clear" w:color="auto" w:fill="auto"/>
            <w:vAlign w:val="center"/>
          </w:tcPr>
          <w:p w14:paraId="47E524F8"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Methods (Mendelian Randomization) &amp; eMethods (Mendelian Randomization) &amp; Supplement 2 (sTable 2)</w:t>
            </w:r>
          </w:p>
        </w:tc>
      </w:tr>
      <w:tr w:rsidR="00B5557E" w14:paraId="56F2B8FF" w14:textId="77777777">
        <w:trPr>
          <w:trHeight w:val="600"/>
          <w:jc w:val="center"/>
        </w:trPr>
        <w:tc>
          <w:tcPr>
            <w:tcW w:w="700" w:type="dxa"/>
            <w:tcBorders>
              <w:top w:val="nil"/>
              <w:left w:val="single" w:sz="8" w:space="0" w:color="auto"/>
              <w:bottom w:val="nil"/>
              <w:right w:val="nil"/>
            </w:tcBorders>
            <w:shd w:val="clear" w:color="000000" w:fill="EEEEEE"/>
            <w:vAlign w:val="center"/>
          </w:tcPr>
          <w:p w14:paraId="1B97D08C"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000000" w:fill="EEEEEE"/>
            <w:vAlign w:val="center"/>
          </w:tcPr>
          <w:p w14:paraId="621235C9"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b)</w:t>
            </w:r>
          </w:p>
        </w:tc>
        <w:tc>
          <w:tcPr>
            <w:tcW w:w="7371" w:type="dxa"/>
            <w:tcBorders>
              <w:top w:val="nil"/>
              <w:left w:val="nil"/>
              <w:bottom w:val="nil"/>
              <w:right w:val="nil"/>
            </w:tcBorders>
            <w:shd w:val="clear" w:color="000000" w:fill="EEEEEE"/>
            <w:vAlign w:val="center"/>
          </w:tcPr>
          <w:p w14:paraId="480710C0"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Report summary statistics for phenotypic exposure(s), outcome(s) and other relevant variables (e.g. means, SDs, proportions)</w:t>
            </w:r>
          </w:p>
        </w:tc>
        <w:tc>
          <w:tcPr>
            <w:tcW w:w="3844" w:type="dxa"/>
            <w:tcBorders>
              <w:top w:val="nil"/>
              <w:left w:val="nil"/>
              <w:bottom w:val="nil"/>
              <w:right w:val="single" w:sz="8" w:space="0" w:color="auto"/>
            </w:tcBorders>
            <w:shd w:val="clear" w:color="000000" w:fill="EEEEEE"/>
            <w:vAlign w:val="center"/>
          </w:tcPr>
          <w:p w14:paraId="721AC1AC"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Supplement 2 (sTable 2)</w:t>
            </w:r>
          </w:p>
        </w:tc>
      </w:tr>
      <w:tr w:rsidR="00B5557E" w14:paraId="46C391C9" w14:textId="77777777">
        <w:trPr>
          <w:trHeight w:val="600"/>
          <w:jc w:val="center"/>
        </w:trPr>
        <w:tc>
          <w:tcPr>
            <w:tcW w:w="700" w:type="dxa"/>
            <w:tcBorders>
              <w:top w:val="nil"/>
              <w:left w:val="single" w:sz="8" w:space="0" w:color="auto"/>
              <w:bottom w:val="nil"/>
              <w:right w:val="nil"/>
            </w:tcBorders>
            <w:shd w:val="clear" w:color="auto" w:fill="auto"/>
            <w:vAlign w:val="center"/>
          </w:tcPr>
          <w:p w14:paraId="47029102"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auto" w:fill="auto"/>
            <w:vAlign w:val="center"/>
          </w:tcPr>
          <w:p w14:paraId="28842054"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c)</w:t>
            </w:r>
          </w:p>
        </w:tc>
        <w:tc>
          <w:tcPr>
            <w:tcW w:w="7371" w:type="dxa"/>
            <w:tcBorders>
              <w:top w:val="nil"/>
              <w:left w:val="nil"/>
              <w:bottom w:val="nil"/>
              <w:right w:val="nil"/>
            </w:tcBorders>
            <w:shd w:val="clear" w:color="auto" w:fill="auto"/>
            <w:vAlign w:val="center"/>
          </w:tcPr>
          <w:p w14:paraId="0505ED32"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If the data sources include meta-analyses of previous studies, provide the assessments of heterogeneity across these studies</w:t>
            </w:r>
          </w:p>
        </w:tc>
        <w:tc>
          <w:tcPr>
            <w:tcW w:w="3844" w:type="dxa"/>
            <w:tcBorders>
              <w:top w:val="nil"/>
              <w:left w:val="nil"/>
              <w:bottom w:val="nil"/>
              <w:right w:val="single" w:sz="8" w:space="0" w:color="auto"/>
            </w:tcBorders>
            <w:shd w:val="clear" w:color="auto" w:fill="auto"/>
            <w:vAlign w:val="center"/>
          </w:tcPr>
          <w:p w14:paraId="21740D2E"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N/A</w:t>
            </w:r>
          </w:p>
        </w:tc>
      </w:tr>
      <w:tr w:rsidR="00B5557E" w14:paraId="139D4F38" w14:textId="77777777">
        <w:trPr>
          <w:trHeight w:val="600"/>
          <w:jc w:val="center"/>
        </w:trPr>
        <w:tc>
          <w:tcPr>
            <w:tcW w:w="700" w:type="dxa"/>
            <w:vMerge w:val="restart"/>
            <w:tcBorders>
              <w:top w:val="nil"/>
              <w:left w:val="single" w:sz="8" w:space="0" w:color="auto"/>
              <w:bottom w:val="nil"/>
              <w:right w:val="nil"/>
            </w:tcBorders>
            <w:shd w:val="clear" w:color="000000" w:fill="EEEEEE"/>
            <w:vAlign w:val="center"/>
          </w:tcPr>
          <w:p w14:paraId="748C88DB"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vMerge w:val="restart"/>
            <w:tcBorders>
              <w:top w:val="nil"/>
              <w:left w:val="nil"/>
              <w:bottom w:val="nil"/>
              <w:right w:val="nil"/>
            </w:tcBorders>
            <w:shd w:val="clear" w:color="000000" w:fill="EEEEEE"/>
            <w:vAlign w:val="center"/>
          </w:tcPr>
          <w:p w14:paraId="29189FD8"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w:t>
            </w:r>
          </w:p>
        </w:tc>
        <w:tc>
          <w:tcPr>
            <w:tcW w:w="7371" w:type="dxa"/>
            <w:tcBorders>
              <w:top w:val="nil"/>
              <w:left w:val="nil"/>
              <w:bottom w:val="nil"/>
              <w:right w:val="nil"/>
            </w:tcBorders>
            <w:shd w:val="clear" w:color="000000" w:fill="EEEEEE"/>
            <w:vAlign w:val="center"/>
          </w:tcPr>
          <w:p w14:paraId="5A1D5E10"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For two-sample Mendelian randomisation:</w:t>
            </w:r>
          </w:p>
        </w:tc>
        <w:tc>
          <w:tcPr>
            <w:tcW w:w="3844" w:type="dxa"/>
            <w:vMerge w:val="restart"/>
            <w:tcBorders>
              <w:top w:val="nil"/>
              <w:left w:val="nil"/>
              <w:bottom w:val="nil"/>
              <w:right w:val="single" w:sz="8" w:space="0" w:color="auto"/>
            </w:tcBorders>
            <w:shd w:val="clear" w:color="000000" w:fill="EEEEEE"/>
            <w:vAlign w:val="center"/>
          </w:tcPr>
          <w:p w14:paraId="71B53087"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N/A</w:t>
            </w:r>
          </w:p>
        </w:tc>
      </w:tr>
      <w:tr w:rsidR="00B5557E" w14:paraId="14DD2E47" w14:textId="77777777">
        <w:trPr>
          <w:trHeight w:val="600"/>
          <w:jc w:val="center"/>
        </w:trPr>
        <w:tc>
          <w:tcPr>
            <w:tcW w:w="700" w:type="dxa"/>
            <w:vMerge/>
            <w:tcBorders>
              <w:top w:val="nil"/>
              <w:left w:val="single" w:sz="8" w:space="0" w:color="auto"/>
              <w:bottom w:val="nil"/>
              <w:right w:val="nil"/>
            </w:tcBorders>
            <w:vAlign w:val="center"/>
          </w:tcPr>
          <w:p w14:paraId="69E4F7EF" w14:textId="77777777" w:rsidR="00B5557E" w:rsidRDefault="00B5557E">
            <w:pPr>
              <w:widowControl/>
              <w:jc w:val="left"/>
              <w:rPr>
                <w:rFonts w:ascii="Times New Roman" w:eastAsia="等线" w:hAnsi="Times New Roman" w:cs="Times New Roman"/>
                <w:b/>
                <w:bCs/>
                <w:color w:val="000000"/>
                <w:kern w:val="0"/>
                <w:sz w:val="22"/>
              </w:rPr>
            </w:pPr>
          </w:p>
        </w:tc>
        <w:tc>
          <w:tcPr>
            <w:tcW w:w="1977" w:type="dxa"/>
            <w:vMerge/>
            <w:tcBorders>
              <w:top w:val="nil"/>
              <w:left w:val="nil"/>
              <w:bottom w:val="nil"/>
              <w:right w:val="nil"/>
            </w:tcBorders>
            <w:vAlign w:val="center"/>
          </w:tcPr>
          <w:p w14:paraId="0C747F62" w14:textId="77777777" w:rsidR="00B5557E" w:rsidRDefault="00B5557E">
            <w:pPr>
              <w:widowControl/>
              <w:jc w:val="left"/>
              <w:rPr>
                <w:rFonts w:ascii="Times New Roman" w:eastAsia="等线" w:hAnsi="Times New Roman" w:cs="Times New Roman"/>
                <w:color w:val="000000"/>
                <w:kern w:val="0"/>
                <w:sz w:val="22"/>
              </w:rPr>
            </w:pPr>
          </w:p>
        </w:tc>
        <w:tc>
          <w:tcPr>
            <w:tcW w:w="7371" w:type="dxa"/>
            <w:tcBorders>
              <w:top w:val="nil"/>
              <w:left w:val="nil"/>
              <w:bottom w:val="nil"/>
              <w:right w:val="nil"/>
            </w:tcBorders>
            <w:shd w:val="clear" w:color="000000" w:fill="EEEEEE"/>
            <w:vAlign w:val="center"/>
          </w:tcPr>
          <w:p w14:paraId="29CB2E50"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i.  Provide justification of the similarity of the genetic variant-exposure associations between the exposure and outcome samples</w:t>
            </w:r>
          </w:p>
        </w:tc>
        <w:tc>
          <w:tcPr>
            <w:tcW w:w="3844" w:type="dxa"/>
            <w:vMerge/>
            <w:tcBorders>
              <w:top w:val="nil"/>
              <w:left w:val="nil"/>
              <w:bottom w:val="nil"/>
              <w:right w:val="single" w:sz="8" w:space="0" w:color="auto"/>
            </w:tcBorders>
            <w:vAlign w:val="center"/>
          </w:tcPr>
          <w:p w14:paraId="6C876A40" w14:textId="77777777" w:rsidR="00B5557E" w:rsidRDefault="00B5557E">
            <w:pPr>
              <w:widowControl/>
              <w:jc w:val="left"/>
              <w:rPr>
                <w:rFonts w:ascii="Times New Roman" w:eastAsia="等线" w:hAnsi="Times New Roman" w:cs="Times New Roman"/>
                <w:color w:val="000000"/>
                <w:kern w:val="0"/>
                <w:sz w:val="22"/>
              </w:rPr>
            </w:pPr>
          </w:p>
        </w:tc>
      </w:tr>
      <w:tr w:rsidR="00B5557E" w14:paraId="1B6DC51B" w14:textId="77777777">
        <w:trPr>
          <w:trHeight w:val="600"/>
          <w:jc w:val="center"/>
        </w:trPr>
        <w:tc>
          <w:tcPr>
            <w:tcW w:w="700" w:type="dxa"/>
            <w:vMerge/>
            <w:tcBorders>
              <w:top w:val="nil"/>
              <w:left w:val="single" w:sz="8" w:space="0" w:color="auto"/>
              <w:bottom w:val="nil"/>
              <w:right w:val="nil"/>
            </w:tcBorders>
            <w:vAlign w:val="center"/>
          </w:tcPr>
          <w:p w14:paraId="43DC66A7" w14:textId="77777777" w:rsidR="00B5557E" w:rsidRDefault="00B5557E">
            <w:pPr>
              <w:widowControl/>
              <w:jc w:val="left"/>
              <w:rPr>
                <w:rFonts w:ascii="Times New Roman" w:eastAsia="等线" w:hAnsi="Times New Roman" w:cs="Times New Roman"/>
                <w:b/>
                <w:bCs/>
                <w:color w:val="000000"/>
                <w:kern w:val="0"/>
                <w:sz w:val="22"/>
              </w:rPr>
            </w:pPr>
          </w:p>
        </w:tc>
        <w:tc>
          <w:tcPr>
            <w:tcW w:w="1977" w:type="dxa"/>
            <w:vMerge/>
            <w:tcBorders>
              <w:top w:val="nil"/>
              <w:left w:val="nil"/>
              <w:bottom w:val="nil"/>
              <w:right w:val="nil"/>
            </w:tcBorders>
            <w:vAlign w:val="center"/>
          </w:tcPr>
          <w:p w14:paraId="07AAB408" w14:textId="77777777" w:rsidR="00B5557E" w:rsidRDefault="00B5557E">
            <w:pPr>
              <w:widowControl/>
              <w:jc w:val="left"/>
              <w:rPr>
                <w:rFonts w:ascii="Times New Roman" w:eastAsia="等线" w:hAnsi="Times New Roman" w:cs="Times New Roman"/>
                <w:color w:val="000000"/>
                <w:kern w:val="0"/>
                <w:sz w:val="22"/>
              </w:rPr>
            </w:pPr>
          </w:p>
        </w:tc>
        <w:tc>
          <w:tcPr>
            <w:tcW w:w="7371" w:type="dxa"/>
            <w:tcBorders>
              <w:top w:val="nil"/>
              <w:left w:val="nil"/>
              <w:bottom w:val="nil"/>
              <w:right w:val="nil"/>
            </w:tcBorders>
            <w:shd w:val="clear" w:color="000000" w:fill="EEEEEE"/>
            <w:vAlign w:val="center"/>
          </w:tcPr>
          <w:p w14:paraId="0F13852F"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ii.  Provide information on the number of individuals who were in both samples for the exposure and for the outcome</w:t>
            </w:r>
          </w:p>
        </w:tc>
        <w:tc>
          <w:tcPr>
            <w:tcW w:w="3844" w:type="dxa"/>
            <w:vMerge/>
            <w:tcBorders>
              <w:top w:val="nil"/>
              <w:left w:val="nil"/>
              <w:bottom w:val="nil"/>
              <w:right w:val="single" w:sz="8" w:space="0" w:color="auto"/>
            </w:tcBorders>
            <w:vAlign w:val="center"/>
          </w:tcPr>
          <w:p w14:paraId="4BC3B7C4" w14:textId="77777777" w:rsidR="00B5557E" w:rsidRDefault="00B5557E">
            <w:pPr>
              <w:widowControl/>
              <w:jc w:val="left"/>
              <w:rPr>
                <w:rFonts w:ascii="Times New Roman" w:eastAsia="等线" w:hAnsi="Times New Roman" w:cs="Times New Roman"/>
                <w:color w:val="000000"/>
                <w:kern w:val="0"/>
                <w:sz w:val="22"/>
              </w:rPr>
            </w:pPr>
          </w:p>
        </w:tc>
      </w:tr>
      <w:tr w:rsidR="00B5557E" w14:paraId="266BA6CE" w14:textId="77777777">
        <w:trPr>
          <w:trHeight w:val="480"/>
          <w:jc w:val="center"/>
        </w:trPr>
        <w:tc>
          <w:tcPr>
            <w:tcW w:w="700" w:type="dxa"/>
            <w:tcBorders>
              <w:top w:val="nil"/>
              <w:left w:val="single" w:sz="8" w:space="0" w:color="auto"/>
              <w:bottom w:val="nil"/>
              <w:right w:val="nil"/>
            </w:tcBorders>
            <w:shd w:val="clear" w:color="auto" w:fill="auto"/>
            <w:vAlign w:val="center"/>
          </w:tcPr>
          <w:p w14:paraId="794C42EC"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11</w:t>
            </w:r>
          </w:p>
        </w:tc>
        <w:tc>
          <w:tcPr>
            <w:tcW w:w="1977" w:type="dxa"/>
            <w:tcBorders>
              <w:top w:val="nil"/>
              <w:left w:val="nil"/>
              <w:bottom w:val="nil"/>
              <w:right w:val="nil"/>
            </w:tcBorders>
            <w:shd w:val="clear" w:color="auto" w:fill="auto"/>
            <w:vAlign w:val="center"/>
          </w:tcPr>
          <w:p w14:paraId="7EFA7179"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Main results</w:t>
            </w:r>
          </w:p>
        </w:tc>
        <w:tc>
          <w:tcPr>
            <w:tcW w:w="7371" w:type="dxa"/>
            <w:tcBorders>
              <w:top w:val="nil"/>
              <w:left w:val="nil"/>
              <w:bottom w:val="nil"/>
              <w:right w:val="nil"/>
            </w:tcBorders>
            <w:shd w:val="clear" w:color="auto" w:fill="auto"/>
            <w:vAlign w:val="center"/>
          </w:tcPr>
          <w:p w14:paraId="2D9EC7BE" w14:textId="77777777" w:rsidR="00B5557E" w:rsidRDefault="00B5557E">
            <w:pPr>
              <w:widowControl/>
              <w:jc w:val="left"/>
              <w:rPr>
                <w:rFonts w:ascii="Times New Roman" w:eastAsia="等线" w:hAnsi="Times New Roman" w:cs="Times New Roman"/>
                <w:b/>
                <w:bCs/>
                <w:color w:val="000000"/>
                <w:kern w:val="0"/>
                <w:sz w:val="22"/>
              </w:rPr>
            </w:pPr>
          </w:p>
        </w:tc>
        <w:tc>
          <w:tcPr>
            <w:tcW w:w="3844" w:type="dxa"/>
            <w:tcBorders>
              <w:top w:val="nil"/>
              <w:left w:val="nil"/>
              <w:bottom w:val="nil"/>
              <w:right w:val="single" w:sz="8" w:space="0" w:color="auto"/>
            </w:tcBorders>
            <w:shd w:val="clear" w:color="auto" w:fill="auto"/>
            <w:vAlign w:val="center"/>
          </w:tcPr>
          <w:p w14:paraId="3C89E159"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w:t>
            </w:r>
          </w:p>
        </w:tc>
      </w:tr>
      <w:tr w:rsidR="00B5557E" w14:paraId="02AAFE96" w14:textId="77777777">
        <w:trPr>
          <w:trHeight w:val="600"/>
          <w:jc w:val="center"/>
        </w:trPr>
        <w:tc>
          <w:tcPr>
            <w:tcW w:w="700" w:type="dxa"/>
            <w:tcBorders>
              <w:top w:val="nil"/>
              <w:left w:val="single" w:sz="8" w:space="0" w:color="auto"/>
              <w:bottom w:val="nil"/>
              <w:right w:val="nil"/>
            </w:tcBorders>
            <w:shd w:val="clear" w:color="000000" w:fill="EEEEEE"/>
            <w:vAlign w:val="center"/>
          </w:tcPr>
          <w:p w14:paraId="24FB86B0"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000000" w:fill="EEEEEE"/>
            <w:vAlign w:val="center"/>
          </w:tcPr>
          <w:p w14:paraId="11724F6C"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a)</w:t>
            </w:r>
          </w:p>
        </w:tc>
        <w:tc>
          <w:tcPr>
            <w:tcW w:w="7371" w:type="dxa"/>
            <w:tcBorders>
              <w:top w:val="nil"/>
              <w:left w:val="nil"/>
              <w:bottom w:val="nil"/>
              <w:right w:val="nil"/>
            </w:tcBorders>
            <w:shd w:val="clear" w:color="000000" w:fill="EEEEEE"/>
            <w:vAlign w:val="center"/>
          </w:tcPr>
          <w:p w14:paraId="2E269C7D"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Report the associations between genetic variant and exposure, and between genetic variant and outcome, preferably on an interpretable scale</w:t>
            </w:r>
          </w:p>
        </w:tc>
        <w:tc>
          <w:tcPr>
            <w:tcW w:w="3844" w:type="dxa"/>
            <w:tcBorders>
              <w:top w:val="nil"/>
              <w:left w:val="nil"/>
              <w:bottom w:val="nil"/>
              <w:right w:val="single" w:sz="8" w:space="0" w:color="auto"/>
            </w:tcBorders>
            <w:shd w:val="clear" w:color="000000" w:fill="EEEEEE"/>
            <w:vAlign w:val="center"/>
          </w:tcPr>
          <w:p w14:paraId="25C3B4CB"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Results (Mendelian Randomization)</w:t>
            </w:r>
          </w:p>
        </w:tc>
      </w:tr>
      <w:tr w:rsidR="00B5557E" w14:paraId="0B8DEEEE" w14:textId="77777777">
        <w:trPr>
          <w:trHeight w:val="600"/>
          <w:jc w:val="center"/>
        </w:trPr>
        <w:tc>
          <w:tcPr>
            <w:tcW w:w="700" w:type="dxa"/>
            <w:tcBorders>
              <w:top w:val="nil"/>
              <w:left w:val="single" w:sz="8" w:space="0" w:color="auto"/>
              <w:bottom w:val="nil"/>
              <w:right w:val="nil"/>
            </w:tcBorders>
            <w:shd w:val="clear" w:color="auto" w:fill="auto"/>
            <w:vAlign w:val="center"/>
          </w:tcPr>
          <w:p w14:paraId="092CBC6F"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auto" w:fill="auto"/>
            <w:vAlign w:val="center"/>
          </w:tcPr>
          <w:p w14:paraId="0469734E"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b)</w:t>
            </w:r>
          </w:p>
        </w:tc>
        <w:tc>
          <w:tcPr>
            <w:tcW w:w="7371" w:type="dxa"/>
            <w:tcBorders>
              <w:top w:val="nil"/>
              <w:left w:val="nil"/>
              <w:bottom w:val="nil"/>
              <w:right w:val="nil"/>
            </w:tcBorders>
            <w:shd w:val="clear" w:color="auto" w:fill="auto"/>
            <w:vAlign w:val="center"/>
          </w:tcPr>
          <w:p w14:paraId="6EF1BDFC"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Report MR estimates of the relationship between exposure and outcome, and the measures of uncertainty from the MR analysis, on an interpretable scale, such as odds ratio or relative risk per SD difference</w:t>
            </w:r>
          </w:p>
        </w:tc>
        <w:tc>
          <w:tcPr>
            <w:tcW w:w="3844" w:type="dxa"/>
            <w:tcBorders>
              <w:top w:val="nil"/>
              <w:left w:val="nil"/>
              <w:bottom w:val="nil"/>
              <w:right w:val="single" w:sz="8" w:space="0" w:color="auto"/>
            </w:tcBorders>
            <w:shd w:val="clear" w:color="auto" w:fill="auto"/>
            <w:vAlign w:val="center"/>
          </w:tcPr>
          <w:p w14:paraId="05139A01"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Results (Mendelian Randomization)</w:t>
            </w:r>
          </w:p>
        </w:tc>
      </w:tr>
      <w:tr w:rsidR="00B5557E" w14:paraId="1F394BAB" w14:textId="77777777">
        <w:trPr>
          <w:trHeight w:val="600"/>
          <w:jc w:val="center"/>
        </w:trPr>
        <w:tc>
          <w:tcPr>
            <w:tcW w:w="700" w:type="dxa"/>
            <w:tcBorders>
              <w:top w:val="nil"/>
              <w:left w:val="single" w:sz="8" w:space="0" w:color="auto"/>
              <w:bottom w:val="nil"/>
              <w:right w:val="nil"/>
            </w:tcBorders>
            <w:shd w:val="clear" w:color="000000" w:fill="EEEEEE"/>
            <w:vAlign w:val="center"/>
          </w:tcPr>
          <w:p w14:paraId="4443AB1C"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000000" w:fill="EEEEEE"/>
            <w:vAlign w:val="center"/>
          </w:tcPr>
          <w:p w14:paraId="423CCF31"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c)</w:t>
            </w:r>
          </w:p>
        </w:tc>
        <w:tc>
          <w:tcPr>
            <w:tcW w:w="7371" w:type="dxa"/>
            <w:tcBorders>
              <w:top w:val="nil"/>
              <w:left w:val="nil"/>
              <w:bottom w:val="nil"/>
              <w:right w:val="nil"/>
            </w:tcBorders>
            <w:shd w:val="clear" w:color="000000" w:fill="EEEEEE"/>
            <w:vAlign w:val="center"/>
          </w:tcPr>
          <w:p w14:paraId="38B82425"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If relevant, consider translating estimates of relative risk into absolute risk for a meaningful time period</w:t>
            </w:r>
          </w:p>
        </w:tc>
        <w:tc>
          <w:tcPr>
            <w:tcW w:w="3844" w:type="dxa"/>
            <w:tcBorders>
              <w:top w:val="nil"/>
              <w:left w:val="nil"/>
              <w:bottom w:val="nil"/>
              <w:right w:val="single" w:sz="8" w:space="0" w:color="auto"/>
            </w:tcBorders>
            <w:shd w:val="clear" w:color="000000" w:fill="EEEEEE"/>
            <w:vAlign w:val="center"/>
          </w:tcPr>
          <w:p w14:paraId="46A31CF1"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N/A</w:t>
            </w:r>
          </w:p>
        </w:tc>
      </w:tr>
      <w:tr w:rsidR="00B5557E" w14:paraId="0139F474" w14:textId="77777777">
        <w:trPr>
          <w:trHeight w:val="600"/>
          <w:jc w:val="center"/>
        </w:trPr>
        <w:tc>
          <w:tcPr>
            <w:tcW w:w="700" w:type="dxa"/>
            <w:tcBorders>
              <w:top w:val="nil"/>
              <w:left w:val="single" w:sz="8" w:space="0" w:color="auto"/>
              <w:bottom w:val="nil"/>
              <w:right w:val="nil"/>
            </w:tcBorders>
            <w:shd w:val="clear" w:color="auto" w:fill="auto"/>
            <w:vAlign w:val="center"/>
          </w:tcPr>
          <w:p w14:paraId="013A8277"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lastRenderedPageBreak/>
              <w:t xml:space="preserve">　</w:t>
            </w:r>
          </w:p>
        </w:tc>
        <w:tc>
          <w:tcPr>
            <w:tcW w:w="1977" w:type="dxa"/>
            <w:tcBorders>
              <w:top w:val="nil"/>
              <w:left w:val="nil"/>
              <w:bottom w:val="nil"/>
              <w:right w:val="nil"/>
            </w:tcBorders>
            <w:shd w:val="clear" w:color="auto" w:fill="auto"/>
            <w:vAlign w:val="center"/>
          </w:tcPr>
          <w:p w14:paraId="1CCAFA57"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w:t>
            </w:r>
          </w:p>
        </w:tc>
        <w:tc>
          <w:tcPr>
            <w:tcW w:w="7371" w:type="dxa"/>
            <w:tcBorders>
              <w:top w:val="nil"/>
              <w:left w:val="nil"/>
              <w:bottom w:val="nil"/>
              <w:right w:val="nil"/>
            </w:tcBorders>
            <w:shd w:val="clear" w:color="auto" w:fill="auto"/>
            <w:vAlign w:val="center"/>
          </w:tcPr>
          <w:p w14:paraId="554425BF"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Consider plots to visualize results (e.g. forest plot, scatterplot of associations between genetic variants and outcome versus between genetic variants and exposure)</w:t>
            </w:r>
          </w:p>
        </w:tc>
        <w:tc>
          <w:tcPr>
            <w:tcW w:w="3844" w:type="dxa"/>
            <w:tcBorders>
              <w:top w:val="nil"/>
              <w:left w:val="nil"/>
              <w:bottom w:val="nil"/>
              <w:right w:val="single" w:sz="8" w:space="0" w:color="auto"/>
            </w:tcBorders>
            <w:shd w:val="clear" w:color="auto" w:fill="auto"/>
            <w:vAlign w:val="center"/>
          </w:tcPr>
          <w:p w14:paraId="548019F1"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Figures 4</w:t>
            </w:r>
          </w:p>
        </w:tc>
      </w:tr>
      <w:tr w:rsidR="00B5557E" w14:paraId="5D4101BF" w14:textId="77777777">
        <w:trPr>
          <w:trHeight w:val="480"/>
          <w:jc w:val="center"/>
        </w:trPr>
        <w:tc>
          <w:tcPr>
            <w:tcW w:w="700" w:type="dxa"/>
            <w:tcBorders>
              <w:top w:val="nil"/>
              <w:left w:val="single" w:sz="8" w:space="0" w:color="auto"/>
              <w:bottom w:val="nil"/>
              <w:right w:val="nil"/>
            </w:tcBorders>
            <w:shd w:val="clear" w:color="000000" w:fill="EEEEEE"/>
            <w:vAlign w:val="center"/>
          </w:tcPr>
          <w:p w14:paraId="273CFDA1"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12</w:t>
            </w:r>
          </w:p>
        </w:tc>
        <w:tc>
          <w:tcPr>
            <w:tcW w:w="1977" w:type="dxa"/>
            <w:tcBorders>
              <w:top w:val="nil"/>
              <w:left w:val="nil"/>
              <w:bottom w:val="nil"/>
              <w:right w:val="nil"/>
            </w:tcBorders>
            <w:shd w:val="clear" w:color="000000" w:fill="EEEEEE"/>
            <w:vAlign w:val="center"/>
          </w:tcPr>
          <w:p w14:paraId="375DBB77"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Assessment of assumptions</w:t>
            </w:r>
          </w:p>
        </w:tc>
        <w:tc>
          <w:tcPr>
            <w:tcW w:w="7371" w:type="dxa"/>
            <w:tcBorders>
              <w:top w:val="nil"/>
              <w:left w:val="nil"/>
              <w:bottom w:val="nil"/>
              <w:right w:val="nil"/>
            </w:tcBorders>
            <w:shd w:val="clear" w:color="000000" w:fill="EEEEEE"/>
            <w:vAlign w:val="center"/>
          </w:tcPr>
          <w:p w14:paraId="057FE6B4"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w:t>
            </w:r>
          </w:p>
        </w:tc>
        <w:tc>
          <w:tcPr>
            <w:tcW w:w="3844" w:type="dxa"/>
            <w:tcBorders>
              <w:top w:val="nil"/>
              <w:left w:val="nil"/>
              <w:bottom w:val="nil"/>
              <w:right w:val="single" w:sz="8" w:space="0" w:color="auto"/>
            </w:tcBorders>
            <w:shd w:val="clear" w:color="000000" w:fill="EEEEEE"/>
            <w:vAlign w:val="center"/>
          </w:tcPr>
          <w:p w14:paraId="6B644FD7"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w:t>
            </w:r>
          </w:p>
        </w:tc>
      </w:tr>
      <w:tr w:rsidR="00B5557E" w14:paraId="6B5E7D37" w14:textId="77777777">
        <w:trPr>
          <w:trHeight w:val="600"/>
          <w:jc w:val="center"/>
        </w:trPr>
        <w:tc>
          <w:tcPr>
            <w:tcW w:w="700" w:type="dxa"/>
            <w:tcBorders>
              <w:top w:val="nil"/>
              <w:left w:val="single" w:sz="8" w:space="0" w:color="auto"/>
              <w:bottom w:val="nil"/>
              <w:right w:val="nil"/>
            </w:tcBorders>
            <w:shd w:val="clear" w:color="auto" w:fill="auto"/>
            <w:vAlign w:val="center"/>
          </w:tcPr>
          <w:p w14:paraId="0DC65DCC"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auto" w:fill="auto"/>
            <w:vAlign w:val="center"/>
          </w:tcPr>
          <w:p w14:paraId="58957B6C"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a)</w:t>
            </w:r>
          </w:p>
        </w:tc>
        <w:tc>
          <w:tcPr>
            <w:tcW w:w="7371" w:type="dxa"/>
            <w:tcBorders>
              <w:top w:val="nil"/>
              <w:left w:val="nil"/>
              <w:bottom w:val="nil"/>
              <w:right w:val="nil"/>
            </w:tcBorders>
            <w:shd w:val="clear" w:color="auto" w:fill="auto"/>
            <w:vAlign w:val="center"/>
          </w:tcPr>
          <w:p w14:paraId="0A8E92E3"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Report the assessment of the validity of the assumptions</w:t>
            </w:r>
          </w:p>
        </w:tc>
        <w:tc>
          <w:tcPr>
            <w:tcW w:w="3844" w:type="dxa"/>
            <w:tcBorders>
              <w:top w:val="nil"/>
              <w:left w:val="nil"/>
              <w:bottom w:val="nil"/>
              <w:right w:val="single" w:sz="8" w:space="0" w:color="auto"/>
            </w:tcBorders>
            <w:shd w:val="clear" w:color="000000" w:fill="EEEEEE"/>
            <w:vAlign w:val="center"/>
          </w:tcPr>
          <w:p w14:paraId="76874250"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Results (Mendelian Randomization)</w:t>
            </w:r>
          </w:p>
        </w:tc>
      </w:tr>
      <w:tr w:rsidR="00B5557E" w14:paraId="6E1DDEE6" w14:textId="77777777">
        <w:trPr>
          <w:trHeight w:val="600"/>
          <w:jc w:val="center"/>
        </w:trPr>
        <w:tc>
          <w:tcPr>
            <w:tcW w:w="700" w:type="dxa"/>
            <w:tcBorders>
              <w:top w:val="nil"/>
              <w:left w:val="single" w:sz="8" w:space="0" w:color="auto"/>
              <w:bottom w:val="nil"/>
              <w:right w:val="nil"/>
            </w:tcBorders>
            <w:shd w:val="clear" w:color="000000" w:fill="EEEEEE"/>
            <w:vAlign w:val="center"/>
          </w:tcPr>
          <w:p w14:paraId="5F905D8A"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000000" w:fill="EEEEEE"/>
            <w:vAlign w:val="center"/>
          </w:tcPr>
          <w:p w14:paraId="2D6A023F"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b)</w:t>
            </w:r>
          </w:p>
        </w:tc>
        <w:tc>
          <w:tcPr>
            <w:tcW w:w="7371" w:type="dxa"/>
            <w:tcBorders>
              <w:top w:val="nil"/>
              <w:left w:val="nil"/>
              <w:bottom w:val="nil"/>
              <w:right w:val="nil"/>
            </w:tcBorders>
            <w:shd w:val="clear" w:color="000000" w:fill="EEEEEE"/>
            <w:vAlign w:val="center"/>
          </w:tcPr>
          <w:p w14:paraId="75D6E92E"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Report any additional statistics (e.g., assessments of heterogeneity across genetic variants, such as I</w:t>
            </w:r>
            <w:r>
              <w:rPr>
                <w:rFonts w:ascii="Times New Roman" w:eastAsia="等线" w:hAnsi="Times New Roman" w:cs="Times New Roman"/>
                <w:color w:val="000000"/>
                <w:kern w:val="0"/>
                <w:sz w:val="22"/>
                <w:vertAlign w:val="superscript"/>
              </w:rPr>
              <w:t>2</w:t>
            </w:r>
            <w:r>
              <w:rPr>
                <w:rFonts w:ascii="Times New Roman" w:eastAsia="等线" w:hAnsi="Times New Roman" w:cs="Times New Roman"/>
                <w:color w:val="000000"/>
                <w:kern w:val="0"/>
                <w:sz w:val="22"/>
              </w:rPr>
              <w:t>, Q statistic or E-value)</w:t>
            </w:r>
          </w:p>
        </w:tc>
        <w:tc>
          <w:tcPr>
            <w:tcW w:w="3844" w:type="dxa"/>
            <w:tcBorders>
              <w:top w:val="nil"/>
              <w:left w:val="nil"/>
              <w:bottom w:val="nil"/>
              <w:right w:val="single" w:sz="8" w:space="0" w:color="auto"/>
            </w:tcBorders>
            <w:shd w:val="clear" w:color="000000" w:fill="EEEEEE"/>
            <w:vAlign w:val="center"/>
          </w:tcPr>
          <w:p w14:paraId="551BF776"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N/A</w:t>
            </w:r>
          </w:p>
        </w:tc>
      </w:tr>
      <w:tr w:rsidR="00B5557E" w14:paraId="22C42C52" w14:textId="77777777">
        <w:trPr>
          <w:trHeight w:val="579"/>
          <w:jc w:val="center"/>
        </w:trPr>
        <w:tc>
          <w:tcPr>
            <w:tcW w:w="700" w:type="dxa"/>
            <w:tcBorders>
              <w:top w:val="nil"/>
              <w:left w:val="single" w:sz="8" w:space="0" w:color="auto"/>
              <w:bottom w:val="nil"/>
              <w:right w:val="nil"/>
            </w:tcBorders>
            <w:shd w:val="clear" w:color="auto" w:fill="auto"/>
            <w:vAlign w:val="center"/>
          </w:tcPr>
          <w:p w14:paraId="65629241"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13</w:t>
            </w:r>
          </w:p>
        </w:tc>
        <w:tc>
          <w:tcPr>
            <w:tcW w:w="1977" w:type="dxa"/>
            <w:tcBorders>
              <w:top w:val="nil"/>
              <w:left w:val="nil"/>
              <w:bottom w:val="nil"/>
              <w:right w:val="nil"/>
            </w:tcBorders>
            <w:shd w:val="clear" w:color="auto" w:fill="auto"/>
            <w:vAlign w:val="center"/>
          </w:tcPr>
          <w:p w14:paraId="4F9A790A"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Sensitivity analyses and additional analyses</w:t>
            </w:r>
          </w:p>
        </w:tc>
        <w:tc>
          <w:tcPr>
            <w:tcW w:w="7371" w:type="dxa"/>
            <w:tcBorders>
              <w:top w:val="nil"/>
              <w:left w:val="nil"/>
              <w:bottom w:val="nil"/>
              <w:right w:val="nil"/>
            </w:tcBorders>
            <w:shd w:val="clear" w:color="auto" w:fill="auto"/>
            <w:vAlign w:val="center"/>
          </w:tcPr>
          <w:p w14:paraId="1F13E46C" w14:textId="77777777" w:rsidR="00B5557E" w:rsidRDefault="00B5557E">
            <w:pPr>
              <w:widowControl/>
              <w:jc w:val="left"/>
              <w:rPr>
                <w:rFonts w:ascii="Times New Roman" w:eastAsia="等线" w:hAnsi="Times New Roman" w:cs="Times New Roman"/>
                <w:b/>
                <w:bCs/>
                <w:color w:val="000000"/>
                <w:kern w:val="0"/>
                <w:sz w:val="22"/>
              </w:rPr>
            </w:pPr>
          </w:p>
        </w:tc>
        <w:tc>
          <w:tcPr>
            <w:tcW w:w="3844" w:type="dxa"/>
            <w:tcBorders>
              <w:top w:val="nil"/>
              <w:left w:val="nil"/>
              <w:bottom w:val="nil"/>
              <w:right w:val="single" w:sz="8" w:space="0" w:color="auto"/>
            </w:tcBorders>
            <w:shd w:val="clear" w:color="auto" w:fill="auto"/>
            <w:vAlign w:val="center"/>
          </w:tcPr>
          <w:p w14:paraId="6086D854"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w:t>
            </w:r>
          </w:p>
        </w:tc>
      </w:tr>
      <w:tr w:rsidR="00B5557E" w14:paraId="059AAC3F" w14:textId="77777777">
        <w:trPr>
          <w:trHeight w:val="600"/>
          <w:jc w:val="center"/>
        </w:trPr>
        <w:tc>
          <w:tcPr>
            <w:tcW w:w="700" w:type="dxa"/>
            <w:tcBorders>
              <w:top w:val="nil"/>
              <w:left w:val="single" w:sz="8" w:space="0" w:color="auto"/>
              <w:bottom w:val="nil"/>
              <w:right w:val="nil"/>
            </w:tcBorders>
            <w:shd w:val="clear" w:color="000000" w:fill="EEEEEE"/>
            <w:vAlign w:val="center"/>
          </w:tcPr>
          <w:p w14:paraId="1BE7FB86"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000000" w:fill="EEEEEE"/>
            <w:vAlign w:val="center"/>
          </w:tcPr>
          <w:p w14:paraId="15517CCE"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a)</w:t>
            </w:r>
          </w:p>
        </w:tc>
        <w:tc>
          <w:tcPr>
            <w:tcW w:w="7371" w:type="dxa"/>
            <w:tcBorders>
              <w:top w:val="nil"/>
              <w:left w:val="nil"/>
              <w:bottom w:val="nil"/>
              <w:right w:val="nil"/>
            </w:tcBorders>
            <w:shd w:val="clear" w:color="000000" w:fill="EEEEEE"/>
            <w:vAlign w:val="center"/>
          </w:tcPr>
          <w:p w14:paraId="10BFA3D4"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Report any sensitivity analyses to assess the robustness of the main results to violations of the assumptions</w:t>
            </w:r>
          </w:p>
        </w:tc>
        <w:tc>
          <w:tcPr>
            <w:tcW w:w="3844" w:type="dxa"/>
            <w:vMerge w:val="restart"/>
            <w:tcBorders>
              <w:top w:val="nil"/>
              <w:left w:val="nil"/>
              <w:bottom w:val="nil"/>
              <w:right w:val="single" w:sz="8" w:space="0" w:color="auto"/>
            </w:tcBorders>
            <w:shd w:val="clear" w:color="000000" w:fill="EEEEEE"/>
            <w:vAlign w:val="center"/>
          </w:tcPr>
          <w:p w14:paraId="6B3CDAD4"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N/A</w:t>
            </w:r>
          </w:p>
        </w:tc>
      </w:tr>
      <w:tr w:rsidR="00B5557E" w14:paraId="123A6B5F" w14:textId="77777777">
        <w:trPr>
          <w:trHeight w:val="600"/>
          <w:jc w:val="center"/>
        </w:trPr>
        <w:tc>
          <w:tcPr>
            <w:tcW w:w="700" w:type="dxa"/>
            <w:tcBorders>
              <w:top w:val="nil"/>
              <w:left w:val="single" w:sz="8" w:space="0" w:color="auto"/>
              <w:bottom w:val="nil"/>
              <w:right w:val="nil"/>
            </w:tcBorders>
            <w:shd w:val="clear" w:color="auto" w:fill="auto"/>
            <w:vAlign w:val="center"/>
          </w:tcPr>
          <w:p w14:paraId="78D90495"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auto" w:fill="auto"/>
            <w:vAlign w:val="center"/>
          </w:tcPr>
          <w:p w14:paraId="51F3C340"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b)</w:t>
            </w:r>
          </w:p>
        </w:tc>
        <w:tc>
          <w:tcPr>
            <w:tcW w:w="7371" w:type="dxa"/>
            <w:tcBorders>
              <w:top w:val="nil"/>
              <w:left w:val="nil"/>
              <w:bottom w:val="nil"/>
              <w:right w:val="nil"/>
            </w:tcBorders>
            <w:shd w:val="clear" w:color="auto" w:fill="auto"/>
            <w:vAlign w:val="center"/>
          </w:tcPr>
          <w:p w14:paraId="495B54F4"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Report results from other sensitivity analyses or additional analyses</w:t>
            </w:r>
          </w:p>
        </w:tc>
        <w:tc>
          <w:tcPr>
            <w:tcW w:w="3844" w:type="dxa"/>
            <w:vMerge/>
            <w:tcBorders>
              <w:top w:val="nil"/>
              <w:left w:val="nil"/>
              <w:bottom w:val="nil"/>
              <w:right w:val="single" w:sz="8" w:space="0" w:color="auto"/>
            </w:tcBorders>
            <w:vAlign w:val="center"/>
          </w:tcPr>
          <w:p w14:paraId="65A24E5E" w14:textId="77777777" w:rsidR="00B5557E" w:rsidRDefault="00B5557E">
            <w:pPr>
              <w:widowControl/>
              <w:jc w:val="left"/>
              <w:rPr>
                <w:rFonts w:ascii="Times New Roman" w:eastAsia="等线" w:hAnsi="Times New Roman" w:cs="Times New Roman"/>
                <w:color w:val="000000"/>
                <w:kern w:val="0"/>
                <w:sz w:val="22"/>
              </w:rPr>
            </w:pPr>
          </w:p>
        </w:tc>
      </w:tr>
      <w:tr w:rsidR="00B5557E" w14:paraId="0D0A57A5" w14:textId="77777777">
        <w:trPr>
          <w:trHeight w:val="600"/>
          <w:jc w:val="center"/>
        </w:trPr>
        <w:tc>
          <w:tcPr>
            <w:tcW w:w="700" w:type="dxa"/>
            <w:tcBorders>
              <w:top w:val="nil"/>
              <w:left w:val="single" w:sz="8" w:space="0" w:color="auto"/>
              <w:bottom w:val="nil"/>
              <w:right w:val="nil"/>
            </w:tcBorders>
            <w:shd w:val="clear" w:color="000000" w:fill="EEEEEE"/>
            <w:vAlign w:val="center"/>
          </w:tcPr>
          <w:p w14:paraId="6375B7E4"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000000" w:fill="EEEEEE"/>
            <w:vAlign w:val="center"/>
          </w:tcPr>
          <w:p w14:paraId="593DD1EC"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c)</w:t>
            </w:r>
          </w:p>
        </w:tc>
        <w:tc>
          <w:tcPr>
            <w:tcW w:w="7371" w:type="dxa"/>
            <w:tcBorders>
              <w:top w:val="nil"/>
              <w:left w:val="nil"/>
              <w:bottom w:val="nil"/>
              <w:right w:val="nil"/>
            </w:tcBorders>
            <w:shd w:val="clear" w:color="000000" w:fill="EEEEEE"/>
            <w:vAlign w:val="center"/>
          </w:tcPr>
          <w:p w14:paraId="62F4FB6D"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Report any assessment of direction of causal relationship (e.g., bidirectional MR)</w:t>
            </w:r>
          </w:p>
        </w:tc>
        <w:tc>
          <w:tcPr>
            <w:tcW w:w="3844" w:type="dxa"/>
            <w:tcBorders>
              <w:top w:val="nil"/>
              <w:left w:val="nil"/>
              <w:bottom w:val="nil"/>
              <w:right w:val="single" w:sz="8" w:space="0" w:color="auto"/>
            </w:tcBorders>
            <w:shd w:val="clear" w:color="000000" w:fill="EEEEEE"/>
            <w:vAlign w:val="center"/>
          </w:tcPr>
          <w:p w14:paraId="21AE215E"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N/A</w:t>
            </w:r>
          </w:p>
        </w:tc>
      </w:tr>
      <w:tr w:rsidR="00B5557E" w14:paraId="53C160F0" w14:textId="77777777">
        <w:trPr>
          <w:trHeight w:val="600"/>
          <w:jc w:val="center"/>
        </w:trPr>
        <w:tc>
          <w:tcPr>
            <w:tcW w:w="700" w:type="dxa"/>
            <w:tcBorders>
              <w:top w:val="nil"/>
              <w:left w:val="single" w:sz="8" w:space="0" w:color="auto"/>
              <w:bottom w:val="nil"/>
              <w:right w:val="nil"/>
            </w:tcBorders>
            <w:shd w:val="clear" w:color="auto" w:fill="auto"/>
            <w:vAlign w:val="center"/>
          </w:tcPr>
          <w:p w14:paraId="2C7CC79B"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auto" w:fill="auto"/>
            <w:vAlign w:val="center"/>
          </w:tcPr>
          <w:p w14:paraId="33A9369C"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w:t>
            </w:r>
          </w:p>
        </w:tc>
        <w:tc>
          <w:tcPr>
            <w:tcW w:w="7371" w:type="dxa"/>
            <w:tcBorders>
              <w:top w:val="nil"/>
              <w:left w:val="nil"/>
              <w:bottom w:val="nil"/>
              <w:right w:val="nil"/>
            </w:tcBorders>
            <w:shd w:val="clear" w:color="auto" w:fill="auto"/>
            <w:vAlign w:val="center"/>
          </w:tcPr>
          <w:p w14:paraId="4EC0F48C"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When relevant, report and compare with estimates from non-MR analyses</w:t>
            </w:r>
          </w:p>
        </w:tc>
        <w:tc>
          <w:tcPr>
            <w:tcW w:w="3844" w:type="dxa"/>
            <w:tcBorders>
              <w:top w:val="nil"/>
              <w:left w:val="nil"/>
              <w:bottom w:val="nil"/>
              <w:right w:val="single" w:sz="8" w:space="0" w:color="auto"/>
            </w:tcBorders>
            <w:shd w:val="clear" w:color="auto" w:fill="auto"/>
            <w:vAlign w:val="center"/>
          </w:tcPr>
          <w:p w14:paraId="791F8298"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N/A</w:t>
            </w:r>
          </w:p>
        </w:tc>
      </w:tr>
      <w:tr w:rsidR="00B5557E" w14:paraId="6EC0DE04" w14:textId="77777777">
        <w:trPr>
          <w:trHeight w:val="600"/>
          <w:jc w:val="center"/>
        </w:trPr>
        <w:tc>
          <w:tcPr>
            <w:tcW w:w="700" w:type="dxa"/>
            <w:tcBorders>
              <w:top w:val="nil"/>
              <w:left w:val="single" w:sz="8" w:space="0" w:color="auto"/>
              <w:bottom w:val="single" w:sz="8" w:space="0" w:color="7F7F7F"/>
              <w:right w:val="nil"/>
            </w:tcBorders>
            <w:shd w:val="clear" w:color="000000" w:fill="EEEEEE"/>
            <w:vAlign w:val="center"/>
          </w:tcPr>
          <w:p w14:paraId="5CF7F484"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single" w:sz="8" w:space="0" w:color="7F7F7F"/>
              <w:right w:val="nil"/>
            </w:tcBorders>
            <w:shd w:val="clear" w:color="000000" w:fill="EEEEEE"/>
            <w:vAlign w:val="center"/>
          </w:tcPr>
          <w:p w14:paraId="1B58AD24"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e)</w:t>
            </w:r>
          </w:p>
        </w:tc>
        <w:tc>
          <w:tcPr>
            <w:tcW w:w="7371" w:type="dxa"/>
            <w:tcBorders>
              <w:top w:val="nil"/>
              <w:left w:val="nil"/>
              <w:bottom w:val="single" w:sz="8" w:space="0" w:color="7F7F7F"/>
              <w:right w:val="nil"/>
            </w:tcBorders>
            <w:shd w:val="clear" w:color="000000" w:fill="EEEEEE"/>
            <w:vAlign w:val="center"/>
          </w:tcPr>
          <w:p w14:paraId="49D81E3B"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Consider additional plots to visualize results (e.g., leave-one-out analyses)</w:t>
            </w:r>
          </w:p>
        </w:tc>
        <w:tc>
          <w:tcPr>
            <w:tcW w:w="3844" w:type="dxa"/>
            <w:tcBorders>
              <w:top w:val="nil"/>
              <w:left w:val="nil"/>
              <w:bottom w:val="single" w:sz="8" w:space="0" w:color="7F7F7F"/>
              <w:right w:val="single" w:sz="8" w:space="0" w:color="auto"/>
            </w:tcBorders>
            <w:shd w:val="clear" w:color="000000" w:fill="EEEEEE"/>
            <w:vAlign w:val="center"/>
          </w:tcPr>
          <w:p w14:paraId="3391A778"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N/A</w:t>
            </w:r>
          </w:p>
        </w:tc>
      </w:tr>
      <w:tr w:rsidR="00B5557E" w14:paraId="27974F99" w14:textId="77777777">
        <w:trPr>
          <w:trHeight w:val="459"/>
          <w:jc w:val="center"/>
        </w:trPr>
        <w:tc>
          <w:tcPr>
            <w:tcW w:w="700" w:type="dxa"/>
            <w:tcBorders>
              <w:top w:val="nil"/>
              <w:left w:val="single" w:sz="8" w:space="0" w:color="auto"/>
              <w:bottom w:val="nil"/>
              <w:right w:val="nil"/>
            </w:tcBorders>
            <w:shd w:val="clear" w:color="auto" w:fill="auto"/>
            <w:vAlign w:val="center"/>
          </w:tcPr>
          <w:p w14:paraId="2F71FC90"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auto" w:fill="auto"/>
            <w:vAlign w:val="center"/>
          </w:tcPr>
          <w:p w14:paraId="40EE0FDD"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DISCUSSION</w:t>
            </w:r>
          </w:p>
        </w:tc>
        <w:tc>
          <w:tcPr>
            <w:tcW w:w="7371" w:type="dxa"/>
            <w:tcBorders>
              <w:top w:val="nil"/>
              <w:left w:val="nil"/>
              <w:bottom w:val="nil"/>
              <w:right w:val="nil"/>
            </w:tcBorders>
            <w:shd w:val="clear" w:color="auto" w:fill="auto"/>
            <w:vAlign w:val="center"/>
          </w:tcPr>
          <w:p w14:paraId="189C0B18" w14:textId="77777777" w:rsidR="00B5557E" w:rsidRDefault="00B5557E">
            <w:pPr>
              <w:widowControl/>
              <w:jc w:val="left"/>
              <w:rPr>
                <w:rFonts w:ascii="Times New Roman" w:eastAsia="等线" w:hAnsi="Times New Roman" w:cs="Times New Roman"/>
                <w:b/>
                <w:bCs/>
                <w:color w:val="000000"/>
                <w:kern w:val="0"/>
                <w:sz w:val="22"/>
              </w:rPr>
            </w:pPr>
          </w:p>
        </w:tc>
        <w:tc>
          <w:tcPr>
            <w:tcW w:w="3844" w:type="dxa"/>
            <w:tcBorders>
              <w:top w:val="nil"/>
              <w:left w:val="nil"/>
              <w:bottom w:val="nil"/>
              <w:right w:val="single" w:sz="8" w:space="0" w:color="auto"/>
            </w:tcBorders>
            <w:shd w:val="clear" w:color="auto" w:fill="auto"/>
            <w:vAlign w:val="center"/>
          </w:tcPr>
          <w:p w14:paraId="69559A0A"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w:t>
            </w:r>
          </w:p>
        </w:tc>
      </w:tr>
      <w:tr w:rsidR="00B5557E" w14:paraId="2B73BCEC" w14:textId="77777777">
        <w:trPr>
          <w:trHeight w:val="600"/>
          <w:jc w:val="center"/>
        </w:trPr>
        <w:tc>
          <w:tcPr>
            <w:tcW w:w="700" w:type="dxa"/>
            <w:tcBorders>
              <w:top w:val="nil"/>
              <w:left w:val="single" w:sz="8" w:space="0" w:color="auto"/>
              <w:bottom w:val="nil"/>
              <w:right w:val="nil"/>
            </w:tcBorders>
            <w:shd w:val="clear" w:color="000000" w:fill="EEEEEE"/>
            <w:vAlign w:val="center"/>
          </w:tcPr>
          <w:p w14:paraId="475C0388"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14</w:t>
            </w:r>
          </w:p>
        </w:tc>
        <w:tc>
          <w:tcPr>
            <w:tcW w:w="1977" w:type="dxa"/>
            <w:tcBorders>
              <w:top w:val="nil"/>
              <w:left w:val="nil"/>
              <w:bottom w:val="nil"/>
              <w:right w:val="nil"/>
            </w:tcBorders>
            <w:shd w:val="clear" w:color="000000" w:fill="EEEEEE"/>
            <w:vAlign w:val="center"/>
          </w:tcPr>
          <w:p w14:paraId="1CECBE69"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Key results </w:t>
            </w:r>
          </w:p>
        </w:tc>
        <w:tc>
          <w:tcPr>
            <w:tcW w:w="7371" w:type="dxa"/>
            <w:tcBorders>
              <w:top w:val="nil"/>
              <w:left w:val="nil"/>
              <w:bottom w:val="nil"/>
              <w:right w:val="nil"/>
            </w:tcBorders>
            <w:shd w:val="clear" w:color="000000" w:fill="EEEEEE"/>
            <w:vAlign w:val="center"/>
          </w:tcPr>
          <w:p w14:paraId="70C25975"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Summarize key results with reference to study objectives</w:t>
            </w:r>
          </w:p>
        </w:tc>
        <w:tc>
          <w:tcPr>
            <w:tcW w:w="3844" w:type="dxa"/>
            <w:tcBorders>
              <w:top w:val="nil"/>
              <w:left w:val="nil"/>
              <w:bottom w:val="nil"/>
              <w:right w:val="single" w:sz="8" w:space="0" w:color="auto"/>
            </w:tcBorders>
            <w:shd w:val="clear" w:color="000000" w:fill="EEEEEE"/>
            <w:vAlign w:val="center"/>
          </w:tcPr>
          <w:p w14:paraId="6C6600EC"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Discussion (paragraph 1)</w:t>
            </w:r>
          </w:p>
        </w:tc>
      </w:tr>
      <w:tr w:rsidR="00B5557E" w14:paraId="0A91D38B" w14:textId="77777777">
        <w:trPr>
          <w:trHeight w:val="600"/>
          <w:jc w:val="center"/>
        </w:trPr>
        <w:tc>
          <w:tcPr>
            <w:tcW w:w="700" w:type="dxa"/>
            <w:tcBorders>
              <w:top w:val="nil"/>
              <w:left w:val="single" w:sz="8" w:space="0" w:color="auto"/>
              <w:bottom w:val="nil"/>
              <w:right w:val="nil"/>
            </w:tcBorders>
            <w:shd w:val="clear" w:color="auto" w:fill="auto"/>
            <w:vAlign w:val="center"/>
          </w:tcPr>
          <w:p w14:paraId="27AB0E51"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lastRenderedPageBreak/>
              <w:t>15</w:t>
            </w:r>
          </w:p>
        </w:tc>
        <w:tc>
          <w:tcPr>
            <w:tcW w:w="1977" w:type="dxa"/>
            <w:tcBorders>
              <w:top w:val="nil"/>
              <w:left w:val="nil"/>
              <w:bottom w:val="nil"/>
              <w:right w:val="nil"/>
            </w:tcBorders>
            <w:shd w:val="clear" w:color="auto" w:fill="auto"/>
            <w:vAlign w:val="center"/>
          </w:tcPr>
          <w:p w14:paraId="7B6322A9"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Limitations</w:t>
            </w:r>
          </w:p>
        </w:tc>
        <w:tc>
          <w:tcPr>
            <w:tcW w:w="7371" w:type="dxa"/>
            <w:tcBorders>
              <w:top w:val="nil"/>
              <w:left w:val="nil"/>
              <w:bottom w:val="nil"/>
              <w:right w:val="nil"/>
            </w:tcBorders>
            <w:shd w:val="clear" w:color="auto" w:fill="auto"/>
            <w:vAlign w:val="center"/>
          </w:tcPr>
          <w:p w14:paraId="3231FA44"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Discuss limitations of the study, taking into account the validity of the IV assumptions, other sources of potential bias, and imprecision. Discuss both direction and magnitude of any potential bias and any efforts to address them </w:t>
            </w:r>
          </w:p>
        </w:tc>
        <w:tc>
          <w:tcPr>
            <w:tcW w:w="3844" w:type="dxa"/>
            <w:tcBorders>
              <w:top w:val="nil"/>
              <w:left w:val="nil"/>
              <w:bottom w:val="nil"/>
              <w:right w:val="single" w:sz="8" w:space="0" w:color="auto"/>
            </w:tcBorders>
            <w:shd w:val="clear" w:color="auto" w:fill="auto"/>
            <w:vAlign w:val="center"/>
          </w:tcPr>
          <w:p w14:paraId="4FBC4AB7"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Discussion (paragraph 6)</w:t>
            </w:r>
          </w:p>
        </w:tc>
      </w:tr>
      <w:tr w:rsidR="00B5557E" w14:paraId="024B4D21" w14:textId="77777777">
        <w:trPr>
          <w:trHeight w:val="600"/>
          <w:jc w:val="center"/>
        </w:trPr>
        <w:tc>
          <w:tcPr>
            <w:tcW w:w="700" w:type="dxa"/>
            <w:tcBorders>
              <w:top w:val="nil"/>
              <w:left w:val="single" w:sz="8" w:space="0" w:color="auto"/>
              <w:bottom w:val="nil"/>
              <w:right w:val="nil"/>
            </w:tcBorders>
            <w:shd w:val="clear" w:color="000000" w:fill="EEEEEE"/>
            <w:vAlign w:val="center"/>
          </w:tcPr>
          <w:p w14:paraId="57F9FB81"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16</w:t>
            </w:r>
          </w:p>
        </w:tc>
        <w:tc>
          <w:tcPr>
            <w:tcW w:w="1977" w:type="dxa"/>
            <w:tcBorders>
              <w:top w:val="nil"/>
              <w:left w:val="nil"/>
              <w:bottom w:val="nil"/>
              <w:right w:val="nil"/>
            </w:tcBorders>
            <w:shd w:val="clear" w:color="000000" w:fill="EEEEEE"/>
            <w:vAlign w:val="center"/>
          </w:tcPr>
          <w:p w14:paraId="4C4B31E7"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Interpretation</w:t>
            </w:r>
          </w:p>
        </w:tc>
        <w:tc>
          <w:tcPr>
            <w:tcW w:w="7371" w:type="dxa"/>
            <w:tcBorders>
              <w:top w:val="nil"/>
              <w:left w:val="nil"/>
              <w:bottom w:val="nil"/>
              <w:right w:val="nil"/>
            </w:tcBorders>
            <w:shd w:val="clear" w:color="000000" w:fill="EEEEEE"/>
            <w:vAlign w:val="center"/>
          </w:tcPr>
          <w:p w14:paraId="2F56951D"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w:t>
            </w:r>
          </w:p>
        </w:tc>
        <w:tc>
          <w:tcPr>
            <w:tcW w:w="3844" w:type="dxa"/>
            <w:tcBorders>
              <w:top w:val="nil"/>
              <w:left w:val="nil"/>
              <w:bottom w:val="nil"/>
              <w:right w:val="single" w:sz="8" w:space="0" w:color="auto"/>
            </w:tcBorders>
            <w:shd w:val="clear" w:color="000000" w:fill="EEEEEE"/>
            <w:vAlign w:val="center"/>
          </w:tcPr>
          <w:p w14:paraId="7A4A0CBF"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w:t>
            </w:r>
          </w:p>
        </w:tc>
      </w:tr>
      <w:tr w:rsidR="00B5557E" w14:paraId="122340AB" w14:textId="77777777">
        <w:trPr>
          <w:trHeight w:val="600"/>
          <w:jc w:val="center"/>
        </w:trPr>
        <w:tc>
          <w:tcPr>
            <w:tcW w:w="700" w:type="dxa"/>
            <w:tcBorders>
              <w:top w:val="nil"/>
              <w:left w:val="single" w:sz="8" w:space="0" w:color="auto"/>
              <w:bottom w:val="nil"/>
              <w:right w:val="nil"/>
            </w:tcBorders>
            <w:shd w:val="clear" w:color="auto" w:fill="auto"/>
            <w:vAlign w:val="center"/>
          </w:tcPr>
          <w:p w14:paraId="675F2D52"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auto" w:fill="auto"/>
            <w:vAlign w:val="center"/>
          </w:tcPr>
          <w:p w14:paraId="59076E0D"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a)</w:t>
            </w:r>
          </w:p>
        </w:tc>
        <w:tc>
          <w:tcPr>
            <w:tcW w:w="7371" w:type="dxa"/>
            <w:tcBorders>
              <w:top w:val="nil"/>
              <w:left w:val="nil"/>
              <w:bottom w:val="nil"/>
              <w:right w:val="nil"/>
            </w:tcBorders>
            <w:shd w:val="clear" w:color="auto" w:fill="auto"/>
            <w:vAlign w:val="center"/>
          </w:tcPr>
          <w:p w14:paraId="012A35B2"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Meaning: Give a cautious overall interpretation of results in the context of their limitations and in comparison with other studies</w:t>
            </w:r>
          </w:p>
        </w:tc>
        <w:tc>
          <w:tcPr>
            <w:tcW w:w="3844" w:type="dxa"/>
            <w:tcBorders>
              <w:top w:val="nil"/>
              <w:left w:val="nil"/>
              <w:bottom w:val="nil"/>
              <w:right w:val="single" w:sz="8" w:space="0" w:color="auto"/>
            </w:tcBorders>
            <w:shd w:val="clear" w:color="auto" w:fill="auto"/>
            <w:vAlign w:val="center"/>
          </w:tcPr>
          <w:p w14:paraId="0C1BA3F4"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Discussion (paragraph 6)</w:t>
            </w:r>
          </w:p>
        </w:tc>
      </w:tr>
      <w:tr w:rsidR="00B5557E" w14:paraId="0A12194B" w14:textId="77777777">
        <w:trPr>
          <w:trHeight w:val="600"/>
          <w:jc w:val="center"/>
        </w:trPr>
        <w:tc>
          <w:tcPr>
            <w:tcW w:w="700" w:type="dxa"/>
            <w:tcBorders>
              <w:top w:val="nil"/>
              <w:left w:val="single" w:sz="8" w:space="0" w:color="auto"/>
              <w:bottom w:val="nil"/>
              <w:right w:val="nil"/>
            </w:tcBorders>
            <w:shd w:val="clear" w:color="000000" w:fill="EEEEEE"/>
            <w:vAlign w:val="center"/>
          </w:tcPr>
          <w:p w14:paraId="28DE237A"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000000" w:fill="EEEEEE"/>
            <w:vAlign w:val="center"/>
          </w:tcPr>
          <w:p w14:paraId="71487FE6"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b)</w:t>
            </w:r>
          </w:p>
        </w:tc>
        <w:tc>
          <w:tcPr>
            <w:tcW w:w="7371" w:type="dxa"/>
            <w:tcBorders>
              <w:top w:val="nil"/>
              <w:left w:val="nil"/>
              <w:bottom w:val="nil"/>
              <w:right w:val="nil"/>
            </w:tcBorders>
            <w:shd w:val="clear" w:color="000000" w:fill="EEEEEE"/>
            <w:vAlign w:val="center"/>
          </w:tcPr>
          <w:p w14:paraId="3B996DFC"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w:t>
            </w:r>
          </w:p>
        </w:tc>
        <w:tc>
          <w:tcPr>
            <w:tcW w:w="3844" w:type="dxa"/>
            <w:tcBorders>
              <w:top w:val="nil"/>
              <w:left w:val="nil"/>
              <w:bottom w:val="nil"/>
              <w:right w:val="single" w:sz="8" w:space="0" w:color="auto"/>
            </w:tcBorders>
            <w:shd w:val="clear" w:color="000000" w:fill="EEEEEE"/>
            <w:vAlign w:val="center"/>
          </w:tcPr>
          <w:p w14:paraId="76762203"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Discussion (paragraph 2-5)</w:t>
            </w:r>
          </w:p>
        </w:tc>
      </w:tr>
      <w:tr w:rsidR="00B5557E" w14:paraId="3A7D9A7C" w14:textId="77777777">
        <w:trPr>
          <w:trHeight w:val="600"/>
          <w:jc w:val="center"/>
        </w:trPr>
        <w:tc>
          <w:tcPr>
            <w:tcW w:w="700" w:type="dxa"/>
            <w:tcBorders>
              <w:top w:val="nil"/>
              <w:left w:val="single" w:sz="8" w:space="0" w:color="auto"/>
              <w:bottom w:val="nil"/>
              <w:right w:val="nil"/>
            </w:tcBorders>
            <w:shd w:val="clear" w:color="auto" w:fill="auto"/>
            <w:vAlign w:val="center"/>
          </w:tcPr>
          <w:p w14:paraId="04D82753"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auto" w:fill="auto"/>
            <w:vAlign w:val="center"/>
          </w:tcPr>
          <w:p w14:paraId="4C9EDE1D" w14:textId="77777777" w:rsidR="00B5557E" w:rsidRDefault="00000000">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c)</w:t>
            </w:r>
          </w:p>
        </w:tc>
        <w:tc>
          <w:tcPr>
            <w:tcW w:w="7371" w:type="dxa"/>
            <w:tcBorders>
              <w:top w:val="nil"/>
              <w:left w:val="nil"/>
              <w:bottom w:val="nil"/>
              <w:right w:val="nil"/>
            </w:tcBorders>
            <w:shd w:val="clear" w:color="auto" w:fill="auto"/>
            <w:vAlign w:val="center"/>
          </w:tcPr>
          <w:p w14:paraId="2609631B"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Clinical relevance: Discuss whether the results have clinical or public policy relevance, and to what extent they inform effect sizes of possible interventions</w:t>
            </w:r>
          </w:p>
        </w:tc>
        <w:tc>
          <w:tcPr>
            <w:tcW w:w="3844" w:type="dxa"/>
            <w:tcBorders>
              <w:top w:val="nil"/>
              <w:left w:val="nil"/>
              <w:bottom w:val="nil"/>
              <w:right w:val="single" w:sz="8" w:space="0" w:color="auto"/>
            </w:tcBorders>
            <w:shd w:val="clear" w:color="auto" w:fill="auto"/>
            <w:vAlign w:val="center"/>
          </w:tcPr>
          <w:p w14:paraId="2BD0D06D"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Discussion (paragraph 6-7)</w:t>
            </w:r>
          </w:p>
        </w:tc>
      </w:tr>
      <w:tr w:rsidR="00B5557E" w14:paraId="3D036AA6" w14:textId="77777777">
        <w:trPr>
          <w:trHeight w:val="600"/>
          <w:jc w:val="center"/>
        </w:trPr>
        <w:tc>
          <w:tcPr>
            <w:tcW w:w="700" w:type="dxa"/>
            <w:tcBorders>
              <w:top w:val="nil"/>
              <w:left w:val="single" w:sz="8" w:space="0" w:color="auto"/>
              <w:bottom w:val="single" w:sz="8" w:space="0" w:color="7F7F7F"/>
              <w:right w:val="nil"/>
            </w:tcBorders>
            <w:shd w:val="clear" w:color="000000" w:fill="EEEEEE"/>
            <w:vAlign w:val="center"/>
          </w:tcPr>
          <w:p w14:paraId="7F8A5EB6"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17</w:t>
            </w:r>
          </w:p>
        </w:tc>
        <w:tc>
          <w:tcPr>
            <w:tcW w:w="1977" w:type="dxa"/>
            <w:tcBorders>
              <w:top w:val="nil"/>
              <w:left w:val="nil"/>
              <w:bottom w:val="single" w:sz="8" w:space="0" w:color="7F7F7F"/>
              <w:right w:val="nil"/>
            </w:tcBorders>
            <w:shd w:val="clear" w:color="000000" w:fill="EEEEEE"/>
            <w:vAlign w:val="center"/>
          </w:tcPr>
          <w:p w14:paraId="53812D70"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Generalizability  </w:t>
            </w:r>
            <w:r>
              <w:rPr>
                <w:rFonts w:ascii="Times New Roman" w:eastAsia="等线" w:hAnsi="Times New Roman" w:cs="Times New Roman"/>
                <w:color w:val="000000"/>
                <w:kern w:val="0"/>
                <w:sz w:val="22"/>
              </w:rPr>
              <w:t> </w:t>
            </w:r>
          </w:p>
        </w:tc>
        <w:tc>
          <w:tcPr>
            <w:tcW w:w="7371" w:type="dxa"/>
            <w:tcBorders>
              <w:top w:val="nil"/>
              <w:left w:val="nil"/>
              <w:bottom w:val="single" w:sz="8" w:space="0" w:color="7F7F7F"/>
              <w:right w:val="nil"/>
            </w:tcBorders>
            <w:shd w:val="clear" w:color="000000" w:fill="EEEEEE"/>
            <w:vAlign w:val="center"/>
          </w:tcPr>
          <w:p w14:paraId="4CCB7A33"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Discuss the generalizability of the study results (a) to other populations, (b) across other exposure periods/timings, and (c) across other levels of exposure</w:t>
            </w:r>
          </w:p>
        </w:tc>
        <w:tc>
          <w:tcPr>
            <w:tcW w:w="3844" w:type="dxa"/>
            <w:tcBorders>
              <w:top w:val="nil"/>
              <w:left w:val="nil"/>
              <w:bottom w:val="single" w:sz="8" w:space="0" w:color="7F7F7F"/>
              <w:right w:val="single" w:sz="8" w:space="0" w:color="auto"/>
            </w:tcBorders>
            <w:shd w:val="clear" w:color="000000" w:fill="EEEEEE"/>
            <w:vAlign w:val="center"/>
          </w:tcPr>
          <w:p w14:paraId="3D3CB9EB"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Discussion (paragraph 6)</w:t>
            </w:r>
          </w:p>
        </w:tc>
      </w:tr>
      <w:tr w:rsidR="00B5557E" w14:paraId="19249FE3" w14:textId="77777777">
        <w:trPr>
          <w:trHeight w:val="501"/>
          <w:jc w:val="center"/>
        </w:trPr>
        <w:tc>
          <w:tcPr>
            <w:tcW w:w="700" w:type="dxa"/>
            <w:tcBorders>
              <w:top w:val="nil"/>
              <w:left w:val="single" w:sz="8" w:space="0" w:color="auto"/>
              <w:bottom w:val="nil"/>
              <w:right w:val="nil"/>
            </w:tcBorders>
            <w:shd w:val="clear" w:color="auto" w:fill="auto"/>
            <w:vAlign w:val="center"/>
          </w:tcPr>
          <w:p w14:paraId="4233D183"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 xml:space="preserve">　</w:t>
            </w:r>
          </w:p>
        </w:tc>
        <w:tc>
          <w:tcPr>
            <w:tcW w:w="1977" w:type="dxa"/>
            <w:tcBorders>
              <w:top w:val="nil"/>
              <w:left w:val="nil"/>
              <w:bottom w:val="nil"/>
              <w:right w:val="nil"/>
            </w:tcBorders>
            <w:shd w:val="clear" w:color="auto" w:fill="auto"/>
            <w:vAlign w:val="center"/>
          </w:tcPr>
          <w:p w14:paraId="230FE4A5"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OTHER INFORMATION</w:t>
            </w:r>
          </w:p>
        </w:tc>
        <w:tc>
          <w:tcPr>
            <w:tcW w:w="7371" w:type="dxa"/>
            <w:tcBorders>
              <w:top w:val="nil"/>
              <w:left w:val="nil"/>
              <w:bottom w:val="nil"/>
              <w:right w:val="nil"/>
            </w:tcBorders>
            <w:shd w:val="clear" w:color="auto" w:fill="auto"/>
            <w:vAlign w:val="center"/>
          </w:tcPr>
          <w:p w14:paraId="0BDF9A3E" w14:textId="77777777" w:rsidR="00B5557E" w:rsidRDefault="00B5557E">
            <w:pPr>
              <w:widowControl/>
              <w:jc w:val="left"/>
              <w:rPr>
                <w:rFonts w:ascii="Times New Roman" w:eastAsia="等线" w:hAnsi="Times New Roman" w:cs="Times New Roman"/>
                <w:b/>
                <w:bCs/>
                <w:color w:val="000000"/>
                <w:kern w:val="0"/>
                <w:sz w:val="22"/>
              </w:rPr>
            </w:pPr>
          </w:p>
        </w:tc>
        <w:tc>
          <w:tcPr>
            <w:tcW w:w="3844" w:type="dxa"/>
            <w:tcBorders>
              <w:top w:val="nil"/>
              <w:left w:val="nil"/>
              <w:bottom w:val="nil"/>
              <w:right w:val="single" w:sz="8" w:space="0" w:color="auto"/>
            </w:tcBorders>
            <w:shd w:val="clear" w:color="auto" w:fill="auto"/>
            <w:vAlign w:val="center"/>
          </w:tcPr>
          <w:p w14:paraId="3405A834"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　</w:t>
            </w:r>
          </w:p>
        </w:tc>
      </w:tr>
      <w:tr w:rsidR="00B5557E" w14:paraId="4138B01A" w14:textId="77777777">
        <w:trPr>
          <w:trHeight w:val="600"/>
          <w:jc w:val="center"/>
        </w:trPr>
        <w:tc>
          <w:tcPr>
            <w:tcW w:w="700" w:type="dxa"/>
            <w:tcBorders>
              <w:top w:val="nil"/>
              <w:left w:val="single" w:sz="8" w:space="0" w:color="auto"/>
              <w:bottom w:val="nil"/>
              <w:right w:val="nil"/>
            </w:tcBorders>
            <w:shd w:val="clear" w:color="000000" w:fill="EEEEEE"/>
            <w:vAlign w:val="center"/>
          </w:tcPr>
          <w:p w14:paraId="24477F40"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18</w:t>
            </w:r>
          </w:p>
        </w:tc>
        <w:tc>
          <w:tcPr>
            <w:tcW w:w="1977" w:type="dxa"/>
            <w:tcBorders>
              <w:top w:val="nil"/>
              <w:left w:val="nil"/>
              <w:bottom w:val="nil"/>
              <w:right w:val="nil"/>
            </w:tcBorders>
            <w:shd w:val="clear" w:color="000000" w:fill="EEEEEE"/>
            <w:vAlign w:val="center"/>
          </w:tcPr>
          <w:p w14:paraId="50429962"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Funding</w:t>
            </w:r>
          </w:p>
        </w:tc>
        <w:tc>
          <w:tcPr>
            <w:tcW w:w="7371" w:type="dxa"/>
            <w:tcBorders>
              <w:top w:val="nil"/>
              <w:left w:val="nil"/>
              <w:bottom w:val="nil"/>
              <w:right w:val="nil"/>
            </w:tcBorders>
            <w:shd w:val="clear" w:color="000000" w:fill="EEEEEE"/>
            <w:vAlign w:val="center"/>
          </w:tcPr>
          <w:p w14:paraId="66775F51"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Describe sources of funding and the role of funders in the present study and, if applicable, sources of funding for the databases and original study or studies on which the present study is based</w:t>
            </w:r>
          </w:p>
        </w:tc>
        <w:tc>
          <w:tcPr>
            <w:tcW w:w="3844" w:type="dxa"/>
            <w:tcBorders>
              <w:top w:val="nil"/>
              <w:left w:val="nil"/>
              <w:bottom w:val="nil"/>
              <w:right w:val="single" w:sz="8" w:space="0" w:color="auto"/>
            </w:tcBorders>
            <w:shd w:val="clear" w:color="000000" w:fill="EEEEEE"/>
            <w:vAlign w:val="center"/>
          </w:tcPr>
          <w:p w14:paraId="2BDF2B40"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Funding section</w:t>
            </w:r>
          </w:p>
        </w:tc>
      </w:tr>
      <w:tr w:rsidR="00B5557E" w14:paraId="13882294" w14:textId="77777777">
        <w:trPr>
          <w:trHeight w:val="600"/>
          <w:jc w:val="center"/>
        </w:trPr>
        <w:tc>
          <w:tcPr>
            <w:tcW w:w="700" w:type="dxa"/>
            <w:tcBorders>
              <w:top w:val="nil"/>
              <w:left w:val="single" w:sz="8" w:space="0" w:color="auto"/>
              <w:bottom w:val="nil"/>
              <w:right w:val="nil"/>
            </w:tcBorders>
            <w:shd w:val="clear" w:color="auto" w:fill="auto"/>
            <w:vAlign w:val="center"/>
          </w:tcPr>
          <w:p w14:paraId="6EF4FDDC"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19</w:t>
            </w:r>
          </w:p>
        </w:tc>
        <w:tc>
          <w:tcPr>
            <w:tcW w:w="1977" w:type="dxa"/>
            <w:tcBorders>
              <w:top w:val="nil"/>
              <w:left w:val="nil"/>
              <w:bottom w:val="nil"/>
              <w:right w:val="nil"/>
            </w:tcBorders>
            <w:shd w:val="clear" w:color="auto" w:fill="auto"/>
            <w:vAlign w:val="center"/>
          </w:tcPr>
          <w:p w14:paraId="47F6F619"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Data and data sharing </w:t>
            </w:r>
          </w:p>
        </w:tc>
        <w:tc>
          <w:tcPr>
            <w:tcW w:w="7371" w:type="dxa"/>
            <w:tcBorders>
              <w:top w:val="nil"/>
              <w:left w:val="nil"/>
              <w:bottom w:val="nil"/>
              <w:right w:val="nil"/>
            </w:tcBorders>
            <w:shd w:val="clear" w:color="auto" w:fill="auto"/>
            <w:vAlign w:val="center"/>
          </w:tcPr>
          <w:p w14:paraId="01FB51A2"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Provide the data used to perform all analyses or report where and how the data can be accessed, and reference these sources in the article. Provide the statistical code needed to reproduce the results in the article,or report whether the code is publicly accessible and if so, where</w:t>
            </w:r>
          </w:p>
        </w:tc>
        <w:tc>
          <w:tcPr>
            <w:tcW w:w="3844" w:type="dxa"/>
            <w:tcBorders>
              <w:top w:val="nil"/>
              <w:left w:val="nil"/>
              <w:bottom w:val="nil"/>
              <w:right w:val="single" w:sz="8" w:space="0" w:color="auto"/>
            </w:tcBorders>
            <w:shd w:val="clear" w:color="auto" w:fill="auto"/>
            <w:vAlign w:val="center"/>
          </w:tcPr>
          <w:p w14:paraId="523586D9"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Data share statement &amp; sTable 2</w:t>
            </w:r>
          </w:p>
        </w:tc>
      </w:tr>
      <w:tr w:rsidR="00B5557E" w14:paraId="7AA113C9" w14:textId="77777777">
        <w:trPr>
          <w:trHeight w:val="600"/>
          <w:jc w:val="center"/>
        </w:trPr>
        <w:tc>
          <w:tcPr>
            <w:tcW w:w="700" w:type="dxa"/>
            <w:tcBorders>
              <w:top w:val="nil"/>
              <w:left w:val="single" w:sz="8" w:space="0" w:color="auto"/>
              <w:bottom w:val="single" w:sz="8" w:space="0" w:color="auto"/>
              <w:right w:val="nil"/>
            </w:tcBorders>
            <w:shd w:val="clear" w:color="000000" w:fill="EEEEEE"/>
            <w:vAlign w:val="center"/>
          </w:tcPr>
          <w:p w14:paraId="34E6ED9B"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20</w:t>
            </w:r>
          </w:p>
        </w:tc>
        <w:tc>
          <w:tcPr>
            <w:tcW w:w="1977" w:type="dxa"/>
            <w:tcBorders>
              <w:top w:val="nil"/>
              <w:left w:val="nil"/>
              <w:bottom w:val="single" w:sz="8" w:space="0" w:color="auto"/>
              <w:right w:val="nil"/>
            </w:tcBorders>
            <w:shd w:val="clear" w:color="000000" w:fill="EEEEEE"/>
            <w:vAlign w:val="center"/>
          </w:tcPr>
          <w:p w14:paraId="3A112D7B" w14:textId="77777777" w:rsidR="00B5557E" w:rsidRDefault="00000000">
            <w:pPr>
              <w:widowControl/>
              <w:jc w:val="left"/>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Conflicts of Interest  </w:t>
            </w:r>
          </w:p>
        </w:tc>
        <w:tc>
          <w:tcPr>
            <w:tcW w:w="7371" w:type="dxa"/>
            <w:tcBorders>
              <w:top w:val="nil"/>
              <w:left w:val="nil"/>
              <w:bottom w:val="single" w:sz="8" w:space="0" w:color="auto"/>
              <w:right w:val="nil"/>
            </w:tcBorders>
            <w:shd w:val="clear" w:color="000000" w:fill="EEEEEE"/>
            <w:vAlign w:val="center"/>
          </w:tcPr>
          <w:p w14:paraId="388396E7"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All authors should declare all potential conflicts of interest</w:t>
            </w:r>
          </w:p>
        </w:tc>
        <w:tc>
          <w:tcPr>
            <w:tcW w:w="3844" w:type="dxa"/>
            <w:tcBorders>
              <w:top w:val="nil"/>
              <w:left w:val="nil"/>
              <w:bottom w:val="single" w:sz="8" w:space="0" w:color="auto"/>
              <w:right w:val="single" w:sz="8" w:space="0" w:color="auto"/>
            </w:tcBorders>
            <w:shd w:val="clear" w:color="000000" w:fill="EEEEEE"/>
            <w:vAlign w:val="center"/>
          </w:tcPr>
          <w:p w14:paraId="1F0073D3" w14:textId="77777777" w:rsidR="00B5557E" w:rsidRDefault="00000000">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Competing interests section</w:t>
            </w:r>
          </w:p>
        </w:tc>
      </w:tr>
    </w:tbl>
    <w:p w14:paraId="1057E223" w14:textId="77777777" w:rsidR="00B5557E" w:rsidRDefault="00B5557E">
      <w:pPr>
        <w:spacing w:line="360" w:lineRule="auto"/>
        <w:rPr>
          <w:rFonts w:ascii="Times New Roman" w:hAnsi="Times New Roman" w:cs="Times New Roman"/>
          <w:sz w:val="22"/>
        </w:rPr>
      </w:pPr>
    </w:p>
    <w:tbl>
      <w:tblPr>
        <w:tblW w:w="13892" w:type="dxa"/>
        <w:jc w:val="center"/>
        <w:tblLayout w:type="fixed"/>
        <w:tblLook w:val="04A0" w:firstRow="1" w:lastRow="0" w:firstColumn="1" w:lastColumn="0" w:noHBand="0" w:noVBand="1"/>
      </w:tblPr>
      <w:tblGrid>
        <w:gridCol w:w="2694"/>
        <w:gridCol w:w="992"/>
        <w:gridCol w:w="2550"/>
        <w:gridCol w:w="2269"/>
        <w:gridCol w:w="1560"/>
        <w:gridCol w:w="2409"/>
        <w:gridCol w:w="1418"/>
      </w:tblGrid>
      <w:tr w:rsidR="00B5557E" w14:paraId="47B88802" w14:textId="77777777">
        <w:trPr>
          <w:trHeight w:val="537"/>
          <w:jc w:val="center"/>
        </w:trPr>
        <w:tc>
          <w:tcPr>
            <w:tcW w:w="13892" w:type="dxa"/>
            <w:gridSpan w:val="7"/>
            <w:tcBorders>
              <w:left w:val="nil"/>
              <w:bottom w:val="single" w:sz="12" w:space="0" w:color="auto"/>
              <w:right w:val="nil"/>
            </w:tcBorders>
            <w:shd w:val="clear" w:color="auto" w:fill="auto"/>
            <w:vAlign w:val="center"/>
          </w:tcPr>
          <w:p w14:paraId="404EF199" w14:textId="77777777" w:rsidR="00B5557E" w:rsidRDefault="00000000">
            <w:pPr>
              <w:widowControl/>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sTable 2. Phenotype descriptions and distributions</w:t>
            </w:r>
          </w:p>
        </w:tc>
      </w:tr>
      <w:tr w:rsidR="00B5557E" w14:paraId="69DCE6FE" w14:textId="77777777">
        <w:trPr>
          <w:trHeight w:val="537"/>
          <w:jc w:val="center"/>
        </w:trPr>
        <w:tc>
          <w:tcPr>
            <w:tcW w:w="2694" w:type="dxa"/>
            <w:tcBorders>
              <w:top w:val="single" w:sz="12" w:space="0" w:color="auto"/>
              <w:left w:val="nil"/>
              <w:bottom w:val="single" w:sz="12" w:space="0" w:color="auto"/>
              <w:right w:val="nil"/>
            </w:tcBorders>
            <w:shd w:val="clear" w:color="auto" w:fill="auto"/>
            <w:vAlign w:val="center"/>
          </w:tcPr>
          <w:p w14:paraId="16C907C9"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GWAS ID</w:t>
            </w:r>
          </w:p>
        </w:tc>
        <w:tc>
          <w:tcPr>
            <w:tcW w:w="992" w:type="dxa"/>
            <w:tcBorders>
              <w:top w:val="single" w:sz="12" w:space="0" w:color="auto"/>
              <w:left w:val="nil"/>
              <w:bottom w:val="single" w:sz="12" w:space="0" w:color="auto"/>
              <w:right w:val="nil"/>
            </w:tcBorders>
            <w:shd w:val="clear" w:color="auto" w:fill="auto"/>
            <w:vAlign w:val="center"/>
          </w:tcPr>
          <w:p w14:paraId="35CEA4E8"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Year</w:t>
            </w:r>
          </w:p>
        </w:tc>
        <w:tc>
          <w:tcPr>
            <w:tcW w:w="2550" w:type="dxa"/>
            <w:tcBorders>
              <w:top w:val="single" w:sz="12" w:space="0" w:color="auto"/>
              <w:left w:val="nil"/>
              <w:bottom w:val="single" w:sz="12" w:space="0" w:color="auto"/>
              <w:right w:val="nil"/>
            </w:tcBorders>
            <w:shd w:val="clear" w:color="auto" w:fill="auto"/>
            <w:vAlign w:val="center"/>
          </w:tcPr>
          <w:p w14:paraId="1343412F"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Trait</w:t>
            </w:r>
          </w:p>
        </w:tc>
        <w:tc>
          <w:tcPr>
            <w:tcW w:w="2269" w:type="dxa"/>
            <w:tcBorders>
              <w:top w:val="single" w:sz="12" w:space="0" w:color="auto"/>
              <w:left w:val="nil"/>
              <w:bottom w:val="single" w:sz="12" w:space="0" w:color="auto"/>
              <w:right w:val="nil"/>
            </w:tcBorders>
            <w:shd w:val="clear" w:color="auto" w:fill="auto"/>
            <w:vAlign w:val="center"/>
          </w:tcPr>
          <w:p w14:paraId="3DBEFFE1"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Consortium</w:t>
            </w:r>
          </w:p>
        </w:tc>
        <w:tc>
          <w:tcPr>
            <w:tcW w:w="1560" w:type="dxa"/>
            <w:tcBorders>
              <w:top w:val="single" w:sz="12" w:space="0" w:color="auto"/>
              <w:left w:val="nil"/>
              <w:bottom w:val="single" w:sz="12" w:space="0" w:color="auto"/>
              <w:right w:val="nil"/>
            </w:tcBorders>
            <w:shd w:val="clear" w:color="auto" w:fill="auto"/>
            <w:vAlign w:val="center"/>
          </w:tcPr>
          <w:p w14:paraId="0651240B"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Sample size</w:t>
            </w:r>
          </w:p>
        </w:tc>
        <w:tc>
          <w:tcPr>
            <w:tcW w:w="2409" w:type="dxa"/>
            <w:tcBorders>
              <w:top w:val="single" w:sz="12" w:space="0" w:color="auto"/>
              <w:left w:val="nil"/>
              <w:bottom w:val="single" w:sz="12" w:space="0" w:color="auto"/>
              <w:right w:val="nil"/>
            </w:tcBorders>
            <w:shd w:val="clear" w:color="auto" w:fill="auto"/>
            <w:vAlign w:val="center"/>
          </w:tcPr>
          <w:p w14:paraId="1E5BEF7F"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Cases/controls</w:t>
            </w:r>
          </w:p>
        </w:tc>
        <w:tc>
          <w:tcPr>
            <w:tcW w:w="1418" w:type="dxa"/>
            <w:tcBorders>
              <w:top w:val="single" w:sz="12" w:space="0" w:color="auto"/>
              <w:left w:val="nil"/>
              <w:bottom w:val="single" w:sz="12" w:space="0" w:color="auto"/>
              <w:right w:val="nil"/>
            </w:tcBorders>
            <w:shd w:val="clear" w:color="auto" w:fill="auto"/>
            <w:vAlign w:val="center"/>
          </w:tcPr>
          <w:p w14:paraId="1FD16910" w14:textId="77777777" w:rsidR="00B5557E" w:rsidRDefault="00000000">
            <w:pPr>
              <w:widowControl/>
              <w:jc w:val="center"/>
              <w:rPr>
                <w:rFonts w:ascii="Times New Roman" w:eastAsia="等线" w:hAnsi="Times New Roman" w:cs="Times New Roman"/>
                <w:b/>
                <w:bCs/>
                <w:color w:val="000000"/>
                <w:kern w:val="0"/>
                <w:sz w:val="22"/>
              </w:rPr>
            </w:pPr>
            <w:r>
              <w:rPr>
                <w:rFonts w:ascii="Times New Roman" w:eastAsia="等线" w:hAnsi="Times New Roman" w:cs="Times New Roman"/>
                <w:b/>
                <w:bCs/>
                <w:color w:val="000000"/>
                <w:kern w:val="0"/>
                <w:sz w:val="22"/>
              </w:rPr>
              <w:t>Population</w:t>
            </w:r>
          </w:p>
        </w:tc>
      </w:tr>
      <w:tr w:rsidR="00B5557E" w14:paraId="5527F664" w14:textId="77777777">
        <w:trPr>
          <w:trHeight w:val="328"/>
          <w:jc w:val="center"/>
        </w:trPr>
        <w:tc>
          <w:tcPr>
            <w:tcW w:w="2694" w:type="dxa"/>
            <w:tcBorders>
              <w:top w:val="single" w:sz="12" w:space="0" w:color="auto"/>
              <w:left w:val="nil"/>
              <w:bottom w:val="nil"/>
              <w:right w:val="nil"/>
            </w:tcBorders>
            <w:shd w:val="clear" w:color="auto" w:fill="auto"/>
            <w:vAlign w:val="center"/>
          </w:tcPr>
          <w:p w14:paraId="664FADA4"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PhenoAge acceleration</w:t>
            </w:r>
          </w:p>
        </w:tc>
        <w:tc>
          <w:tcPr>
            <w:tcW w:w="992" w:type="dxa"/>
            <w:tcBorders>
              <w:top w:val="single" w:sz="12" w:space="0" w:color="auto"/>
              <w:left w:val="nil"/>
              <w:bottom w:val="nil"/>
              <w:right w:val="nil"/>
            </w:tcBorders>
            <w:shd w:val="clear" w:color="auto" w:fill="auto"/>
            <w:vAlign w:val="center"/>
          </w:tcPr>
          <w:p w14:paraId="08D17AED"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2021</w:t>
            </w:r>
          </w:p>
        </w:tc>
        <w:tc>
          <w:tcPr>
            <w:tcW w:w="2550" w:type="dxa"/>
            <w:tcBorders>
              <w:top w:val="single" w:sz="12" w:space="0" w:color="auto"/>
              <w:left w:val="nil"/>
              <w:bottom w:val="nil"/>
              <w:right w:val="nil"/>
            </w:tcBorders>
            <w:shd w:val="clear" w:color="auto" w:fill="auto"/>
            <w:vAlign w:val="center"/>
          </w:tcPr>
          <w:p w14:paraId="0BC4A334"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PhenoAge acceleration</w:t>
            </w:r>
          </w:p>
        </w:tc>
        <w:tc>
          <w:tcPr>
            <w:tcW w:w="2269" w:type="dxa"/>
            <w:tcBorders>
              <w:top w:val="single" w:sz="12" w:space="0" w:color="auto"/>
              <w:left w:val="nil"/>
              <w:bottom w:val="nil"/>
              <w:right w:val="nil"/>
            </w:tcBorders>
            <w:shd w:val="clear" w:color="auto" w:fill="auto"/>
            <w:vAlign w:val="center"/>
          </w:tcPr>
          <w:p w14:paraId="0093FB8B"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PMID: 34038024</w:t>
            </w:r>
          </w:p>
        </w:tc>
        <w:tc>
          <w:tcPr>
            <w:tcW w:w="1560" w:type="dxa"/>
            <w:tcBorders>
              <w:top w:val="single" w:sz="12" w:space="0" w:color="auto"/>
              <w:left w:val="nil"/>
              <w:bottom w:val="nil"/>
              <w:right w:val="nil"/>
            </w:tcBorders>
            <w:shd w:val="clear" w:color="auto" w:fill="auto"/>
            <w:vAlign w:val="center"/>
          </w:tcPr>
          <w:p w14:paraId="6A050FC6"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107,460</w:t>
            </w:r>
          </w:p>
        </w:tc>
        <w:tc>
          <w:tcPr>
            <w:tcW w:w="2409" w:type="dxa"/>
            <w:tcBorders>
              <w:top w:val="single" w:sz="12" w:space="0" w:color="auto"/>
              <w:left w:val="nil"/>
              <w:bottom w:val="nil"/>
              <w:right w:val="nil"/>
            </w:tcBorders>
            <w:shd w:val="clear" w:color="auto" w:fill="auto"/>
            <w:vAlign w:val="center"/>
          </w:tcPr>
          <w:p w14:paraId="4400AE48" w14:textId="77777777" w:rsidR="00B5557E" w:rsidRDefault="00B5557E">
            <w:pPr>
              <w:widowControl/>
              <w:jc w:val="center"/>
              <w:rPr>
                <w:rFonts w:ascii="Times New Roman" w:hAnsi="Times New Roman" w:cs="Times New Roman"/>
                <w:kern w:val="0"/>
                <w:sz w:val="22"/>
              </w:rPr>
            </w:pPr>
          </w:p>
        </w:tc>
        <w:tc>
          <w:tcPr>
            <w:tcW w:w="1418" w:type="dxa"/>
            <w:tcBorders>
              <w:top w:val="single" w:sz="12" w:space="0" w:color="auto"/>
              <w:left w:val="nil"/>
              <w:bottom w:val="nil"/>
              <w:right w:val="nil"/>
            </w:tcBorders>
            <w:shd w:val="clear" w:color="auto" w:fill="auto"/>
            <w:vAlign w:val="center"/>
          </w:tcPr>
          <w:p w14:paraId="18CC6A09"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European</w:t>
            </w:r>
          </w:p>
        </w:tc>
      </w:tr>
      <w:tr w:rsidR="00B5557E" w14:paraId="41840BF7" w14:textId="77777777">
        <w:trPr>
          <w:trHeight w:val="258"/>
          <w:jc w:val="center"/>
        </w:trPr>
        <w:tc>
          <w:tcPr>
            <w:tcW w:w="2694" w:type="dxa"/>
            <w:tcBorders>
              <w:top w:val="nil"/>
              <w:left w:val="nil"/>
              <w:bottom w:val="nil"/>
              <w:right w:val="nil"/>
            </w:tcBorders>
            <w:shd w:val="clear" w:color="auto" w:fill="auto"/>
            <w:vAlign w:val="center"/>
          </w:tcPr>
          <w:p w14:paraId="2D58449A"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KDM-BA acceleration</w:t>
            </w:r>
          </w:p>
        </w:tc>
        <w:tc>
          <w:tcPr>
            <w:tcW w:w="992" w:type="dxa"/>
            <w:tcBorders>
              <w:top w:val="nil"/>
              <w:left w:val="nil"/>
              <w:bottom w:val="nil"/>
              <w:right w:val="nil"/>
            </w:tcBorders>
            <w:shd w:val="clear" w:color="auto" w:fill="auto"/>
            <w:vAlign w:val="center"/>
          </w:tcPr>
          <w:p w14:paraId="3A340F01"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2021</w:t>
            </w:r>
          </w:p>
        </w:tc>
        <w:tc>
          <w:tcPr>
            <w:tcW w:w="2550" w:type="dxa"/>
            <w:tcBorders>
              <w:top w:val="nil"/>
              <w:left w:val="nil"/>
              <w:bottom w:val="nil"/>
              <w:right w:val="nil"/>
            </w:tcBorders>
            <w:shd w:val="clear" w:color="auto" w:fill="auto"/>
            <w:vAlign w:val="center"/>
          </w:tcPr>
          <w:p w14:paraId="584D9E7E"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KDM-BA acceleration</w:t>
            </w:r>
          </w:p>
        </w:tc>
        <w:tc>
          <w:tcPr>
            <w:tcW w:w="2269" w:type="dxa"/>
            <w:tcBorders>
              <w:top w:val="nil"/>
              <w:left w:val="nil"/>
              <w:bottom w:val="nil"/>
              <w:right w:val="nil"/>
            </w:tcBorders>
            <w:shd w:val="clear" w:color="auto" w:fill="auto"/>
            <w:vAlign w:val="center"/>
          </w:tcPr>
          <w:p w14:paraId="20A7D6AB"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PMID: 34038024</w:t>
            </w:r>
          </w:p>
        </w:tc>
        <w:tc>
          <w:tcPr>
            <w:tcW w:w="1560" w:type="dxa"/>
            <w:tcBorders>
              <w:top w:val="nil"/>
              <w:left w:val="nil"/>
              <w:bottom w:val="nil"/>
              <w:right w:val="nil"/>
            </w:tcBorders>
            <w:shd w:val="clear" w:color="auto" w:fill="auto"/>
            <w:vAlign w:val="center"/>
          </w:tcPr>
          <w:p w14:paraId="57680B01"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98,446</w:t>
            </w:r>
          </w:p>
        </w:tc>
        <w:tc>
          <w:tcPr>
            <w:tcW w:w="2409" w:type="dxa"/>
            <w:tcBorders>
              <w:top w:val="nil"/>
              <w:left w:val="nil"/>
              <w:bottom w:val="nil"/>
              <w:right w:val="nil"/>
            </w:tcBorders>
            <w:shd w:val="clear" w:color="auto" w:fill="auto"/>
            <w:vAlign w:val="center"/>
          </w:tcPr>
          <w:p w14:paraId="51CCB525" w14:textId="77777777" w:rsidR="00B5557E" w:rsidRDefault="00B5557E">
            <w:pPr>
              <w:widowControl/>
              <w:jc w:val="center"/>
              <w:rPr>
                <w:rFonts w:ascii="Times New Roman" w:eastAsia="Times New Roman" w:hAnsi="Times New Roman" w:cs="Times New Roman"/>
                <w:kern w:val="0"/>
                <w:sz w:val="22"/>
              </w:rPr>
            </w:pPr>
          </w:p>
        </w:tc>
        <w:tc>
          <w:tcPr>
            <w:tcW w:w="1418" w:type="dxa"/>
            <w:tcBorders>
              <w:top w:val="nil"/>
              <w:left w:val="nil"/>
              <w:bottom w:val="nil"/>
              <w:right w:val="nil"/>
            </w:tcBorders>
            <w:shd w:val="clear" w:color="auto" w:fill="auto"/>
            <w:vAlign w:val="center"/>
          </w:tcPr>
          <w:p w14:paraId="5D741084"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European</w:t>
            </w:r>
          </w:p>
        </w:tc>
      </w:tr>
      <w:tr w:rsidR="00B5557E" w14:paraId="23F1C7EE" w14:textId="77777777">
        <w:trPr>
          <w:trHeight w:val="258"/>
          <w:jc w:val="center"/>
        </w:trPr>
        <w:tc>
          <w:tcPr>
            <w:tcW w:w="2694" w:type="dxa"/>
            <w:tcBorders>
              <w:top w:val="nil"/>
              <w:left w:val="nil"/>
              <w:bottom w:val="nil"/>
              <w:right w:val="nil"/>
            </w:tcBorders>
            <w:shd w:val="clear" w:color="auto" w:fill="auto"/>
            <w:vAlign w:val="center"/>
          </w:tcPr>
          <w:p w14:paraId="130714D6"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Doherty et al. 2018</w:t>
            </w:r>
          </w:p>
        </w:tc>
        <w:tc>
          <w:tcPr>
            <w:tcW w:w="992" w:type="dxa"/>
            <w:tcBorders>
              <w:top w:val="nil"/>
              <w:left w:val="nil"/>
              <w:bottom w:val="nil"/>
              <w:right w:val="nil"/>
            </w:tcBorders>
            <w:shd w:val="clear" w:color="auto" w:fill="auto"/>
            <w:vAlign w:val="center"/>
          </w:tcPr>
          <w:p w14:paraId="4F4FF3D2"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2018</w:t>
            </w:r>
          </w:p>
        </w:tc>
        <w:tc>
          <w:tcPr>
            <w:tcW w:w="2550" w:type="dxa"/>
            <w:tcBorders>
              <w:top w:val="nil"/>
              <w:left w:val="nil"/>
              <w:bottom w:val="nil"/>
              <w:right w:val="nil"/>
            </w:tcBorders>
            <w:shd w:val="clear" w:color="auto" w:fill="auto"/>
            <w:vAlign w:val="center"/>
          </w:tcPr>
          <w:p w14:paraId="614771BD"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total physical activity</w:t>
            </w:r>
          </w:p>
        </w:tc>
        <w:tc>
          <w:tcPr>
            <w:tcW w:w="2269" w:type="dxa"/>
            <w:tcBorders>
              <w:top w:val="nil"/>
              <w:left w:val="nil"/>
              <w:bottom w:val="nil"/>
              <w:right w:val="nil"/>
            </w:tcBorders>
            <w:shd w:val="clear" w:color="auto" w:fill="auto"/>
            <w:vAlign w:val="center"/>
          </w:tcPr>
          <w:p w14:paraId="333F1703"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PMID: 30531941</w:t>
            </w:r>
          </w:p>
        </w:tc>
        <w:tc>
          <w:tcPr>
            <w:tcW w:w="1560" w:type="dxa"/>
            <w:tcBorders>
              <w:top w:val="nil"/>
              <w:left w:val="nil"/>
              <w:bottom w:val="nil"/>
              <w:right w:val="nil"/>
            </w:tcBorders>
            <w:shd w:val="clear" w:color="auto" w:fill="auto"/>
            <w:vAlign w:val="center"/>
          </w:tcPr>
          <w:p w14:paraId="6D3F35E9"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91,105</w:t>
            </w:r>
          </w:p>
        </w:tc>
        <w:tc>
          <w:tcPr>
            <w:tcW w:w="2409" w:type="dxa"/>
            <w:tcBorders>
              <w:top w:val="nil"/>
              <w:left w:val="nil"/>
              <w:bottom w:val="nil"/>
              <w:right w:val="nil"/>
            </w:tcBorders>
            <w:shd w:val="clear" w:color="auto" w:fill="auto"/>
            <w:vAlign w:val="center"/>
          </w:tcPr>
          <w:p w14:paraId="13357E2A" w14:textId="77777777" w:rsidR="00B5557E" w:rsidRDefault="00B5557E">
            <w:pPr>
              <w:widowControl/>
              <w:jc w:val="center"/>
              <w:rPr>
                <w:rFonts w:ascii="Times New Roman" w:hAnsi="Times New Roman" w:cs="Times New Roman"/>
                <w:kern w:val="0"/>
                <w:sz w:val="22"/>
              </w:rPr>
            </w:pPr>
          </w:p>
        </w:tc>
        <w:tc>
          <w:tcPr>
            <w:tcW w:w="1418" w:type="dxa"/>
            <w:tcBorders>
              <w:top w:val="nil"/>
              <w:left w:val="nil"/>
              <w:bottom w:val="nil"/>
              <w:right w:val="nil"/>
            </w:tcBorders>
            <w:shd w:val="clear" w:color="auto" w:fill="auto"/>
            <w:vAlign w:val="center"/>
          </w:tcPr>
          <w:p w14:paraId="07D866E5"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European</w:t>
            </w:r>
          </w:p>
        </w:tc>
      </w:tr>
      <w:tr w:rsidR="00B5557E" w14:paraId="3E119397" w14:textId="77777777">
        <w:trPr>
          <w:trHeight w:val="258"/>
          <w:jc w:val="center"/>
        </w:trPr>
        <w:tc>
          <w:tcPr>
            <w:tcW w:w="2694" w:type="dxa"/>
            <w:tcBorders>
              <w:top w:val="nil"/>
              <w:left w:val="nil"/>
              <w:bottom w:val="nil"/>
              <w:right w:val="nil"/>
            </w:tcBorders>
            <w:shd w:val="clear" w:color="auto" w:fill="auto"/>
            <w:vAlign w:val="center"/>
          </w:tcPr>
          <w:p w14:paraId="74FD051C"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Doherty et al. 2018</w:t>
            </w:r>
          </w:p>
        </w:tc>
        <w:tc>
          <w:tcPr>
            <w:tcW w:w="992" w:type="dxa"/>
            <w:tcBorders>
              <w:top w:val="nil"/>
              <w:left w:val="nil"/>
              <w:bottom w:val="nil"/>
              <w:right w:val="nil"/>
            </w:tcBorders>
            <w:shd w:val="clear" w:color="auto" w:fill="auto"/>
            <w:vAlign w:val="center"/>
          </w:tcPr>
          <w:p w14:paraId="5442F416"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2018</w:t>
            </w:r>
          </w:p>
        </w:tc>
        <w:tc>
          <w:tcPr>
            <w:tcW w:w="2550" w:type="dxa"/>
            <w:tcBorders>
              <w:top w:val="nil"/>
              <w:left w:val="nil"/>
              <w:bottom w:val="nil"/>
              <w:right w:val="nil"/>
            </w:tcBorders>
            <w:shd w:val="clear" w:color="auto" w:fill="auto"/>
          </w:tcPr>
          <w:p w14:paraId="4D2D5EF6" w14:textId="77777777" w:rsidR="00B5557E" w:rsidRDefault="00000000">
            <w:pPr>
              <w:jc w:val="center"/>
              <w:rPr>
                <w:rFonts w:ascii="Times New Roman" w:hAnsi="Times New Roman" w:cs="Times New Roman"/>
                <w:sz w:val="22"/>
              </w:rPr>
            </w:pPr>
            <w:r>
              <w:rPr>
                <w:rFonts w:ascii="Times New Roman" w:hAnsi="Times New Roman" w:cs="Times New Roman"/>
                <w:sz w:val="22"/>
              </w:rPr>
              <w:t>Sleep duration</w:t>
            </w:r>
          </w:p>
        </w:tc>
        <w:tc>
          <w:tcPr>
            <w:tcW w:w="2269" w:type="dxa"/>
            <w:tcBorders>
              <w:top w:val="nil"/>
              <w:left w:val="nil"/>
              <w:bottom w:val="nil"/>
              <w:right w:val="nil"/>
            </w:tcBorders>
            <w:shd w:val="clear" w:color="auto" w:fill="auto"/>
            <w:vAlign w:val="center"/>
          </w:tcPr>
          <w:p w14:paraId="2A1441DD"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PMID: 30531941</w:t>
            </w:r>
          </w:p>
        </w:tc>
        <w:tc>
          <w:tcPr>
            <w:tcW w:w="1560" w:type="dxa"/>
            <w:tcBorders>
              <w:top w:val="nil"/>
              <w:left w:val="nil"/>
              <w:bottom w:val="nil"/>
              <w:right w:val="nil"/>
            </w:tcBorders>
            <w:shd w:val="clear" w:color="auto" w:fill="auto"/>
            <w:vAlign w:val="center"/>
          </w:tcPr>
          <w:p w14:paraId="267C8B1D"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91,105</w:t>
            </w:r>
          </w:p>
        </w:tc>
        <w:tc>
          <w:tcPr>
            <w:tcW w:w="2409" w:type="dxa"/>
            <w:tcBorders>
              <w:top w:val="nil"/>
              <w:left w:val="nil"/>
              <w:bottom w:val="nil"/>
              <w:right w:val="nil"/>
            </w:tcBorders>
            <w:shd w:val="clear" w:color="auto" w:fill="auto"/>
            <w:vAlign w:val="center"/>
          </w:tcPr>
          <w:p w14:paraId="606401D6" w14:textId="77777777" w:rsidR="00B5557E" w:rsidRDefault="00B5557E">
            <w:pPr>
              <w:widowControl/>
              <w:jc w:val="center"/>
              <w:rPr>
                <w:rFonts w:ascii="Times New Roman" w:eastAsia="等线" w:hAnsi="Times New Roman" w:cs="Times New Roman"/>
                <w:color w:val="000000"/>
                <w:kern w:val="0"/>
                <w:sz w:val="22"/>
              </w:rPr>
            </w:pPr>
          </w:p>
        </w:tc>
        <w:tc>
          <w:tcPr>
            <w:tcW w:w="1418" w:type="dxa"/>
            <w:tcBorders>
              <w:top w:val="nil"/>
              <w:left w:val="nil"/>
              <w:bottom w:val="nil"/>
              <w:right w:val="nil"/>
            </w:tcBorders>
            <w:shd w:val="clear" w:color="auto" w:fill="auto"/>
            <w:vAlign w:val="center"/>
          </w:tcPr>
          <w:p w14:paraId="66EA8942"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European</w:t>
            </w:r>
          </w:p>
        </w:tc>
      </w:tr>
      <w:tr w:rsidR="00B5557E" w14:paraId="73249894" w14:textId="77777777">
        <w:trPr>
          <w:trHeight w:val="258"/>
          <w:jc w:val="center"/>
        </w:trPr>
        <w:tc>
          <w:tcPr>
            <w:tcW w:w="2694" w:type="dxa"/>
            <w:tcBorders>
              <w:top w:val="nil"/>
              <w:left w:val="nil"/>
              <w:bottom w:val="nil"/>
              <w:right w:val="nil"/>
            </w:tcBorders>
            <w:shd w:val="clear" w:color="auto" w:fill="auto"/>
            <w:vAlign w:val="center"/>
          </w:tcPr>
          <w:p w14:paraId="5357D6FF"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Doherty et al. 2018</w:t>
            </w:r>
          </w:p>
        </w:tc>
        <w:tc>
          <w:tcPr>
            <w:tcW w:w="992" w:type="dxa"/>
            <w:tcBorders>
              <w:top w:val="nil"/>
              <w:left w:val="nil"/>
              <w:bottom w:val="nil"/>
              <w:right w:val="nil"/>
            </w:tcBorders>
            <w:shd w:val="clear" w:color="auto" w:fill="auto"/>
            <w:vAlign w:val="center"/>
          </w:tcPr>
          <w:p w14:paraId="3F0C6099"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2018</w:t>
            </w:r>
          </w:p>
        </w:tc>
        <w:tc>
          <w:tcPr>
            <w:tcW w:w="2550" w:type="dxa"/>
            <w:tcBorders>
              <w:top w:val="nil"/>
              <w:left w:val="nil"/>
              <w:bottom w:val="nil"/>
              <w:right w:val="nil"/>
            </w:tcBorders>
            <w:shd w:val="clear" w:color="auto" w:fill="auto"/>
          </w:tcPr>
          <w:p w14:paraId="61E93808" w14:textId="77777777" w:rsidR="00B5557E" w:rsidRDefault="00000000">
            <w:pPr>
              <w:jc w:val="center"/>
              <w:rPr>
                <w:rFonts w:ascii="Times New Roman" w:hAnsi="Times New Roman" w:cs="Times New Roman"/>
                <w:sz w:val="22"/>
              </w:rPr>
            </w:pPr>
            <w:r>
              <w:rPr>
                <w:rFonts w:ascii="Times New Roman" w:hAnsi="Times New Roman" w:cs="Times New Roman"/>
                <w:sz w:val="22"/>
              </w:rPr>
              <w:t>sedentary behavior</w:t>
            </w:r>
          </w:p>
        </w:tc>
        <w:tc>
          <w:tcPr>
            <w:tcW w:w="2269" w:type="dxa"/>
            <w:tcBorders>
              <w:top w:val="nil"/>
              <w:left w:val="nil"/>
              <w:bottom w:val="nil"/>
              <w:right w:val="nil"/>
            </w:tcBorders>
            <w:shd w:val="clear" w:color="auto" w:fill="auto"/>
            <w:vAlign w:val="center"/>
          </w:tcPr>
          <w:p w14:paraId="6E7FACFE"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PMID: 30531941</w:t>
            </w:r>
          </w:p>
        </w:tc>
        <w:tc>
          <w:tcPr>
            <w:tcW w:w="1560" w:type="dxa"/>
            <w:tcBorders>
              <w:top w:val="nil"/>
              <w:left w:val="nil"/>
              <w:bottom w:val="nil"/>
              <w:right w:val="nil"/>
            </w:tcBorders>
            <w:shd w:val="clear" w:color="auto" w:fill="auto"/>
            <w:vAlign w:val="center"/>
          </w:tcPr>
          <w:p w14:paraId="56F48236"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91,105</w:t>
            </w:r>
          </w:p>
        </w:tc>
        <w:tc>
          <w:tcPr>
            <w:tcW w:w="2409" w:type="dxa"/>
            <w:tcBorders>
              <w:top w:val="nil"/>
              <w:left w:val="nil"/>
              <w:bottom w:val="nil"/>
              <w:right w:val="nil"/>
            </w:tcBorders>
            <w:shd w:val="clear" w:color="auto" w:fill="auto"/>
            <w:vAlign w:val="center"/>
          </w:tcPr>
          <w:p w14:paraId="1B5A36AB" w14:textId="77777777" w:rsidR="00B5557E" w:rsidRDefault="00B5557E">
            <w:pPr>
              <w:widowControl/>
              <w:jc w:val="center"/>
              <w:rPr>
                <w:rFonts w:ascii="Times New Roman" w:eastAsia="等线" w:hAnsi="Times New Roman" w:cs="Times New Roman"/>
                <w:color w:val="000000"/>
                <w:kern w:val="0"/>
                <w:sz w:val="22"/>
              </w:rPr>
            </w:pPr>
          </w:p>
        </w:tc>
        <w:tc>
          <w:tcPr>
            <w:tcW w:w="1418" w:type="dxa"/>
            <w:tcBorders>
              <w:top w:val="nil"/>
              <w:left w:val="nil"/>
              <w:bottom w:val="nil"/>
              <w:right w:val="nil"/>
            </w:tcBorders>
            <w:shd w:val="clear" w:color="auto" w:fill="auto"/>
            <w:vAlign w:val="center"/>
          </w:tcPr>
          <w:p w14:paraId="24732878"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European</w:t>
            </w:r>
          </w:p>
        </w:tc>
      </w:tr>
      <w:tr w:rsidR="00B5557E" w14:paraId="1321BFD8" w14:textId="77777777">
        <w:trPr>
          <w:trHeight w:val="258"/>
          <w:jc w:val="center"/>
        </w:trPr>
        <w:tc>
          <w:tcPr>
            <w:tcW w:w="2694" w:type="dxa"/>
            <w:tcBorders>
              <w:top w:val="nil"/>
              <w:left w:val="nil"/>
              <w:bottom w:val="nil"/>
              <w:right w:val="nil"/>
            </w:tcBorders>
            <w:shd w:val="clear" w:color="auto" w:fill="auto"/>
            <w:vAlign w:val="center"/>
          </w:tcPr>
          <w:p w14:paraId="30907888"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van de Vegte YJ, et al.</w:t>
            </w:r>
          </w:p>
        </w:tc>
        <w:tc>
          <w:tcPr>
            <w:tcW w:w="992" w:type="dxa"/>
            <w:tcBorders>
              <w:top w:val="nil"/>
              <w:left w:val="nil"/>
              <w:bottom w:val="nil"/>
              <w:right w:val="nil"/>
            </w:tcBorders>
            <w:shd w:val="clear" w:color="auto" w:fill="auto"/>
            <w:vAlign w:val="center"/>
          </w:tcPr>
          <w:p w14:paraId="456F4CC6"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2020</w:t>
            </w:r>
          </w:p>
        </w:tc>
        <w:tc>
          <w:tcPr>
            <w:tcW w:w="2550" w:type="dxa"/>
            <w:tcBorders>
              <w:top w:val="nil"/>
              <w:left w:val="nil"/>
              <w:bottom w:val="nil"/>
              <w:right w:val="nil"/>
            </w:tcBorders>
            <w:shd w:val="clear" w:color="auto" w:fill="auto"/>
          </w:tcPr>
          <w:p w14:paraId="0BC7A305" w14:textId="77777777" w:rsidR="00B5557E" w:rsidRDefault="00000000">
            <w:pPr>
              <w:jc w:val="center"/>
              <w:rPr>
                <w:rFonts w:ascii="Times New Roman" w:hAnsi="Times New Roman" w:cs="Times New Roman"/>
                <w:sz w:val="22"/>
              </w:rPr>
            </w:pPr>
            <w:r>
              <w:rPr>
                <w:rFonts w:ascii="Times New Roman" w:hAnsi="Times New Roman" w:cs="Times New Roman"/>
                <w:sz w:val="22"/>
              </w:rPr>
              <w:t>Using computer</w:t>
            </w:r>
          </w:p>
        </w:tc>
        <w:tc>
          <w:tcPr>
            <w:tcW w:w="2269" w:type="dxa"/>
            <w:tcBorders>
              <w:top w:val="nil"/>
              <w:left w:val="nil"/>
              <w:bottom w:val="nil"/>
              <w:right w:val="nil"/>
            </w:tcBorders>
            <w:shd w:val="clear" w:color="auto" w:fill="auto"/>
            <w:vAlign w:val="center"/>
          </w:tcPr>
          <w:p w14:paraId="768956A0"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PMID: 32317632</w:t>
            </w:r>
          </w:p>
        </w:tc>
        <w:tc>
          <w:tcPr>
            <w:tcW w:w="1560" w:type="dxa"/>
            <w:tcBorders>
              <w:top w:val="nil"/>
              <w:left w:val="nil"/>
              <w:bottom w:val="nil"/>
              <w:right w:val="nil"/>
            </w:tcBorders>
            <w:shd w:val="clear" w:color="auto" w:fill="auto"/>
            <w:vAlign w:val="center"/>
          </w:tcPr>
          <w:p w14:paraId="798D98BB"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408,815</w:t>
            </w:r>
          </w:p>
        </w:tc>
        <w:tc>
          <w:tcPr>
            <w:tcW w:w="2409" w:type="dxa"/>
            <w:tcBorders>
              <w:top w:val="nil"/>
              <w:left w:val="nil"/>
              <w:bottom w:val="nil"/>
              <w:right w:val="nil"/>
            </w:tcBorders>
            <w:shd w:val="clear" w:color="auto" w:fill="auto"/>
            <w:vAlign w:val="center"/>
          </w:tcPr>
          <w:p w14:paraId="4E586F1F" w14:textId="77777777" w:rsidR="00B5557E" w:rsidRDefault="00B5557E">
            <w:pPr>
              <w:widowControl/>
              <w:jc w:val="center"/>
              <w:rPr>
                <w:rFonts w:ascii="Times New Roman" w:eastAsia="等线" w:hAnsi="Times New Roman" w:cs="Times New Roman"/>
                <w:color w:val="000000"/>
                <w:kern w:val="0"/>
                <w:sz w:val="22"/>
              </w:rPr>
            </w:pPr>
          </w:p>
        </w:tc>
        <w:tc>
          <w:tcPr>
            <w:tcW w:w="1418" w:type="dxa"/>
            <w:tcBorders>
              <w:top w:val="nil"/>
              <w:left w:val="nil"/>
              <w:bottom w:val="nil"/>
              <w:right w:val="nil"/>
            </w:tcBorders>
            <w:shd w:val="clear" w:color="auto" w:fill="auto"/>
            <w:vAlign w:val="center"/>
          </w:tcPr>
          <w:p w14:paraId="54D05AA1"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European</w:t>
            </w:r>
          </w:p>
        </w:tc>
      </w:tr>
      <w:tr w:rsidR="00B5557E" w14:paraId="4600B832" w14:textId="77777777">
        <w:trPr>
          <w:trHeight w:val="258"/>
          <w:jc w:val="center"/>
        </w:trPr>
        <w:tc>
          <w:tcPr>
            <w:tcW w:w="2694" w:type="dxa"/>
            <w:tcBorders>
              <w:top w:val="nil"/>
              <w:left w:val="nil"/>
              <w:bottom w:val="nil"/>
              <w:right w:val="nil"/>
            </w:tcBorders>
            <w:shd w:val="clear" w:color="auto" w:fill="auto"/>
            <w:vAlign w:val="center"/>
          </w:tcPr>
          <w:p w14:paraId="47C82018"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van de Vegte YJ, et al.</w:t>
            </w:r>
          </w:p>
        </w:tc>
        <w:tc>
          <w:tcPr>
            <w:tcW w:w="992" w:type="dxa"/>
            <w:tcBorders>
              <w:top w:val="nil"/>
              <w:left w:val="nil"/>
              <w:bottom w:val="nil"/>
              <w:right w:val="nil"/>
            </w:tcBorders>
            <w:shd w:val="clear" w:color="auto" w:fill="auto"/>
            <w:vAlign w:val="center"/>
          </w:tcPr>
          <w:p w14:paraId="096899F1"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2020</w:t>
            </w:r>
          </w:p>
        </w:tc>
        <w:tc>
          <w:tcPr>
            <w:tcW w:w="2550" w:type="dxa"/>
            <w:tcBorders>
              <w:top w:val="nil"/>
              <w:left w:val="nil"/>
              <w:bottom w:val="nil"/>
              <w:right w:val="nil"/>
            </w:tcBorders>
            <w:shd w:val="clear" w:color="auto" w:fill="auto"/>
          </w:tcPr>
          <w:p w14:paraId="394ACF3E" w14:textId="77777777" w:rsidR="00B5557E" w:rsidRDefault="00000000">
            <w:pPr>
              <w:jc w:val="center"/>
              <w:rPr>
                <w:rFonts w:ascii="Times New Roman" w:hAnsi="Times New Roman" w:cs="Times New Roman"/>
                <w:sz w:val="22"/>
              </w:rPr>
            </w:pPr>
            <w:r>
              <w:rPr>
                <w:rFonts w:ascii="Times New Roman" w:hAnsi="Times New Roman" w:cs="Times New Roman"/>
                <w:sz w:val="22"/>
              </w:rPr>
              <w:t>Watching television</w:t>
            </w:r>
          </w:p>
        </w:tc>
        <w:tc>
          <w:tcPr>
            <w:tcW w:w="2269" w:type="dxa"/>
            <w:tcBorders>
              <w:top w:val="nil"/>
              <w:left w:val="nil"/>
              <w:bottom w:val="nil"/>
              <w:right w:val="nil"/>
            </w:tcBorders>
            <w:shd w:val="clear" w:color="auto" w:fill="auto"/>
            <w:vAlign w:val="center"/>
          </w:tcPr>
          <w:p w14:paraId="3466E223"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PMID: 32317632</w:t>
            </w:r>
          </w:p>
        </w:tc>
        <w:tc>
          <w:tcPr>
            <w:tcW w:w="1560" w:type="dxa"/>
            <w:tcBorders>
              <w:top w:val="nil"/>
              <w:left w:val="nil"/>
              <w:bottom w:val="nil"/>
              <w:right w:val="nil"/>
            </w:tcBorders>
            <w:shd w:val="clear" w:color="auto" w:fill="auto"/>
            <w:vAlign w:val="center"/>
          </w:tcPr>
          <w:p w14:paraId="391FEAEB"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408,815</w:t>
            </w:r>
          </w:p>
        </w:tc>
        <w:tc>
          <w:tcPr>
            <w:tcW w:w="2409" w:type="dxa"/>
            <w:tcBorders>
              <w:top w:val="nil"/>
              <w:left w:val="nil"/>
              <w:bottom w:val="nil"/>
              <w:right w:val="nil"/>
            </w:tcBorders>
            <w:shd w:val="clear" w:color="auto" w:fill="auto"/>
            <w:vAlign w:val="center"/>
          </w:tcPr>
          <w:p w14:paraId="395A7C79" w14:textId="77777777" w:rsidR="00B5557E" w:rsidRDefault="00B5557E">
            <w:pPr>
              <w:widowControl/>
              <w:jc w:val="center"/>
              <w:rPr>
                <w:rFonts w:ascii="Times New Roman" w:eastAsia="等线" w:hAnsi="Times New Roman" w:cs="Times New Roman"/>
                <w:color w:val="000000"/>
                <w:kern w:val="0"/>
                <w:sz w:val="22"/>
              </w:rPr>
            </w:pPr>
          </w:p>
        </w:tc>
        <w:tc>
          <w:tcPr>
            <w:tcW w:w="1418" w:type="dxa"/>
            <w:tcBorders>
              <w:top w:val="nil"/>
              <w:left w:val="nil"/>
              <w:bottom w:val="nil"/>
              <w:right w:val="nil"/>
            </w:tcBorders>
            <w:shd w:val="clear" w:color="auto" w:fill="auto"/>
            <w:vAlign w:val="center"/>
          </w:tcPr>
          <w:p w14:paraId="4F4495E8"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European</w:t>
            </w:r>
          </w:p>
        </w:tc>
      </w:tr>
      <w:tr w:rsidR="00B5557E" w14:paraId="44C88147" w14:textId="77777777">
        <w:trPr>
          <w:trHeight w:val="258"/>
          <w:jc w:val="center"/>
        </w:trPr>
        <w:tc>
          <w:tcPr>
            <w:tcW w:w="2694" w:type="dxa"/>
            <w:tcBorders>
              <w:top w:val="nil"/>
              <w:left w:val="nil"/>
              <w:bottom w:val="nil"/>
              <w:right w:val="nil"/>
            </w:tcBorders>
            <w:shd w:val="clear" w:color="auto" w:fill="auto"/>
            <w:vAlign w:val="center"/>
          </w:tcPr>
          <w:p w14:paraId="4BB09FB1"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Dashti HS, et al.</w:t>
            </w:r>
          </w:p>
        </w:tc>
        <w:tc>
          <w:tcPr>
            <w:tcW w:w="992" w:type="dxa"/>
            <w:tcBorders>
              <w:top w:val="nil"/>
              <w:left w:val="nil"/>
              <w:bottom w:val="nil"/>
              <w:right w:val="nil"/>
            </w:tcBorders>
            <w:shd w:val="clear" w:color="auto" w:fill="auto"/>
            <w:vAlign w:val="center"/>
          </w:tcPr>
          <w:p w14:paraId="25D8F1C1"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2019</w:t>
            </w:r>
          </w:p>
        </w:tc>
        <w:tc>
          <w:tcPr>
            <w:tcW w:w="2550" w:type="dxa"/>
            <w:tcBorders>
              <w:top w:val="nil"/>
              <w:left w:val="nil"/>
              <w:bottom w:val="nil"/>
              <w:right w:val="nil"/>
            </w:tcBorders>
            <w:shd w:val="clear" w:color="auto" w:fill="auto"/>
          </w:tcPr>
          <w:p w14:paraId="1F436CD5" w14:textId="77777777" w:rsidR="00B5557E" w:rsidRDefault="00000000">
            <w:pPr>
              <w:jc w:val="center"/>
              <w:rPr>
                <w:rFonts w:ascii="Times New Roman" w:hAnsi="Times New Roman" w:cs="Times New Roman"/>
                <w:sz w:val="22"/>
              </w:rPr>
            </w:pPr>
            <w:r>
              <w:rPr>
                <w:rFonts w:ascii="Times New Roman" w:hAnsi="Times New Roman" w:cs="Times New Roman"/>
                <w:sz w:val="22"/>
              </w:rPr>
              <w:t>Short sleep duration</w:t>
            </w:r>
          </w:p>
        </w:tc>
        <w:tc>
          <w:tcPr>
            <w:tcW w:w="2269" w:type="dxa"/>
            <w:tcBorders>
              <w:top w:val="nil"/>
              <w:left w:val="nil"/>
              <w:bottom w:val="nil"/>
              <w:right w:val="nil"/>
            </w:tcBorders>
            <w:shd w:val="clear" w:color="auto" w:fill="auto"/>
            <w:vAlign w:val="center"/>
          </w:tcPr>
          <w:p w14:paraId="6FFDDFF6"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PMID: 30846698</w:t>
            </w:r>
          </w:p>
        </w:tc>
        <w:tc>
          <w:tcPr>
            <w:tcW w:w="1560" w:type="dxa"/>
            <w:tcBorders>
              <w:top w:val="nil"/>
              <w:left w:val="nil"/>
              <w:bottom w:val="nil"/>
              <w:right w:val="nil"/>
            </w:tcBorders>
            <w:shd w:val="clear" w:color="auto" w:fill="auto"/>
            <w:vAlign w:val="center"/>
          </w:tcPr>
          <w:p w14:paraId="1D7A90A4"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32,528</w:t>
            </w:r>
          </w:p>
        </w:tc>
        <w:tc>
          <w:tcPr>
            <w:tcW w:w="2409" w:type="dxa"/>
            <w:tcBorders>
              <w:top w:val="nil"/>
              <w:left w:val="nil"/>
              <w:bottom w:val="nil"/>
              <w:right w:val="nil"/>
            </w:tcBorders>
            <w:shd w:val="clear" w:color="auto" w:fill="auto"/>
            <w:vAlign w:val="center"/>
          </w:tcPr>
          <w:p w14:paraId="3263B14A"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106,192/305,742</w:t>
            </w:r>
          </w:p>
        </w:tc>
        <w:tc>
          <w:tcPr>
            <w:tcW w:w="1418" w:type="dxa"/>
            <w:tcBorders>
              <w:top w:val="nil"/>
              <w:left w:val="nil"/>
              <w:bottom w:val="nil"/>
              <w:right w:val="nil"/>
            </w:tcBorders>
            <w:shd w:val="clear" w:color="auto" w:fill="auto"/>
            <w:vAlign w:val="center"/>
          </w:tcPr>
          <w:p w14:paraId="100729B9"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European</w:t>
            </w:r>
          </w:p>
        </w:tc>
      </w:tr>
      <w:tr w:rsidR="00B5557E" w14:paraId="14A0B371" w14:textId="77777777">
        <w:trPr>
          <w:trHeight w:val="268"/>
          <w:jc w:val="center"/>
        </w:trPr>
        <w:tc>
          <w:tcPr>
            <w:tcW w:w="2694" w:type="dxa"/>
            <w:tcBorders>
              <w:top w:val="nil"/>
              <w:left w:val="nil"/>
              <w:bottom w:val="single" w:sz="12" w:space="0" w:color="auto"/>
              <w:right w:val="nil"/>
            </w:tcBorders>
            <w:shd w:val="clear" w:color="auto" w:fill="auto"/>
            <w:vAlign w:val="center"/>
          </w:tcPr>
          <w:p w14:paraId="483CC725"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Dashti HS, et al.</w:t>
            </w:r>
          </w:p>
        </w:tc>
        <w:tc>
          <w:tcPr>
            <w:tcW w:w="992" w:type="dxa"/>
            <w:tcBorders>
              <w:top w:val="nil"/>
              <w:left w:val="nil"/>
              <w:bottom w:val="single" w:sz="12" w:space="0" w:color="auto"/>
              <w:right w:val="nil"/>
            </w:tcBorders>
            <w:shd w:val="clear" w:color="auto" w:fill="auto"/>
            <w:vAlign w:val="center"/>
          </w:tcPr>
          <w:p w14:paraId="7487D661"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2019</w:t>
            </w:r>
          </w:p>
        </w:tc>
        <w:tc>
          <w:tcPr>
            <w:tcW w:w="2550" w:type="dxa"/>
            <w:tcBorders>
              <w:top w:val="nil"/>
              <w:left w:val="nil"/>
              <w:bottom w:val="single" w:sz="12" w:space="0" w:color="auto"/>
              <w:right w:val="nil"/>
            </w:tcBorders>
            <w:shd w:val="clear" w:color="auto" w:fill="auto"/>
          </w:tcPr>
          <w:p w14:paraId="55C799EF" w14:textId="77777777" w:rsidR="00B5557E" w:rsidRDefault="00000000">
            <w:pPr>
              <w:jc w:val="center"/>
              <w:rPr>
                <w:rFonts w:ascii="Times New Roman" w:hAnsi="Times New Roman" w:cs="Times New Roman"/>
                <w:sz w:val="22"/>
              </w:rPr>
            </w:pPr>
            <w:r>
              <w:rPr>
                <w:rFonts w:ascii="Times New Roman" w:hAnsi="Times New Roman" w:cs="Times New Roman"/>
                <w:sz w:val="22"/>
              </w:rPr>
              <w:t>Long sleep duration</w:t>
            </w:r>
          </w:p>
        </w:tc>
        <w:tc>
          <w:tcPr>
            <w:tcW w:w="2269" w:type="dxa"/>
            <w:tcBorders>
              <w:top w:val="nil"/>
              <w:left w:val="nil"/>
              <w:bottom w:val="single" w:sz="12" w:space="0" w:color="auto"/>
              <w:right w:val="nil"/>
            </w:tcBorders>
            <w:shd w:val="clear" w:color="auto" w:fill="auto"/>
            <w:vAlign w:val="center"/>
          </w:tcPr>
          <w:p w14:paraId="56C1ED12"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PMID: 30846698</w:t>
            </w:r>
          </w:p>
        </w:tc>
        <w:tc>
          <w:tcPr>
            <w:tcW w:w="1560" w:type="dxa"/>
            <w:tcBorders>
              <w:top w:val="nil"/>
              <w:left w:val="nil"/>
              <w:bottom w:val="single" w:sz="12" w:space="0" w:color="auto"/>
              <w:right w:val="nil"/>
            </w:tcBorders>
            <w:shd w:val="clear" w:color="auto" w:fill="auto"/>
            <w:vAlign w:val="center"/>
          </w:tcPr>
          <w:p w14:paraId="575ADAF6"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35,932</w:t>
            </w:r>
          </w:p>
        </w:tc>
        <w:tc>
          <w:tcPr>
            <w:tcW w:w="2409" w:type="dxa"/>
            <w:tcBorders>
              <w:top w:val="nil"/>
              <w:left w:val="nil"/>
              <w:bottom w:val="single" w:sz="12" w:space="0" w:color="auto"/>
              <w:right w:val="nil"/>
            </w:tcBorders>
            <w:shd w:val="clear" w:color="auto" w:fill="auto"/>
            <w:vAlign w:val="center"/>
          </w:tcPr>
          <w:p w14:paraId="42BE61F9"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34,184/305,742</w:t>
            </w:r>
          </w:p>
        </w:tc>
        <w:tc>
          <w:tcPr>
            <w:tcW w:w="1418" w:type="dxa"/>
            <w:tcBorders>
              <w:top w:val="nil"/>
              <w:left w:val="nil"/>
              <w:bottom w:val="single" w:sz="12" w:space="0" w:color="auto"/>
              <w:right w:val="nil"/>
            </w:tcBorders>
            <w:shd w:val="clear" w:color="auto" w:fill="auto"/>
            <w:vAlign w:val="center"/>
          </w:tcPr>
          <w:p w14:paraId="323EF10E" w14:textId="77777777" w:rsidR="00B5557E" w:rsidRDefault="00000000">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European</w:t>
            </w:r>
          </w:p>
        </w:tc>
      </w:tr>
    </w:tbl>
    <w:p w14:paraId="7DC2B44D" w14:textId="77777777" w:rsidR="00B5557E" w:rsidRDefault="00B5557E">
      <w:pPr>
        <w:spacing w:line="360" w:lineRule="auto"/>
        <w:rPr>
          <w:rFonts w:ascii="Times New Roman" w:hAnsi="Times New Roman" w:cs="Times New Roman"/>
          <w:sz w:val="22"/>
        </w:rPr>
        <w:sectPr w:rsidR="00B5557E">
          <w:pgSz w:w="16838" w:h="11906" w:orient="landscape"/>
          <w:pgMar w:top="1440" w:right="1080" w:bottom="1440" w:left="1080" w:header="851" w:footer="992" w:gutter="0"/>
          <w:cols w:space="425"/>
          <w:docGrid w:type="lines" w:linePitch="312"/>
        </w:sectPr>
      </w:pPr>
    </w:p>
    <w:p w14:paraId="0D7D59C5" w14:textId="77777777" w:rsidR="00B5557E" w:rsidRDefault="00B5557E">
      <w:pPr>
        <w:rPr>
          <w:rFonts w:hint="eastAsia"/>
        </w:rPr>
      </w:pPr>
    </w:p>
    <w:p w14:paraId="23400B37" w14:textId="77777777" w:rsidR="00B5557E" w:rsidRDefault="00B5557E">
      <w:pPr>
        <w:rPr>
          <w:rFonts w:hint="eastAsia"/>
        </w:rPr>
      </w:pPr>
    </w:p>
    <w:p w14:paraId="60A328C4" w14:textId="77777777" w:rsidR="00B5557E" w:rsidRDefault="00000000">
      <w:pPr>
        <w:rPr>
          <w:rFonts w:ascii="Times New Roman" w:hAnsi="Times New Roman" w:cs="Times New Roman"/>
          <w:b/>
          <w:sz w:val="22"/>
        </w:rPr>
      </w:pPr>
      <w:r>
        <w:rPr>
          <w:rFonts w:ascii="Times New Roman" w:hAnsi="Times New Roman" w:cs="Times New Roman"/>
          <w:b/>
          <w:sz w:val="22"/>
        </w:rPr>
        <w:t>Reference</w:t>
      </w:r>
    </w:p>
    <w:p w14:paraId="4C02AD12" w14:textId="77777777" w:rsidR="00B5557E" w:rsidRDefault="00000000">
      <w:pPr>
        <w:pStyle w:val="1"/>
        <w:rPr>
          <w:rFonts w:ascii="等线" w:eastAsia="等线" w:hAnsi="等线" w:hint="eastAsia"/>
        </w:rPr>
      </w:pPr>
      <w:r>
        <w:fldChar w:fldCharType="begin"/>
      </w:r>
      <w:r>
        <w:instrText xml:space="preserve"> ADDIN ZOTERO_BIBL {"uncited":[],"omitted":[],"custom":[]} CSL_BIBLIOGRAPHY </w:instrText>
      </w:r>
      <w:r>
        <w:fldChar w:fldCharType="separate"/>
      </w:r>
      <w:r>
        <w:rPr>
          <w:rFonts w:ascii="等线" w:eastAsia="等线" w:hAnsi="等线"/>
        </w:rPr>
        <w:t>1.</w:t>
      </w:r>
      <w:r>
        <w:rPr>
          <w:rFonts w:ascii="等线" w:eastAsia="等线" w:hAnsi="等线"/>
        </w:rPr>
        <w:tab/>
        <w:t>Mounier N. MRlap. Published online September 9, 2023. Accessed September 17, 2023. https://github.com/n-mounier/MRlap</w:t>
      </w:r>
    </w:p>
    <w:p w14:paraId="2CC53F3A" w14:textId="77777777" w:rsidR="00B5557E" w:rsidRDefault="00000000">
      <w:pPr>
        <w:pStyle w:val="1"/>
        <w:rPr>
          <w:rFonts w:ascii="等线" w:eastAsia="等线" w:hAnsi="等线" w:hint="eastAsia"/>
        </w:rPr>
      </w:pPr>
      <w:r>
        <w:rPr>
          <w:rFonts w:ascii="等线" w:eastAsia="等线" w:hAnsi="等线"/>
        </w:rPr>
        <w:t>2.</w:t>
      </w:r>
      <w:r>
        <w:rPr>
          <w:rFonts w:ascii="等线" w:eastAsia="等线" w:hAnsi="等线"/>
        </w:rPr>
        <w:tab/>
        <w:t xml:space="preserve">Kuo CL, Pilling LC, Liu Z, Atkins JL, Levine ME. Genetic associations for two biological age measures point to distinct aging phenotypes. </w:t>
      </w:r>
      <w:r>
        <w:rPr>
          <w:rFonts w:ascii="等线" w:eastAsia="等线" w:hAnsi="等线"/>
          <w:i/>
          <w:iCs/>
        </w:rPr>
        <w:t>Aging Cell</w:t>
      </w:r>
      <w:r>
        <w:rPr>
          <w:rFonts w:ascii="等线" w:eastAsia="等线" w:hAnsi="等线"/>
        </w:rPr>
        <w:t>. 2021;20(6):e13376. doi:10.1111/acel.13376</w:t>
      </w:r>
    </w:p>
    <w:p w14:paraId="680FF637" w14:textId="77777777" w:rsidR="00B5557E" w:rsidRDefault="00000000">
      <w:pPr>
        <w:pStyle w:val="1"/>
        <w:rPr>
          <w:rFonts w:ascii="等线" w:eastAsia="等线" w:hAnsi="等线" w:hint="eastAsia"/>
        </w:rPr>
      </w:pPr>
      <w:r>
        <w:rPr>
          <w:rFonts w:ascii="等线" w:eastAsia="等线" w:hAnsi="等线"/>
        </w:rPr>
        <w:t>3.</w:t>
      </w:r>
      <w:r>
        <w:rPr>
          <w:rFonts w:ascii="等线" w:eastAsia="等线" w:hAnsi="等线"/>
        </w:rPr>
        <w:tab/>
        <w:t xml:space="preserve">Emdin CA, Khera AV, Kathiresan S. Mendelian Randomization. </w:t>
      </w:r>
      <w:r>
        <w:rPr>
          <w:rFonts w:ascii="等线" w:eastAsia="等线" w:hAnsi="等线"/>
          <w:i/>
          <w:iCs/>
        </w:rPr>
        <w:t>JAMA</w:t>
      </w:r>
      <w:r>
        <w:rPr>
          <w:rFonts w:ascii="等线" w:eastAsia="等线" w:hAnsi="等线"/>
        </w:rPr>
        <w:t>. 2017;318(19):1925-1926. doi:10.1001/jama.2017.17219</w:t>
      </w:r>
    </w:p>
    <w:p w14:paraId="1DEDB59D" w14:textId="77777777" w:rsidR="00B5557E" w:rsidRDefault="00000000">
      <w:pPr>
        <w:rPr>
          <w:rFonts w:hint="eastAsia"/>
        </w:rPr>
      </w:pPr>
      <w:r>
        <w:fldChar w:fldCharType="end"/>
      </w:r>
    </w:p>
    <w:p w14:paraId="1FAD055B" w14:textId="77777777" w:rsidR="00B5557E" w:rsidRDefault="00B5557E">
      <w:pPr>
        <w:rPr>
          <w:rFonts w:hint="eastAsia"/>
        </w:rPr>
      </w:pPr>
    </w:p>
    <w:sectPr w:rsidR="00B5557E">
      <w:headerReference w:type="even" r:id="rId6"/>
      <w:headerReference w:type="default" r:id="rId7"/>
      <w:footerReference w:type="even" r:id="rId8"/>
      <w:footerReference w:type="default" r:id="rId9"/>
      <w:headerReference w:type="first" r:id="rId10"/>
      <w:footerReference w:type="first" r:id="rId11"/>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42ADD8" w14:textId="77777777" w:rsidR="00B438E1" w:rsidRDefault="00B438E1">
      <w:pPr>
        <w:rPr>
          <w:rFonts w:hint="eastAsia"/>
        </w:rPr>
      </w:pPr>
      <w:r>
        <w:separator/>
      </w:r>
    </w:p>
  </w:endnote>
  <w:endnote w:type="continuationSeparator" w:id="0">
    <w:p w14:paraId="6F926DBD" w14:textId="77777777" w:rsidR="00B438E1" w:rsidRDefault="00B438E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A45C0" w14:textId="77777777" w:rsidR="00B5557E" w:rsidRDefault="00B5557E">
    <w:pPr>
      <w:pStyle w:val="a3"/>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3EFCB" w14:textId="77777777" w:rsidR="00B5557E" w:rsidRDefault="00B5557E">
    <w:pPr>
      <w:pStyle w:val="a3"/>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8141A" w14:textId="77777777" w:rsidR="00B5557E" w:rsidRDefault="00B5557E">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C93E01" w14:textId="77777777" w:rsidR="00B438E1" w:rsidRDefault="00B438E1">
      <w:pPr>
        <w:rPr>
          <w:rFonts w:hint="eastAsia"/>
        </w:rPr>
      </w:pPr>
      <w:r>
        <w:separator/>
      </w:r>
    </w:p>
  </w:footnote>
  <w:footnote w:type="continuationSeparator" w:id="0">
    <w:p w14:paraId="7F86942F" w14:textId="77777777" w:rsidR="00B438E1" w:rsidRDefault="00B438E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CEFAF" w14:textId="77777777" w:rsidR="00B5557E" w:rsidRDefault="00B5557E">
    <w:pPr>
      <w:pStyle w:val="a5"/>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9810F" w14:textId="77777777" w:rsidR="00B5557E" w:rsidRDefault="00B5557E">
    <w:pPr>
      <w:pStyle w:val="a5"/>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C6605" w14:textId="77777777" w:rsidR="00B5557E" w:rsidRDefault="00B5557E">
    <w:pPr>
      <w:pStyle w:val="a5"/>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QwYmQyNWRhM2Q3Y2JkNTRiZWJhMzUzZjU2ZGFmZTgifQ=="/>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e5ztrd21zdfe3esstqvpexn2s0aawefs90r&quot;&gt;生信分析&lt;record-ids&gt;&lt;item&gt;58&lt;/item&gt;&lt;/record-ids&gt;&lt;/item&gt;&lt;/Libraries&gt;"/>
    <w:docVar w:name="KY_MEDREF_DOCUID" w:val="{E69A3DF5-4737-457D-874F-2B2B413E9AC2}"/>
    <w:docVar w:name="KY_MEDREF_VERSION" w:val="3"/>
  </w:docVars>
  <w:rsids>
    <w:rsidRoot w:val="00862A10"/>
    <w:rsid w:val="0006012F"/>
    <w:rsid w:val="00070BA6"/>
    <w:rsid w:val="000B3150"/>
    <w:rsid w:val="00102EEC"/>
    <w:rsid w:val="00113454"/>
    <w:rsid w:val="00190AB4"/>
    <w:rsid w:val="00203D0B"/>
    <w:rsid w:val="00225C87"/>
    <w:rsid w:val="00233D8C"/>
    <w:rsid w:val="002621F3"/>
    <w:rsid w:val="003443F7"/>
    <w:rsid w:val="003706E2"/>
    <w:rsid w:val="003D16B6"/>
    <w:rsid w:val="003D4A46"/>
    <w:rsid w:val="004B3C51"/>
    <w:rsid w:val="00533242"/>
    <w:rsid w:val="0053697D"/>
    <w:rsid w:val="005614DE"/>
    <w:rsid w:val="005652DF"/>
    <w:rsid w:val="005B5B03"/>
    <w:rsid w:val="00673575"/>
    <w:rsid w:val="006855AB"/>
    <w:rsid w:val="00731668"/>
    <w:rsid w:val="00805A79"/>
    <w:rsid w:val="008170F2"/>
    <w:rsid w:val="00857A74"/>
    <w:rsid w:val="00862A10"/>
    <w:rsid w:val="008658C5"/>
    <w:rsid w:val="0088131C"/>
    <w:rsid w:val="008D0ED4"/>
    <w:rsid w:val="008F0799"/>
    <w:rsid w:val="0092474D"/>
    <w:rsid w:val="009A6CA9"/>
    <w:rsid w:val="00AE6DD8"/>
    <w:rsid w:val="00AF4D34"/>
    <w:rsid w:val="00B12AD9"/>
    <w:rsid w:val="00B438E1"/>
    <w:rsid w:val="00B5557E"/>
    <w:rsid w:val="00B56FDF"/>
    <w:rsid w:val="00B82972"/>
    <w:rsid w:val="00BC1734"/>
    <w:rsid w:val="00BC2F51"/>
    <w:rsid w:val="00C155EA"/>
    <w:rsid w:val="00D20687"/>
    <w:rsid w:val="00D8153B"/>
    <w:rsid w:val="00E04B3D"/>
    <w:rsid w:val="00EE326A"/>
    <w:rsid w:val="00F874F0"/>
    <w:rsid w:val="1D025C09"/>
    <w:rsid w:val="34244A69"/>
    <w:rsid w:val="56C453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D23BA"/>
  <w15:docId w15:val="{8D088230-E477-4D18-B03F-C15694320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line number"/>
    <w:basedOn w:val="a0"/>
    <w:uiPriority w:val="99"/>
    <w:semiHidden/>
    <w:unhideWhenUsed/>
    <w:qFormat/>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1">
    <w:name w:val="书目1"/>
    <w:basedOn w:val="a"/>
    <w:next w:val="a"/>
    <w:uiPriority w:val="37"/>
    <w:unhideWhenUsed/>
    <w:qFormat/>
    <w:pPr>
      <w:tabs>
        <w:tab w:val="left" w:pos="264"/>
      </w:tabs>
      <w:spacing w:after="240"/>
      <w:ind w:left="264" w:hanging="264"/>
    </w:p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sz w:val="20"/>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sz w:val="20"/>
    </w:rPr>
  </w:style>
  <w:style w:type="character" w:customStyle="1" w:styleId="15">
    <w:name w:val="15"/>
    <w:basedOn w:val="a0"/>
    <w:qFormat/>
    <w:rPr>
      <w:rFonts w:ascii="等线" w:eastAsia="等线" w:hAnsi="等线" w:hint="eastAsia"/>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2428</Words>
  <Characters>13841</Characters>
  <Application>Microsoft Office Word</Application>
  <DocSecurity>0</DocSecurity>
  <Lines>115</Lines>
  <Paragraphs>32</Paragraphs>
  <ScaleCrop>false</ScaleCrop>
  <Company/>
  <LinksUpToDate>false</LinksUpToDate>
  <CharactersWithSpaces>16237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 m</cp:lastModifiedBy>
  <cp:revision>33</cp:revision>
  <dcterms:created xsi:type="dcterms:W3CDTF">2023-09-18T02:51:00Z</dcterms:created>
  <dcterms:modified xsi:type="dcterms:W3CDTF">2024-08-27T06:25:00Z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id="3LsrmwX3"/&gt;&lt;style id="http://www.zotero.org/styles/jama-dermatology" hasBibliography="1" bibliographyStyleHasBeenSet="1"/&gt;&lt;prefs&gt;&lt;pref name="fieldType" value="Field"/&gt;&lt;/prefs&gt;&lt;/data&gt;</vt:lpwstr>
  </property>
  <property fmtid="{D5CDD505-2E9C-101B-9397-08002B2CF9AE}" pid="3" name="KSOProductBuildVer">
    <vt:lpwstr>2052-12.1.0.17133</vt:lpwstr>
  </property>
  <property fmtid="{D5CDD505-2E9C-101B-9397-08002B2CF9AE}" pid="4" name="ICV">
    <vt:lpwstr>A5C15FECA55646038D18915162390A21_12</vt:lpwstr>
  </property>
</Properties>
</file>