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B6843">
      <w:pP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</w:pP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1" name="图片 1" descr="FigureS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S1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32FB9">
      <w:pP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</w:pPr>
    </w:p>
    <w:p w14:paraId="41867597">
      <w:pP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</w:pP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t>Figure S1. Dose-response relationships between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000000"/>
          <w:spacing w:val="0"/>
          <w:kern w:val="0"/>
          <w:sz w:val="20"/>
          <w:szCs w:val="20"/>
          <w:lang w:val="en-US" w:eastAsia="zh-CN" w:bidi="ar"/>
        </w:rPr>
        <w:t xml:space="preserve"> KDM-BA acceleration</w:t>
      </w: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t xml:space="preserve"> and all-cause mortality. Re</w:t>
      </w:r>
      <w:r>
        <w:rPr>
          <w:rFonts w:hint="default" w:eastAsia="宋体" w:cs="Calibri" w:asciiTheme="minorAscii" w:hAnsiTheme="minorAscii"/>
          <w:kern w:val="0"/>
          <w:sz w:val="21"/>
          <w:szCs w:val="21"/>
        </w:rPr>
        <w:t>d line represents the smooth curve fit between variables. Blue bands represent the 95% of confidence interval from the fit. Adjusted for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 age, sex, ethnicity, poverty to income ratio, education, smoking, drinking, total physical activity, </w:t>
      </w:r>
      <w:r>
        <w:rPr>
          <w:rFonts w:hint="default" w:eastAsia="Noto Sans SC" w:cs="Noto Sans SC" w:asciiTheme="minorAscii" w:hAnsiTheme="minorAscii"/>
          <w:color w:val="auto"/>
          <w:kern w:val="0"/>
          <w:sz w:val="20"/>
          <w:szCs w:val="20"/>
          <w:lang w:bidi="ar"/>
        </w:rPr>
        <w:t>stroke, and Parkinson’s disease.</w:t>
      </w:r>
    </w:p>
    <w:p w14:paraId="6B32495B">
      <w:pP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</w:pP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000000"/>
          <w:spacing w:val="0"/>
          <w:kern w:val="0"/>
          <w:sz w:val="20"/>
          <w:szCs w:val="20"/>
          <w:lang w:val="en-US" w:eastAsia="zh-CN" w:bidi="ar"/>
        </w:rPr>
        <w:t>Abbreviations:</w:t>
      </w: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t xml:space="preserve"> 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KDM-BA acceleration, </w:t>
      </w:r>
      <w:r>
        <w:rPr>
          <w:rFonts w:hint="default" w:asciiTheme="minorAscii" w:hAnsiTheme="minorAscii"/>
          <w:color w:val="auto"/>
          <w:sz w:val="20"/>
          <w:szCs w:val="20"/>
        </w:rPr>
        <w:t>Klemera-Doubal</w:t>
      </w: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20"/>
          <w:szCs w:val="20"/>
        </w:rPr>
        <w:t>method-biological</w:t>
      </w:r>
      <w:r>
        <w:rPr>
          <w:rFonts w:hint="default" w:eastAsia="Noto Sans SC" w:cs="Noto Sans SC" w:asciiTheme="minorAscii" w:hAnsiTheme="minorAscii"/>
          <w:color w:val="auto"/>
          <w:kern w:val="0"/>
          <w:sz w:val="20"/>
          <w:szCs w:val="20"/>
          <w:lang w:bidi="ar"/>
        </w:rPr>
        <w:t xml:space="preserve"> age acceleration</w:t>
      </w: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t>.</w:t>
      </w:r>
    </w:p>
    <w:p w14:paraId="58B34A49">
      <w:pP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</w:pPr>
    </w:p>
    <w:p w14:paraId="21D6DD35"/>
    <w:p w14:paraId="6624DE19"/>
    <w:p w14:paraId="483E42C7"/>
    <w:p w14:paraId="77C11A75"/>
    <w:p w14:paraId="2A260289"/>
    <w:p w14:paraId="1053C2EF"/>
    <w:p w14:paraId="2A161330"/>
    <w:p w14:paraId="423F865A"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5010785" cy="5010785"/>
            <wp:effectExtent l="0" t="0" r="5715" b="5715"/>
            <wp:docPr id="6" name="图片 6" descr="FigureS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S2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501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62D6A">
      <w:pP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</w:pP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t xml:space="preserve">Figure S2. Dose-response relationships between 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000000"/>
          <w:spacing w:val="0"/>
          <w:kern w:val="0"/>
          <w:sz w:val="20"/>
          <w:szCs w:val="20"/>
          <w:lang w:val="en-US" w:eastAsia="zh-CN" w:bidi="ar"/>
        </w:rPr>
        <w:t>KDM-BA acceleration</w:t>
      </w: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t xml:space="preserve"> and cardiovascular mortality. Re</w:t>
      </w:r>
      <w:r>
        <w:rPr>
          <w:rFonts w:hint="default" w:eastAsia="宋体" w:cs="Calibri" w:asciiTheme="minorAscii" w:hAnsiTheme="minorAscii"/>
          <w:kern w:val="0"/>
          <w:sz w:val="21"/>
          <w:szCs w:val="21"/>
        </w:rPr>
        <w:t>d line represents the smooth curve fit between variables. Blue bands represent the 95% of confidence interval from the fit. Adjusted for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 age, sex, ethnicity, poverty to income ratio, education, smoking, drinking, total physical activity, </w:t>
      </w:r>
      <w:r>
        <w:rPr>
          <w:rFonts w:hint="default" w:eastAsia="Noto Sans SC" w:cs="Noto Sans SC" w:asciiTheme="minorAscii" w:hAnsiTheme="minorAscii"/>
          <w:color w:val="auto"/>
          <w:kern w:val="0"/>
          <w:sz w:val="20"/>
          <w:szCs w:val="20"/>
          <w:lang w:bidi="ar"/>
        </w:rPr>
        <w:t>stroke, and Parkinson’s disease.</w:t>
      </w:r>
    </w:p>
    <w:p w14:paraId="4E904DE2">
      <w:pP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</w:pP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000000"/>
          <w:spacing w:val="0"/>
          <w:kern w:val="0"/>
          <w:sz w:val="20"/>
          <w:szCs w:val="20"/>
          <w:lang w:val="en-US" w:eastAsia="zh-CN" w:bidi="ar"/>
        </w:rPr>
        <w:t xml:space="preserve">Abbreviations: 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KDM-BA acceleration, </w:t>
      </w:r>
      <w:r>
        <w:rPr>
          <w:rFonts w:hint="default" w:asciiTheme="minorAscii" w:hAnsiTheme="minorAscii"/>
          <w:color w:val="auto"/>
          <w:sz w:val="20"/>
          <w:szCs w:val="20"/>
        </w:rPr>
        <w:t>Klemera-Doubal</w:t>
      </w: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20"/>
          <w:szCs w:val="20"/>
        </w:rPr>
        <w:t>method-biological</w:t>
      </w:r>
      <w:r>
        <w:rPr>
          <w:rFonts w:hint="default" w:eastAsia="Noto Sans SC" w:cs="Noto Sans SC" w:asciiTheme="minorAscii" w:hAnsiTheme="minorAscii"/>
          <w:color w:val="auto"/>
          <w:kern w:val="0"/>
          <w:sz w:val="20"/>
          <w:szCs w:val="20"/>
          <w:lang w:bidi="ar"/>
        </w:rPr>
        <w:t xml:space="preserve"> age acceleration</w:t>
      </w: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t>.</w:t>
      </w:r>
    </w:p>
    <w:p w14:paraId="72B73540"/>
    <w:p w14:paraId="2A51ACA2"/>
    <w:p w14:paraId="3B5455FB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68C9588A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6058D399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2629B078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6010C30F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703DB229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44B8ACE7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1DFBF7F4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1EB8410F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3759AC65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3E893DAF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615B81E8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5F14720C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08E1A116">
      <w:pPr>
        <w:pStyle w:val="2"/>
        <w:keepNext w:val="0"/>
        <w:keepLines w:val="0"/>
        <w:widowControl/>
        <w:suppressLineNumbers w:val="0"/>
        <w:shd w:val="clear" w:fill="FFFFFF"/>
        <w:spacing w:before="141" w:beforeAutospacing="0" w:after="160" w:afterAutospacing="0" w:line="14" w:lineRule="atLeast"/>
        <w:ind w:left="0" w:right="0" w:firstLine="0"/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default" w:eastAsia="Noto Sans SC" w:cs="Noto Sans SC" w:asciiTheme="minorAscii" w:hAnsiTheme="minorAscii"/>
          <w:b w:val="0"/>
          <w:bCs w:val="0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 xml:space="preserve">Table </w:t>
      </w:r>
      <w:r>
        <w:rPr>
          <w:rFonts w:hint="eastAsia" w:eastAsia="Noto Sans SC" w:cs="Noto Sans SC" w:asciiTheme="minorAscii" w:hAnsiTheme="minorAscii"/>
          <w:b w:val="0"/>
          <w:bCs w:val="0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>S1</w:t>
      </w:r>
      <w:r>
        <w:rPr>
          <w:rFonts w:hint="default" w:eastAsia="Noto Sans SC" w:cs="Noto Sans SC" w:asciiTheme="minorAscii" w:hAnsiTheme="minorAscii"/>
          <w:b w:val="0"/>
          <w:bCs w:val="0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 xml:space="preserve"> The </w:t>
      </w:r>
      <w:r>
        <w:rPr>
          <w:rFonts w:hint="eastAsia" w:eastAsia="Noto Sans SC" w:cs="Noto Sans SC" w:asciiTheme="minorAscii" w:hAnsiTheme="minorAscii"/>
          <w:b w:val="0"/>
          <w:bCs w:val="0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 xml:space="preserve">weighted </w:t>
      </w:r>
      <w:r>
        <w:rPr>
          <w:rFonts w:hint="default" w:eastAsia="Noto Sans SC" w:cs="Noto Sans SC" w:asciiTheme="minorAscii" w:hAnsiTheme="minorAscii"/>
          <w:b w:val="0"/>
          <w:bCs w:val="0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>adjusted</w:t>
      </w:r>
      <w:r>
        <w:rPr>
          <w:rFonts w:hint="eastAsia" w:eastAsia="Noto Sans SC" w:cs="Noto Sans SC" w:asciiTheme="minorAscii" w:hAnsiTheme="minorAscii"/>
          <w:b w:val="0"/>
          <w:bCs w:val="0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 xml:space="preserve"> </w:t>
      </w:r>
      <w:r>
        <w:rPr>
          <w:rFonts w:hint="default" w:eastAsia="Noto Sans SC" w:cs="Noto Sans SC" w:asciiTheme="minorAscii" w:hAnsiTheme="minorAscii"/>
          <w:b w:val="0"/>
          <w:bCs w:val="0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>associations of KDM-BA acceleration with all-cause and cardiovascular mortality in adults with diabetes or prediabetes</w:t>
      </w:r>
    </w:p>
    <w:tbl>
      <w:tblPr>
        <w:tblStyle w:val="4"/>
        <w:tblW w:w="8508" w:type="dxa"/>
        <w:tblCellSpacing w:w="15" w:type="dxa"/>
        <w:tblInd w:w="-4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48"/>
        <w:gridCol w:w="2220"/>
        <w:gridCol w:w="2540"/>
      </w:tblGrid>
      <w:tr w14:paraId="347490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BCBB7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Exposure</w:t>
            </w:r>
          </w:p>
        </w:tc>
        <w:tc>
          <w:tcPr>
            <w:tcW w:w="21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7364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Model 1</w:t>
            </w:r>
          </w:p>
          <w:p w14:paraId="58BE5E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HR (95% CI) </w:t>
            </w:r>
            <w:r>
              <w:rPr>
                <w:rFonts w:hint="default" w:eastAsia="Noto Sans SC" w:cs="Noto Sans SC" w:asciiTheme="minorAscii" w:hAnsiTheme="minorAscii"/>
                <w:i/>
                <w:iCs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P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value</w:t>
            </w:r>
          </w:p>
        </w:tc>
        <w:tc>
          <w:tcPr>
            <w:tcW w:w="24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BB9DE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Model 2</w:t>
            </w:r>
          </w:p>
          <w:p w14:paraId="237702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HR (95% CI) </w:t>
            </w:r>
            <w:r>
              <w:rPr>
                <w:rFonts w:hint="default" w:eastAsia="Noto Sans SC" w:cs="Noto Sans SC" w:asciiTheme="minorAscii" w:hAnsiTheme="minorAscii"/>
                <w:i/>
                <w:iCs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P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value</w:t>
            </w:r>
          </w:p>
        </w:tc>
      </w:tr>
      <w:tr w14:paraId="53AC25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57B039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All-cause mortality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79A7B8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2495" w:type="dxa"/>
            <w:shd w:val="clear" w:color="auto" w:fill="auto"/>
            <w:vAlign w:val="center"/>
          </w:tcPr>
          <w:p w14:paraId="2A8BFC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</w:p>
        </w:tc>
      </w:tr>
      <w:tr w14:paraId="09CD76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074F85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KDM-BA acceleration per 5 years increase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3D2247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1.05 (1.03, 1.07) &lt;0.0001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50A42D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1.05 (1.0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, 1.07) &lt;0.0001</w:t>
            </w:r>
          </w:p>
        </w:tc>
      </w:tr>
      <w:tr w14:paraId="13CF9B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7814E6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KDM-BA acceleration tertile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71AFFC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2495" w:type="dxa"/>
            <w:shd w:val="clear" w:color="auto" w:fill="auto"/>
            <w:vAlign w:val="center"/>
          </w:tcPr>
          <w:p w14:paraId="41100C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</w:p>
        </w:tc>
      </w:tr>
      <w:tr w14:paraId="386263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757F81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   Low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9596D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R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eference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0239D99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R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eference</w:t>
            </w:r>
          </w:p>
        </w:tc>
      </w:tr>
      <w:tr w14:paraId="7577BA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07848E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   Middle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11CAE2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1.36 (1.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17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, 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59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) &lt;0.0001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5825EF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41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(1.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21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, 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63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) &lt;0.0001</w:t>
            </w:r>
          </w:p>
        </w:tc>
      </w:tr>
      <w:tr w14:paraId="31FB1D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4AE882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   High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689778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30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(1.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11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, 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52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) 0.000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734206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1.3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(1.1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, 1.5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6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) 0.000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</w:p>
        </w:tc>
      </w:tr>
      <w:tr w14:paraId="329B2B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18E81A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/>
                <w:iCs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P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for trend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75FB85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0.000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6A8FE6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0.0001</w:t>
            </w:r>
          </w:p>
        </w:tc>
      </w:tr>
      <w:tr w14:paraId="6425EE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75071F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Cardiovascular mortality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2BA76E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2495" w:type="dxa"/>
            <w:shd w:val="clear" w:color="auto" w:fill="auto"/>
            <w:vAlign w:val="center"/>
          </w:tcPr>
          <w:p w14:paraId="360431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</w:p>
        </w:tc>
      </w:tr>
      <w:tr w14:paraId="0B3D4A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616EB3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KDM-BA acceleration per 5 years increase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7A9294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(1.0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, 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07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) &lt;0.0001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3E80D3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8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(1.0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, 1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.13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) 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0.0021</w:t>
            </w:r>
          </w:p>
        </w:tc>
      </w:tr>
      <w:tr w14:paraId="75327E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454430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KDM-BA acceleration tertile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31E4EF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2495" w:type="dxa"/>
            <w:shd w:val="clear" w:color="auto" w:fill="auto"/>
            <w:vAlign w:val="center"/>
          </w:tcPr>
          <w:p w14:paraId="6831E9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</w:p>
        </w:tc>
      </w:tr>
      <w:tr w14:paraId="03888B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0CA928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   Low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62F962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R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eference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35D0EE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R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eference</w:t>
            </w:r>
          </w:p>
        </w:tc>
      </w:tr>
      <w:tr w14:paraId="75AEB8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452A39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   Middle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659FE5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51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(1.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13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, 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2.02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) 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0.0060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1FCFBF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53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(1.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13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, 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2.06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) 0.0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059</w:t>
            </w:r>
          </w:p>
        </w:tc>
      </w:tr>
      <w:tr w14:paraId="772710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1147C1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   High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5090C7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55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(1.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10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, 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2.19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) 0.0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130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2DE0598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57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(1.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11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, 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2.23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) 0.0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104</w:t>
            </w:r>
          </w:p>
        </w:tc>
      </w:tr>
      <w:tr w14:paraId="2159A4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703" w:type="dxa"/>
            <w:shd w:val="clear" w:color="auto" w:fill="auto"/>
            <w:vAlign w:val="center"/>
          </w:tcPr>
          <w:p w14:paraId="7ED94B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/>
                <w:iCs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P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for trend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7E4970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0.00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91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4E5995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0.00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72</w:t>
            </w:r>
          </w:p>
        </w:tc>
      </w:tr>
    </w:tbl>
    <w:p w14:paraId="2A17483A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</w:pPr>
    </w:p>
    <w:p w14:paraId="366CCEC3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>Model 1, adjusted for age, sex, ethnicity, poverty to income ratio, and education.</w:t>
      </w:r>
    </w:p>
    <w:p w14:paraId="0105C4C0">
      <w:pP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</w:pP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>Model 2, adjusted for age, sex, ethnicity, poverty to income ratio, education, smoking, drinking, total physical activity</w:t>
      </w:r>
      <w:r>
        <w:rPr>
          <w:rFonts w:hint="eastAsia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>,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 xml:space="preserve"> </w:t>
      </w:r>
      <w:r>
        <w:rPr>
          <w:rFonts w:hint="default" w:eastAsia="Noto Sans SC" w:cs="Noto Sans SC" w:asciiTheme="minorAscii" w:hAnsiTheme="minorAscii"/>
          <w:color w:val="auto"/>
          <w:kern w:val="0"/>
          <w:sz w:val="20"/>
          <w:szCs w:val="20"/>
          <w:lang w:bidi="ar"/>
        </w:rPr>
        <w:t>stroke, and Parkinson’s disease.</w:t>
      </w:r>
    </w:p>
    <w:p w14:paraId="65003BB0">
      <w:pPr>
        <w:rPr>
          <w:rFonts w:hint="default" w:asciiTheme="minorAscii" w:hAnsiTheme="minorAscii"/>
          <w:color w:val="auto"/>
          <w:sz w:val="20"/>
          <w:szCs w:val="20"/>
          <w:highlight w:val="none"/>
          <w:lang w:eastAsia="zh-CN"/>
        </w:rPr>
      </w:pP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 xml:space="preserve">Abbreviations: KDM-BA acceleration, </w:t>
      </w:r>
      <w:r>
        <w:rPr>
          <w:rFonts w:hint="default" w:asciiTheme="minorAscii" w:hAnsiTheme="minorAscii"/>
          <w:color w:val="auto"/>
          <w:sz w:val="20"/>
          <w:szCs w:val="20"/>
          <w:highlight w:val="none"/>
        </w:rPr>
        <w:t>Klemera-Doubal</w:t>
      </w:r>
      <w:r>
        <w:rPr>
          <w:rFonts w:hint="default" w:asciiTheme="minorAscii" w:hAnsiTheme="minorAscii"/>
          <w:color w:val="auto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20"/>
          <w:szCs w:val="20"/>
        </w:rPr>
        <w:t>method-biological</w:t>
      </w:r>
      <w:r>
        <w:rPr>
          <w:rFonts w:hint="default" w:eastAsia="Noto Sans SC" w:cs="Noto Sans SC" w:asciiTheme="minorAscii" w:hAnsiTheme="minorAscii"/>
          <w:color w:val="auto"/>
          <w:kern w:val="0"/>
          <w:sz w:val="20"/>
          <w:szCs w:val="20"/>
          <w:lang w:bidi="ar"/>
        </w:rPr>
        <w:t xml:space="preserve"> age acceleration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 xml:space="preserve">; </w:t>
      </w:r>
      <w:r>
        <w:rPr>
          <w:rFonts w:hint="default" w:asciiTheme="minorAscii" w:hAnsiTheme="minorAscii"/>
          <w:color w:val="auto"/>
          <w:sz w:val="20"/>
          <w:szCs w:val="20"/>
          <w:highlight w:val="none"/>
          <w:lang w:val="en-US" w:eastAsia="zh-CN"/>
        </w:rPr>
        <w:t xml:space="preserve">HR, </w:t>
      </w:r>
      <w:r>
        <w:rPr>
          <w:rFonts w:hint="default" w:asciiTheme="minorAscii" w:hAnsiTheme="minorAscii"/>
          <w:color w:val="auto"/>
          <w:sz w:val="20"/>
          <w:szCs w:val="20"/>
          <w:highlight w:val="none"/>
        </w:rPr>
        <w:t>Hazard Ratio</w:t>
      </w:r>
      <w:r>
        <w:rPr>
          <w:rFonts w:hint="default" w:asciiTheme="minorAscii" w:hAnsiTheme="minorAscii"/>
          <w:color w:val="auto"/>
          <w:sz w:val="20"/>
          <w:szCs w:val="20"/>
          <w:highlight w:val="none"/>
          <w:lang w:val="en-US"/>
        </w:rPr>
        <w:t xml:space="preserve">; </w:t>
      </w:r>
      <w:r>
        <w:rPr>
          <w:rFonts w:hint="default" w:asciiTheme="minorAscii" w:hAnsiTheme="minorAscii"/>
          <w:color w:val="auto"/>
          <w:sz w:val="20"/>
          <w:szCs w:val="20"/>
          <w:highlight w:val="none"/>
          <w:lang w:eastAsia="zh-CN"/>
        </w:rPr>
        <w:t>CI, confidence interval.</w:t>
      </w:r>
    </w:p>
    <w:p w14:paraId="253088E2">
      <w:pPr>
        <w:rPr>
          <w:color w:val="auto"/>
        </w:rPr>
      </w:pPr>
    </w:p>
    <w:p w14:paraId="66E3B502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5EC8AB15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3190F076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6354911A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5BA286EC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468F69DE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3FFF003A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19F4A783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10C46986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35C0AD5A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0108BA19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6A30CFCA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5F5B5FDF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57C80238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268A8135">
      <w:pPr>
        <w:keepNext w:val="0"/>
        <w:keepLines w:val="0"/>
        <w:widowControl/>
        <w:suppressLineNumbers w:val="0"/>
        <w:jc w:val="left"/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</w:pPr>
    </w:p>
    <w:p w14:paraId="664651CE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  <w:t xml:space="preserve">Table S2 The </w:t>
      </w:r>
      <w:r>
        <w:rPr>
          <w:rFonts w:hint="eastAsia" w:eastAsia="Noto Sans SC" w:cs="Noto Sans SC" w:asciiTheme="minorAscii" w:hAnsiTheme="minorAscii"/>
          <w:b w:val="0"/>
          <w:bCs w:val="0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 xml:space="preserve">weighted </w:t>
      </w:r>
      <w:r>
        <w:rPr>
          <w:rFonts w:hint="default" w:eastAsia="Noto Sans SC" w:cs="Noto Sans SC" w:asciiTheme="minorAscii" w:hAnsiTheme="minorAscii"/>
          <w:b w:val="0"/>
          <w:bCs w:val="0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>adjusted</w:t>
      </w:r>
      <w:r>
        <w:rPr>
          <w:rFonts w:hint="eastAsia" w:eastAsia="Noto Sans SC" w:cs="Noto Sans SC" w:asciiTheme="minorAscii" w:hAnsiTheme="minorAscii"/>
          <w:b w:val="0"/>
          <w:bCs w:val="0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 xml:space="preserve"> </w:t>
      </w:r>
      <w:r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  <w:t>associations of t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otal physical activity in MET-minutes/week </w:t>
      </w:r>
      <w:r>
        <w:rPr>
          <w:rFonts w:hint="default" w:eastAsia="宋体" w:cs="宋体" w:asciiTheme="minorAscii" w:hAnsiTheme="minorAscii"/>
          <w:color w:val="auto"/>
          <w:kern w:val="0"/>
          <w:sz w:val="20"/>
          <w:szCs w:val="20"/>
          <w:lang w:val="en-US" w:eastAsia="zh-CN" w:bidi="ar"/>
        </w:rPr>
        <w:t>with all-cause and cardiovascular mortality in adults with diabetes or prediabetes</w:t>
      </w:r>
    </w:p>
    <w:p w14:paraId="6EC0C112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</w:pPr>
    </w:p>
    <w:tbl>
      <w:tblPr>
        <w:tblStyle w:val="4"/>
        <w:tblW w:w="0" w:type="auto"/>
        <w:tblCellSpacing w:w="15" w:type="dxa"/>
        <w:tblInd w:w="-4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09"/>
        <w:gridCol w:w="2790"/>
        <w:gridCol w:w="2442"/>
      </w:tblGrid>
      <w:tr w14:paraId="5C90D9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1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9E10E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Exposure</w:t>
            </w:r>
          </w:p>
        </w:tc>
        <w:tc>
          <w:tcPr>
            <w:tcW w:w="27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9B4E1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Model 1</w:t>
            </w:r>
          </w:p>
          <w:p w14:paraId="78B140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HR (95% CI) P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value</w:t>
            </w:r>
          </w:p>
        </w:tc>
        <w:tc>
          <w:tcPr>
            <w:tcW w:w="2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3166C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Model 2</w:t>
            </w:r>
          </w:p>
          <w:p w14:paraId="2F6806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HR (95% CI) P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value</w:t>
            </w:r>
          </w:p>
        </w:tc>
      </w:tr>
      <w:tr w14:paraId="550C0D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164" w:type="dxa"/>
            <w:shd w:val="clear" w:color="auto" w:fill="auto"/>
            <w:vAlign w:val="center"/>
          </w:tcPr>
          <w:p w14:paraId="571976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All-cause mortality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281AD4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397" w:type="dxa"/>
            <w:shd w:val="clear" w:color="auto" w:fill="auto"/>
            <w:vAlign w:val="center"/>
          </w:tcPr>
          <w:p w14:paraId="71D8DB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66FA9E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164" w:type="dxa"/>
            <w:shd w:val="clear" w:color="auto" w:fill="auto"/>
            <w:vAlign w:val="center"/>
          </w:tcPr>
          <w:p w14:paraId="435687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Total physical activity per 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SD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 increase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7F671D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0.93 (0.83, 1.04) 0.2200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21C3DD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0.9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(0.8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, 1.0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) 0.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4301</w:t>
            </w:r>
          </w:p>
        </w:tc>
      </w:tr>
      <w:tr w14:paraId="229B17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8381" w:type="dxa"/>
            <w:gridSpan w:val="3"/>
            <w:shd w:val="clear" w:color="auto" w:fill="auto"/>
            <w:vAlign w:val="center"/>
          </w:tcPr>
          <w:p w14:paraId="612179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Total physical activity (</w:t>
            </w:r>
            <w:r>
              <w:rPr>
                <w:rFonts w:hint="default" w:asciiTheme="minorAscii" w:hAnsiTheme="minorAscii"/>
                <w:color w:val="auto"/>
                <w:sz w:val="20"/>
                <w:szCs w:val="20"/>
              </w:rPr>
              <w:t>MET-minutes/week</w:t>
            </w:r>
            <w:r>
              <w:rPr>
                <w:rFonts w:hint="default" w:asciiTheme="minorAscii" w:hAnsiTheme="minorAscii"/>
                <w:color w:val="auto"/>
                <w:sz w:val="20"/>
                <w:szCs w:val="20"/>
                <w:lang w:val="en-US"/>
              </w:rPr>
              <w:t>)</w:t>
            </w:r>
          </w:p>
        </w:tc>
      </w:tr>
      <w:tr w14:paraId="642729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164" w:type="dxa"/>
            <w:shd w:val="clear" w:color="auto" w:fill="auto"/>
            <w:vAlign w:val="center"/>
          </w:tcPr>
          <w:p w14:paraId="36C46C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   &lt;600 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55BCF9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R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eference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1E933D4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R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eference</w:t>
            </w:r>
          </w:p>
        </w:tc>
      </w:tr>
      <w:tr w14:paraId="68F4DB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164" w:type="dxa"/>
            <w:shd w:val="clear" w:color="auto" w:fill="auto"/>
            <w:vAlign w:val="center"/>
          </w:tcPr>
          <w:p w14:paraId="431CF0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   ≥600 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3740C1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0.89 (0.78, 1.00) 0.0595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2EE82B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0.87 (0.77, 0.99) 0.0302</w:t>
            </w:r>
          </w:p>
        </w:tc>
      </w:tr>
      <w:tr w14:paraId="34F036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164" w:type="dxa"/>
            <w:shd w:val="clear" w:color="auto" w:fill="auto"/>
            <w:vAlign w:val="center"/>
          </w:tcPr>
          <w:p w14:paraId="3F8059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Cardiovascular mortality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2BAF59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397" w:type="dxa"/>
            <w:shd w:val="clear" w:color="auto" w:fill="auto"/>
            <w:vAlign w:val="center"/>
          </w:tcPr>
          <w:p w14:paraId="208C44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3C22B4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164" w:type="dxa"/>
            <w:shd w:val="clear" w:color="auto" w:fill="auto"/>
            <w:vAlign w:val="center"/>
          </w:tcPr>
          <w:p w14:paraId="0CC40E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Total physical activity per 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SD 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increase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10EE4B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0.91 (0.75, 1.10) 0.3125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5A22F7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0.91 (0.74, 1.12) 0.3767</w:t>
            </w:r>
          </w:p>
        </w:tc>
      </w:tr>
      <w:tr w14:paraId="5910BA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8381" w:type="dxa"/>
            <w:gridSpan w:val="3"/>
            <w:shd w:val="clear" w:color="auto" w:fill="auto"/>
            <w:vAlign w:val="center"/>
          </w:tcPr>
          <w:p w14:paraId="5BDABA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Total physical activity (</w:t>
            </w:r>
            <w:r>
              <w:rPr>
                <w:rFonts w:hint="default" w:asciiTheme="minorAscii" w:hAnsiTheme="minorAscii"/>
                <w:color w:val="auto"/>
                <w:sz w:val="20"/>
                <w:szCs w:val="20"/>
              </w:rPr>
              <w:t>MET-minutes/week</w:t>
            </w: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</w:tr>
      <w:tr w14:paraId="22CCCE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164" w:type="dxa"/>
            <w:shd w:val="clear" w:color="auto" w:fill="auto"/>
            <w:vAlign w:val="center"/>
          </w:tcPr>
          <w:p w14:paraId="7B04BB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   &lt;600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4E9898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R</w:t>
            </w:r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eference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6595C5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R</w:t>
            </w:r>
            <w:bookmarkStart w:id="0" w:name="_GoBack"/>
            <w:bookmarkEnd w:id="0"/>
            <w:r>
              <w:rPr>
                <w:rFonts w:hint="eastAsia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eference</w:t>
            </w:r>
          </w:p>
        </w:tc>
      </w:tr>
      <w:tr w14:paraId="311550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164" w:type="dxa"/>
            <w:shd w:val="clear" w:color="auto" w:fill="auto"/>
            <w:vAlign w:val="center"/>
          </w:tcPr>
          <w:p w14:paraId="01C881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   ≥600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4257489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0.91 (0.71, 1.16) 0.4422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609656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eastAsia="Noto Sans SC" w:cs="Noto Sans SC" w:asciiTheme="minorAscii" w:hAnsiTheme="minorAscii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0.91 (0.71, 1.17) 0.4480</w:t>
            </w:r>
          </w:p>
        </w:tc>
      </w:tr>
    </w:tbl>
    <w:p w14:paraId="623D0E72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</w:pPr>
    </w:p>
    <w:p w14:paraId="0835DB88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</w:pP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>Model 1, adjusted for age, sex, e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sz w:val="20"/>
          <w:szCs w:val="20"/>
        </w:rPr>
        <w:t>thnicity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, poverty to income ratio, and education. </w:t>
      </w:r>
    </w:p>
    <w:p w14:paraId="2491A4E2">
      <w:pPr>
        <w:keepNext w:val="0"/>
        <w:keepLines w:val="0"/>
        <w:widowControl/>
        <w:suppressLineNumbers w:val="0"/>
        <w:jc w:val="left"/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</w:pP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>Model 2, adjusted for age, sex, e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sz w:val="20"/>
          <w:szCs w:val="20"/>
        </w:rPr>
        <w:t>thnicity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>, poverty to income ratio, education, smoking, drinking,</w:t>
      </w:r>
      <w:r>
        <w:rPr>
          <w:rFonts w:hint="eastAsia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 stroke,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eastAsia="Noto Sans SC" w:cs="Noto Sans SC" w:asciiTheme="minorAscii" w:hAnsiTheme="minorAscii"/>
          <w:color w:val="auto"/>
          <w:kern w:val="0"/>
          <w:sz w:val="20"/>
          <w:szCs w:val="20"/>
          <w:lang w:bidi="ar"/>
        </w:rPr>
        <w:t>and Parkinson’s disease.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 </w:t>
      </w:r>
    </w:p>
    <w:p w14:paraId="2DC0A215">
      <w:pP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</w:pP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Abbreviations: KDM-BA acceleration, </w:t>
      </w:r>
      <w:r>
        <w:rPr>
          <w:rFonts w:hint="default" w:asciiTheme="minorAscii" w:hAnsiTheme="minorAscii"/>
          <w:color w:val="auto"/>
          <w:sz w:val="20"/>
          <w:szCs w:val="20"/>
        </w:rPr>
        <w:t>Klemera-Doubal</w:t>
      </w: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20"/>
          <w:szCs w:val="20"/>
        </w:rPr>
        <w:t>method-biological</w:t>
      </w:r>
      <w:r>
        <w:rPr>
          <w:rFonts w:hint="default" w:eastAsia="Noto Sans SC" w:cs="Noto Sans SC" w:asciiTheme="minorAscii" w:hAnsiTheme="minorAscii"/>
          <w:color w:val="auto"/>
          <w:kern w:val="0"/>
          <w:sz w:val="20"/>
          <w:szCs w:val="20"/>
          <w:lang w:bidi="ar"/>
        </w:rPr>
        <w:t xml:space="preserve"> age acceleration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highlight w:val="none"/>
          <w:lang w:val="en-US" w:eastAsia="zh-CN" w:bidi="ar"/>
        </w:rPr>
        <w:t>;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 MET, metabolic equivalent; </w:t>
      </w:r>
      <w:r>
        <w:rPr>
          <w:rFonts w:hint="default" w:asciiTheme="minorAscii" w:hAnsiTheme="minorAscii"/>
          <w:color w:val="auto"/>
          <w:sz w:val="20"/>
          <w:szCs w:val="20"/>
          <w:lang w:val="en-US" w:eastAsia="zh-CN"/>
        </w:rPr>
        <w:t xml:space="preserve">HR, </w:t>
      </w:r>
      <w:r>
        <w:rPr>
          <w:rFonts w:hint="default" w:asciiTheme="minorAscii" w:hAnsiTheme="minorAscii"/>
          <w:color w:val="auto"/>
          <w:sz w:val="20"/>
          <w:szCs w:val="20"/>
        </w:rPr>
        <w:t>Hazard Ratio</w:t>
      </w:r>
      <w:r>
        <w:rPr>
          <w:rFonts w:hint="default" w:asciiTheme="minorAscii" w:hAnsiTheme="minorAscii"/>
          <w:color w:val="auto"/>
          <w:sz w:val="20"/>
          <w:szCs w:val="20"/>
          <w:lang w:val="en-US"/>
        </w:rPr>
        <w:t xml:space="preserve">; </w:t>
      </w:r>
      <w:r>
        <w:rPr>
          <w:rFonts w:hint="default" w:asciiTheme="minorAscii" w:hAnsiTheme="minorAscii"/>
          <w:color w:val="auto"/>
          <w:sz w:val="20"/>
          <w:szCs w:val="20"/>
          <w:lang w:eastAsia="zh-CN"/>
        </w:rPr>
        <w:t>CI, confidence inter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val; </w:t>
      </w:r>
      <w:r>
        <w:rPr>
          <w:rFonts w:hint="eastAsia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>SD,</w:t>
      </w:r>
      <w:r>
        <w:rPr>
          <w:rFonts w:hint="default" w:eastAsia="Noto Sans SC" w:cs="Noto Sans SC" w:asciiTheme="minorAscii" w:hAnsiTheme="minorAscii"/>
          <w:i w:val="0"/>
          <w:iCs w:val="0"/>
          <w:caps w:val="0"/>
          <w:color w:val="auto"/>
          <w:spacing w:val="0"/>
          <w:kern w:val="0"/>
          <w:sz w:val="20"/>
          <w:szCs w:val="20"/>
          <w:lang w:val="en-US" w:eastAsia="zh-CN" w:bidi="ar"/>
        </w:rPr>
        <w:t xml:space="preserve"> standard deviation.</w:t>
      </w:r>
    </w:p>
    <w:p w14:paraId="033AECE3">
      <w:pPr>
        <w:rPr>
          <w:rFonts w:hint="default"/>
          <w:color w:val="auto"/>
          <w:lang w:val="en-US" w:eastAsia="zh-CN"/>
        </w:rPr>
      </w:pPr>
    </w:p>
    <w:p w14:paraId="60F21C96">
      <w:pPr>
        <w:rPr>
          <w:color w:val="auto"/>
        </w:rPr>
      </w:pPr>
    </w:p>
    <w:p w14:paraId="5F1C1BA1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F6EA0"/>
    <w:rsid w:val="08CF32E4"/>
    <w:rsid w:val="0C4F6BEA"/>
    <w:rsid w:val="122B4FD5"/>
    <w:rsid w:val="15816C71"/>
    <w:rsid w:val="19FF122C"/>
    <w:rsid w:val="22D73983"/>
    <w:rsid w:val="2DB5045E"/>
    <w:rsid w:val="322C7D81"/>
    <w:rsid w:val="37E2277D"/>
    <w:rsid w:val="3CE41180"/>
    <w:rsid w:val="41F80486"/>
    <w:rsid w:val="42B04B07"/>
    <w:rsid w:val="46C17EC0"/>
    <w:rsid w:val="49503E42"/>
    <w:rsid w:val="4CC109C2"/>
    <w:rsid w:val="52B62439"/>
    <w:rsid w:val="571D2588"/>
    <w:rsid w:val="60F11A9E"/>
    <w:rsid w:val="638E3E42"/>
    <w:rsid w:val="64EC35AE"/>
    <w:rsid w:val="74980CBC"/>
    <w:rsid w:val="770C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440</Words>
  <Characters>2796</Characters>
  <Lines>0</Lines>
  <Paragraphs>0</Paragraphs>
  <TotalTime>3</TotalTime>
  <ScaleCrop>false</ScaleCrop>
  <LinksUpToDate>false</LinksUpToDate>
  <CharactersWithSpaces>3193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2025-06-24T04:14:00Z</dcterms:created>
  <dc:creator>lenovo</dc:creator>
  <cp:lastModifiedBy>baby楠宝</cp:lastModifiedBy>
  <dcterms:modified xsi:type="dcterms:W3CDTF">2025-09-17T14:14:41Z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eyJoZGlkIjoiOTIyOWEyMTRkYzY1YjdhZjg3OTRmYjEzYWY0MDRlYmUiLCJ1c2VySWQiOiI0MTQzNzUyNTgifQ==</vt:lpwstr>
  </property>
  <property fmtid="{D5CDD505-2E9C-101B-9397-08002B2CF9AE}" pid="4" name="ICV">
    <vt:lpwstr>EFE5D5E3401948A6ABC6D2689294E59A_12</vt:lpwstr>
  </property>
</Properties>
</file>