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F0486" w14:textId="77777777" w:rsidR="00E25366" w:rsidRPr="007B41A9" w:rsidRDefault="00E25366" w:rsidP="007B41A9">
      <w:pPr>
        <w:spacing w:line="360" w:lineRule="auto"/>
        <w:jc w:val="center"/>
        <w:rPr>
          <w:rFonts w:ascii="Times New Roman" w:eastAsia="宋体" w:hAnsi="Times New Roman" w:cs="Times New Roman"/>
          <w:b/>
          <w:bCs/>
          <w:color w:val="000000" w:themeColor="text1"/>
          <w:kern w:val="0"/>
          <w:sz w:val="24"/>
          <w:szCs w:val="24"/>
        </w:rPr>
      </w:pPr>
      <w:r w:rsidRPr="007B41A9">
        <w:rPr>
          <w:rFonts w:ascii="Times New Roman" w:eastAsia="宋体" w:hAnsi="Times New Roman" w:cs="Times New Roman"/>
          <w:b/>
          <w:bCs/>
          <w:color w:val="000000" w:themeColor="text1"/>
          <w:kern w:val="0"/>
          <w:sz w:val="24"/>
          <w:szCs w:val="24"/>
        </w:rPr>
        <w:t>Supplementary Content</w:t>
      </w:r>
    </w:p>
    <w:p w14:paraId="3E42EBD4" w14:textId="5DBA2DB5" w:rsidR="007B3B41" w:rsidRPr="00336BA5" w:rsidRDefault="00E25366" w:rsidP="006E5A1E">
      <w:pPr>
        <w:spacing w:line="360" w:lineRule="auto"/>
        <w:jc w:val="left"/>
        <w:rPr>
          <w:rFonts w:ascii="Times New Roman" w:eastAsia="宋体" w:hAnsi="Times New Roman"/>
          <w:b/>
          <w:bCs/>
          <w:sz w:val="22"/>
        </w:rPr>
      </w:pPr>
      <w:r w:rsidRPr="00336BA5">
        <w:rPr>
          <w:rFonts w:ascii="Times New Roman" w:eastAsia="宋体" w:hAnsi="Times New Roman"/>
          <w:b/>
          <w:bCs/>
          <w:sz w:val="22"/>
        </w:rPr>
        <w:t>eMethods</w:t>
      </w:r>
    </w:p>
    <w:p w14:paraId="7CDBE8FD" w14:textId="77777777" w:rsidR="00E25366" w:rsidRPr="00336BA5" w:rsidRDefault="00E25366" w:rsidP="006E5A1E">
      <w:pPr>
        <w:spacing w:line="360" w:lineRule="auto"/>
        <w:jc w:val="left"/>
        <w:rPr>
          <w:rFonts w:ascii="Times New Roman" w:eastAsia="宋体" w:hAnsi="Times New Roman"/>
          <w:b/>
          <w:bCs/>
          <w:sz w:val="22"/>
        </w:rPr>
      </w:pPr>
      <w:r w:rsidRPr="00336BA5">
        <w:rPr>
          <w:rFonts w:ascii="Times New Roman" w:eastAsia="宋体" w:hAnsi="Times New Roman"/>
          <w:b/>
          <w:bCs/>
          <w:sz w:val="22"/>
        </w:rPr>
        <w:t>eResults</w:t>
      </w:r>
    </w:p>
    <w:p w14:paraId="5ACFEF68" w14:textId="44A0C9ED" w:rsidR="005315E6" w:rsidRPr="006D2AD6" w:rsidRDefault="006D2AD6" w:rsidP="006E5A1E">
      <w:pPr>
        <w:spacing w:line="360" w:lineRule="auto"/>
        <w:rPr>
          <w:rFonts w:ascii="Times New Roman" w:hAnsi="Times New Roman" w:cs="Times New Roman"/>
          <w:b/>
          <w:bCs/>
          <w:color w:val="000000" w:themeColor="text1"/>
          <w:sz w:val="22"/>
        </w:rPr>
      </w:pPr>
      <w:r w:rsidRPr="006D2AD6">
        <w:rPr>
          <w:rFonts w:ascii="Times New Roman" w:hAnsi="Times New Roman" w:cs="Times New Roman" w:hint="eastAsia"/>
          <w:b/>
          <w:bCs/>
          <w:color w:val="000000" w:themeColor="text1"/>
          <w:sz w:val="22"/>
        </w:rPr>
        <w:t>e</w:t>
      </w:r>
      <w:r w:rsidRPr="006D2AD6">
        <w:rPr>
          <w:rFonts w:ascii="Times New Roman" w:hAnsi="Times New Roman" w:cs="Times New Roman" w:hint="eastAsia"/>
          <w:b/>
          <w:bCs/>
          <w:color w:val="000000" w:themeColor="text1"/>
          <w:sz w:val="22"/>
        </w:rPr>
        <w:t>References</w:t>
      </w:r>
    </w:p>
    <w:p w14:paraId="51BF1BDE" w14:textId="77777777" w:rsidR="005315E6" w:rsidRPr="006E5A1E" w:rsidRDefault="005315E6" w:rsidP="006E5A1E">
      <w:pPr>
        <w:spacing w:line="360" w:lineRule="auto"/>
        <w:rPr>
          <w:rFonts w:ascii="Times New Roman" w:hAnsi="Times New Roman" w:cs="Times New Roman"/>
          <w:color w:val="000000" w:themeColor="text1"/>
          <w:sz w:val="22"/>
        </w:rPr>
      </w:pPr>
    </w:p>
    <w:p w14:paraId="40E4C856" w14:textId="77777777" w:rsidR="005315E6" w:rsidRPr="006E5A1E" w:rsidRDefault="005315E6" w:rsidP="006E5A1E">
      <w:pPr>
        <w:spacing w:line="360" w:lineRule="auto"/>
        <w:rPr>
          <w:rFonts w:ascii="Times New Roman" w:hAnsi="Times New Roman" w:cs="Times New Roman"/>
          <w:color w:val="000000" w:themeColor="text1"/>
          <w:sz w:val="22"/>
        </w:rPr>
      </w:pPr>
    </w:p>
    <w:p w14:paraId="5A5E95AD" w14:textId="77777777" w:rsidR="005315E6" w:rsidRPr="006E5A1E" w:rsidRDefault="005315E6" w:rsidP="006E5A1E">
      <w:pPr>
        <w:spacing w:line="360" w:lineRule="auto"/>
        <w:rPr>
          <w:rFonts w:ascii="Times New Roman" w:hAnsi="Times New Roman" w:cs="Times New Roman"/>
          <w:color w:val="000000" w:themeColor="text1"/>
          <w:sz w:val="22"/>
        </w:rPr>
      </w:pPr>
    </w:p>
    <w:p w14:paraId="2FE1BA36" w14:textId="77777777" w:rsidR="005315E6" w:rsidRPr="006E5A1E" w:rsidRDefault="005315E6" w:rsidP="006E5A1E">
      <w:pPr>
        <w:spacing w:line="360" w:lineRule="auto"/>
        <w:rPr>
          <w:rFonts w:ascii="Times New Roman" w:hAnsi="Times New Roman" w:cs="Times New Roman"/>
          <w:color w:val="000000" w:themeColor="text1"/>
          <w:sz w:val="22"/>
        </w:rPr>
      </w:pPr>
    </w:p>
    <w:p w14:paraId="0EAE97FA" w14:textId="77777777" w:rsidR="005315E6" w:rsidRPr="006E5A1E" w:rsidRDefault="005315E6" w:rsidP="006E5A1E">
      <w:pPr>
        <w:spacing w:line="360" w:lineRule="auto"/>
        <w:rPr>
          <w:rFonts w:ascii="Times New Roman" w:hAnsi="Times New Roman" w:cs="Times New Roman"/>
          <w:color w:val="000000" w:themeColor="text1"/>
          <w:sz w:val="22"/>
        </w:rPr>
      </w:pPr>
    </w:p>
    <w:p w14:paraId="05594F10" w14:textId="77777777" w:rsidR="005315E6" w:rsidRPr="006E5A1E" w:rsidRDefault="005315E6" w:rsidP="006E5A1E">
      <w:pPr>
        <w:spacing w:line="360" w:lineRule="auto"/>
        <w:rPr>
          <w:rFonts w:ascii="Times New Roman" w:hAnsi="Times New Roman" w:cs="Times New Roman"/>
          <w:color w:val="000000" w:themeColor="text1"/>
          <w:sz w:val="22"/>
        </w:rPr>
      </w:pPr>
    </w:p>
    <w:p w14:paraId="405D28D3" w14:textId="77777777" w:rsidR="005315E6" w:rsidRPr="006E5A1E" w:rsidRDefault="005315E6" w:rsidP="006E5A1E">
      <w:pPr>
        <w:spacing w:line="360" w:lineRule="auto"/>
        <w:rPr>
          <w:rFonts w:ascii="Times New Roman" w:hAnsi="Times New Roman" w:cs="Times New Roman"/>
          <w:color w:val="000000" w:themeColor="text1"/>
          <w:sz w:val="22"/>
        </w:rPr>
      </w:pPr>
    </w:p>
    <w:p w14:paraId="3914B25B" w14:textId="77777777" w:rsidR="005315E6" w:rsidRPr="006E5A1E" w:rsidRDefault="005315E6" w:rsidP="006E5A1E">
      <w:pPr>
        <w:spacing w:line="360" w:lineRule="auto"/>
        <w:rPr>
          <w:rFonts w:ascii="Times New Roman" w:hAnsi="Times New Roman" w:cs="Times New Roman"/>
          <w:color w:val="000000" w:themeColor="text1"/>
          <w:sz w:val="22"/>
        </w:rPr>
      </w:pPr>
    </w:p>
    <w:p w14:paraId="46EECD9A" w14:textId="77777777" w:rsidR="005315E6" w:rsidRPr="006E5A1E" w:rsidRDefault="005315E6" w:rsidP="006E5A1E">
      <w:pPr>
        <w:spacing w:line="360" w:lineRule="auto"/>
        <w:rPr>
          <w:rFonts w:ascii="Times New Roman" w:hAnsi="Times New Roman" w:cs="Times New Roman"/>
          <w:color w:val="000000" w:themeColor="text1"/>
          <w:sz w:val="22"/>
        </w:rPr>
      </w:pPr>
    </w:p>
    <w:p w14:paraId="3BC87B04" w14:textId="77777777" w:rsidR="005315E6" w:rsidRPr="006E5A1E" w:rsidRDefault="005315E6" w:rsidP="006E5A1E">
      <w:pPr>
        <w:spacing w:line="360" w:lineRule="auto"/>
        <w:rPr>
          <w:rFonts w:ascii="Times New Roman" w:hAnsi="Times New Roman" w:cs="Times New Roman"/>
          <w:color w:val="000000" w:themeColor="text1"/>
          <w:sz w:val="22"/>
        </w:rPr>
      </w:pPr>
    </w:p>
    <w:p w14:paraId="2378A91F" w14:textId="77777777" w:rsidR="005315E6" w:rsidRPr="006E5A1E" w:rsidRDefault="005315E6" w:rsidP="006E5A1E">
      <w:pPr>
        <w:spacing w:line="360" w:lineRule="auto"/>
        <w:rPr>
          <w:rFonts w:ascii="Times New Roman" w:hAnsi="Times New Roman" w:cs="Times New Roman"/>
          <w:color w:val="000000" w:themeColor="text1"/>
          <w:sz w:val="22"/>
        </w:rPr>
      </w:pPr>
    </w:p>
    <w:p w14:paraId="0D437C94" w14:textId="77777777" w:rsidR="005315E6" w:rsidRPr="006E5A1E" w:rsidRDefault="005315E6" w:rsidP="006E5A1E">
      <w:pPr>
        <w:spacing w:line="360" w:lineRule="auto"/>
        <w:rPr>
          <w:rFonts w:ascii="Times New Roman" w:hAnsi="Times New Roman" w:cs="Times New Roman"/>
          <w:color w:val="000000" w:themeColor="text1"/>
          <w:sz w:val="22"/>
        </w:rPr>
      </w:pPr>
    </w:p>
    <w:p w14:paraId="6781B4BB" w14:textId="77777777" w:rsidR="005315E6" w:rsidRPr="006E5A1E" w:rsidRDefault="005315E6" w:rsidP="006E5A1E">
      <w:pPr>
        <w:spacing w:line="360" w:lineRule="auto"/>
        <w:rPr>
          <w:rFonts w:ascii="Times New Roman" w:hAnsi="Times New Roman" w:cs="Times New Roman"/>
          <w:color w:val="000000" w:themeColor="text1"/>
          <w:sz w:val="22"/>
        </w:rPr>
      </w:pPr>
    </w:p>
    <w:p w14:paraId="62BFD093" w14:textId="77777777" w:rsidR="005315E6" w:rsidRPr="006E5A1E" w:rsidRDefault="005315E6" w:rsidP="006E5A1E">
      <w:pPr>
        <w:spacing w:line="360" w:lineRule="auto"/>
        <w:rPr>
          <w:rFonts w:ascii="Times New Roman" w:hAnsi="Times New Roman" w:cs="Times New Roman"/>
          <w:color w:val="000000" w:themeColor="text1"/>
          <w:sz w:val="22"/>
        </w:rPr>
      </w:pPr>
    </w:p>
    <w:p w14:paraId="7C1B091E" w14:textId="77777777" w:rsidR="005315E6" w:rsidRPr="006E5A1E" w:rsidRDefault="005315E6" w:rsidP="006E5A1E">
      <w:pPr>
        <w:spacing w:line="360" w:lineRule="auto"/>
        <w:rPr>
          <w:rFonts w:ascii="Times New Roman" w:hAnsi="Times New Roman" w:cs="Times New Roman"/>
          <w:color w:val="000000" w:themeColor="text1"/>
          <w:sz w:val="22"/>
        </w:rPr>
      </w:pPr>
    </w:p>
    <w:p w14:paraId="292A53EA" w14:textId="77777777" w:rsidR="005315E6" w:rsidRPr="006E5A1E" w:rsidRDefault="005315E6" w:rsidP="006E5A1E">
      <w:pPr>
        <w:spacing w:line="360" w:lineRule="auto"/>
        <w:rPr>
          <w:rFonts w:ascii="Times New Roman" w:hAnsi="Times New Roman" w:cs="Times New Roman"/>
          <w:color w:val="000000" w:themeColor="text1"/>
          <w:sz w:val="22"/>
        </w:rPr>
      </w:pPr>
    </w:p>
    <w:p w14:paraId="15DF2E80" w14:textId="77777777" w:rsidR="005315E6" w:rsidRPr="006E5A1E" w:rsidRDefault="005315E6" w:rsidP="006E5A1E">
      <w:pPr>
        <w:spacing w:line="360" w:lineRule="auto"/>
        <w:rPr>
          <w:rFonts w:ascii="Times New Roman" w:hAnsi="Times New Roman" w:cs="Times New Roman"/>
          <w:color w:val="000000" w:themeColor="text1"/>
          <w:sz w:val="22"/>
        </w:rPr>
      </w:pPr>
    </w:p>
    <w:p w14:paraId="750D7B9A" w14:textId="77777777" w:rsidR="005315E6" w:rsidRPr="006E5A1E" w:rsidRDefault="005315E6" w:rsidP="006E5A1E">
      <w:pPr>
        <w:spacing w:line="360" w:lineRule="auto"/>
        <w:rPr>
          <w:rFonts w:ascii="Times New Roman" w:hAnsi="Times New Roman" w:cs="Times New Roman"/>
          <w:color w:val="000000" w:themeColor="text1"/>
          <w:sz w:val="22"/>
        </w:rPr>
      </w:pPr>
    </w:p>
    <w:p w14:paraId="6F4BA000" w14:textId="77777777" w:rsidR="005315E6" w:rsidRPr="006E5A1E" w:rsidRDefault="005315E6" w:rsidP="006E5A1E">
      <w:pPr>
        <w:spacing w:line="360" w:lineRule="auto"/>
        <w:rPr>
          <w:rFonts w:ascii="Times New Roman" w:hAnsi="Times New Roman" w:cs="Times New Roman"/>
          <w:color w:val="000000" w:themeColor="text1"/>
          <w:sz w:val="22"/>
        </w:rPr>
      </w:pPr>
    </w:p>
    <w:p w14:paraId="70D604AC" w14:textId="77777777" w:rsidR="005315E6" w:rsidRPr="006E5A1E" w:rsidRDefault="005315E6" w:rsidP="006E5A1E">
      <w:pPr>
        <w:spacing w:line="360" w:lineRule="auto"/>
        <w:rPr>
          <w:rFonts w:ascii="Times New Roman" w:hAnsi="Times New Roman" w:cs="Times New Roman"/>
          <w:color w:val="000000" w:themeColor="text1"/>
          <w:sz w:val="22"/>
        </w:rPr>
      </w:pPr>
    </w:p>
    <w:p w14:paraId="4C0081E4" w14:textId="77777777" w:rsidR="005315E6" w:rsidRPr="006E5A1E" w:rsidRDefault="005315E6" w:rsidP="006E5A1E">
      <w:pPr>
        <w:spacing w:line="360" w:lineRule="auto"/>
        <w:rPr>
          <w:rFonts w:ascii="Times New Roman" w:hAnsi="Times New Roman" w:cs="Times New Roman"/>
          <w:color w:val="000000" w:themeColor="text1"/>
          <w:sz w:val="22"/>
        </w:rPr>
      </w:pPr>
    </w:p>
    <w:p w14:paraId="1F9F27C7" w14:textId="77777777" w:rsidR="005732BD" w:rsidRPr="006E5A1E" w:rsidRDefault="005732BD" w:rsidP="006E5A1E">
      <w:pPr>
        <w:spacing w:line="360" w:lineRule="auto"/>
        <w:rPr>
          <w:rFonts w:ascii="Times New Roman" w:eastAsia="宋体" w:hAnsi="Times New Roman" w:cs="Times New Roman"/>
          <w:b/>
          <w:bCs/>
          <w:color w:val="000000" w:themeColor="text1"/>
          <w:sz w:val="22"/>
        </w:rPr>
      </w:pPr>
    </w:p>
    <w:p w14:paraId="3ED5CCAC" w14:textId="77777777" w:rsidR="0097366B" w:rsidRDefault="0097366B">
      <w:pPr>
        <w:widowControl/>
        <w:spacing w:after="160" w:line="278" w:lineRule="auto"/>
        <w:jc w:val="left"/>
        <w:rPr>
          <w:rFonts w:ascii="Times New Roman" w:eastAsia="宋体" w:hAnsi="Times New Roman" w:cs="Times New Roman"/>
          <w:b/>
          <w:bCs/>
          <w:color w:val="000000" w:themeColor="text1"/>
          <w:kern w:val="0"/>
          <w:sz w:val="22"/>
        </w:rPr>
      </w:pPr>
      <w:r>
        <w:rPr>
          <w:rFonts w:ascii="Times New Roman" w:eastAsia="宋体" w:hAnsi="Times New Roman" w:cs="Times New Roman"/>
          <w:b/>
          <w:bCs/>
          <w:color w:val="000000" w:themeColor="text1"/>
          <w:kern w:val="0"/>
          <w:sz w:val="22"/>
        </w:rPr>
        <w:br w:type="page"/>
      </w:r>
    </w:p>
    <w:p w14:paraId="5CE30AB2" w14:textId="77777777" w:rsidR="00646667" w:rsidRPr="00646667" w:rsidRDefault="00646667" w:rsidP="00646667">
      <w:pPr>
        <w:spacing w:line="360" w:lineRule="auto"/>
        <w:rPr>
          <w:rFonts w:ascii="Times New Roman" w:eastAsia="宋体" w:hAnsi="Times New Roman" w:cs="Times New Roman"/>
          <w:b/>
          <w:bCs/>
          <w:color w:val="000000" w:themeColor="text1"/>
          <w:kern w:val="0"/>
          <w:sz w:val="22"/>
        </w:rPr>
      </w:pPr>
      <w:r w:rsidRPr="00646667">
        <w:rPr>
          <w:rFonts w:ascii="Times New Roman" w:eastAsia="宋体" w:hAnsi="Times New Roman" w:cs="Times New Roman"/>
          <w:b/>
          <w:bCs/>
          <w:color w:val="000000" w:themeColor="text1"/>
          <w:kern w:val="0"/>
          <w:sz w:val="22"/>
        </w:rPr>
        <w:lastRenderedPageBreak/>
        <w:t>eMethods</w:t>
      </w:r>
    </w:p>
    <w:p w14:paraId="0D1E3E3C" w14:textId="77777777" w:rsidR="00646667" w:rsidRPr="00646667" w:rsidRDefault="00646667" w:rsidP="00646667">
      <w:pPr>
        <w:spacing w:line="360" w:lineRule="auto"/>
        <w:jc w:val="left"/>
        <w:rPr>
          <w:rFonts w:ascii="Times New Roman" w:eastAsia="宋体" w:hAnsi="Times New Roman"/>
          <w:b/>
          <w:bCs/>
          <w:sz w:val="22"/>
        </w:rPr>
      </w:pPr>
      <w:r w:rsidRPr="00646667">
        <w:rPr>
          <w:rFonts w:ascii="Times New Roman" w:eastAsia="宋体" w:hAnsi="Times New Roman" w:hint="eastAsia"/>
          <w:b/>
          <w:bCs/>
          <w:sz w:val="22"/>
        </w:rPr>
        <w:t>2.3 Measurements</w:t>
      </w:r>
    </w:p>
    <w:p w14:paraId="5C464907" w14:textId="77777777" w:rsidR="00646667" w:rsidRPr="00646667" w:rsidRDefault="00646667" w:rsidP="00646667">
      <w:pPr>
        <w:spacing w:line="360" w:lineRule="auto"/>
        <w:jc w:val="left"/>
        <w:rPr>
          <w:rFonts w:ascii="Times New Roman" w:eastAsia="宋体" w:hAnsi="Times New Roman"/>
          <w:b/>
          <w:bCs/>
          <w:sz w:val="22"/>
        </w:rPr>
      </w:pPr>
      <w:r w:rsidRPr="00646667">
        <w:rPr>
          <w:rFonts w:ascii="Times New Roman" w:eastAsia="宋体" w:hAnsi="Times New Roman" w:hint="eastAsia"/>
          <w:b/>
          <w:bCs/>
          <w:sz w:val="22"/>
        </w:rPr>
        <w:t>2.3.1 Intrinsic capacity</w:t>
      </w:r>
    </w:p>
    <w:p w14:paraId="0F6C8B74" w14:textId="77777777" w:rsidR="00646667" w:rsidRPr="00646667" w:rsidRDefault="00646667" w:rsidP="00646667">
      <w:pPr>
        <w:spacing w:line="360" w:lineRule="auto"/>
        <w:ind w:firstLineChars="200" w:firstLine="440"/>
        <w:rPr>
          <w:rFonts w:ascii="Times New Roman" w:eastAsia="宋体" w:hAnsi="Times New Roman" w:cs="Times New Roman"/>
          <w:color w:val="000000" w:themeColor="text1"/>
          <w:kern w:val="0"/>
          <w:sz w:val="22"/>
        </w:rPr>
      </w:pPr>
      <w:r w:rsidRPr="00646667">
        <w:rPr>
          <w:rFonts w:ascii="Times New Roman" w:eastAsia="宋体" w:hAnsi="Times New Roman" w:cs="Times New Roman"/>
          <w:color w:val="000000" w:themeColor="text1"/>
          <w:kern w:val="0"/>
          <w:sz w:val="22"/>
        </w:rPr>
        <w:t xml:space="preserve">On the basis of an extensive literature review, the IC score in this study was determined as the sum of the scores (0-10) of the following five dimensions. </w:t>
      </w:r>
    </w:p>
    <w:p w14:paraId="522EA8EC" w14:textId="77777777" w:rsidR="00646667" w:rsidRPr="00646667" w:rsidRDefault="00646667" w:rsidP="00646667">
      <w:pPr>
        <w:spacing w:line="360" w:lineRule="auto"/>
        <w:ind w:firstLineChars="200" w:firstLine="442"/>
        <w:rPr>
          <w:rFonts w:ascii="Times New Roman" w:eastAsia="宋体" w:hAnsi="Times New Roman" w:cs="Times New Roman"/>
          <w:color w:val="000000" w:themeColor="text1"/>
          <w:kern w:val="0"/>
          <w:sz w:val="22"/>
        </w:rPr>
      </w:pPr>
      <w:bookmarkStart w:id="0" w:name="OLE_LINK28"/>
      <w:r w:rsidRPr="00646667">
        <w:rPr>
          <w:rFonts w:ascii="Times New Roman" w:eastAsia="宋体" w:hAnsi="Times New Roman" w:cs="Times New Roman"/>
          <w:b/>
          <w:bCs/>
          <w:color w:val="000000" w:themeColor="text1"/>
          <w:kern w:val="0"/>
          <w:sz w:val="22"/>
        </w:rPr>
        <w:t>(</w:t>
      </w:r>
      <w:r w:rsidRPr="00646667">
        <w:rPr>
          <w:rFonts w:ascii="Times New Roman" w:eastAsia="宋体" w:hAnsi="Times New Roman" w:cs="Times New Roman" w:hint="eastAsia"/>
          <w:b/>
          <w:bCs/>
          <w:color w:val="000000" w:themeColor="text1"/>
          <w:kern w:val="0"/>
          <w:sz w:val="22"/>
        </w:rPr>
        <w:t>1</w:t>
      </w:r>
      <w:r w:rsidRPr="00646667">
        <w:rPr>
          <w:rFonts w:ascii="Times New Roman" w:eastAsia="宋体" w:hAnsi="Times New Roman" w:cs="Times New Roman"/>
          <w:b/>
          <w:bCs/>
          <w:color w:val="000000" w:themeColor="text1"/>
          <w:kern w:val="0"/>
          <w:sz w:val="22"/>
        </w:rPr>
        <w:t>) Locomotion</w:t>
      </w:r>
      <w:bookmarkEnd w:id="0"/>
      <w:r w:rsidRPr="00646667">
        <w:rPr>
          <w:rFonts w:ascii="Times New Roman" w:eastAsia="宋体" w:hAnsi="Times New Roman" w:cs="Times New Roman"/>
          <w:b/>
          <w:bCs/>
          <w:color w:val="000000" w:themeColor="text1"/>
          <w:kern w:val="0"/>
          <w:sz w:val="22"/>
        </w:rPr>
        <w:t xml:space="preserve"> </w:t>
      </w:r>
      <w:bookmarkStart w:id="1" w:name="OLE_LINK32"/>
      <w:r w:rsidRPr="00646667">
        <w:rPr>
          <w:rFonts w:ascii="Times New Roman" w:eastAsia="宋体" w:hAnsi="Times New Roman" w:cs="Times New Roman"/>
          <w:b/>
          <w:bCs/>
          <w:color w:val="000000" w:themeColor="text1"/>
          <w:kern w:val="0"/>
          <w:sz w:val="22"/>
        </w:rPr>
        <w:t>dimension</w:t>
      </w:r>
      <w:bookmarkEnd w:id="1"/>
      <w:r w:rsidRPr="00646667">
        <w:rPr>
          <w:rFonts w:ascii="Times New Roman" w:eastAsia="宋体" w:hAnsi="Times New Roman" w:cs="Times New Roman"/>
          <w:color w:val="000000" w:themeColor="text1"/>
          <w:kern w:val="0"/>
          <w:sz w:val="22"/>
        </w:rPr>
        <w:t xml:space="preserve">: The Simple Physical Performance Battery (SPPB) </w:t>
      </w:r>
      <w:r w:rsidRPr="00646667">
        <w:rPr>
          <w:rFonts w:ascii="Times New Roman" w:eastAsia="宋体" w:hAnsi="Times New Roman" w:cs="Times New Roman" w:hint="eastAsia"/>
          <w:color w:val="000000" w:themeColor="text1"/>
          <w:kern w:val="0"/>
          <w:sz w:val="22"/>
        </w:rPr>
        <w:t xml:space="preserve">[1] </w:t>
      </w:r>
      <w:r w:rsidRPr="00646667">
        <w:rPr>
          <w:rFonts w:ascii="Times New Roman" w:eastAsia="宋体" w:hAnsi="Times New Roman" w:cs="Times New Roman"/>
          <w:color w:val="000000" w:themeColor="text1"/>
          <w:kern w:val="0"/>
          <w:sz w:val="22"/>
        </w:rPr>
        <w:t xml:space="preserve">is a test recommended by the WHO for assessing exercise capacity, including balance ability in the standing position, walking speed, and </w:t>
      </w:r>
      <w:bookmarkStart w:id="2" w:name="OLE_LINK30"/>
      <w:r w:rsidRPr="00646667">
        <w:rPr>
          <w:rFonts w:ascii="Times New Roman" w:eastAsia="宋体" w:hAnsi="Times New Roman" w:cs="Times New Roman"/>
          <w:color w:val="000000" w:themeColor="text1"/>
          <w:kern w:val="0"/>
          <w:sz w:val="22"/>
        </w:rPr>
        <w:t>the Five Times Sit-to-Stand Test</w:t>
      </w:r>
      <w:bookmarkEnd w:id="2"/>
      <w:r w:rsidRPr="00646667">
        <w:rPr>
          <w:rFonts w:ascii="Times New Roman" w:eastAsia="宋体" w:hAnsi="Times New Roman" w:cs="Times New Roman"/>
          <w:color w:val="000000" w:themeColor="text1"/>
          <w:kern w:val="0"/>
          <w:sz w:val="22"/>
        </w:rPr>
        <w:t>.</w:t>
      </w:r>
    </w:p>
    <w:p w14:paraId="63134005" w14:textId="77777777" w:rsidR="00646667" w:rsidRPr="00646667" w:rsidRDefault="00646667" w:rsidP="00646667">
      <w:pPr>
        <w:numPr>
          <w:ilvl w:val="0"/>
          <w:numId w:val="9"/>
        </w:numPr>
        <w:spacing w:after="160" w:line="360" w:lineRule="auto"/>
        <w:contextualSpacing/>
        <w:jc w:val="left"/>
        <w:rPr>
          <w:rFonts w:ascii="Times New Roman" w:eastAsia="宋体" w:hAnsi="Times New Roman" w:cs="Times New Roman"/>
          <w:color w:val="000000" w:themeColor="text1"/>
          <w:kern w:val="0"/>
          <w:sz w:val="22"/>
          <w14:ligatures w14:val="standardContextual"/>
        </w:rPr>
      </w:pPr>
      <w:bookmarkStart w:id="3" w:name="OLE_LINK19"/>
      <w:r w:rsidRPr="00646667">
        <w:rPr>
          <w:rFonts w:ascii="Times New Roman" w:eastAsia="宋体" w:hAnsi="Times New Roman" w:cs="Times New Roman"/>
          <w:b/>
          <w:bCs/>
          <w:color w:val="000000" w:themeColor="text1"/>
          <w:kern w:val="0"/>
          <w:sz w:val="22"/>
          <w14:ligatures w14:val="standardContextual"/>
        </w:rPr>
        <w:t>Balance ability:</w:t>
      </w:r>
      <w:r w:rsidRPr="00646667">
        <w:rPr>
          <w:rFonts w:ascii="Times New Roman" w:eastAsia="宋体" w:hAnsi="Times New Roman" w:cs="Times New Roman"/>
          <w:color w:val="000000" w:themeColor="text1"/>
          <w:kern w:val="0"/>
          <w:sz w:val="22"/>
          <w14:ligatures w14:val="standardContextual"/>
        </w:rPr>
        <w:t xml:space="preserve"> Three measurements were included, i.e., standing with feet in a line in front and behind, standing with feet half in front and behind, and standing with feet together. All respondents tried to perform the test of standing with feet half in front and behind. If they were able to stand for 10 s, the respondents were tested by standing with their feet in a line in front and behind. If the respondents could not remain standing with their feet half forward and backward for 10 s, they performed parallel standing with their feet. Participants who were able to stand with their feet together or stand with their feet half forward and backward for 10 s each received a score of 1, and those who could not hold it for 10 s and did not attempt to stand received a score of 0. Participants who kept their feet in a line for 10 s scored 2, those who kept them for 3–9.9 s scored 1, and those who kept them for less than 3 s or without attempting it scored 0.</w:t>
      </w:r>
    </w:p>
    <w:p w14:paraId="748BFB4C" w14:textId="77777777" w:rsidR="00646667" w:rsidRPr="00646667" w:rsidRDefault="00646667" w:rsidP="00646667">
      <w:pPr>
        <w:numPr>
          <w:ilvl w:val="0"/>
          <w:numId w:val="9"/>
        </w:numPr>
        <w:spacing w:after="160" w:line="360" w:lineRule="auto"/>
        <w:contextualSpacing/>
        <w:jc w:val="left"/>
        <w:rPr>
          <w:rFonts w:ascii="Times New Roman" w:eastAsia="宋体" w:hAnsi="Times New Roman" w:cs="Times New Roman"/>
          <w:color w:val="000000" w:themeColor="text1"/>
          <w:kern w:val="0"/>
          <w:sz w:val="22"/>
          <w14:ligatures w14:val="standardContextual"/>
        </w:rPr>
      </w:pPr>
      <w:bookmarkStart w:id="4" w:name="OLE_LINK18"/>
      <w:bookmarkEnd w:id="3"/>
      <w:r w:rsidRPr="00646667">
        <w:rPr>
          <w:rFonts w:ascii="Times New Roman" w:eastAsia="宋体" w:hAnsi="Times New Roman" w:cs="Times New Roman"/>
          <w:b/>
          <w:bCs/>
          <w:color w:val="000000" w:themeColor="text1"/>
          <w:kern w:val="0"/>
          <w:sz w:val="22"/>
          <w14:ligatures w14:val="standardContextual"/>
        </w:rPr>
        <w:t xml:space="preserve">Walking speed: </w:t>
      </w:r>
      <w:bookmarkStart w:id="5" w:name="OLE_LINK11"/>
      <w:r w:rsidRPr="00646667">
        <w:rPr>
          <w:rFonts w:ascii="Times New Roman" w:eastAsia="宋体" w:hAnsi="Times New Roman" w:cs="Times New Roman"/>
          <w:color w:val="000000" w:themeColor="text1"/>
          <w:kern w:val="0"/>
          <w:sz w:val="22"/>
          <w14:ligatures w14:val="standardContextual"/>
        </w:rPr>
        <w:t>Each participant walked twice at normal speed over a distance of 2.5 m, using a walking aid if necessary, and was timed. The faster of the two attempts was recorded in our study. The 2.5-m walking speed from the original questionnaire was converted to 4-m walking speed and walking 4 m within 4.82 s, 4.82–6.20 s, 6.21–8.70 s, more than 8.70 s, and inability to complete were scored as 4, 3, 2, 1, and 0 respectively.</w:t>
      </w:r>
    </w:p>
    <w:bookmarkEnd w:id="5"/>
    <w:p w14:paraId="393479A3" w14:textId="77777777" w:rsidR="00646667" w:rsidRPr="00646667" w:rsidRDefault="00646667" w:rsidP="00646667">
      <w:pPr>
        <w:numPr>
          <w:ilvl w:val="0"/>
          <w:numId w:val="9"/>
        </w:numPr>
        <w:spacing w:after="160" w:line="360" w:lineRule="auto"/>
        <w:contextualSpacing/>
        <w:jc w:val="left"/>
        <w:rPr>
          <w:rFonts w:ascii="Times New Roman" w:eastAsia="宋体" w:hAnsi="Times New Roman" w:cs="Times New Roman"/>
          <w:color w:val="000000" w:themeColor="text1"/>
          <w:kern w:val="0"/>
          <w:sz w:val="22"/>
          <w14:ligatures w14:val="standardContextual"/>
        </w:rPr>
      </w:pPr>
      <w:r w:rsidRPr="00646667">
        <w:rPr>
          <w:rFonts w:ascii="Times New Roman" w:eastAsia="宋体" w:hAnsi="Times New Roman" w:cs="Times New Roman"/>
          <w:b/>
          <w:bCs/>
          <w:color w:val="000000" w:themeColor="text1"/>
          <w:kern w:val="0"/>
          <w:sz w:val="22"/>
          <w14:ligatures w14:val="standardContextual"/>
        </w:rPr>
        <w:t xml:space="preserve">The </w:t>
      </w:r>
      <w:bookmarkStart w:id="6" w:name="OLE_LINK31"/>
      <w:r w:rsidRPr="00646667">
        <w:rPr>
          <w:rFonts w:ascii="Times New Roman" w:eastAsia="宋体" w:hAnsi="Times New Roman" w:cs="Times New Roman"/>
          <w:b/>
          <w:bCs/>
          <w:color w:val="000000" w:themeColor="text1"/>
          <w:kern w:val="0"/>
          <w:sz w:val="22"/>
          <w14:ligatures w14:val="standardContextual"/>
        </w:rPr>
        <w:t>Five Times Sit-to-Stand Test</w:t>
      </w:r>
      <w:bookmarkEnd w:id="6"/>
      <w:r w:rsidRPr="00646667">
        <w:rPr>
          <w:rFonts w:ascii="Times New Roman" w:eastAsia="宋体" w:hAnsi="Times New Roman" w:cs="Times New Roman"/>
          <w:b/>
          <w:bCs/>
          <w:color w:val="000000" w:themeColor="text1"/>
          <w:kern w:val="0"/>
          <w:sz w:val="22"/>
          <w14:ligatures w14:val="standardContextual"/>
        </w:rPr>
        <w:t xml:space="preserve">: </w:t>
      </w:r>
      <w:r w:rsidRPr="00646667">
        <w:rPr>
          <w:rFonts w:ascii="Times New Roman" w:eastAsia="宋体" w:hAnsi="Times New Roman" w:cs="Times New Roman"/>
          <w:color w:val="000000" w:themeColor="text1"/>
          <w:kern w:val="0"/>
          <w:sz w:val="22"/>
          <w14:ligatures w14:val="standardContextual"/>
        </w:rPr>
        <w:t xml:space="preserve">This was assessed by measuring the time required to complete five consecutive rounds of standing from a seated position. Participants sat on a standard stool equipped for the program with their arms crossed over their chests, and stood-sat down five times, as fast as they could </w:t>
      </w:r>
      <w:r w:rsidRPr="00646667">
        <w:rPr>
          <w:rFonts w:ascii="Times New Roman" w:eastAsia="宋体" w:hAnsi="Times New Roman" w:cs="Times New Roman"/>
          <w:color w:val="000000" w:themeColor="text1"/>
          <w:kern w:val="0"/>
          <w:sz w:val="22"/>
          <w14:ligatures w14:val="standardContextual"/>
        </w:rPr>
        <w:lastRenderedPageBreak/>
        <w:t>without stopping in the middle and without bracing themselves with their hands. The time was recorded for those who completed the test, with the slower completion times indicating poorer physical functioning. The time for the Five Times Sit-to-Stand Test was categorized as &lt;11.19 s, 11.2-13.69 s, 13.7–16.69 s, 16.7–59.9 s, &gt;60 s, or could not be completed, and was scored as 4, 3, 2, 1, or 0, respectively.</w:t>
      </w:r>
    </w:p>
    <w:bookmarkEnd w:id="4"/>
    <w:p w14:paraId="2D2B32C4" w14:textId="77777777" w:rsidR="00646667" w:rsidRPr="00646667" w:rsidRDefault="00646667" w:rsidP="00646667">
      <w:pPr>
        <w:spacing w:line="360" w:lineRule="auto"/>
        <w:ind w:firstLine="420"/>
        <w:rPr>
          <w:rFonts w:ascii="Times New Roman" w:eastAsia="宋体" w:hAnsi="Times New Roman" w:cs="Times New Roman"/>
          <w:color w:val="000000" w:themeColor="text1"/>
          <w:kern w:val="0"/>
          <w:sz w:val="22"/>
        </w:rPr>
      </w:pPr>
      <w:r w:rsidRPr="00646667">
        <w:rPr>
          <w:rFonts w:ascii="Times New Roman" w:eastAsia="宋体" w:hAnsi="Times New Roman" w:cs="Times New Roman"/>
          <w:color w:val="000000" w:themeColor="text1"/>
          <w:kern w:val="0"/>
          <w:sz w:val="22"/>
        </w:rPr>
        <w:t xml:space="preserve">The SPPB score was the sum of the three, and the locomotion dimension was divided into three levels, 0 ≤ SPPB ≤ 2, 3 ≤ SPPB ≤ 9, and 10 ≤ SPPB ≤ 12, and was assigned scores of 0, 1, and 2, respectively. </w:t>
      </w:r>
    </w:p>
    <w:p w14:paraId="6D4746CB" w14:textId="77777777" w:rsidR="00646667" w:rsidRPr="00646667" w:rsidRDefault="00646667" w:rsidP="00646667">
      <w:pPr>
        <w:spacing w:line="360" w:lineRule="auto"/>
        <w:ind w:firstLine="420"/>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w:t>
      </w:r>
      <w:r w:rsidRPr="00646667">
        <w:rPr>
          <w:rFonts w:ascii="Times New Roman" w:eastAsia="宋体" w:hAnsi="Times New Roman" w:cs="Times New Roman" w:hint="eastAsia"/>
          <w:b/>
          <w:bCs/>
          <w:color w:val="000000" w:themeColor="text1"/>
          <w:kern w:val="0"/>
          <w:sz w:val="22"/>
        </w:rPr>
        <w:t>2</w:t>
      </w:r>
      <w:r w:rsidRPr="00646667">
        <w:rPr>
          <w:rFonts w:ascii="Times New Roman" w:eastAsia="宋体" w:hAnsi="Times New Roman" w:cs="Times New Roman"/>
          <w:b/>
          <w:bCs/>
          <w:color w:val="000000" w:themeColor="text1"/>
          <w:kern w:val="0"/>
          <w:sz w:val="22"/>
        </w:rPr>
        <w:t>) Cognitive dimension:</w:t>
      </w:r>
      <w:r w:rsidRPr="00646667">
        <w:rPr>
          <w:rFonts w:ascii="Times New Roman" w:eastAsia="宋体" w:hAnsi="Times New Roman" w:cs="Times New Roman"/>
          <w:color w:val="000000" w:themeColor="text1"/>
          <w:kern w:val="0"/>
          <w:sz w:val="22"/>
        </w:rPr>
        <w:t xml:space="preserve"> The cognitive function of CHARLS participants was assessed using the TICS scale</w:t>
      </w:r>
      <w:r w:rsidRPr="00646667">
        <w:rPr>
          <w:rFonts w:ascii="Times New Roman" w:eastAsia="宋体" w:hAnsi="Times New Roman" w:cs="Times New Roman" w:hint="eastAsia"/>
          <w:color w:val="000000" w:themeColor="text1"/>
          <w:kern w:val="0"/>
          <w:sz w:val="22"/>
        </w:rPr>
        <w:t xml:space="preserve"> </w:t>
      </w:r>
      <w:r w:rsidRPr="00646667">
        <w:rPr>
          <w:rFonts w:ascii="Times New Roman" w:eastAsia="宋体" w:hAnsi="Times New Roman" w:hint="eastAsia"/>
          <w:sz w:val="22"/>
        </w:rPr>
        <w:t>[2-3]</w:t>
      </w:r>
      <w:r w:rsidRPr="00646667">
        <w:rPr>
          <w:rFonts w:ascii="Times New Roman" w:eastAsia="宋体" w:hAnsi="Times New Roman" w:cs="Times New Roman"/>
          <w:color w:val="000000" w:themeColor="text1"/>
          <w:kern w:val="0"/>
          <w:sz w:val="22"/>
        </w:rPr>
        <w:t xml:space="preserve">, which was adapted from the U.S. HRS. This scale evaluates two components: </w:t>
      </w:r>
      <w:bookmarkStart w:id="7" w:name="OLE_LINK34"/>
      <w:r w:rsidRPr="00646667">
        <w:rPr>
          <w:rFonts w:ascii="Times New Roman" w:eastAsia="宋体" w:hAnsi="Times New Roman" w:cs="Times New Roman"/>
          <w:color w:val="000000" w:themeColor="text1"/>
          <w:kern w:val="0"/>
          <w:sz w:val="22"/>
        </w:rPr>
        <w:t xml:space="preserve">intelligence level </w:t>
      </w:r>
      <w:bookmarkEnd w:id="7"/>
      <w:r w:rsidRPr="00646667">
        <w:rPr>
          <w:rFonts w:ascii="Times New Roman" w:eastAsia="宋体" w:hAnsi="Times New Roman" w:cs="Times New Roman"/>
          <w:color w:val="000000" w:themeColor="text1"/>
          <w:kern w:val="0"/>
          <w:sz w:val="22"/>
        </w:rPr>
        <w:t>(including numerical skills, temporal orientation, and visuospatial ability) and episodic memory (immediate and delayed recall). Assessment of intelligence level includes tasks such as subtracting 7 from 100 (repeated 5 times), answering questions about the current year, month, day, week, and season, and drawing a figure (two overlapping pentagons), with a score range of 0–11 points. Episodic memory is evaluated on the basis of immediate and delayed recall of 10 Chinese words, with a score range of 0–10 points. If a participant’s score in either intelligence level or episodic memory was below one standard deviation for the dimension, they are assigned a score of 0; otherwise, they received a score of 1. The cognitive dimension score was the sum of these two scores, ranging from 0 to 2 .</w:t>
      </w:r>
    </w:p>
    <w:p w14:paraId="6273BF6C" w14:textId="77777777" w:rsidR="00646667" w:rsidRPr="00646667" w:rsidRDefault="00646667" w:rsidP="00646667">
      <w:pPr>
        <w:spacing w:line="360" w:lineRule="auto"/>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 xml:space="preserve"> </w:t>
      </w:r>
      <w:r w:rsidRPr="00646667">
        <w:rPr>
          <w:rFonts w:ascii="Times New Roman" w:eastAsia="宋体" w:hAnsi="Times New Roman" w:cs="Times New Roman"/>
          <w:b/>
          <w:bCs/>
          <w:color w:val="000000" w:themeColor="text1"/>
          <w:kern w:val="0"/>
          <w:sz w:val="22"/>
        </w:rPr>
        <w:tab/>
        <w:t>(</w:t>
      </w:r>
      <w:r w:rsidRPr="00646667">
        <w:rPr>
          <w:rFonts w:ascii="Times New Roman" w:eastAsia="宋体" w:hAnsi="Times New Roman" w:cs="Times New Roman" w:hint="eastAsia"/>
          <w:b/>
          <w:bCs/>
          <w:color w:val="000000" w:themeColor="text1"/>
          <w:kern w:val="0"/>
          <w:sz w:val="22"/>
        </w:rPr>
        <w:t>3</w:t>
      </w:r>
      <w:r w:rsidRPr="00646667">
        <w:rPr>
          <w:rFonts w:ascii="Times New Roman" w:eastAsia="宋体" w:hAnsi="Times New Roman" w:cs="Times New Roman"/>
          <w:b/>
          <w:bCs/>
          <w:color w:val="000000" w:themeColor="text1"/>
          <w:kern w:val="0"/>
          <w:sz w:val="22"/>
        </w:rPr>
        <w:t xml:space="preserve">) Sensory dimension: </w:t>
      </w:r>
      <w:r w:rsidRPr="00646667">
        <w:rPr>
          <w:rFonts w:ascii="Times New Roman" w:eastAsia="宋体" w:hAnsi="Times New Roman" w:cs="Times New Roman"/>
          <w:color w:val="000000" w:themeColor="text1"/>
          <w:kern w:val="0"/>
          <w:sz w:val="22"/>
        </w:rPr>
        <w:t>The sensory dimension was divided into two parts: vision and hearing. The vision section included two questions: “How would you rate your eyesight for seeing things at a distance—excellent, very good, good, fair, or poor?” and “How would you rate your eyesight for seeing things up close—excellent, very good, good, fair, or poor?” Participants who rated their eyesight as excellent, very good, or good were assigned a score of 1; those who rated it fair received a score of 0.5; and those who rated it poor or were wearing glasses or blind were assigned a score of 0. The hearing section included the question, “How would you rate your hearing—excellent, very good, good, fair, or poor?” The scoring method for hearing was identical to that used for vision. The score of the sensory dimension was the sum of the scores of vision and hearing, ranging from 0 to 2.</w:t>
      </w:r>
    </w:p>
    <w:p w14:paraId="0D837ECF" w14:textId="77777777" w:rsidR="00646667" w:rsidRPr="00646667" w:rsidRDefault="00646667" w:rsidP="00646667">
      <w:pPr>
        <w:spacing w:line="360" w:lineRule="auto"/>
        <w:ind w:firstLine="420"/>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lastRenderedPageBreak/>
        <w:t>(</w:t>
      </w:r>
      <w:r w:rsidRPr="00646667">
        <w:rPr>
          <w:rFonts w:ascii="Times New Roman" w:eastAsia="宋体" w:hAnsi="Times New Roman" w:cs="Times New Roman" w:hint="eastAsia"/>
          <w:b/>
          <w:bCs/>
          <w:color w:val="000000" w:themeColor="text1"/>
          <w:kern w:val="0"/>
          <w:sz w:val="22"/>
        </w:rPr>
        <w:t>4</w:t>
      </w:r>
      <w:r w:rsidRPr="00646667">
        <w:rPr>
          <w:rFonts w:ascii="Times New Roman" w:eastAsia="宋体" w:hAnsi="Times New Roman" w:cs="Times New Roman"/>
          <w:b/>
          <w:bCs/>
          <w:color w:val="000000" w:themeColor="text1"/>
          <w:kern w:val="0"/>
          <w:sz w:val="22"/>
        </w:rPr>
        <w:t>) Vitality</w:t>
      </w:r>
      <w:r w:rsidRPr="00646667">
        <w:rPr>
          <w:rFonts w:hint="eastAsia"/>
          <w:b/>
          <w:bCs/>
        </w:rPr>
        <w:t xml:space="preserve"> </w:t>
      </w:r>
      <w:bookmarkStart w:id="8" w:name="OLE_LINK43"/>
      <w:r w:rsidRPr="00646667">
        <w:rPr>
          <w:rFonts w:ascii="Times New Roman" w:eastAsia="宋体" w:hAnsi="Times New Roman" w:cs="Times New Roman" w:hint="eastAsia"/>
          <w:b/>
          <w:bCs/>
          <w:color w:val="000000" w:themeColor="text1"/>
          <w:kern w:val="0"/>
          <w:sz w:val="22"/>
        </w:rPr>
        <w:t>dimension</w:t>
      </w:r>
      <w:r w:rsidRPr="00646667">
        <w:rPr>
          <w:rFonts w:ascii="Times New Roman" w:eastAsia="宋体" w:hAnsi="Times New Roman" w:cs="Times New Roman"/>
          <w:b/>
          <w:bCs/>
          <w:color w:val="000000" w:themeColor="text1"/>
          <w:kern w:val="0"/>
          <w:sz w:val="22"/>
        </w:rPr>
        <w:t>:</w:t>
      </w:r>
      <w:bookmarkEnd w:id="8"/>
      <w:r w:rsidRPr="00646667">
        <w:rPr>
          <w:rFonts w:ascii="Times New Roman" w:eastAsia="宋体" w:hAnsi="Times New Roman" w:cs="Times New Roman"/>
          <w:b/>
          <w:bCs/>
          <w:color w:val="000000" w:themeColor="text1"/>
          <w:kern w:val="0"/>
          <w:sz w:val="22"/>
        </w:rPr>
        <w:t xml:space="preserve"> </w:t>
      </w:r>
      <w:r w:rsidRPr="00646667">
        <w:rPr>
          <w:rFonts w:ascii="Times New Roman" w:eastAsia="宋体" w:hAnsi="Times New Roman" w:cs="Times New Roman"/>
          <w:color w:val="000000" w:themeColor="text1"/>
          <w:kern w:val="0"/>
          <w:sz w:val="22"/>
        </w:rPr>
        <w:t>This dimension was composed of two aspects: lung capacity and grip strength. When measuring lung capacity, participants stood upright, took a deep breath, placed their mouth around the mouthpiece, and exhaled with maximum force and speed. The peak expiratory flow rate was recorded. This measurement was repeated three times, with 30-s intervals between each attempt. The highest of the three peak expiratory flow rates was recorded, and participants were scored on the basis of threshold values of 350 L/min for males and 220 L/min for females, with scores of 0 or 1 assigned accordingly. For the grip strength measurement, participants stood with their elbow bent at a 90-degree angle by their side. They were instructed to squeeze the handgrip dynamometer with maximum force, hold for a few seconds, and then release. Measurements for each hand were obtained twice, alternating between hands. The highest recorded value was used, with scores assigned on the basis of threshold values of 28 kg for males and 18 kg for females, resulting in a score of either 0 or 1. The vitality dimension score is the sum of the lung capacity score and grip strength score, with a total range of 0–2.</w:t>
      </w:r>
    </w:p>
    <w:p w14:paraId="08A4863F" w14:textId="77777777" w:rsidR="00646667" w:rsidRPr="00646667" w:rsidRDefault="00646667" w:rsidP="00646667">
      <w:pPr>
        <w:spacing w:line="360" w:lineRule="auto"/>
        <w:ind w:firstLine="420"/>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w:t>
      </w:r>
      <w:r w:rsidRPr="00646667">
        <w:rPr>
          <w:rFonts w:ascii="Times New Roman" w:eastAsia="宋体" w:hAnsi="Times New Roman" w:cs="Times New Roman" w:hint="eastAsia"/>
          <w:b/>
          <w:bCs/>
          <w:color w:val="000000" w:themeColor="text1"/>
          <w:kern w:val="0"/>
          <w:sz w:val="22"/>
        </w:rPr>
        <w:t>5</w:t>
      </w:r>
      <w:r w:rsidRPr="00646667">
        <w:rPr>
          <w:rFonts w:ascii="Times New Roman" w:eastAsia="宋体" w:hAnsi="Times New Roman" w:cs="Times New Roman"/>
          <w:b/>
          <w:bCs/>
          <w:color w:val="000000" w:themeColor="text1"/>
          <w:kern w:val="0"/>
          <w:sz w:val="22"/>
        </w:rPr>
        <w:t>) Psychological</w:t>
      </w:r>
      <w:r w:rsidRPr="00646667">
        <w:rPr>
          <w:rFonts w:ascii="Times New Roman" w:eastAsia="宋体" w:hAnsi="Times New Roman" w:cs="Times New Roman" w:hint="eastAsia"/>
          <w:b/>
          <w:bCs/>
          <w:color w:val="000000" w:themeColor="text1"/>
          <w:kern w:val="0"/>
          <w:sz w:val="22"/>
        </w:rPr>
        <w:t xml:space="preserve"> dimension</w:t>
      </w:r>
      <w:r w:rsidRPr="00646667">
        <w:rPr>
          <w:rFonts w:ascii="Times New Roman" w:eastAsia="宋体" w:hAnsi="Times New Roman" w:cs="Times New Roman"/>
          <w:b/>
          <w:bCs/>
          <w:color w:val="000000" w:themeColor="text1"/>
          <w:kern w:val="0"/>
          <w:sz w:val="22"/>
        </w:rPr>
        <w:t>:</w:t>
      </w:r>
      <w:r w:rsidRPr="00646667">
        <w:rPr>
          <w:rFonts w:ascii="Times New Roman" w:eastAsia="宋体" w:hAnsi="Times New Roman" w:cs="Times New Roman"/>
          <w:color w:val="000000" w:themeColor="text1"/>
          <w:kern w:val="0"/>
          <w:sz w:val="22"/>
        </w:rPr>
        <w:t xml:space="preserve"> The 10-item version of the Center for Epidemiologic Studies Depression Scale (CESD-10) </w:t>
      </w:r>
      <w:r w:rsidRPr="00646667">
        <w:rPr>
          <w:rFonts w:ascii="Times New Roman" w:eastAsia="宋体" w:hAnsi="Times New Roman" w:hint="eastAsia"/>
          <w:sz w:val="22"/>
        </w:rPr>
        <w:t xml:space="preserve">[4] </w:t>
      </w:r>
      <w:r w:rsidRPr="00646667">
        <w:rPr>
          <w:rFonts w:ascii="Times New Roman" w:eastAsia="宋体" w:hAnsi="Times New Roman" w:cs="Times New Roman"/>
          <w:color w:val="000000" w:themeColor="text1"/>
          <w:kern w:val="0"/>
          <w:sz w:val="22"/>
        </w:rPr>
        <w:t>includes 10 items to assess depressive symptoms. Each item offers four response options based on the past week: little to no time (&lt;1 day), a small amount (1–2 days), sometimes or about half the time (3–4 days), and most or all of the time (5–7 days). The total score ranges from 0–30, with higher scores reflecting greater depressive symptoms. The psychological dimension was scored as follows: CESD score 20–30, 0; 10–20, 1; and 0–10, 2.</w:t>
      </w:r>
    </w:p>
    <w:p w14:paraId="2ABED776" w14:textId="77777777" w:rsidR="00646667" w:rsidRPr="00646667" w:rsidRDefault="00646667" w:rsidP="00646667">
      <w:pPr>
        <w:spacing w:line="360" w:lineRule="auto"/>
        <w:rPr>
          <w:rFonts w:ascii="Times New Roman" w:eastAsia="宋体" w:hAnsi="Times New Roman" w:cs="Times New Roman"/>
          <w:sz w:val="22"/>
        </w:rPr>
      </w:pPr>
      <w:r w:rsidRPr="00646667">
        <w:rPr>
          <w:rFonts w:ascii="Times New Roman" w:eastAsia="宋体" w:hAnsi="Times New Roman" w:cs="Times New Roman"/>
          <w:b/>
          <w:bCs/>
          <w:color w:val="000000" w:themeColor="text1"/>
          <w:kern w:val="0"/>
          <w:sz w:val="22"/>
        </w:rPr>
        <w:t>2.3.2 Covariates</w:t>
      </w:r>
    </w:p>
    <w:p w14:paraId="765C82A9" w14:textId="77777777" w:rsidR="00646667" w:rsidRPr="00646667" w:rsidRDefault="00646667" w:rsidP="00646667">
      <w:pPr>
        <w:spacing w:line="360" w:lineRule="auto"/>
        <w:rPr>
          <w:rFonts w:ascii="Times New Roman" w:eastAsia="宋体" w:hAnsi="Times New Roman" w:cs="Times New Roman"/>
          <w:b/>
          <w:bCs/>
          <w:color w:val="000000" w:themeColor="text1"/>
          <w:kern w:val="0"/>
          <w:sz w:val="22"/>
        </w:rPr>
      </w:pPr>
      <w:r w:rsidRPr="00646667">
        <w:rPr>
          <w:rFonts w:ascii="Times New Roman" w:eastAsia="宋体" w:hAnsi="Times New Roman" w:cs="Times New Roman"/>
          <w:b/>
          <w:bCs/>
          <w:color w:val="000000" w:themeColor="text1"/>
          <w:kern w:val="0"/>
          <w:sz w:val="22"/>
        </w:rPr>
        <w:t>(1) Innate Individual Traits</w:t>
      </w:r>
    </w:p>
    <w:p w14:paraId="560D8175" w14:textId="77777777" w:rsidR="00646667" w:rsidRPr="00646667" w:rsidRDefault="00646667" w:rsidP="00646667">
      <w:pPr>
        <w:widowControl/>
        <w:numPr>
          <w:ilvl w:val="0"/>
          <w:numId w:val="3"/>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Age:</w:t>
      </w:r>
      <w:r w:rsidRPr="00646667">
        <w:rPr>
          <w:rFonts w:ascii="Times New Roman" w:eastAsia="宋体" w:hAnsi="Times New Roman" w:cs="Times New Roman"/>
          <w:color w:val="000000" w:themeColor="text1"/>
          <w:kern w:val="0"/>
          <w:sz w:val="22"/>
        </w:rPr>
        <w:t> Age was calculated by subtracting the respondent’s year of birth from the survey year.</w:t>
      </w:r>
    </w:p>
    <w:p w14:paraId="5F2C4D47" w14:textId="77777777" w:rsidR="00646667" w:rsidRPr="00646667" w:rsidRDefault="00646667" w:rsidP="00646667">
      <w:pPr>
        <w:widowControl/>
        <w:numPr>
          <w:ilvl w:val="0"/>
          <w:numId w:val="3"/>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Instrumental Activities of Daily Living:</w:t>
      </w:r>
      <w:r w:rsidRPr="00646667">
        <w:rPr>
          <w:rFonts w:ascii="Times New Roman" w:eastAsia="宋体" w:hAnsi="Times New Roman" w:cs="Times New Roman"/>
          <w:color w:val="000000" w:themeColor="text1"/>
          <w:kern w:val="0"/>
          <w:sz w:val="22"/>
        </w:rPr>
        <w:t xml:space="preserve"> IADL was assessed on the basis of reported difficulty (yes/no) in performing five instrumental activities: housework, cooking, shopping, managing finances, and taking medications. Responses were </w:t>
      </w:r>
      <w:r w:rsidRPr="00646667">
        <w:rPr>
          <w:rFonts w:ascii="Times New Roman" w:eastAsia="宋体" w:hAnsi="Times New Roman" w:cs="Times New Roman"/>
          <w:color w:val="000000" w:themeColor="text1"/>
          <w:kern w:val="0"/>
          <w:sz w:val="22"/>
        </w:rPr>
        <w:lastRenderedPageBreak/>
        <w:t>coded as 0 = “No difficulty” and 1 = “Difficulty or unable to complete.” The total IADL score ranged from 0 to 5.</w:t>
      </w:r>
    </w:p>
    <w:p w14:paraId="419D8C96" w14:textId="77777777" w:rsidR="00646667" w:rsidRPr="00646667" w:rsidRDefault="00646667" w:rsidP="00646667">
      <w:pPr>
        <w:widowControl/>
        <w:numPr>
          <w:ilvl w:val="0"/>
          <w:numId w:val="3"/>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Activities of Daily Living:</w:t>
      </w:r>
      <w:r w:rsidRPr="00646667">
        <w:rPr>
          <w:rFonts w:ascii="Times New Roman" w:eastAsia="宋体" w:hAnsi="Times New Roman" w:cs="Times New Roman"/>
          <w:color w:val="000000" w:themeColor="text1"/>
          <w:kern w:val="0"/>
          <w:sz w:val="22"/>
        </w:rPr>
        <w:t> ADL was assessed on the basis of reported difficulty (yes/no) in performing six basic activities: dressing, bathing, eating, getting in/out of bed, toileting, and controlling urination/defecation. Responses were coded as 0 = “No difficulty” and 1 = “Difficulty or unable to complete.” The total ADL score ranged from 0 to 6.</w:t>
      </w:r>
    </w:p>
    <w:p w14:paraId="542730A1" w14:textId="77777777" w:rsidR="00646667" w:rsidRPr="00646667" w:rsidRDefault="00646667" w:rsidP="00646667">
      <w:pPr>
        <w:widowControl/>
        <w:numPr>
          <w:ilvl w:val="0"/>
          <w:numId w:val="3"/>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Chronic Disease Status:</w:t>
      </w:r>
      <w:r w:rsidRPr="00646667">
        <w:rPr>
          <w:rFonts w:ascii="Times New Roman" w:eastAsia="宋体" w:hAnsi="Times New Roman" w:cs="Times New Roman"/>
          <w:color w:val="000000" w:themeColor="text1"/>
          <w:kern w:val="0"/>
          <w:sz w:val="22"/>
        </w:rPr>
        <w:t> Chronic disease status was determined by self-reported physician diagnosis of any of the following 14 chronic conditions: hypertension, dyslipidemia, diabetes/high blood sugar, cancer, chronic lung disease, liver disease, heart disease, stroke, kidney disease, stomach/digestive disease, emotional/psychiatric problems, memory-related disease, arthritis/rheumatism, or asthma. Respondents were dichotomized into “With chronic disease” (at least one condition present) or “None.”</w:t>
      </w:r>
    </w:p>
    <w:p w14:paraId="7E817E08" w14:textId="77777777" w:rsidR="00646667" w:rsidRPr="00646667" w:rsidRDefault="00646667" w:rsidP="00646667">
      <w:pPr>
        <w:widowControl/>
        <w:shd w:val="clear" w:color="auto" w:fill="FFFFFF"/>
        <w:spacing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(2) Individual Lifestyle Factors</w:t>
      </w:r>
    </w:p>
    <w:p w14:paraId="48CCE82D" w14:textId="77777777" w:rsidR="00646667" w:rsidRPr="00646667" w:rsidRDefault="00646667" w:rsidP="00646667">
      <w:pPr>
        <w:widowControl/>
        <w:numPr>
          <w:ilvl w:val="0"/>
          <w:numId w:val="4"/>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Smoking Status:</w:t>
      </w:r>
      <w:r w:rsidRPr="00646667">
        <w:rPr>
          <w:rFonts w:ascii="Times New Roman" w:eastAsia="宋体" w:hAnsi="Times New Roman" w:cs="Times New Roman"/>
          <w:color w:val="000000" w:themeColor="text1"/>
          <w:kern w:val="0"/>
          <w:sz w:val="22"/>
        </w:rPr>
        <w:t> This was defined as “Yes” if the respondent reported having ever smoked.</w:t>
      </w:r>
    </w:p>
    <w:p w14:paraId="77F3D625" w14:textId="77777777" w:rsidR="00646667" w:rsidRPr="00646667" w:rsidRDefault="00646667" w:rsidP="00646667">
      <w:pPr>
        <w:widowControl/>
        <w:numPr>
          <w:ilvl w:val="0"/>
          <w:numId w:val="4"/>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Alcohol Consumption:</w:t>
      </w:r>
      <w:r w:rsidRPr="00646667">
        <w:rPr>
          <w:rFonts w:ascii="Times New Roman" w:eastAsia="宋体" w:hAnsi="Times New Roman" w:cs="Times New Roman"/>
          <w:color w:val="000000" w:themeColor="text1"/>
          <w:kern w:val="0"/>
          <w:sz w:val="22"/>
        </w:rPr>
        <w:t> This was defined as “Yes” if the respondent reported having ever consumed alcohol.</w:t>
      </w:r>
    </w:p>
    <w:p w14:paraId="606B3470" w14:textId="77777777" w:rsidR="00646667" w:rsidRPr="00646667" w:rsidRDefault="00646667" w:rsidP="00646667">
      <w:pPr>
        <w:widowControl/>
        <w:numPr>
          <w:ilvl w:val="0"/>
          <w:numId w:val="4"/>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Sleep Duration:</w:t>
      </w:r>
      <w:r w:rsidRPr="00646667">
        <w:rPr>
          <w:rFonts w:ascii="Times New Roman" w:eastAsia="宋体" w:hAnsi="Times New Roman" w:cs="Times New Roman"/>
          <w:color w:val="000000" w:themeColor="text1"/>
          <w:kern w:val="0"/>
          <w:sz w:val="22"/>
        </w:rPr>
        <w:t> This was measured as the self-reported average nightly sleep duration (hours) over the past month.</w:t>
      </w:r>
    </w:p>
    <w:p w14:paraId="0BC79537" w14:textId="77777777" w:rsidR="00646667" w:rsidRPr="00646667" w:rsidRDefault="00646667" w:rsidP="00646667">
      <w:pPr>
        <w:widowControl/>
        <w:numPr>
          <w:ilvl w:val="0"/>
          <w:numId w:val="4"/>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Physical Activity:</w:t>
      </w:r>
      <w:r w:rsidRPr="00646667">
        <w:rPr>
          <w:rFonts w:ascii="Times New Roman" w:eastAsia="宋体" w:hAnsi="Times New Roman" w:cs="Times New Roman"/>
          <w:color w:val="000000" w:themeColor="text1"/>
          <w:kern w:val="0"/>
          <w:sz w:val="22"/>
        </w:rPr>
        <w:t> Respondents were classified as “Yes” if they reported engaging in </w:t>
      </w:r>
      <w:r w:rsidRPr="00646667">
        <w:rPr>
          <w:rFonts w:ascii="Times New Roman" w:eastAsia="宋体" w:hAnsi="Times New Roman" w:cs="Times New Roman"/>
          <w:i/>
          <w:iCs/>
          <w:color w:val="000000" w:themeColor="text1"/>
          <w:kern w:val="0"/>
          <w:sz w:val="22"/>
        </w:rPr>
        <w:t>any</w:t>
      </w:r>
      <w:r w:rsidRPr="00646667">
        <w:rPr>
          <w:rFonts w:ascii="Times New Roman" w:eastAsia="宋体" w:hAnsi="Times New Roman" w:cs="Times New Roman"/>
          <w:color w:val="000000" w:themeColor="text1"/>
          <w:kern w:val="0"/>
          <w:sz w:val="22"/>
        </w:rPr>
        <w:t> of the following levels of physical activity:</w:t>
      </w:r>
      <w:r w:rsidRPr="00646667">
        <w:rPr>
          <w:rFonts w:ascii="Times New Roman" w:eastAsia="宋体" w:hAnsi="Times New Roman" w:cs="Times New Roman" w:hint="eastAsia"/>
          <w:color w:val="000000" w:themeColor="text1"/>
          <w:kern w:val="0"/>
          <w:sz w:val="22"/>
        </w:rPr>
        <w:t xml:space="preserve"> </w:t>
      </w:r>
      <w:r w:rsidRPr="00646667">
        <w:rPr>
          <w:rFonts w:ascii="Times New Roman" w:eastAsia="宋体" w:hAnsi="Times New Roman" w:cs="Times New Roman"/>
          <w:color w:val="000000" w:themeColor="text1"/>
          <w:kern w:val="0"/>
          <w:sz w:val="22"/>
        </w:rPr>
        <w:t>vigorous physical activity (VPA), which included</w:t>
      </w:r>
      <w:r w:rsidRPr="00646667">
        <w:rPr>
          <w:rFonts w:ascii="Times New Roman" w:eastAsia="宋体" w:hAnsi="Times New Roman" w:cs="Times New Roman"/>
          <w:b/>
          <w:bCs/>
          <w:color w:val="000000" w:themeColor="text1"/>
          <w:kern w:val="0"/>
          <w:sz w:val="22"/>
        </w:rPr>
        <w:t> </w:t>
      </w:r>
      <w:r w:rsidRPr="00646667">
        <w:rPr>
          <w:rFonts w:ascii="Times New Roman" w:eastAsia="宋体" w:hAnsi="Times New Roman" w:cs="Times New Roman"/>
          <w:color w:val="000000" w:themeColor="text1"/>
          <w:kern w:val="0"/>
          <w:sz w:val="22"/>
        </w:rPr>
        <w:t>activities causing heavy physical exertion and rapid breathing (e.g., heavy lifting, digging, plowing, aerobics, fast cycling, cycling with loads); moderate physical activity (MPA), which included</w:t>
      </w:r>
      <w:r w:rsidRPr="00646667">
        <w:rPr>
          <w:rFonts w:ascii="Times New Roman" w:eastAsia="宋体" w:hAnsi="Times New Roman" w:cs="Times New Roman"/>
          <w:b/>
          <w:bCs/>
          <w:color w:val="000000" w:themeColor="text1"/>
          <w:kern w:val="0"/>
          <w:sz w:val="22"/>
        </w:rPr>
        <w:t> </w:t>
      </w:r>
      <w:r w:rsidRPr="00646667">
        <w:rPr>
          <w:rFonts w:ascii="Times New Roman" w:eastAsia="宋体" w:hAnsi="Times New Roman" w:cs="Times New Roman"/>
          <w:color w:val="000000" w:themeColor="text1"/>
          <w:kern w:val="0"/>
          <w:sz w:val="22"/>
        </w:rPr>
        <w:t xml:space="preserve">activities causing moderate exertion and faster breathing than normal (e.g., carrying light loads, regular cycling, mopping, Tai Chi, brisk walking); and light physical activity (LPA), which included walking </w:t>
      </w:r>
      <w:r w:rsidRPr="00646667">
        <w:rPr>
          <w:rFonts w:ascii="Times New Roman" w:eastAsia="宋体" w:hAnsi="Times New Roman" w:cs="Times New Roman"/>
          <w:color w:val="000000" w:themeColor="text1"/>
          <w:kern w:val="0"/>
          <w:sz w:val="22"/>
        </w:rPr>
        <w:lastRenderedPageBreak/>
        <w:t>(including walking at work/home or for leisure/exercise). Respondents reporting </w:t>
      </w:r>
      <w:r w:rsidRPr="00646667">
        <w:rPr>
          <w:rFonts w:ascii="Times New Roman" w:eastAsia="宋体" w:hAnsi="Times New Roman" w:cs="Times New Roman"/>
          <w:i/>
          <w:iCs/>
          <w:color w:val="000000" w:themeColor="text1"/>
          <w:kern w:val="0"/>
          <w:sz w:val="22"/>
        </w:rPr>
        <w:t>no</w:t>
      </w:r>
      <w:r w:rsidRPr="00646667">
        <w:rPr>
          <w:rFonts w:ascii="Times New Roman" w:eastAsia="宋体" w:hAnsi="Times New Roman" w:cs="Times New Roman"/>
          <w:color w:val="000000" w:themeColor="text1"/>
          <w:kern w:val="0"/>
          <w:sz w:val="22"/>
        </w:rPr>
        <w:t> engagement in VPA, MPA, </w:t>
      </w:r>
      <w:r w:rsidRPr="00646667">
        <w:rPr>
          <w:rFonts w:ascii="Times New Roman" w:eastAsia="宋体" w:hAnsi="Times New Roman" w:cs="Times New Roman"/>
          <w:i/>
          <w:iCs/>
          <w:color w:val="000000" w:themeColor="text1"/>
          <w:kern w:val="0"/>
          <w:sz w:val="22"/>
        </w:rPr>
        <w:t>or</w:t>
      </w:r>
      <w:r w:rsidRPr="00646667">
        <w:rPr>
          <w:rFonts w:ascii="Times New Roman" w:eastAsia="宋体" w:hAnsi="Times New Roman" w:cs="Times New Roman"/>
          <w:color w:val="000000" w:themeColor="text1"/>
          <w:kern w:val="0"/>
          <w:sz w:val="22"/>
        </w:rPr>
        <w:t> LPA were classified as "No".</w:t>
      </w:r>
    </w:p>
    <w:p w14:paraId="02B4215F" w14:textId="77777777" w:rsidR="00646667" w:rsidRPr="00646667" w:rsidRDefault="00646667" w:rsidP="00646667">
      <w:pPr>
        <w:widowControl/>
        <w:shd w:val="clear" w:color="auto" w:fill="FFFFFF"/>
        <w:spacing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(3) Social and Community Networks</w:t>
      </w:r>
    </w:p>
    <w:p w14:paraId="5370EA70" w14:textId="77777777" w:rsidR="00646667" w:rsidRPr="00646667" w:rsidRDefault="00646667" w:rsidP="00646667">
      <w:pPr>
        <w:widowControl/>
        <w:numPr>
          <w:ilvl w:val="0"/>
          <w:numId w:val="5"/>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Marital Status:</w:t>
      </w:r>
      <w:r w:rsidRPr="00646667">
        <w:rPr>
          <w:rFonts w:ascii="Times New Roman" w:eastAsia="宋体" w:hAnsi="Times New Roman" w:cs="Times New Roman"/>
          <w:color w:val="000000" w:themeColor="text1"/>
          <w:kern w:val="0"/>
          <w:sz w:val="22"/>
        </w:rPr>
        <w:t> This was categorized as “Married” (currently married) or “Other” (separated, divorced, widowed, never married).</w:t>
      </w:r>
    </w:p>
    <w:p w14:paraId="2DDEBBFC" w14:textId="77777777" w:rsidR="00646667" w:rsidRPr="00646667" w:rsidRDefault="00646667" w:rsidP="00646667">
      <w:pPr>
        <w:widowControl/>
        <w:numPr>
          <w:ilvl w:val="0"/>
          <w:numId w:val="5"/>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Household Size:</w:t>
      </w:r>
      <w:r w:rsidRPr="00646667">
        <w:rPr>
          <w:rFonts w:ascii="Times New Roman" w:eastAsia="宋体" w:hAnsi="Times New Roman" w:cs="Times New Roman"/>
          <w:color w:val="000000" w:themeColor="text1"/>
          <w:kern w:val="0"/>
          <w:sz w:val="22"/>
        </w:rPr>
        <w:t> This was measured as the total number of household members, derived from responses to the question identifying household members.</w:t>
      </w:r>
    </w:p>
    <w:p w14:paraId="54DE6F3D" w14:textId="77777777" w:rsidR="00646667" w:rsidRPr="00646667" w:rsidRDefault="00646667" w:rsidP="00646667">
      <w:pPr>
        <w:widowControl/>
        <w:numPr>
          <w:ilvl w:val="0"/>
          <w:numId w:val="5"/>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Social Activity Participation:</w:t>
      </w:r>
      <w:r w:rsidRPr="00646667">
        <w:rPr>
          <w:rFonts w:ascii="Times New Roman" w:eastAsia="宋体" w:hAnsi="Times New Roman" w:cs="Times New Roman"/>
          <w:color w:val="000000" w:themeColor="text1"/>
          <w:kern w:val="0"/>
          <w:sz w:val="22"/>
        </w:rPr>
        <w:t> This was measured as the count of participation (yes/no) in the following 11 distinct social activities over the past month: (1) interacting with friends; 2) playing Mahjong, chess, cards, or visiting community centers; 3) helping non-cohabiting relatives, friends, or neighbors; 4) dancing, exercising, or Qigong; 5) participating in community organization activities; 6) volunteering or charity work; 7) caring for non-cohabiting sick or disabled individuals; 8) attending school or training courses; 9) stock trading; 10) using the internet; 11) other social activities.</w:t>
      </w:r>
    </w:p>
    <w:p w14:paraId="745E55F1" w14:textId="77777777" w:rsidR="00646667" w:rsidRPr="00646667" w:rsidRDefault="00646667" w:rsidP="00646667">
      <w:pPr>
        <w:widowControl/>
        <w:shd w:val="clear" w:color="auto" w:fill="FFFFFF"/>
        <w:spacing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(4) Education and Social Security</w:t>
      </w:r>
    </w:p>
    <w:p w14:paraId="6213F622" w14:textId="77777777" w:rsidR="00646667" w:rsidRPr="00646667" w:rsidRDefault="00646667" w:rsidP="00646667">
      <w:pPr>
        <w:widowControl/>
        <w:numPr>
          <w:ilvl w:val="0"/>
          <w:numId w:val="6"/>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Educational Attainment:</w:t>
      </w:r>
      <w:r w:rsidRPr="00646667">
        <w:rPr>
          <w:rFonts w:ascii="Times New Roman" w:eastAsia="宋体" w:hAnsi="Times New Roman" w:cs="Times New Roman"/>
          <w:color w:val="000000" w:themeColor="text1"/>
          <w:kern w:val="0"/>
          <w:sz w:val="22"/>
        </w:rPr>
        <w:t> This was categorized as “Primary school or below” (illiterate, did not finish primary school, private school, primary school graduate) or “Above primary school” (junior high graduate, high school graduate, technical secondary school graduate, college graduate, university graduate, Master’s graduate, PhD graduate).</w:t>
      </w:r>
    </w:p>
    <w:p w14:paraId="32D672A9" w14:textId="77777777" w:rsidR="00646667" w:rsidRPr="00646667" w:rsidRDefault="00646667" w:rsidP="00646667">
      <w:pPr>
        <w:widowControl/>
        <w:numPr>
          <w:ilvl w:val="0"/>
          <w:numId w:val="6"/>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Health Insurance Coverage:</w:t>
      </w:r>
      <w:r w:rsidRPr="00646667">
        <w:rPr>
          <w:rFonts w:ascii="Times New Roman" w:eastAsia="宋体" w:hAnsi="Times New Roman" w:cs="Times New Roman"/>
          <w:color w:val="000000" w:themeColor="text1"/>
          <w:kern w:val="0"/>
          <w:sz w:val="22"/>
        </w:rPr>
        <w:t> This was defined as “Yes” if the participant was covered by any of the following: Urban Employee Basic Medical Insurance, Urban Resident Basic Medical Insurance, New Rural Cooperative Medical Scheme, Urban and Rural Resident Basic Medical Insurance, Government Medical Insurance, Employer-purchased Commercial Medical Insurance, Individually-purchased Commercial Medical Insurance, or other medical insurance. “No” indicates no coverage.</w:t>
      </w:r>
    </w:p>
    <w:p w14:paraId="67F97DFB" w14:textId="77777777" w:rsidR="00646667" w:rsidRPr="00646667" w:rsidRDefault="00646667" w:rsidP="00646667">
      <w:pPr>
        <w:widowControl/>
        <w:numPr>
          <w:ilvl w:val="0"/>
          <w:numId w:val="6"/>
        </w:numPr>
        <w:shd w:val="clear" w:color="auto" w:fill="FFFFFF"/>
        <w:spacing w:after="160"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lastRenderedPageBreak/>
        <w:t>Pension Coverage:</w:t>
      </w:r>
      <w:r w:rsidRPr="00646667">
        <w:rPr>
          <w:rFonts w:ascii="Times New Roman" w:eastAsia="宋体" w:hAnsi="Times New Roman" w:cs="Times New Roman"/>
          <w:color w:val="000000" w:themeColor="text1"/>
          <w:kern w:val="0"/>
          <w:sz w:val="22"/>
        </w:rPr>
        <w:t> This was defined as “Yes” if the participant was receiving from or contributing to any of the following pension schemes: Enterprise Supplementary Pension, Urban-Rural Resident Pension, Old Rural Pension (Lao Nong Bao), Urban Resident Pension, Commercial Pension, High Age Subsidy (excluding government/institution retirement salary), Government Institution Pension Insurance, Enterprise Basic Pension Insurance, Enterprise Supplementary Pension Insurance, Commercial Pension Insurance, Rural Pension Insurance (Lao Nong Bao), Urban-Rural Resident Pension Insurance (excluding government/institution and enterprise basic pension), or New Rural Social Pension Insurance. “No” indicates no participation in any of the listed schemes.</w:t>
      </w:r>
    </w:p>
    <w:p w14:paraId="6962F60D" w14:textId="77777777" w:rsidR="00646667" w:rsidRPr="00646667" w:rsidRDefault="00646667" w:rsidP="00646667">
      <w:pPr>
        <w:widowControl/>
        <w:shd w:val="clear" w:color="auto" w:fill="FFFFFF"/>
        <w:spacing w:line="360" w:lineRule="auto"/>
        <w:jc w:val="left"/>
        <w:rPr>
          <w:rFonts w:ascii="Times New Roman" w:eastAsia="宋体" w:hAnsi="Times New Roman" w:cs="Times New Roman"/>
          <w:color w:val="000000" w:themeColor="text1"/>
          <w:kern w:val="0"/>
          <w:sz w:val="22"/>
        </w:rPr>
      </w:pPr>
      <w:r w:rsidRPr="00646667">
        <w:rPr>
          <w:rFonts w:ascii="Times New Roman" w:eastAsia="宋体" w:hAnsi="Times New Roman" w:cs="Times New Roman"/>
          <w:b/>
          <w:bCs/>
          <w:color w:val="000000" w:themeColor="text1"/>
          <w:kern w:val="0"/>
          <w:sz w:val="22"/>
        </w:rPr>
        <w:t>(5) General Socioeconomic, Cultural, and Environmental Conditions</w:t>
      </w:r>
    </w:p>
    <w:p w14:paraId="148631D5" w14:textId="77777777" w:rsidR="00646667" w:rsidRPr="00646667" w:rsidRDefault="00646667" w:rsidP="00646667">
      <w:pPr>
        <w:numPr>
          <w:ilvl w:val="0"/>
          <w:numId w:val="8"/>
        </w:numPr>
        <w:spacing w:after="160" w:line="360" w:lineRule="auto"/>
        <w:contextualSpacing/>
        <w:jc w:val="left"/>
        <w:rPr>
          <w:rFonts w:ascii="Times New Roman" w:hAnsi="Times New Roman" w:cs="Times New Roman"/>
          <w:color w:val="000000" w:themeColor="text1"/>
          <w:sz w:val="22"/>
          <w14:ligatures w14:val="standardContextual"/>
        </w:rPr>
      </w:pPr>
      <w:r w:rsidRPr="00646667">
        <w:rPr>
          <w:rFonts w:ascii="Times New Roman" w:hAnsi="Times New Roman" w:cs="Times New Roman" w:hint="eastAsia"/>
          <w:b/>
          <w:bCs/>
          <w:color w:val="000000" w:themeColor="text1"/>
          <w:sz w:val="22"/>
          <w14:ligatures w14:val="standardContextual"/>
        </w:rPr>
        <w:t>Wastewater Treatment Rate (%):</w:t>
      </w:r>
      <w:r w:rsidRPr="00646667">
        <w:rPr>
          <w:rFonts w:ascii="Times New Roman" w:hAnsi="Times New Roman" w:cs="Times New Roman" w:hint="eastAsia"/>
          <w:color w:val="000000" w:themeColor="text1"/>
          <w:sz w:val="22"/>
          <w14:ligatures w14:val="standardContextual"/>
        </w:rPr>
        <w:t xml:space="preserve"> Proportion of wastewater treated</w:t>
      </w:r>
    </w:p>
    <w:p w14:paraId="7B327B70" w14:textId="77777777" w:rsidR="00646667" w:rsidRPr="00646667" w:rsidRDefault="00646667" w:rsidP="00646667">
      <w:pPr>
        <w:numPr>
          <w:ilvl w:val="0"/>
          <w:numId w:val="8"/>
        </w:numPr>
        <w:spacing w:after="160" w:line="360" w:lineRule="auto"/>
        <w:contextualSpacing/>
        <w:jc w:val="left"/>
        <w:rPr>
          <w:rFonts w:ascii="Times New Roman" w:hAnsi="Times New Roman" w:cs="Times New Roman"/>
          <w:color w:val="000000" w:themeColor="text1"/>
          <w:sz w:val="22"/>
          <w14:ligatures w14:val="standardContextual"/>
        </w:rPr>
      </w:pPr>
      <w:r w:rsidRPr="00646667">
        <w:rPr>
          <w:rFonts w:ascii="Times New Roman" w:hAnsi="Times New Roman" w:cs="Times New Roman" w:hint="eastAsia"/>
          <w:b/>
          <w:bCs/>
          <w:color w:val="000000" w:themeColor="text1"/>
          <w:sz w:val="22"/>
          <w14:ligatures w14:val="standardContextual"/>
        </w:rPr>
        <w:t xml:space="preserve">Built-up Area Green Coverage Rate (%): </w:t>
      </w:r>
      <w:r w:rsidRPr="00646667">
        <w:rPr>
          <w:rFonts w:ascii="Times New Roman" w:hAnsi="Times New Roman" w:cs="Times New Roman" w:hint="eastAsia"/>
          <w:color w:val="000000" w:themeColor="text1"/>
          <w:sz w:val="22"/>
          <w14:ligatures w14:val="standardContextual"/>
        </w:rPr>
        <w:t>Green coverage rate in urban built-up areas</w:t>
      </w:r>
    </w:p>
    <w:p w14:paraId="5AB66754" w14:textId="77777777" w:rsidR="00646667" w:rsidRPr="00646667" w:rsidRDefault="00646667" w:rsidP="00646667">
      <w:pPr>
        <w:numPr>
          <w:ilvl w:val="0"/>
          <w:numId w:val="8"/>
        </w:numPr>
        <w:spacing w:after="160" w:line="360" w:lineRule="auto"/>
        <w:contextualSpacing/>
        <w:jc w:val="left"/>
        <w:rPr>
          <w:rFonts w:ascii="Times New Roman" w:hAnsi="Times New Roman" w:cs="Times New Roman"/>
          <w:color w:val="000000" w:themeColor="text1"/>
          <w:sz w:val="22"/>
          <w14:ligatures w14:val="standardContextual"/>
        </w:rPr>
      </w:pPr>
      <w:r w:rsidRPr="00646667">
        <w:rPr>
          <w:rFonts w:ascii="Times New Roman" w:hAnsi="Times New Roman" w:cs="Times New Roman" w:hint="eastAsia"/>
          <w:b/>
          <w:bCs/>
          <w:color w:val="000000" w:themeColor="text1"/>
          <w:sz w:val="22"/>
          <w14:ligatures w14:val="standardContextual"/>
        </w:rPr>
        <w:t xml:space="preserve">Domestic Waste Treatment Rate (%): </w:t>
      </w:r>
      <w:r w:rsidRPr="00646667">
        <w:rPr>
          <w:rFonts w:ascii="Times New Roman" w:hAnsi="Times New Roman" w:cs="Times New Roman" w:hint="eastAsia"/>
          <w:color w:val="000000" w:themeColor="text1"/>
          <w:sz w:val="22"/>
          <w14:ligatures w14:val="standardContextual"/>
        </w:rPr>
        <w:t>Proportion of domestic waste treated</w:t>
      </w:r>
    </w:p>
    <w:p w14:paraId="22A6F43C" w14:textId="77777777" w:rsidR="00646667" w:rsidRPr="00646667" w:rsidRDefault="00646667" w:rsidP="00646667">
      <w:pPr>
        <w:spacing w:line="360" w:lineRule="auto"/>
        <w:ind w:firstLineChars="200" w:firstLine="440"/>
        <w:rPr>
          <w:rFonts w:ascii="Times New Roman" w:hAnsi="Times New Roman" w:cs="Times New Roman"/>
          <w:color w:val="000000" w:themeColor="text1"/>
          <w:sz w:val="22"/>
        </w:rPr>
      </w:pPr>
      <w:r w:rsidRPr="00646667">
        <w:rPr>
          <w:rFonts w:ascii="Times New Roman" w:hAnsi="Times New Roman" w:cs="Times New Roman" w:hint="eastAsia"/>
          <w:color w:val="000000" w:themeColor="text1"/>
          <w:sz w:val="22"/>
        </w:rPr>
        <w:t>These indicators were extracted from the China Urban Construction Statistical Yearbooks (2013 and 2015) compiled by the Ministry of Housing and Urban-Rural Development of the People</w:t>
      </w:r>
      <w:r w:rsidRPr="00646667">
        <w:rPr>
          <w:rFonts w:ascii="Times New Roman" w:hAnsi="Times New Roman" w:cs="Times New Roman" w:hint="eastAsia"/>
          <w:color w:val="000000" w:themeColor="text1"/>
          <w:sz w:val="22"/>
        </w:rPr>
        <w:t>’</w:t>
      </w:r>
      <w:r w:rsidRPr="00646667">
        <w:rPr>
          <w:rFonts w:ascii="Times New Roman" w:hAnsi="Times New Roman" w:cs="Times New Roman" w:hint="eastAsia"/>
          <w:color w:val="000000" w:themeColor="text1"/>
          <w:sz w:val="22"/>
        </w:rPr>
        <w:t>s Republic of China (MOHURD) [5]. Data were matched to CHARLS respondents on</w:t>
      </w:r>
      <w:r w:rsidRPr="00646667">
        <w:rPr>
          <w:rFonts w:ascii="Times New Roman" w:hAnsi="Times New Roman" w:cs="Times New Roman"/>
          <w:color w:val="000000" w:themeColor="text1"/>
          <w:sz w:val="22"/>
        </w:rPr>
        <w:t xml:space="preserve"> the basis of</w:t>
      </w:r>
      <w:r w:rsidRPr="00646667">
        <w:rPr>
          <w:rFonts w:ascii="Times New Roman" w:hAnsi="Times New Roman" w:cs="Times New Roman" w:hint="eastAsia"/>
          <w:color w:val="000000" w:themeColor="text1"/>
          <w:sz w:val="22"/>
        </w:rPr>
        <w:t xml:space="preserve"> their city of residence.</w:t>
      </w:r>
    </w:p>
    <w:p w14:paraId="79F458CB" w14:textId="77777777" w:rsidR="00646667" w:rsidRPr="00646667" w:rsidRDefault="00646667" w:rsidP="00646667">
      <w:pPr>
        <w:widowControl/>
        <w:spacing w:after="160" w:line="278" w:lineRule="auto"/>
        <w:jc w:val="left"/>
        <w:rPr>
          <w:rFonts w:ascii="Times New Roman" w:eastAsia="宋体" w:hAnsi="Times New Roman" w:cs="Times New Roman"/>
          <w:color w:val="000000" w:themeColor="text1"/>
          <w:kern w:val="0"/>
          <w:sz w:val="22"/>
        </w:rPr>
      </w:pPr>
      <w:r w:rsidRPr="00646667">
        <w:rPr>
          <w:rFonts w:ascii="Times New Roman" w:hAnsi="Times New Roman" w:cs="Times New Roman"/>
          <w:color w:val="000000" w:themeColor="text1"/>
          <w:sz w:val="22"/>
        </w:rPr>
        <w:br w:type="page"/>
      </w:r>
    </w:p>
    <w:p w14:paraId="4839699D" w14:textId="4CC8359E" w:rsidR="006D2AD6" w:rsidRPr="006D2AD6" w:rsidRDefault="006D2AD6" w:rsidP="006D2AD6">
      <w:pPr>
        <w:spacing w:line="360" w:lineRule="auto"/>
        <w:rPr>
          <w:rFonts w:ascii="Times New Roman" w:eastAsia="宋体" w:hAnsi="Times New Roman"/>
          <w:b/>
          <w:bCs/>
          <w14:ligatures w14:val="standardContextual"/>
        </w:rPr>
      </w:pPr>
      <w:r w:rsidRPr="006D2AD6">
        <w:rPr>
          <w:rFonts w:ascii="Times New Roman" w:eastAsia="宋体" w:hAnsi="Times New Roman" w:hint="eastAsia"/>
          <w:b/>
          <w:bCs/>
          <w14:ligatures w14:val="standardContextual"/>
        </w:rPr>
        <w:lastRenderedPageBreak/>
        <w:t>eResults</w:t>
      </w:r>
    </w:p>
    <w:p w14:paraId="2DFF4A06" w14:textId="39067814" w:rsidR="00646667" w:rsidRPr="00646667" w:rsidRDefault="00646667" w:rsidP="00646667">
      <w:pPr>
        <w:spacing w:line="360" w:lineRule="auto"/>
        <w:jc w:val="center"/>
        <w:rPr>
          <w:rFonts w:ascii="Times New Roman" w:eastAsia="宋体" w:hAnsi="Times New Roman"/>
          <w14:ligatures w14:val="standardContextual"/>
        </w:rPr>
      </w:pPr>
      <w:r w:rsidRPr="00646667">
        <w:rPr>
          <w:rFonts w:ascii="Times New Roman" w:eastAsia="宋体" w:hAnsi="Times New Roman" w:hint="eastAsia"/>
          <w14:ligatures w14:val="standardContextual"/>
        </w:rPr>
        <w:t xml:space="preserve">eTable 1. Characteristics of the </w:t>
      </w:r>
      <w:r w:rsidRPr="00646667">
        <w:rPr>
          <w:rFonts w:ascii="Times New Roman" w:eastAsia="宋体" w:hAnsi="Times New Roman"/>
          <w14:ligatures w14:val="standardContextual"/>
        </w:rPr>
        <w:t>Older Adults</w:t>
      </w:r>
      <w:r w:rsidRPr="00646667">
        <w:rPr>
          <w:rFonts w:ascii="Times New Roman" w:eastAsia="宋体" w:hAnsi="Times New Roman" w:hint="eastAsia"/>
          <w14:ligatures w14:val="standardContextual"/>
        </w:rPr>
        <w:t xml:space="preserve"> in 2015</w:t>
      </w:r>
    </w:p>
    <w:tbl>
      <w:tblPr>
        <w:tblW w:w="10192" w:type="dxa"/>
        <w:jc w:val="center"/>
        <w:tblLook w:val="04A0" w:firstRow="1" w:lastRow="0" w:firstColumn="1" w:lastColumn="0" w:noHBand="0" w:noVBand="1"/>
      </w:tblPr>
      <w:tblGrid>
        <w:gridCol w:w="1705"/>
        <w:gridCol w:w="1121"/>
        <w:gridCol w:w="1905"/>
        <w:gridCol w:w="1905"/>
        <w:gridCol w:w="1826"/>
        <w:gridCol w:w="924"/>
        <w:gridCol w:w="806"/>
      </w:tblGrid>
      <w:tr w:rsidR="00646667" w:rsidRPr="00646667" w14:paraId="4A0F0865" w14:textId="77777777" w:rsidTr="00DA1A0F">
        <w:trPr>
          <w:trHeight w:val="276"/>
          <w:jc w:val="center"/>
        </w:trPr>
        <w:tc>
          <w:tcPr>
            <w:tcW w:w="1705" w:type="dxa"/>
            <w:tcBorders>
              <w:top w:val="single" w:sz="4" w:space="0" w:color="auto"/>
              <w:left w:val="nil"/>
              <w:bottom w:val="single" w:sz="4" w:space="0" w:color="auto"/>
              <w:right w:val="nil"/>
            </w:tcBorders>
            <w:vAlign w:val="center"/>
            <w:hideMark/>
          </w:tcPr>
          <w:p w14:paraId="35C79FC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Variable</w:t>
            </w:r>
          </w:p>
        </w:tc>
        <w:tc>
          <w:tcPr>
            <w:tcW w:w="1121" w:type="dxa"/>
            <w:tcBorders>
              <w:top w:val="single" w:sz="4" w:space="0" w:color="auto"/>
              <w:left w:val="nil"/>
              <w:bottom w:val="single" w:sz="4" w:space="0" w:color="auto"/>
              <w:right w:val="nil"/>
            </w:tcBorders>
            <w:vAlign w:val="center"/>
            <w:hideMark/>
          </w:tcPr>
          <w:p w14:paraId="46492F5E"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top w:val="single" w:sz="4" w:space="0" w:color="auto"/>
              <w:left w:val="nil"/>
              <w:bottom w:val="single" w:sz="4" w:space="0" w:color="auto"/>
              <w:right w:val="nil"/>
            </w:tcBorders>
            <w:vAlign w:val="center"/>
            <w:hideMark/>
          </w:tcPr>
          <w:p w14:paraId="00AB0B1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 xml:space="preserve">Total (N = </w:t>
            </w:r>
            <w:r w:rsidRPr="00646667">
              <w:rPr>
                <w:rFonts w:ascii="Times New Roman" w:eastAsia="宋体" w:hAnsi="Times New Roman" w:cs="Times New Roman" w:hint="eastAsia"/>
                <w:color w:val="000000"/>
                <w:kern w:val="0"/>
                <w:szCs w:val="20"/>
              </w:rPr>
              <w:t>7695</w:t>
            </w:r>
            <w:r w:rsidRPr="00646667">
              <w:rPr>
                <w:rFonts w:ascii="Times New Roman" w:eastAsia="宋体" w:hAnsi="Times New Roman" w:cs="Times New Roman"/>
                <w:color w:val="000000"/>
                <w:kern w:val="0"/>
                <w:szCs w:val="20"/>
              </w:rPr>
              <w:t>)</w:t>
            </w:r>
          </w:p>
        </w:tc>
        <w:tc>
          <w:tcPr>
            <w:tcW w:w="1905" w:type="dxa"/>
            <w:tcBorders>
              <w:top w:val="single" w:sz="4" w:space="0" w:color="auto"/>
              <w:left w:val="nil"/>
              <w:bottom w:val="single" w:sz="4" w:space="0" w:color="auto"/>
              <w:right w:val="nil"/>
            </w:tcBorders>
            <w:vAlign w:val="center"/>
            <w:hideMark/>
          </w:tcPr>
          <w:p w14:paraId="3CD4E79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Urban (n = 2886)</w:t>
            </w:r>
          </w:p>
        </w:tc>
        <w:tc>
          <w:tcPr>
            <w:tcW w:w="1826" w:type="dxa"/>
            <w:tcBorders>
              <w:top w:val="single" w:sz="4" w:space="0" w:color="auto"/>
              <w:left w:val="nil"/>
              <w:bottom w:val="single" w:sz="4" w:space="0" w:color="auto"/>
              <w:right w:val="nil"/>
            </w:tcBorders>
            <w:vAlign w:val="center"/>
            <w:hideMark/>
          </w:tcPr>
          <w:p w14:paraId="4EC65AB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 xml:space="preserve">Rural (n = </w:t>
            </w:r>
            <w:r w:rsidRPr="00646667">
              <w:rPr>
                <w:rFonts w:ascii="Times New Roman" w:eastAsia="宋体" w:hAnsi="Times New Roman" w:cs="Times New Roman" w:hint="eastAsia"/>
                <w:color w:val="000000"/>
                <w:kern w:val="0"/>
                <w:szCs w:val="20"/>
              </w:rPr>
              <w:t>4809</w:t>
            </w:r>
            <w:r w:rsidRPr="00646667">
              <w:rPr>
                <w:rFonts w:ascii="Times New Roman" w:eastAsia="宋体" w:hAnsi="Times New Roman" w:cs="Times New Roman"/>
                <w:color w:val="000000"/>
                <w:kern w:val="0"/>
                <w:szCs w:val="20"/>
              </w:rPr>
              <w:t>)</w:t>
            </w:r>
          </w:p>
        </w:tc>
        <w:tc>
          <w:tcPr>
            <w:tcW w:w="924" w:type="dxa"/>
            <w:tcBorders>
              <w:top w:val="single" w:sz="4" w:space="0" w:color="auto"/>
              <w:left w:val="nil"/>
              <w:bottom w:val="single" w:sz="4" w:space="0" w:color="auto"/>
              <w:right w:val="nil"/>
            </w:tcBorders>
            <w:vAlign w:val="center"/>
            <w:hideMark/>
          </w:tcPr>
          <w:p w14:paraId="2A92D3E8"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t/χ</w:t>
            </w:r>
            <w:r w:rsidRPr="00646667">
              <w:rPr>
                <w:rFonts w:ascii="Times New Roman" w:eastAsia="宋体" w:hAnsi="Times New Roman" w:cs="Times New Roman"/>
                <w:color w:val="000000"/>
                <w:kern w:val="0"/>
                <w:szCs w:val="20"/>
                <w:vertAlign w:val="superscript"/>
              </w:rPr>
              <w:t>2</w:t>
            </w:r>
          </w:p>
        </w:tc>
        <w:tc>
          <w:tcPr>
            <w:tcW w:w="806" w:type="dxa"/>
            <w:tcBorders>
              <w:top w:val="single" w:sz="4" w:space="0" w:color="auto"/>
              <w:left w:val="nil"/>
              <w:bottom w:val="single" w:sz="4" w:space="0" w:color="auto"/>
              <w:right w:val="nil"/>
            </w:tcBorders>
            <w:vAlign w:val="center"/>
            <w:hideMark/>
          </w:tcPr>
          <w:p w14:paraId="5DD8325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p</w:t>
            </w:r>
          </w:p>
        </w:tc>
      </w:tr>
      <w:tr w:rsidR="00646667" w:rsidRPr="00646667" w14:paraId="5465B523" w14:textId="77777777" w:rsidTr="00DA1A0F">
        <w:trPr>
          <w:trHeight w:val="276"/>
          <w:jc w:val="center"/>
        </w:trPr>
        <w:tc>
          <w:tcPr>
            <w:tcW w:w="1705" w:type="dxa"/>
            <w:tcBorders>
              <w:top w:val="nil"/>
              <w:left w:val="nil"/>
              <w:bottom w:val="nil"/>
              <w:right w:val="nil"/>
            </w:tcBorders>
            <w:vAlign w:val="center"/>
            <w:hideMark/>
          </w:tcPr>
          <w:p w14:paraId="3DC1E2A8"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Age (years)</w:t>
            </w:r>
          </w:p>
        </w:tc>
        <w:tc>
          <w:tcPr>
            <w:tcW w:w="1121" w:type="dxa"/>
            <w:tcBorders>
              <w:top w:val="nil"/>
              <w:left w:val="nil"/>
              <w:bottom w:val="nil"/>
              <w:right w:val="nil"/>
            </w:tcBorders>
            <w:vAlign w:val="center"/>
            <w:hideMark/>
          </w:tcPr>
          <w:p w14:paraId="52212A4F"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top w:val="none" w:sz="0" w:space="0" w:color="000000"/>
              <w:left w:val="none" w:sz="0" w:space="0" w:color="000000"/>
              <w:bottom w:val="none" w:sz="0" w:space="0" w:color="000000"/>
              <w:right w:val="none" w:sz="0" w:space="0" w:color="000000"/>
            </w:tcBorders>
            <w:shd w:val="clear" w:color="auto" w:fill="FFFFFF"/>
            <w:vAlign w:val="center"/>
          </w:tcPr>
          <w:p w14:paraId="5D610C63"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70.11±6.73</w:t>
            </w:r>
          </w:p>
        </w:tc>
        <w:tc>
          <w:tcPr>
            <w:tcW w:w="1905" w:type="dxa"/>
            <w:tcBorders>
              <w:top w:val="none" w:sz="0" w:space="0" w:color="000000"/>
              <w:left w:val="none" w:sz="0" w:space="0" w:color="000000"/>
              <w:bottom w:val="none" w:sz="0" w:space="0" w:color="000000"/>
              <w:right w:val="none" w:sz="0" w:space="0" w:color="000000"/>
            </w:tcBorders>
            <w:shd w:val="clear" w:color="auto" w:fill="FFFFFF"/>
            <w:vAlign w:val="center"/>
          </w:tcPr>
          <w:p w14:paraId="6F251D2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70.30±6.87</w:t>
            </w:r>
          </w:p>
        </w:tc>
        <w:tc>
          <w:tcPr>
            <w:tcW w:w="1826" w:type="dxa"/>
            <w:tcBorders>
              <w:top w:val="none" w:sz="0" w:space="0" w:color="000000"/>
              <w:left w:val="none" w:sz="0" w:space="0" w:color="000000"/>
              <w:bottom w:val="none" w:sz="0" w:space="0" w:color="000000"/>
              <w:right w:val="none" w:sz="0" w:space="0" w:color="000000"/>
            </w:tcBorders>
            <w:shd w:val="clear" w:color="auto" w:fill="FFFFFF"/>
            <w:vAlign w:val="center"/>
          </w:tcPr>
          <w:p w14:paraId="7DDD918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69.99±6.64</w:t>
            </w:r>
          </w:p>
        </w:tc>
        <w:tc>
          <w:tcPr>
            <w:tcW w:w="924" w:type="dxa"/>
            <w:tcBorders>
              <w:top w:val="none" w:sz="0" w:space="0" w:color="000000"/>
              <w:left w:val="none" w:sz="0" w:space="0" w:color="000000"/>
              <w:bottom w:val="none" w:sz="0" w:space="0" w:color="000000"/>
              <w:right w:val="none" w:sz="0" w:space="0" w:color="000000"/>
            </w:tcBorders>
            <w:shd w:val="clear" w:color="auto" w:fill="FFFFFF"/>
            <w:vAlign w:val="center"/>
          </w:tcPr>
          <w:p w14:paraId="3823DE67"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eastAsia="Arial" w:hAnsi="Times New Roman" w:cs="Times New Roman"/>
                <w:color w:val="000000"/>
                <w:sz w:val="20"/>
                <w:szCs w:val="20"/>
              </w:rPr>
              <w:t>1.906</w:t>
            </w:r>
          </w:p>
        </w:tc>
        <w:tc>
          <w:tcPr>
            <w:tcW w:w="806" w:type="dxa"/>
            <w:tcBorders>
              <w:top w:val="none" w:sz="0" w:space="0" w:color="000000"/>
              <w:left w:val="none" w:sz="0" w:space="0" w:color="000000"/>
              <w:bottom w:val="none" w:sz="0" w:space="0" w:color="000000"/>
              <w:right w:val="none" w:sz="0" w:space="0" w:color="000000"/>
            </w:tcBorders>
            <w:shd w:val="clear" w:color="auto" w:fill="FFFFFF"/>
            <w:vAlign w:val="center"/>
          </w:tcPr>
          <w:p w14:paraId="5317D57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0.057</w:t>
            </w:r>
          </w:p>
        </w:tc>
      </w:tr>
      <w:tr w:rsidR="00646667" w:rsidRPr="00646667" w14:paraId="211EFE41" w14:textId="77777777" w:rsidTr="00DA1A0F">
        <w:trPr>
          <w:trHeight w:val="276"/>
          <w:jc w:val="center"/>
        </w:trPr>
        <w:tc>
          <w:tcPr>
            <w:tcW w:w="1705" w:type="dxa"/>
            <w:tcBorders>
              <w:top w:val="nil"/>
              <w:left w:val="nil"/>
              <w:bottom w:val="nil"/>
              <w:right w:val="nil"/>
            </w:tcBorders>
            <w:vAlign w:val="center"/>
            <w:hideMark/>
          </w:tcPr>
          <w:p w14:paraId="5CE2D74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Sex (%)</w:t>
            </w:r>
          </w:p>
        </w:tc>
        <w:tc>
          <w:tcPr>
            <w:tcW w:w="1121" w:type="dxa"/>
            <w:tcBorders>
              <w:top w:val="nil"/>
              <w:left w:val="nil"/>
              <w:bottom w:val="nil"/>
              <w:right w:val="nil"/>
            </w:tcBorders>
            <w:vAlign w:val="center"/>
            <w:hideMark/>
          </w:tcPr>
          <w:p w14:paraId="056AB224"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Male</w:t>
            </w:r>
          </w:p>
        </w:tc>
        <w:tc>
          <w:tcPr>
            <w:tcW w:w="1905" w:type="dxa"/>
            <w:tcBorders>
              <w:top w:val="none" w:sz="0" w:space="0" w:color="000000"/>
              <w:left w:val="none" w:sz="0" w:space="0" w:color="000000"/>
              <w:bottom w:val="none" w:sz="0" w:space="0" w:color="000000"/>
              <w:right w:val="none" w:sz="0" w:space="0" w:color="000000"/>
            </w:tcBorders>
            <w:shd w:val="clear" w:color="auto" w:fill="FFFFFF"/>
            <w:vAlign w:val="center"/>
          </w:tcPr>
          <w:p w14:paraId="6940CAA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3818(49.6%)</w:t>
            </w:r>
          </w:p>
        </w:tc>
        <w:tc>
          <w:tcPr>
            <w:tcW w:w="1905" w:type="dxa"/>
            <w:tcBorders>
              <w:top w:val="none" w:sz="0" w:space="0" w:color="000000"/>
              <w:left w:val="none" w:sz="0" w:space="0" w:color="000000"/>
              <w:bottom w:val="none" w:sz="0" w:space="0" w:color="000000"/>
              <w:right w:val="none" w:sz="0" w:space="0" w:color="000000"/>
            </w:tcBorders>
            <w:shd w:val="clear" w:color="auto" w:fill="FFFFFF"/>
            <w:vAlign w:val="center"/>
          </w:tcPr>
          <w:p w14:paraId="75AB054A"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1405(48.7%)</w:t>
            </w:r>
          </w:p>
        </w:tc>
        <w:tc>
          <w:tcPr>
            <w:tcW w:w="1826" w:type="dxa"/>
            <w:tcBorders>
              <w:top w:val="none" w:sz="0" w:space="0" w:color="000000"/>
              <w:left w:val="none" w:sz="0" w:space="0" w:color="000000"/>
              <w:bottom w:val="none" w:sz="0" w:space="0" w:color="000000"/>
              <w:right w:val="none" w:sz="0" w:space="0" w:color="000000"/>
            </w:tcBorders>
            <w:shd w:val="clear" w:color="auto" w:fill="FFFFFF"/>
            <w:vAlign w:val="center"/>
          </w:tcPr>
          <w:p w14:paraId="3CF6D08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2413(50.2%)</w:t>
            </w:r>
          </w:p>
        </w:tc>
        <w:tc>
          <w:tcPr>
            <w:tcW w:w="924" w:type="dxa"/>
            <w:tcBorders>
              <w:top w:val="none" w:sz="0" w:space="0" w:color="000000"/>
              <w:left w:val="none" w:sz="0" w:space="0" w:color="000000"/>
              <w:bottom w:val="none" w:sz="0" w:space="0" w:color="000000"/>
              <w:right w:val="none" w:sz="0" w:space="0" w:color="000000"/>
            </w:tcBorders>
            <w:shd w:val="clear" w:color="auto" w:fill="FFFFFF"/>
            <w:vAlign w:val="center"/>
          </w:tcPr>
          <w:p w14:paraId="63ABCE58"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one" w:sz="0" w:space="0" w:color="000000"/>
              <w:left w:val="none" w:sz="0" w:space="0" w:color="000000"/>
              <w:bottom w:val="none" w:sz="0" w:space="0" w:color="000000"/>
              <w:right w:val="none" w:sz="0" w:space="0" w:color="000000"/>
            </w:tcBorders>
            <w:shd w:val="clear" w:color="auto" w:fill="FFFFFF"/>
            <w:vAlign w:val="center"/>
          </w:tcPr>
          <w:p w14:paraId="51180259"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169DBBEB" w14:textId="77777777" w:rsidTr="00DA1A0F">
        <w:trPr>
          <w:trHeight w:val="276"/>
          <w:jc w:val="center"/>
        </w:trPr>
        <w:tc>
          <w:tcPr>
            <w:tcW w:w="1705" w:type="dxa"/>
            <w:tcBorders>
              <w:top w:val="nil"/>
              <w:left w:val="nil"/>
              <w:bottom w:val="nil"/>
              <w:right w:val="nil"/>
            </w:tcBorders>
            <w:vAlign w:val="center"/>
            <w:hideMark/>
          </w:tcPr>
          <w:p w14:paraId="3D0CC8FF"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2E87C01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Female</w:t>
            </w:r>
          </w:p>
        </w:tc>
        <w:tc>
          <w:tcPr>
            <w:tcW w:w="1905" w:type="dxa"/>
            <w:tcBorders>
              <w:top w:val="none" w:sz="0" w:space="0" w:color="000000"/>
              <w:left w:val="none" w:sz="0" w:space="0" w:color="000000"/>
              <w:bottom w:val="none" w:sz="0" w:space="0" w:color="000000"/>
              <w:right w:val="none" w:sz="0" w:space="0" w:color="000000"/>
            </w:tcBorders>
            <w:shd w:val="clear" w:color="auto" w:fill="FFFFFF"/>
            <w:vAlign w:val="center"/>
          </w:tcPr>
          <w:p w14:paraId="28E224CD"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top w:val="none" w:sz="0" w:space="0" w:color="000000"/>
              <w:left w:val="none" w:sz="0" w:space="0" w:color="000000"/>
              <w:bottom w:val="none" w:sz="0" w:space="0" w:color="000000"/>
              <w:right w:val="none" w:sz="0" w:space="0" w:color="000000"/>
            </w:tcBorders>
            <w:shd w:val="clear" w:color="auto" w:fill="FFFFFF"/>
            <w:vAlign w:val="center"/>
          </w:tcPr>
          <w:p w14:paraId="06AAA784" w14:textId="77777777" w:rsidR="00646667" w:rsidRPr="00646667" w:rsidRDefault="00646667" w:rsidP="00646667">
            <w:pPr>
              <w:widowControl/>
              <w:rPr>
                <w:rFonts w:ascii="Times New Roman" w:eastAsia="宋体" w:hAnsi="Times New Roman" w:cs="Times New Roman"/>
                <w:color w:val="000000"/>
                <w:kern w:val="0"/>
                <w:szCs w:val="20"/>
              </w:rPr>
            </w:pPr>
          </w:p>
        </w:tc>
        <w:tc>
          <w:tcPr>
            <w:tcW w:w="1826" w:type="dxa"/>
            <w:tcBorders>
              <w:top w:val="none" w:sz="0" w:space="0" w:color="000000"/>
              <w:left w:val="none" w:sz="0" w:space="0" w:color="000000"/>
              <w:bottom w:val="none" w:sz="0" w:space="0" w:color="000000"/>
              <w:right w:val="none" w:sz="0" w:space="0" w:color="000000"/>
            </w:tcBorders>
            <w:shd w:val="clear" w:color="auto" w:fill="FFFFFF"/>
            <w:vAlign w:val="center"/>
          </w:tcPr>
          <w:p w14:paraId="5BE91AAA" w14:textId="77777777" w:rsidR="00646667" w:rsidRPr="00646667" w:rsidRDefault="00646667" w:rsidP="00646667">
            <w:pPr>
              <w:widowControl/>
              <w:rPr>
                <w:rFonts w:ascii="Times New Roman" w:eastAsia="宋体" w:hAnsi="Times New Roman" w:cs="Times New Roman"/>
                <w:color w:val="000000"/>
                <w:kern w:val="0"/>
                <w:szCs w:val="20"/>
              </w:rPr>
            </w:pPr>
          </w:p>
        </w:tc>
        <w:tc>
          <w:tcPr>
            <w:tcW w:w="924" w:type="dxa"/>
            <w:tcBorders>
              <w:top w:val="nil"/>
              <w:left w:val="nil"/>
              <w:bottom w:val="nil"/>
              <w:right w:val="nil"/>
            </w:tcBorders>
            <w:vAlign w:val="center"/>
          </w:tcPr>
          <w:p w14:paraId="18B0CFF1"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5225FE68"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1C3A8C71" w14:textId="77777777" w:rsidTr="00DA1A0F">
        <w:trPr>
          <w:trHeight w:val="276"/>
          <w:jc w:val="center"/>
        </w:trPr>
        <w:tc>
          <w:tcPr>
            <w:tcW w:w="1705" w:type="dxa"/>
            <w:tcBorders>
              <w:top w:val="nil"/>
              <w:left w:val="nil"/>
              <w:bottom w:val="nil"/>
              <w:right w:val="nil"/>
            </w:tcBorders>
            <w:vAlign w:val="center"/>
            <w:hideMark/>
          </w:tcPr>
          <w:p w14:paraId="3C3EDB9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Marital status (%)</w:t>
            </w:r>
          </w:p>
        </w:tc>
        <w:tc>
          <w:tcPr>
            <w:tcW w:w="1121" w:type="dxa"/>
            <w:tcBorders>
              <w:top w:val="nil"/>
              <w:left w:val="nil"/>
              <w:bottom w:val="nil"/>
              <w:right w:val="nil"/>
            </w:tcBorders>
            <w:vAlign w:val="center"/>
            <w:hideMark/>
          </w:tcPr>
          <w:p w14:paraId="527A4887"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Married</w:t>
            </w:r>
          </w:p>
        </w:tc>
        <w:tc>
          <w:tcPr>
            <w:tcW w:w="1905" w:type="dxa"/>
            <w:tcBorders>
              <w:top w:val="nil"/>
              <w:left w:val="nil"/>
              <w:bottom w:val="nil"/>
              <w:right w:val="nil"/>
            </w:tcBorders>
            <w:shd w:val="clear" w:color="auto" w:fill="FFFFFF"/>
            <w:vAlign w:val="center"/>
          </w:tcPr>
          <w:p w14:paraId="383D50B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5922(77.0%)</w:t>
            </w:r>
          </w:p>
        </w:tc>
        <w:tc>
          <w:tcPr>
            <w:tcW w:w="1905" w:type="dxa"/>
            <w:tcBorders>
              <w:top w:val="nil"/>
              <w:left w:val="nil"/>
              <w:bottom w:val="nil"/>
              <w:right w:val="nil"/>
            </w:tcBorders>
            <w:shd w:val="clear" w:color="auto" w:fill="FFFFFF"/>
            <w:vAlign w:val="center"/>
          </w:tcPr>
          <w:p w14:paraId="234F3981"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2254(78.1%)</w:t>
            </w:r>
          </w:p>
        </w:tc>
        <w:tc>
          <w:tcPr>
            <w:tcW w:w="1826" w:type="dxa"/>
            <w:tcBorders>
              <w:top w:val="nil"/>
              <w:left w:val="nil"/>
              <w:bottom w:val="nil"/>
              <w:right w:val="nil"/>
            </w:tcBorders>
            <w:shd w:val="clear" w:color="auto" w:fill="FFFFFF"/>
            <w:vAlign w:val="center"/>
          </w:tcPr>
          <w:p w14:paraId="315DD159"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3668(76.3%)</w:t>
            </w:r>
          </w:p>
        </w:tc>
        <w:tc>
          <w:tcPr>
            <w:tcW w:w="924" w:type="dxa"/>
            <w:tcBorders>
              <w:top w:val="nil"/>
              <w:left w:val="nil"/>
              <w:bottom w:val="nil"/>
              <w:right w:val="nil"/>
            </w:tcBorders>
            <w:shd w:val="clear" w:color="auto" w:fill="FFFFFF"/>
            <w:vAlign w:val="center"/>
          </w:tcPr>
          <w:p w14:paraId="773501B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3.397</w:t>
            </w:r>
          </w:p>
        </w:tc>
        <w:tc>
          <w:tcPr>
            <w:tcW w:w="806" w:type="dxa"/>
            <w:tcBorders>
              <w:top w:val="nil"/>
              <w:left w:val="nil"/>
              <w:bottom w:val="nil"/>
              <w:right w:val="nil"/>
            </w:tcBorders>
            <w:shd w:val="clear" w:color="auto" w:fill="FFFFFF"/>
            <w:vAlign w:val="center"/>
          </w:tcPr>
          <w:p w14:paraId="4790E1F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0.065</w:t>
            </w:r>
          </w:p>
        </w:tc>
      </w:tr>
      <w:tr w:rsidR="00646667" w:rsidRPr="00646667" w14:paraId="66D3C5A2" w14:textId="77777777" w:rsidTr="00DA1A0F">
        <w:trPr>
          <w:trHeight w:val="276"/>
          <w:jc w:val="center"/>
        </w:trPr>
        <w:tc>
          <w:tcPr>
            <w:tcW w:w="1705" w:type="dxa"/>
            <w:tcBorders>
              <w:top w:val="nil"/>
              <w:left w:val="nil"/>
              <w:bottom w:val="nil"/>
              <w:right w:val="nil"/>
            </w:tcBorders>
            <w:vAlign w:val="center"/>
            <w:hideMark/>
          </w:tcPr>
          <w:p w14:paraId="0D2A8340"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32F9EA9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Others</w:t>
            </w:r>
          </w:p>
        </w:tc>
        <w:tc>
          <w:tcPr>
            <w:tcW w:w="1905" w:type="dxa"/>
            <w:tcBorders>
              <w:top w:val="nil"/>
              <w:left w:val="nil"/>
              <w:bottom w:val="nil"/>
              <w:right w:val="nil"/>
            </w:tcBorders>
            <w:shd w:val="clear" w:color="auto" w:fill="FFFFFF"/>
            <w:vAlign w:val="center"/>
          </w:tcPr>
          <w:p w14:paraId="38A89EF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1773(23.0%)</w:t>
            </w:r>
          </w:p>
        </w:tc>
        <w:tc>
          <w:tcPr>
            <w:tcW w:w="1905" w:type="dxa"/>
            <w:tcBorders>
              <w:top w:val="nil"/>
              <w:left w:val="nil"/>
              <w:bottom w:val="nil"/>
              <w:right w:val="nil"/>
            </w:tcBorders>
            <w:shd w:val="clear" w:color="auto" w:fill="FFFFFF"/>
            <w:vAlign w:val="center"/>
          </w:tcPr>
          <w:p w14:paraId="37E7E903"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632(21.9%)</w:t>
            </w:r>
          </w:p>
        </w:tc>
        <w:tc>
          <w:tcPr>
            <w:tcW w:w="1826" w:type="dxa"/>
            <w:tcBorders>
              <w:top w:val="nil"/>
              <w:left w:val="nil"/>
              <w:bottom w:val="nil"/>
              <w:right w:val="nil"/>
            </w:tcBorders>
            <w:shd w:val="clear" w:color="auto" w:fill="FFFFFF"/>
            <w:vAlign w:val="center"/>
          </w:tcPr>
          <w:p w14:paraId="56E2EC29"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1141(23.7%)</w:t>
            </w:r>
          </w:p>
        </w:tc>
        <w:tc>
          <w:tcPr>
            <w:tcW w:w="924" w:type="dxa"/>
            <w:tcBorders>
              <w:top w:val="nil"/>
              <w:left w:val="nil"/>
              <w:bottom w:val="nil"/>
              <w:right w:val="nil"/>
            </w:tcBorders>
            <w:vAlign w:val="center"/>
          </w:tcPr>
          <w:p w14:paraId="5A8AB317"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16055D2A"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53F4DF52" w14:textId="77777777" w:rsidTr="00DA1A0F">
        <w:trPr>
          <w:trHeight w:val="276"/>
          <w:jc w:val="center"/>
        </w:trPr>
        <w:tc>
          <w:tcPr>
            <w:tcW w:w="1705" w:type="dxa"/>
            <w:tcBorders>
              <w:top w:val="nil"/>
              <w:left w:val="nil"/>
              <w:bottom w:val="nil"/>
              <w:right w:val="nil"/>
            </w:tcBorders>
            <w:vAlign w:val="center"/>
            <w:hideMark/>
          </w:tcPr>
          <w:p w14:paraId="6551CC9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 xml:space="preserve">Education </w:t>
            </w:r>
            <w:r w:rsidRPr="00646667">
              <w:rPr>
                <w:rFonts w:ascii="Times New Roman" w:eastAsia="宋体" w:hAnsi="Times New Roman" w:cs="Times New Roman" w:hint="eastAsia"/>
                <w:color w:val="000000"/>
                <w:kern w:val="0"/>
                <w:szCs w:val="20"/>
              </w:rPr>
              <w:t>level</w:t>
            </w:r>
            <w:r w:rsidRPr="00646667">
              <w:rPr>
                <w:rFonts w:ascii="Times New Roman" w:eastAsia="宋体" w:hAnsi="Times New Roman" w:cs="Times New Roman"/>
                <w:color w:val="000000"/>
                <w:kern w:val="0"/>
                <w:szCs w:val="20"/>
              </w:rPr>
              <w:t xml:space="preserve"> (%)</w:t>
            </w:r>
          </w:p>
        </w:tc>
        <w:tc>
          <w:tcPr>
            <w:tcW w:w="1121" w:type="dxa"/>
            <w:tcBorders>
              <w:top w:val="nil"/>
              <w:left w:val="nil"/>
              <w:bottom w:val="nil"/>
              <w:right w:val="nil"/>
            </w:tcBorders>
            <w:vAlign w:val="center"/>
            <w:hideMark/>
          </w:tcPr>
          <w:p w14:paraId="0E22968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Above primary school</w:t>
            </w:r>
          </w:p>
        </w:tc>
        <w:tc>
          <w:tcPr>
            <w:tcW w:w="1905" w:type="dxa"/>
            <w:tcBorders>
              <w:top w:val="nil"/>
              <w:left w:val="nil"/>
              <w:bottom w:val="nil"/>
              <w:right w:val="nil"/>
            </w:tcBorders>
            <w:shd w:val="clear" w:color="auto" w:fill="FFFFFF"/>
            <w:vAlign w:val="center"/>
          </w:tcPr>
          <w:p w14:paraId="5FF63C98"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1476(19.2%)</w:t>
            </w:r>
          </w:p>
        </w:tc>
        <w:tc>
          <w:tcPr>
            <w:tcW w:w="1905" w:type="dxa"/>
            <w:tcBorders>
              <w:top w:val="nil"/>
              <w:left w:val="nil"/>
              <w:bottom w:val="nil"/>
              <w:right w:val="nil"/>
            </w:tcBorders>
            <w:shd w:val="clear" w:color="auto" w:fill="FFFFFF"/>
            <w:vAlign w:val="center"/>
          </w:tcPr>
          <w:p w14:paraId="047F74D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906(31.4%)</w:t>
            </w:r>
          </w:p>
        </w:tc>
        <w:tc>
          <w:tcPr>
            <w:tcW w:w="1826" w:type="dxa"/>
            <w:tcBorders>
              <w:top w:val="nil"/>
              <w:left w:val="nil"/>
              <w:bottom w:val="nil"/>
              <w:right w:val="nil"/>
            </w:tcBorders>
            <w:shd w:val="clear" w:color="auto" w:fill="FFFFFF"/>
            <w:vAlign w:val="center"/>
          </w:tcPr>
          <w:p w14:paraId="28B29CA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570(11.9%)</w:t>
            </w:r>
          </w:p>
        </w:tc>
        <w:tc>
          <w:tcPr>
            <w:tcW w:w="924" w:type="dxa"/>
            <w:tcBorders>
              <w:top w:val="nil"/>
              <w:left w:val="nil"/>
              <w:bottom w:val="nil"/>
              <w:right w:val="nil"/>
            </w:tcBorders>
            <w:shd w:val="clear" w:color="auto" w:fill="FFFFFF"/>
            <w:vAlign w:val="center"/>
          </w:tcPr>
          <w:p w14:paraId="67314547"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444.231</w:t>
            </w:r>
          </w:p>
        </w:tc>
        <w:tc>
          <w:tcPr>
            <w:tcW w:w="806" w:type="dxa"/>
            <w:tcBorders>
              <w:top w:val="nil"/>
              <w:left w:val="nil"/>
              <w:bottom w:val="nil"/>
              <w:right w:val="nil"/>
            </w:tcBorders>
            <w:shd w:val="clear" w:color="auto" w:fill="FFFFFF"/>
            <w:vAlign w:val="center"/>
          </w:tcPr>
          <w:p w14:paraId="683BA9FB"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0521F636" w14:textId="77777777" w:rsidTr="00DA1A0F">
        <w:trPr>
          <w:trHeight w:val="276"/>
          <w:jc w:val="center"/>
        </w:trPr>
        <w:tc>
          <w:tcPr>
            <w:tcW w:w="1705" w:type="dxa"/>
            <w:tcBorders>
              <w:top w:val="nil"/>
              <w:left w:val="nil"/>
              <w:bottom w:val="nil"/>
              <w:right w:val="nil"/>
            </w:tcBorders>
            <w:vAlign w:val="center"/>
            <w:hideMark/>
          </w:tcPr>
          <w:p w14:paraId="74281E29"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4219EEC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Primary school or below</w:t>
            </w:r>
          </w:p>
        </w:tc>
        <w:tc>
          <w:tcPr>
            <w:tcW w:w="1905" w:type="dxa"/>
            <w:tcBorders>
              <w:top w:val="nil"/>
              <w:left w:val="nil"/>
              <w:bottom w:val="nil"/>
              <w:right w:val="nil"/>
            </w:tcBorders>
            <w:shd w:val="clear" w:color="auto" w:fill="FFFFFF"/>
            <w:vAlign w:val="center"/>
          </w:tcPr>
          <w:p w14:paraId="77EA00B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6219(80.8%)</w:t>
            </w:r>
          </w:p>
        </w:tc>
        <w:tc>
          <w:tcPr>
            <w:tcW w:w="1905" w:type="dxa"/>
            <w:tcBorders>
              <w:top w:val="nil"/>
              <w:left w:val="nil"/>
              <w:bottom w:val="nil"/>
              <w:right w:val="nil"/>
            </w:tcBorders>
            <w:shd w:val="clear" w:color="auto" w:fill="FFFFFF"/>
            <w:vAlign w:val="center"/>
          </w:tcPr>
          <w:p w14:paraId="672A3DB3"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1980(68.6%)</w:t>
            </w:r>
          </w:p>
        </w:tc>
        <w:tc>
          <w:tcPr>
            <w:tcW w:w="1826" w:type="dxa"/>
            <w:tcBorders>
              <w:top w:val="nil"/>
              <w:left w:val="nil"/>
              <w:bottom w:val="nil"/>
              <w:right w:val="nil"/>
            </w:tcBorders>
            <w:shd w:val="clear" w:color="auto" w:fill="FFFFFF"/>
            <w:vAlign w:val="center"/>
          </w:tcPr>
          <w:p w14:paraId="5A8DF85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4239(88.1%)</w:t>
            </w:r>
          </w:p>
        </w:tc>
        <w:tc>
          <w:tcPr>
            <w:tcW w:w="924" w:type="dxa"/>
            <w:tcBorders>
              <w:top w:val="nil"/>
              <w:left w:val="nil"/>
              <w:bottom w:val="nil"/>
              <w:right w:val="nil"/>
            </w:tcBorders>
            <w:vAlign w:val="center"/>
          </w:tcPr>
          <w:p w14:paraId="137CBBD5"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333EA3E2"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3C280ADD" w14:textId="77777777" w:rsidTr="00DA1A0F">
        <w:trPr>
          <w:trHeight w:val="276"/>
          <w:jc w:val="center"/>
        </w:trPr>
        <w:tc>
          <w:tcPr>
            <w:tcW w:w="1705" w:type="dxa"/>
            <w:tcBorders>
              <w:top w:val="nil"/>
              <w:left w:val="nil"/>
              <w:bottom w:val="nil"/>
              <w:right w:val="nil"/>
            </w:tcBorders>
            <w:vAlign w:val="center"/>
            <w:hideMark/>
          </w:tcPr>
          <w:p w14:paraId="02EF38A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Family size (persons)</w:t>
            </w:r>
          </w:p>
        </w:tc>
        <w:tc>
          <w:tcPr>
            <w:tcW w:w="1121" w:type="dxa"/>
            <w:tcBorders>
              <w:top w:val="nil"/>
              <w:left w:val="nil"/>
              <w:bottom w:val="nil"/>
              <w:right w:val="nil"/>
            </w:tcBorders>
            <w:vAlign w:val="center"/>
            <w:hideMark/>
          </w:tcPr>
          <w:p w14:paraId="2E5E347E"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top w:val="nil"/>
              <w:left w:val="nil"/>
              <w:bottom w:val="nil"/>
              <w:right w:val="nil"/>
            </w:tcBorders>
            <w:shd w:val="clear" w:color="auto" w:fill="FFFFFF"/>
            <w:vAlign w:val="center"/>
          </w:tcPr>
          <w:p w14:paraId="6F1091FA"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2.77±1.31</w:t>
            </w:r>
          </w:p>
        </w:tc>
        <w:tc>
          <w:tcPr>
            <w:tcW w:w="1905" w:type="dxa"/>
            <w:tcBorders>
              <w:top w:val="nil"/>
              <w:left w:val="nil"/>
              <w:bottom w:val="nil"/>
              <w:right w:val="nil"/>
            </w:tcBorders>
            <w:shd w:val="clear" w:color="auto" w:fill="FFFFFF"/>
            <w:vAlign w:val="center"/>
          </w:tcPr>
          <w:p w14:paraId="69BD0A3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2.70±1.17</w:t>
            </w:r>
          </w:p>
        </w:tc>
        <w:tc>
          <w:tcPr>
            <w:tcW w:w="1826" w:type="dxa"/>
            <w:tcBorders>
              <w:top w:val="nil"/>
              <w:left w:val="nil"/>
              <w:bottom w:val="nil"/>
              <w:right w:val="nil"/>
            </w:tcBorders>
            <w:shd w:val="clear" w:color="auto" w:fill="FFFFFF"/>
            <w:vAlign w:val="center"/>
          </w:tcPr>
          <w:p w14:paraId="143EF86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2.81±1.38</w:t>
            </w:r>
          </w:p>
        </w:tc>
        <w:tc>
          <w:tcPr>
            <w:tcW w:w="924" w:type="dxa"/>
            <w:tcBorders>
              <w:top w:val="nil"/>
              <w:left w:val="nil"/>
              <w:bottom w:val="nil"/>
              <w:right w:val="nil"/>
            </w:tcBorders>
            <w:shd w:val="clear" w:color="auto" w:fill="FFFFFF"/>
            <w:vAlign w:val="center"/>
          </w:tcPr>
          <w:p w14:paraId="4ECCD911"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hAnsi="Times New Roman" w:cs="Times New Roman"/>
                <w:color w:val="000000"/>
                <w:sz w:val="20"/>
                <w:szCs w:val="20"/>
              </w:rPr>
              <w:t>−3</w:t>
            </w:r>
            <w:r w:rsidRPr="00646667">
              <w:rPr>
                <w:rFonts w:ascii="Times New Roman" w:eastAsia="Arial" w:hAnsi="Times New Roman" w:cs="Times New Roman"/>
                <w:color w:val="000000"/>
                <w:sz w:val="20"/>
                <w:szCs w:val="20"/>
              </w:rPr>
              <w:t>.649</w:t>
            </w:r>
          </w:p>
        </w:tc>
        <w:tc>
          <w:tcPr>
            <w:tcW w:w="806" w:type="dxa"/>
            <w:tcBorders>
              <w:top w:val="nil"/>
              <w:left w:val="nil"/>
              <w:bottom w:val="nil"/>
              <w:right w:val="nil"/>
            </w:tcBorders>
            <w:shd w:val="clear" w:color="auto" w:fill="FFFFFF"/>
            <w:vAlign w:val="center"/>
          </w:tcPr>
          <w:p w14:paraId="23B043DC"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75B78577" w14:textId="77777777" w:rsidTr="00DA1A0F">
        <w:trPr>
          <w:trHeight w:val="528"/>
          <w:jc w:val="center"/>
        </w:trPr>
        <w:tc>
          <w:tcPr>
            <w:tcW w:w="1705" w:type="dxa"/>
            <w:tcBorders>
              <w:top w:val="nil"/>
              <w:left w:val="nil"/>
              <w:bottom w:val="nil"/>
              <w:right w:val="nil"/>
            </w:tcBorders>
            <w:vAlign w:val="center"/>
            <w:hideMark/>
          </w:tcPr>
          <w:p w14:paraId="6735A61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Number of living children (children)</w:t>
            </w:r>
          </w:p>
        </w:tc>
        <w:tc>
          <w:tcPr>
            <w:tcW w:w="1121" w:type="dxa"/>
            <w:tcBorders>
              <w:top w:val="nil"/>
              <w:left w:val="nil"/>
              <w:bottom w:val="nil"/>
              <w:right w:val="nil"/>
            </w:tcBorders>
            <w:vAlign w:val="center"/>
            <w:hideMark/>
          </w:tcPr>
          <w:p w14:paraId="10327A9C"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top w:val="nil"/>
              <w:left w:val="nil"/>
              <w:right w:val="nil"/>
            </w:tcBorders>
            <w:shd w:val="clear" w:color="auto" w:fill="FFFFFF"/>
            <w:vAlign w:val="center"/>
          </w:tcPr>
          <w:p w14:paraId="7B965E8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3.41±1.58</w:t>
            </w:r>
          </w:p>
        </w:tc>
        <w:tc>
          <w:tcPr>
            <w:tcW w:w="1905" w:type="dxa"/>
            <w:tcBorders>
              <w:top w:val="nil"/>
              <w:left w:val="nil"/>
              <w:right w:val="nil"/>
            </w:tcBorders>
            <w:shd w:val="clear" w:color="auto" w:fill="FFFFFF"/>
            <w:vAlign w:val="center"/>
          </w:tcPr>
          <w:p w14:paraId="52B45EA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3.08±1.51</w:t>
            </w:r>
          </w:p>
        </w:tc>
        <w:tc>
          <w:tcPr>
            <w:tcW w:w="1826" w:type="dxa"/>
            <w:tcBorders>
              <w:top w:val="nil"/>
              <w:left w:val="nil"/>
              <w:right w:val="nil"/>
            </w:tcBorders>
            <w:shd w:val="clear" w:color="auto" w:fill="FFFFFF"/>
            <w:vAlign w:val="center"/>
          </w:tcPr>
          <w:p w14:paraId="6CA09DD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3.61±1.58</w:t>
            </w:r>
          </w:p>
        </w:tc>
        <w:tc>
          <w:tcPr>
            <w:tcW w:w="924" w:type="dxa"/>
            <w:tcBorders>
              <w:top w:val="nil"/>
              <w:left w:val="nil"/>
              <w:right w:val="nil"/>
            </w:tcBorders>
            <w:shd w:val="clear" w:color="auto" w:fill="FFFFFF"/>
            <w:vAlign w:val="center"/>
          </w:tcPr>
          <w:p w14:paraId="68D4F5A8"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hAnsi="Times New Roman" w:cs="Times New Roman"/>
                <w:color w:val="000000"/>
                <w:sz w:val="20"/>
                <w:szCs w:val="20"/>
              </w:rPr>
              <w:t>−1</w:t>
            </w:r>
            <w:r w:rsidRPr="00646667">
              <w:rPr>
                <w:rFonts w:ascii="Times New Roman" w:eastAsia="Arial" w:hAnsi="Times New Roman" w:cs="Times New Roman"/>
                <w:color w:val="000000"/>
                <w:sz w:val="20"/>
                <w:szCs w:val="20"/>
              </w:rPr>
              <w:t>4.543</w:t>
            </w:r>
          </w:p>
        </w:tc>
        <w:tc>
          <w:tcPr>
            <w:tcW w:w="806" w:type="dxa"/>
            <w:tcBorders>
              <w:top w:val="nil"/>
              <w:left w:val="nil"/>
              <w:right w:val="nil"/>
            </w:tcBorders>
            <w:shd w:val="clear" w:color="auto" w:fill="FFFFFF"/>
            <w:vAlign w:val="center"/>
          </w:tcPr>
          <w:p w14:paraId="4CE12E3C"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18E88E53" w14:textId="77777777" w:rsidTr="00DA1A0F">
        <w:trPr>
          <w:trHeight w:val="528"/>
          <w:jc w:val="center"/>
        </w:trPr>
        <w:tc>
          <w:tcPr>
            <w:tcW w:w="1705" w:type="dxa"/>
            <w:tcBorders>
              <w:top w:val="nil"/>
              <w:left w:val="nil"/>
              <w:bottom w:val="nil"/>
              <w:right w:val="nil"/>
            </w:tcBorders>
            <w:vAlign w:val="center"/>
          </w:tcPr>
          <w:p w14:paraId="1C8825F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hint="eastAsia"/>
                <w:color w:val="000000"/>
                <w:kern w:val="0"/>
                <w:szCs w:val="20"/>
              </w:rPr>
              <w:t xml:space="preserve">Per </w:t>
            </w:r>
            <w:r w:rsidRPr="00646667">
              <w:rPr>
                <w:rFonts w:ascii="Times New Roman" w:eastAsia="宋体" w:hAnsi="Times New Roman" w:cs="Times New Roman"/>
                <w:color w:val="000000"/>
                <w:kern w:val="0"/>
                <w:szCs w:val="20"/>
              </w:rPr>
              <w:t xml:space="preserve">capita household consumption expenditure </w:t>
            </w:r>
            <w:r w:rsidRPr="00646667">
              <w:rPr>
                <w:rFonts w:ascii="Times New Roman" w:eastAsia="宋体" w:hAnsi="Times New Roman" w:cs="Times New Roman" w:hint="eastAsia"/>
                <w:color w:val="000000"/>
                <w:kern w:val="0"/>
                <w:szCs w:val="20"/>
              </w:rPr>
              <w:t>(CNY)</w:t>
            </w:r>
          </w:p>
        </w:tc>
        <w:tc>
          <w:tcPr>
            <w:tcW w:w="1121" w:type="dxa"/>
            <w:tcBorders>
              <w:top w:val="nil"/>
              <w:left w:val="nil"/>
              <w:bottom w:val="nil"/>
              <w:right w:val="nil"/>
            </w:tcBorders>
            <w:vAlign w:val="center"/>
          </w:tcPr>
          <w:p w14:paraId="2E2602D9"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left w:val="nil"/>
              <w:bottom w:val="nil"/>
              <w:right w:val="nil"/>
            </w:tcBorders>
            <w:shd w:val="clear" w:color="auto" w:fill="FFFFFF"/>
            <w:vAlign w:val="center"/>
          </w:tcPr>
          <w:p w14:paraId="0348118F" w14:textId="77777777" w:rsidR="00646667" w:rsidRPr="00646667" w:rsidRDefault="00646667" w:rsidP="00646667">
            <w:pPr>
              <w:widowControl/>
              <w:rPr>
                <w:rFonts w:ascii="Times New Roman" w:eastAsia="宋体" w:hAnsi="Times New Roman" w:cs="Times New Roman"/>
                <w:color w:val="000000"/>
                <w:szCs w:val="20"/>
                <w14:ligatures w14:val="standardContextual"/>
              </w:rPr>
            </w:pPr>
            <w:r w:rsidRPr="00646667">
              <w:rPr>
                <w:rFonts w:ascii="Times New Roman" w:eastAsia="Arial" w:hAnsi="Times New Roman" w:cs="Times New Roman"/>
                <w:color w:val="000000"/>
                <w:sz w:val="20"/>
                <w:szCs w:val="20"/>
              </w:rPr>
              <w:t>11778.06±16595.37</w:t>
            </w:r>
          </w:p>
        </w:tc>
        <w:tc>
          <w:tcPr>
            <w:tcW w:w="1905" w:type="dxa"/>
            <w:tcBorders>
              <w:left w:val="nil"/>
              <w:bottom w:val="nil"/>
              <w:right w:val="nil"/>
            </w:tcBorders>
            <w:shd w:val="clear" w:color="auto" w:fill="FFFFFF"/>
            <w:vAlign w:val="center"/>
          </w:tcPr>
          <w:p w14:paraId="7ED63C70" w14:textId="77777777" w:rsidR="00646667" w:rsidRPr="00646667" w:rsidRDefault="00646667" w:rsidP="00646667">
            <w:pPr>
              <w:widowControl/>
              <w:rPr>
                <w:rFonts w:ascii="Times New Roman" w:eastAsia="宋体" w:hAnsi="Times New Roman" w:cs="Times New Roman"/>
                <w:color w:val="000000"/>
                <w:szCs w:val="20"/>
                <w14:ligatures w14:val="standardContextual"/>
              </w:rPr>
            </w:pPr>
            <w:r w:rsidRPr="00646667">
              <w:rPr>
                <w:rFonts w:ascii="Times New Roman" w:eastAsia="Arial" w:hAnsi="Times New Roman" w:cs="Times New Roman"/>
                <w:color w:val="000000"/>
                <w:sz w:val="20"/>
                <w:szCs w:val="20"/>
              </w:rPr>
              <w:t>13773.18±18206.17</w:t>
            </w:r>
          </w:p>
        </w:tc>
        <w:tc>
          <w:tcPr>
            <w:tcW w:w="1826" w:type="dxa"/>
            <w:tcBorders>
              <w:left w:val="nil"/>
              <w:bottom w:val="nil"/>
              <w:right w:val="nil"/>
            </w:tcBorders>
            <w:shd w:val="clear" w:color="auto" w:fill="FFFFFF"/>
            <w:vAlign w:val="center"/>
          </w:tcPr>
          <w:p w14:paraId="7BD99C4F" w14:textId="77777777" w:rsidR="00646667" w:rsidRPr="00646667" w:rsidRDefault="00646667" w:rsidP="00646667">
            <w:pPr>
              <w:widowControl/>
              <w:rPr>
                <w:rFonts w:ascii="Times New Roman" w:eastAsia="宋体" w:hAnsi="Times New Roman" w:cs="Times New Roman"/>
                <w:color w:val="000000"/>
                <w:szCs w:val="20"/>
                <w14:ligatures w14:val="standardContextual"/>
              </w:rPr>
            </w:pPr>
            <w:r w:rsidRPr="00646667">
              <w:rPr>
                <w:rFonts w:ascii="Times New Roman" w:eastAsia="Arial" w:hAnsi="Times New Roman" w:cs="Times New Roman"/>
                <w:color w:val="000000"/>
                <w:sz w:val="20"/>
                <w:szCs w:val="20"/>
              </w:rPr>
              <w:t>10580.73±15427.35</w:t>
            </w:r>
          </w:p>
        </w:tc>
        <w:tc>
          <w:tcPr>
            <w:tcW w:w="924" w:type="dxa"/>
            <w:tcBorders>
              <w:left w:val="nil"/>
              <w:bottom w:val="nil"/>
              <w:right w:val="nil"/>
            </w:tcBorders>
            <w:shd w:val="clear" w:color="auto" w:fill="FFFFFF"/>
            <w:vAlign w:val="center"/>
          </w:tcPr>
          <w:p w14:paraId="664E6AC6"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8.205</w:t>
            </w:r>
          </w:p>
        </w:tc>
        <w:tc>
          <w:tcPr>
            <w:tcW w:w="806" w:type="dxa"/>
            <w:tcBorders>
              <w:left w:val="nil"/>
              <w:bottom w:val="nil"/>
              <w:right w:val="nil"/>
            </w:tcBorders>
            <w:shd w:val="clear" w:color="auto" w:fill="FFFFFF"/>
            <w:vAlign w:val="center"/>
          </w:tcPr>
          <w:p w14:paraId="6963134E"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0BFB7140" w14:textId="77777777" w:rsidTr="00DA1A0F">
        <w:trPr>
          <w:trHeight w:val="528"/>
          <w:jc w:val="center"/>
        </w:trPr>
        <w:tc>
          <w:tcPr>
            <w:tcW w:w="1705" w:type="dxa"/>
            <w:tcBorders>
              <w:top w:val="nil"/>
              <w:left w:val="nil"/>
              <w:bottom w:val="nil"/>
              <w:right w:val="nil"/>
            </w:tcBorders>
            <w:vAlign w:val="center"/>
            <w:hideMark/>
          </w:tcPr>
          <w:p w14:paraId="2CA8CAB7"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Health insurance coverage (%)</w:t>
            </w:r>
          </w:p>
        </w:tc>
        <w:tc>
          <w:tcPr>
            <w:tcW w:w="1121" w:type="dxa"/>
            <w:tcBorders>
              <w:top w:val="nil"/>
              <w:left w:val="nil"/>
              <w:bottom w:val="nil"/>
              <w:right w:val="nil"/>
            </w:tcBorders>
            <w:vAlign w:val="center"/>
            <w:hideMark/>
          </w:tcPr>
          <w:p w14:paraId="627589A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Yes</w:t>
            </w:r>
          </w:p>
        </w:tc>
        <w:tc>
          <w:tcPr>
            <w:tcW w:w="1905" w:type="dxa"/>
            <w:tcBorders>
              <w:top w:val="nil"/>
              <w:left w:val="nil"/>
              <w:bottom w:val="nil"/>
              <w:right w:val="nil"/>
            </w:tcBorders>
            <w:shd w:val="clear" w:color="auto" w:fill="FFFFFF"/>
            <w:vAlign w:val="center"/>
          </w:tcPr>
          <w:p w14:paraId="522F785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6988(90.8%)</w:t>
            </w:r>
          </w:p>
        </w:tc>
        <w:tc>
          <w:tcPr>
            <w:tcW w:w="1905" w:type="dxa"/>
            <w:tcBorders>
              <w:top w:val="nil"/>
              <w:left w:val="nil"/>
              <w:bottom w:val="nil"/>
              <w:right w:val="nil"/>
            </w:tcBorders>
            <w:shd w:val="clear" w:color="auto" w:fill="FFFFFF"/>
            <w:vAlign w:val="center"/>
          </w:tcPr>
          <w:p w14:paraId="022911F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2619(90.7%)</w:t>
            </w:r>
          </w:p>
        </w:tc>
        <w:tc>
          <w:tcPr>
            <w:tcW w:w="1826" w:type="dxa"/>
            <w:tcBorders>
              <w:top w:val="nil"/>
              <w:left w:val="nil"/>
              <w:bottom w:val="nil"/>
              <w:right w:val="nil"/>
            </w:tcBorders>
            <w:shd w:val="clear" w:color="auto" w:fill="FFFFFF"/>
            <w:vAlign w:val="center"/>
          </w:tcPr>
          <w:p w14:paraId="7CA37244"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4369(90.9%)</w:t>
            </w:r>
          </w:p>
        </w:tc>
        <w:tc>
          <w:tcPr>
            <w:tcW w:w="924" w:type="dxa"/>
            <w:tcBorders>
              <w:top w:val="nil"/>
              <w:left w:val="nil"/>
              <w:bottom w:val="nil"/>
              <w:right w:val="nil"/>
            </w:tcBorders>
            <w:shd w:val="clear" w:color="auto" w:fill="FFFFFF"/>
            <w:vAlign w:val="center"/>
          </w:tcPr>
          <w:p w14:paraId="2563A1BA"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0.023</w:t>
            </w:r>
          </w:p>
        </w:tc>
        <w:tc>
          <w:tcPr>
            <w:tcW w:w="806" w:type="dxa"/>
            <w:tcBorders>
              <w:top w:val="nil"/>
              <w:left w:val="nil"/>
              <w:bottom w:val="nil"/>
              <w:right w:val="nil"/>
            </w:tcBorders>
            <w:shd w:val="clear" w:color="auto" w:fill="FFFFFF"/>
            <w:vAlign w:val="center"/>
          </w:tcPr>
          <w:p w14:paraId="7A40334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0.881</w:t>
            </w:r>
          </w:p>
        </w:tc>
      </w:tr>
      <w:tr w:rsidR="00646667" w:rsidRPr="00646667" w14:paraId="12411BDF" w14:textId="77777777" w:rsidTr="00DA1A0F">
        <w:trPr>
          <w:trHeight w:val="276"/>
          <w:jc w:val="center"/>
        </w:trPr>
        <w:tc>
          <w:tcPr>
            <w:tcW w:w="1705" w:type="dxa"/>
            <w:tcBorders>
              <w:top w:val="nil"/>
              <w:left w:val="nil"/>
              <w:bottom w:val="nil"/>
              <w:right w:val="nil"/>
            </w:tcBorders>
            <w:vAlign w:val="center"/>
            <w:hideMark/>
          </w:tcPr>
          <w:p w14:paraId="48346AE8"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1DF62B23"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No</w:t>
            </w:r>
          </w:p>
        </w:tc>
        <w:tc>
          <w:tcPr>
            <w:tcW w:w="1905" w:type="dxa"/>
            <w:tcBorders>
              <w:top w:val="nil"/>
              <w:left w:val="nil"/>
              <w:right w:val="nil"/>
            </w:tcBorders>
            <w:shd w:val="clear" w:color="auto" w:fill="FFFFFF"/>
            <w:vAlign w:val="center"/>
          </w:tcPr>
          <w:p w14:paraId="07E1A3E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707(9.2%)</w:t>
            </w:r>
          </w:p>
        </w:tc>
        <w:tc>
          <w:tcPr>
            <w:tcW w:w="1905" w:type="dxa"/>
            <w:tcBorders>
              <w:top w:val="nil"/>
              <w:left w:val="nil"/>
              <w:right w:val="nil"/>
            </w:tcBorders>
            <w:shd w:val="clear" w:color="auto" w:fill="FFFFFF"/>
            <w:vAlign w:val="center"/>
          </w:tcPr>
          <w:p w14:paraId="765A7623"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267(9.3%)</w:t>
            </w:r>
          </w:p>
        </w:tc>
        <w:tc>
          <w:tcPr>
            <w:tcW w:w="1826" w:type="dxa"/>
            <w:tcBorders>
              <w:top w:val="nil"/>
              <w:left w:val="nil"/>
              <w:right w:val="nil"/>
            </w:tcBorders>
            <w:shd w:val="clear" w:color="auto" w:fill="FFFFFF"/>
            <w:vAlign w:val="center"/>
          </w:tcPr>
          <w:p w14:paraId="07732204"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440(9.1%)</w:t>
            </w:r>
          </w:p>
        </w:tc>
        <w:tc>
          <w:tcPr>
            <w:tcW w:w="924" w:type="dxa"/>
            <w:tcBorders>
              <w:top w:val="nil"/>
              <w:left w:val="nil"/>
              <w:bottom w:val="nil"/>
              <w:right w:val="nil"/>
            </w:tcBorders>
            <w:vAlign w:val="center"/>
          </w:tcPr>
          <w:p w14:paraId="66ECAC52"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209BC0D3"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7DF49553" w14:textId="77777777" w:rsidTr="00DA1A0F">
        <w:trPr>
          <w:trHeight w:val="276"/>
          <w:jc w:val="center"/>
        </w:trPr>
        <w:tc>
          <w:tcPr>
            <w:tcW w:w="1705" w:type="dxa"/>
            <w:tcBorders>
              <w:top w:val="nil"/>
              <w:left w:val="nil"/>
              <w:bottom w:val="nil"/>
              <w:right w:val="nil"/>
            </w:tcBorders>
            <w:vAlign w:val="center"/>
            <w:hideMark/>
          </w:tcPr>
          <w:p w14:paraId="66D6FCD9"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Pension coverage (%)</w:t>
            </w:r>
          </w:p>
        </w:tc>
        <w:tc>
          <w:tcPr>
            <w:tcW w:w="1121" w:type="dxa"/>
            <w:tcBorders>
              <w:top w:val="nil"/>
              <w:left w:val="nil"/>
              <w:bottom w:val="nil"/>
              <w:right w:val="nil"/>
            </w:tcBorders>
            <w:vAlign w:val="center"/>
            <w:hideMark/>
          </w:tcPr>
          <w:p w14:paraId="60AEEB9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Yes</w:t>
            </w:r>
          </w:p>
        </w:tc>
        <w:tc>
          <w:tcPr>
            <w:tcW w:w="1905" w:type="dxa"/>
            <w:tcBorders>
              <w:top w:val="nil"/>
              <w:left w:val="nil"/>
              <w:right w:val="nil"/>
            </w:tcBorders>
            <w:shd w:val="clear" w:color="auto" w:fill="FFFFFF"/>
            <w:vAlign w:val="center"/>
          </w:tcPr>
          <w:p w14:paraId="3190189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6768(88.0%)</w:t>
            </w:r>
          </w:p>
        </w:tc>
        <w:tc>
          <w:tcPr>
            <w:tcW w:w="1905" w:type="dxa"/>
            <w:tcBorders>
              <w:top w:val="nil"/>
              <w:left w:val="nil"/>
              <w:right w:val="nil"/>
            </w:tcBorders>
            <w:shd w:val="clear" w:color="auto" w:fill="FFFFFF"/>
            <w:vAlign w:val="center"/>
          </w:tcPr>
          <w:p w14:paraId="000CC09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2640(91.5%)</w:t>
            </w:r>
          </w:p>
        </w:tc>
        <w:tc>
          <w:tcPr>
            <w:tcW w:w="1826" w:type="dxa"/>
            <w:tcBorders>
              <w:top w:val="nil"/>
              <w:left w:val="nil"/>
              <w:right w:val="nil"/>
            </w:tcBorders>
            <w:shd w:val="clear" w:color="auto" w:fill="FFFFFF"/>
            <w:vAlign w:val="center"/>
          </w:tcPr>
          <w:p w14:paraId="0445F36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4128(85.8%)</w:t>
            </w:r>
          </w:p>
        </w:tc>
        <w:tc>
          <w:tcPr>
            <w:tcW w:w="924" w:type="dxa"/>
            <w:tcBorders>
              <w:top w:val="nil"/>
              <w:left w:val="nil"/>
              <w:bottom w:val="nil"/>
              <w:right w:val="nil"/>
            </w:tcBorders>
            <w:shd w:val="clear" w:color="auto" w:fill="FFFFFF"/>
            <w:vAlign w:val="center"/>
          </w:tcPr>
          <w:p w14:paraId="0A97318D"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54.091</w:t>
            </w:r>
          </w:p>
        </w:tc>
        <w:tc>
          <w:tcPr>
            <w:tcW w:w="806" w:type="dxa"/>
            <w:tcBorders>
              <w:top w:val="nil"/>
              <w:left w:val="nil"/>
              <w:bottom w:val="nil"/>
              <w:right w:val="nil"/>
            </w:tcBorders>
            <w:shd w:val="clear" w:color="auto" w:fill="FFFFFF"/>
            <w:vAlign w:val="center"/>
          </w:tcPr>
          <w:p w14:paraId="6554B6C5"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4EDDEA6D" w14:textId="77777777" w:rsidTr="00DA1A0F">
        <w:trPr>
          <w:trHeight w:val="276"/>
          <w:jc w:val="center"/>
        </w:trPr>
        <w:tc>
          <w:tcPr>
            <w:tcW w:w="1705" w:type="dxa"/>
            <w:tcBorders>
              <w:top w:val="nil"/>
              <w:left w:val="nil"/>
              <w:bottom w:val="nil"/>
              <w:right w:val="nil"/>
            </w:tcBorders>
            <w:vAlign w:val="center"/>
            <w:hideMark/>
          </w:tcPr>
          <w:p w14:paraId="2B117F26"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5947A128"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No</w:t>
            </w:r>
          </w:p>
        </w:tc>
        <w:tc>
          <w:tcPr>
            <w:tcW w:w="1905" w:type="dxa"/>
            <w:tcBorders>
              <w:top w:val="nil"/>
              <w:left w:val="nil"/>
              <w:bottom w:val="nil"/>
              <w:right w:val="nil"/>
            </w:tcBorders>
            <w:shd w:val="clear" w:color="auto" w:fill="FFFFFF"/>
            <w:vAlign w:val="center"/>
          </w:tcPr>
          <w:p w14:paraId="2BFE58E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927(12.0%)</w:t>
            </w:r>
          </w:p>
        </w:tc>
        <w:tc>
          <w:tcPr>
            <w:tcW w:w="1905" w:type="dxa"/>
            <w:tcBorders>
              <w:top w:val="nil"/>
              <w:left w:val="nil"/>
              <w:bottom w:val="nil"/>
              <w:right w:val="nil"/>
            </w:tcBorders>
            <w:shd w:val="clear" w:color="auto" w:fill="FFFFFF"/>
            <w:vAlign w:val="center"/>
          </w:tcPr>
          <w:p w14:paraId="57A5091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246(8.5%)</w:t>
            </w:r>
          </w:p>
        </w:tc>
        <w:tc>
          <w:tcPr>
            <w:tcW w:w="1826" w:type="dxa"/>
            <w:tcBorders>
              <w:top w:val="nil"/>
              <w:left w:val="nil"/>
              <w:bottom w:val="nil"/>
              <w:right w:val="nil"/>
            </w:tcBorders>
            <w:shd w:val="clear" w:color="auto" w:fill="FFFFFF"/>
            <w:vAlign w:val="center"/>
          </w:tcPr>
          <w:p w14:paraId="715B285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681(14.2%)</w:t>
            </w:r>
          </w:p>
        </w:tc>
        <w:tc>
          <w:tcPr>
            <w:tcW w:w="924" w:type="dxa"/>
            <w:tcBorders>
              <w:top w:val="nil"/>
              <w:left w:val="nil"/>
              <w:bottom w:val="nil"/>
              <w:right w:val="nil"/>
            </w:tcBorders>
            <w:vAlign w:val="center"/>
          </w:tcPr>
          <w:p w14:paraId="5126D7FC"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5A38C4AC"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239B22FC" w14:textId="77777777" w:rsidTr="00DA1A0F">
        <w:trPr>
          <w:trHeight w:val="276"/>
          <w:jc w:val="center"/>
        </w:trPr>
        <w:tc>
          <w:tcPr>
            <w:tcW w:w="1705" w:type="dxa"/>
            <w:tcBorders>
              <w:top w:val="nil"/>
              <w:left w:val="nil"/>
              <w:bottom w:val="nil"/>
              <w:right w:val="nil"/>
            </w:tcBorders>
            <w:vAlign w:val="center"/>
            <w:hideMark/>
          </w:tcPr>
          <w:p w14:paraId="32773FA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Drinking (%)</w:t>
            </w:r>
          </w:p>
        </w:tc>
        <w:tc>
          <w:tcPr>
            <w:tcW w:w="1121" w:type="dxa"/>
            <w:tcBorders>
              <w:top w:val="nil"/>
              <w:left w:val="nil"/>
              <w:bottom w:val="nil"/>
              <w:right w:val="nil"/>
            </w:tcBorders>
            <w:vAlign w:val="center"/>
            <w:hideMark/>
          </w:tcPr>
          <w:p w14:paraId="23D28ECA"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Yes</w:t>
            </w:r>
          </w:p>
        </w:tc>
        <w:tc>
          <w:tcPr>
            <w:tcW w:w="1905" w:type="dxa"/>
            <w:tcBorders>
              <w:top w:val="nil"/>
              <w:left w:val="nil"/>
              <w:bottom w:val="nil"/>
              <w:right w:val="nil"/>
            </w:tcBorders>
            <w:shd w:val="clear" w:color="auto" w:fill="FFFFFF"/>
            <w:vAlign w:val="center"/>
          </w:tcPr>
          <w:p w14:paraId="5FBCA509"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3595(46.7%)</w:t>
            </w:r>
          </w:p>
        </w:tc>
        <w:tc>
          <w:tcPr>
            <w:tcW w:w="1905" w:type="dxa"/>
            <w:tcBorders>
              <w:top w:val="nil"/>
              <w:left w:val="nil"/>
              <w:bottom w:val="nil"/>
              <w:right w:val="nil"/>
            </w:tcBorders>
            <w:shd w:val="clear" w:color="auto" w:fill="FFFFFF"/>
            <w:vAlign w:val="center"/>
          </w:tcPr>
          <w:p w14:paraId="6314395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1296(44.9%)</w:t>
            </w:r>
          </w:p>
        </w:tc>
        <w:tc>
          <w:tcPr>
            <w:tcW w:w="1826" w:type="dxa"/>
            <w:tcBorders>
              <w:top w:val="nil"/>
              <w:left w:val="nil"/>
              <w:bottom w:val="nil"/>
              <w:right w:val="nil"/>
            </w:tcBorders>
            <w:shd w:val="clear" w:color="auto" w:fill="FFFFFF"/>
            <w:vAlign w:val="center"/>
          </w:tcPr>
          <w:p w14:paraId="19E7933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2299(47.8%)</w:t>
            </w:r>
          </w:p>
        </w:tc>
        <w:tc>
          <w:tcPr>
            <w:tcW w:w="924" w:type="dxa"/>
            <w:tcBorders>
              <w:top w:val="nil"/>
              <w:left w:val="nil"/>
              <w:bottom w:val="nil"/>
              <w:right w:val="nil"/>
            </w:tcBorders>
            <w:shd w:val="clear" w:color="auto" w:fill="FFFFFF"/>
            <w:vAlign w:val="center"/>
          </w:tcPr>
          <w:p w14:paraId="6408A1EA"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6.093</w:t>
            </w:r>
          </w:p>
        </w:tc>
        <w:tc>
          <w:tcPr>
            <w:tcW w:w="806" w:type="dxa"/>
            <w:tcBorders>
              <w:top w:val="nil"/>
              <w:left w:val="nil"/>
              <w:bottom w:val="nil"/>
              <w:right w:val="nil"/>
            </w:tcBorders>
            <w:shd w:val="clear" w:color="auto" w:fill="FFFFFF"/>
            <w:vAlign w:val="center"/>
          </w:tcPr>
          <w:p w14:paraId="3A387988"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0.014</w:t>
            </w:r>
          </w:p>
        </w:tc>
      </w:tr>
      <w:tr w:rsidR="00646667" w:rsidRPr="00646667" w14:paraId="520561D4" w14:textId="77777777" w:rsidTr="00DA1A0F">
        <w:trPr>
          <w:trHeight w:val="276"/>
          <w:jc w:val="center"/>
        </w:trPr>
        <w:tc>
          <w:tcPr>
            <w:tcW w:w="1705" w:type="dxa"/>
            <w:tcBorders>
              <w:top w:val="nil"/>
              <w:left w:val="nil"/>
              <w:bottom w:val="nil"/>
              <w:right w:val="nil"/>
            </w:tcBorders>
            <w:vAlign w:val="center"/>
            <w:hideMark/>
          </w:tcPr>
          <w:p w14:paraId="1199E974"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589DBAB1"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No</w:t>
            </w:r>
          </w:p>
        </w:tc>
        <w:tc>
          <w:tcPr>
            <w:tcW w:w="1905" w:type="dxa"/>
            <w:tcBorders>
              <w:top w:val="nil"/>
              <w:left w:val="nil"/>
              <w:bottom w:val="nil"/>
              <w:right w:val="nil"/>
            </w:tcBorders>
            <w:shd w:val="clear" w:color="auto" w:fill="FFFFFF"/>
            <w:vAlign w:val="center"/>
          </w:tcPr>
          <w:p w14:paraId="360FF0F1"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4100(53.3%)</w:t>
            </w:r>
          </w:p>
        </w:tc>
        <w:tc>
          <w:tcPr>
            <w:tcW w:w="1905" w:type="dxa"/>
            <w:tcBorders>
              <w:top w:val="nil"/>
              <w:left w:val="nil"/>
              <w:bottom w:val="nil"/>
              <w:right w:val="nil"/>
            </w:tcBorders>
            <w:shd w:val="clear" w:color="auto" w:fill="FFFFFF"/>
            <w:vAlign w:val="center"/>
          </w:tcPr>
          <w:p w14:paraId="1C9B22D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1590(55.1%)</w:t>
            </w:r>
          </w:p>
        </w:tc>
        <w:tc>
          <w:tcPr>
            <w:tcW w:w="1826" w:type="dxa"/>
            <w:tcBorders>
              <w:top w:val="nil"/>
              <w:left w:val="nil"/>
              <w:bottom w:val="nil"/>
              <w:right w:val="nil"/>
            </w:tcBorders>
            <w:shd w:val="clear" w:color="auto" w:fill="FFFFFF"/>
            <w:vAlign w:val="center"/>
          </w:tcPr>
          <w:p w14:paraId="0693A0E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2510(52.2%)</w:t>
            </w:r>
          </w:p>
        </w:tc>
        <w:tc>
          <w:tcPr>
            <w:tcW w:w="924" w:type="dxa"/>
            <w:tcBorders>
              <w:top w:val="nil"/>
              <w:left w:val="nil"/>
              <w:bottom w:val="nil"/>
              <w:right w:val="nil"/>
            </w:tcBorders>
            <w:vAlign w:val="center"/>
          </w:tcPr>
          <w:p w14:paraId="6890130F"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7A38042E"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2F154B74" w14:textId="77777777" w:rsidTr="00DA1A0F">
        <w:trPr>
          <w:trHeight w:val="276"/>
          <w:jc w:val="center"/>
        </w:trPr>
        <w:tc>
          <w:tcPr>
            <w:tcW w:w="1705" w:type="dxa"/>
            <w:tcBorders>
              <w:top w:val="nil"/>
              <w:left w:val="nil"/>
              <w:bottom w:val="nil"/>
              <w:right w:val="nil"/>
            </w:tcBorders>
            <w:vAlign w:val="center"/>
            <w:hideMark/>
          </w:tcPr>
          <w:p w14:paraId="3386EB71"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Smoking (%)</w:t>
            </w:r>
          </w:p>
        </w:tc>
        <w:tc>
          <w:tcPr>
            <w:tcW w:w="1121" w:type="dxa"/>
            <w:tcBorders>
              <w:top w:val="nil"/>
              <w:left w:val="nil"/>
              <w:bottom w:val="nil"/>
              <w:right w:val="nil"/>
            </w:tcBorders>
            <w:vAlign w:val="center"/>
            <w:hideMark/>
          </w:tcPr>
          <w:p w14:paraId="5A031754"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Yes</w:t>
            </w:r>
          </w:p>
        </w:tc>
        <w:tc>
          <w:tcPr>
            <w:tcW w:w="1905" w:type="dxa"/>
            <w:tcBorders>
              <w:top w:val="nil"/>
              <w:left w:val="nil"/>
              <w:bottom w:val="nil"/>
              <w:right w:val="nil"/>
            </w:tcBorders>
            <w:shd w:val="clear" w:color="auto" w:fill="FFFFFF"/>
            <w:vAlign w:val="center"/>
          </w:tcPr>
          <w:p w14:paraId="43A2E41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3671(47.7%)</w:t>
            </w:r>
          </w:p>
        </w:tc>
        <w:tc>
          <w:tcPr>
            <w:tcW w:w="1905" w:type="dxa"/>
            <w:tcBorders>
              <w:top w:val="nil"/>
              <w:left w:val="nil"/>
              <w:bottom w:val="nil"/>
              <w:right w:val="nil"/>
            </w:tcBorders>
            <w:shd w:val="clear" w:color="auto" w:fill="FFFFFF"/>
            <w:vAlign w:val="center"/>
          </w:tcPr>
          <w:p w14:paraId="5B14C90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1335(46.3%)</w:t>
            </w:r>
          </w:p>
        </w:tc>
        <w:tc>
          <w:tcPr>
            <w:tcW w:w="1826" w:type="dxa"/>
            <w:tcBorders>
              <w:top w:val="nil"/>
              <w:left w:val="nil"/>
              <w:bottom w:val="nil"/>
              <w:right w:val="nil"/>
            </w:tcBorders>
            <w:shd w:val="clear" w:color="auto" w:fill="FFFFFF"/>
            <w:vAlign w:val="center"/>
          </w:tcPr>
          <w:p w14:paraId="4771E63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2336(48.6%)</w:t>
            </w:r>
          </w:p>
        </w:tc>
        <w:tc>
          <w:tcPr>
            <w:tcW w:w="924" w:type="dxa"/>
            <w:tcBorders>
              <w:top w:val="nil"/>
              <w:left w:val="nil"/>
              <w:bottom w:val="nil"/>
              <w:right w:val="nil"/>
            </w:tcBorders>
            <w:shd w:val="clear" w:color="auto" w:fill="FFFFFF"/>
            <w:vAlign w:val="center"/>
          </w:tcPr>
          <w:p w14:paraId="779AAF4A"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3.884</w:t>
            </w:r>
          </w:p>
        </w:tc>
        <w:tc>
          <w:tcPr>
            <w:tcW w:w="806" w:type="dxa"/>
            <w:tcBorders>
              <w:top w:val="nil"/>
              <w:left w:val="nil"/>
              <w:bottom w:val="nil"/>
              <w:right w:val="nil"/>
            </w:tcBorders>
            <w:shd w:val="clear" w:color="auto" w:fill="FFFFFF"/>
            <w:vAlign w:val="center"/>
          </w:tcPr>
          <w:p w14:paraId="044390C3"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0.049</w:t>
            </w:r>
          </w:p>
        </w:tc>
      </w:tr>
      <w:tr w:rsidR="00646667" w:rsidRPr="00646667" w14:paraId="790CAEBA" w14:textId="77777777" w:rsidTr="00DA1A0F">
        <w:trPr>
          <w:trHeight w:val="276"/>
          <w:jc w:val="center"/>
        </w:trPr>
        <w:tc>
          <w:tcPr>
            <w:tcW w:w="1705" w:type="dxa"/>
            <w:tcBorders>
              <w:top w:val="nil"/>
              <w:left w:val="nil"/>
              <w:bottom w:val="nil"/>
              <w:right w:val="nil"/>
            </w:tcBorders>
            <w:vAlign w:val="center"/>
            <w:hideMark/>
          </w:tcPr>
          <w:p w14:paraId="5EFC66F9"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14074363"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No</w:t>
            </w:r>
          </w:p>
        </w:tc>
        <w:tc>
          <w:tcPr>
            <w:tcW w:w="1905" w:type="dxa"/>
            <w:tcBorders>
              <w:top w:val="nil"/>
              <w:left w:val="nil"/>
              <w:bottom w:val="nil"/>
              <w:right w:val="nil"/>
            </w:tcBorders>
            <w:shd w:val="clear" w:color="auto" w:fill="FFFFFF"/>
            <w:vAlign w:val="center"/>
          </w:tcPr>
          <w:p w14:paraId="75B0FA23"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4024(52.3%)</w:t>
            </w:r>
          </w:p>
        </w:tc>
        <w:tc>
          <w:tcPr>
            <w:tcW w:w="1905" w:type="dxa"/>
            <w:tcBorders>
              <w:top w:val="nil"/>
              <w:left w:val="nil"/>
              <w:bottom w:val="nil"/>
              <w:right w:val="nil"/>
            </w:tcBorders>
            <w:shd w:val="clear" w:color="auto" w:fill="FFFFFF"/>
            <w:vAlign w:val="center"/>
          </w:tcPr>
          <w:p w14:paraId="2179145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1551(53.7%)</w:t>
            </w:r>
          </w:p>
        </w:tc>
        <w:tc>
          <w:tcPr>
            <w:tcW w:w="1826" w:type="dxa"/>
            <w:tcBorders>
              <w:top w:val="nil"/>
              <w:left w:val="nil"/>
              <w:bottom w:val="nil"/>
              <w:right w:val="nil"/>
            </w:tcBorders>
            <w:shd w:val="clear" w:color="auto" w:fill="FFFFFF"/>
            <w:vAlign w:val="center"/>
          </w:tcPr>
          <w:p w14:paraId="3D0F132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2473(51.4%)</w:t>
            </w:r>
          </w:p>
        </w:tc>
        <w:tc>
          <w:tcPr>
            <w:tcW w:w="924" w:type="dxa"/>
            <w:tcBorders>
              <w:top w:val="nil"/>
              <w:left w:val="nil"/>
              <w:bottom w:val="nil"/>
              <w:right w:val="nil"/>
            </w:tcBorders>
            <w:vAlign w:val="center"/>
          </w:tcPr>
          <w:p w14:paraId="065F3B3B"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0E6FFB69"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5497B003" w14:textId="77777777" w:rsidTr="00DA1A0F">
        <w:trPr>
          <w:trHeight w:val="276"/>
          <w:jc w:val="center"/>
        </w:trPr>
        <w:tc>
          <w:tcPr>
            <w:tcW w:w="1705" w:type="dxa"/>
            <w:tcBorders>
              <w:top w:val="nil"/>
              <w:left w:val="nil"/>
              <w:bottom w:val="nil"/>
              <w:right w:val="nil"/>
            </w:tcBorders>
            <w:vAlign w:val="center"/>
            <w:hideMark/>
          </w:tcPr>
          <w:p w14:paraId="76980FA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Exercise (%)</w:t>
            </w:r>
          </w:p>
        </w:tc>
        <w:tc>
          <w:tcPr>
            <w:tcW w:w="1121" w:type="dxa"/>
            <w:tcBorders>
              <w:top w:val="nil"/>
              <w:left w:val="nil"/>
              <w:bottom w:val="nil"/>
              <w:right w:val="nil"/>
            </w:tcBorders>
            <w:vAlign w:val="center"/>
            <w:hideMark/>
          </w:tcPr>
          <w:p w14:paraId="429C6948"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Yes</w:t>
            </w:r>
          </w:p>
        </w:tc>
        <w:tc>
          <w:tcPr>
            <w:tcW w:w="1905" w:type="dxa"/>
            <w:tcBorders>
              <w:top w:val="nil"/>
              <w:left w:val="nil"/>
              <w:bottom w:val="nil"/>
              <w:right w:val="nil"/>
            </w:tcBorders>
            <w:shd w:val="clear" w:color="auto" w:fill="FFFFFF"/>
            <w:vAlign w:val="center"/>
          </w:tcPr>
          <w:p w14:paraId="057FC84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6513 (84.6%)</w:t>
            </w:r>
          </w:p>
        </w:tc>
        <w:tc>
          <w:tcPr>
            <w:tcW w:w="1905" w:type="dxa"/>
            <w:tcBorders>
              <w:top w:val="nil"/>
              <w:left w:val="nil"/>
              <w:bottom w:val="nil"/>
              <w:right w:val="nil"/>
            </w:tcBorders>
            <w:shd w:val="clear" w:color="auto" w:fill="FFFFFF"/>
            <w:vAlign w:val="center"/>
          </w:tcPr>
          <w:p w14:paraId="1231F19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2482 (86.0%)</w:t>
            </w:r>
          </w:p>
        </w:tc>
        <w:tc>
          <w:tcPr>
            <w:tcW w:w="1826" w:type="dxa"/>
            <w:tcBorders>
              <w:top w:val="nil"/>
              <w:left w:val="nil"/>
              <w:bottom w:val="nil"/>
              <w:right w:val="nil"/>
            </w:tcBorders>
            <w:shd w:val="clear" w:color="auto" w:fill="FFFFFF"/>
            <w:vAlign w:val="center"/>
          </w:tcPr>
          <w:p w14:paraId="210E7D2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4031 (83.8%)</w:t>
            </w:r>
          </w:p>
        </w:tc>
        <w:tc>
          <w:tcPr>
            <w:tcW w:w="924" w:type="dxa"/>
            <w:tcBorders>
              <w:top w:val="nil"/>
              <w:left w:val="nil"/>
              <w:bottom w:val="nil"/>
              <w:right w:val="nil"/>
            </w:tcBorders>
            <w:shd w:val="clear" w:color="auto" w:fill="FFFFFF"/>
            <w:vAlign w:val="center"/>
          </w:tcPr>
          <w:p w14:paraId="43E53E8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6.589</w:t>
            </w:r>
          </w:p>
        </w:tc>
        <w:tc>
          <w:tcPr>
            <w:tcW w:w="806" w:type="dxa"/>
            <w:tcBorders>
              <w:top w:val="nil"/>
              <w:left w:val="nil"/>
              <w:bottom w:val="nil"/>
              <w:right w:val="nil"/>
            </w:tcBorders>
            <w:shd w:val="clear" w:color="auto" w:fill="FFFFFF"/>
            <w:vAlign w:val="center"/>
          </w:tcPr>
          <w:p w14:paraId="4C9D9631"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0.010</w:t>
            </w:r>
          </w:p>
        </w:tc>
      </w:tr>
      <w:tr w:rsidR="00646667" w:rsidRPr="00646667" w14:paraId="41E82AFB" w14:textId="77777777" w:rsidTr="00DA1A0F">
        <w:trPr>
          <w:trHeight w:val="276"/>
          <w:jc w:val="center"/>
        </w:trPr>
        <w:tc>
          <w:tcPr>
            <w:tcW w:w="1705" w:type="dxa"/>
            <w:tcBorders>
              <w:top w:val="nil"/>
              <w:left w:val="nil"/>
              <w:bottom w:val="nil"/>
              <w:right w:val="nil"/>
            </w:tcBorders>
            <w:vAlign w:val="center"/>
            <w:hideMark/>
          </w:tcPr>
          <w:p w14:paraId="5A48579A"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24559A18"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No</w:t>
            </w:r>
          </w:p>
        </w:tc>
        <w:tc>
          <w:tcPr>
            <w:tcW w:w="1905" w:type="dxa"/>
            <w:tcBorders>
              <w:top w:val="nil"/>
              <w:left w:val="nil"/>
              <w:bottom w:val="nil"/>
              <w:right w:val="nil"/>
            </w:tcBorders>
            <w:shd w:val="clear" w:color="auto" w:fill="FFFFFF"/>
            <w:vAlign w:val="center"/>
          </w:tcPr>
          <w:p w14:paraId="03055AD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1182 (15.4%)</w:t>
            </w:r>
          </w:p>
        </w:tc>
        <w:tc>
          <w:tcPr>
            <w:tcW w:w="1905" w:type="dxa"/>
            <w:tcBorders>
              <w:top w:val="nil"/>
              <w:left w:val="nil"/>
              <w:bottom w:val="nil"/>
              <w:right w:val="nil"/>
            </w:tcBorders>
            <w:shd w:val="clear" w:color="auto" w:fill="FFFFFF"/>
            <w:vAlign w:val="center"/>
          </w:tcPr>
          <w:p w14:paraId="7F79E46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404 (14.0%)</w:t>
            </w:r>
          </w:p>
        </w:tc>
        <w:tc>
          <w:tcPr>
            <w:tcW w:w="1826" w:type="dxa"/>
            <w:tcBorders>
              <w:top w:val="nil"/>
              <w:left w:val="nil"/>
              <w:bottom w:val="nil"/>
              <w:right w:val="nil"/>
            </w:tcBorders>
            <w:shd w:val="clear" w:color="auto" w:fill="FFFFFF"/>
            <w:vAlign w:val="center"/>
          </w:tcPr>
          <w:p w14:paraId="023D4E5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778 (16.2%)</w:t>
            </w:r>
          </w:p>
        </w:tc>
        <w:tc>
          <w:tcPr>
            <w:tcW w:w="924" w:type="dxa"/>
            <w:tcBorders>
              <w:top w:val="nil"/>
              <w:left w:val="nil"/>
              <w:bottom w:val="nil"/>
              <w:right w:val="nil"/>
            </w:tcBorders>
            <w:vAlign w:val="center"/>
          </w:tcPr>
          <w:p w14:paraId="04F4470A"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2A560AC7"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70ECAB80" w14:textId="77777777" w:rsidTr="00DA1A0F">
        <w:trPr>
          <w:trHeight w:val="276"/>
          <w:jc w:val="center"/>
        </w:trPr>
        <w:tc>
          <w:tcPr>
            <w:tcW w:w="1705" w:type="dxa"/>
            <w:tcBorders>
              <w:top w:val="nil"/>
              <w:left w:val="nil"/>
              <w:bottom w:val="nil"/>
              <w:right w:val="nil"/>
            </w:tcBorders>
            <w:vAlign w:val="center"/>
            <w:hideMark/>
          </w:tcPr>
          <w:p w14:paraId="02C5C0B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Social activity (</w:t>
            </w:r>
            <w:r w:rsidRPr="00646667">
              <w:rPr>
                <w:rFonts w:ascii="Times New Roman" w:eastAsia="宋体" w:hAnsi="Times New Roman" w:cs="Times New Roman" w:hint="eastAsia"/>
                <w:color w:val="000000"/>
                <w:kern w:val="0"/>
                <w:szCs w:val="20"/>
              </w:rPr>
              <w:t>number)</w:t>
            </w:r>
          </w:p>
        </w:tc>
        <w:tc>
          <w:tcPr>
            <w:tcW w:w="1121" w:type="dxa"/>
            <w:tcBorders>
              <w:top w:val="nil"/>
              <w:left w:val="nil"/>
              <w:bottom w:val="nil"/>
              <w:right w:val="nil"/>
            </w:tcBorders>
            <w:vAlign w:val="center"/>
            <w:hideMark/>
          </w:tcPr>
          <w:p w14:paraId="777E8F8E"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top w:val="nil"/>
              <w:left w:val="nil"/>
              <w:bottom w:val="nil"/>
              <w:right w:val="nil"/>
            </w:tcBorders>
            <w:shd w:val="clear" w:color="auto" w:fill="FFFFFF"/>
            <w:vAlign w:val="center"/>
          </w:tcPr>
          <w:p w14:paraId="4D56367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0.71±0.99</w:t>
            </w:r>
          </w:p>
        </w:tc>
        <w:tc>
          <w:tcPr>
            <w:tcW w:w="1905" w:type="dxa"/>
            <w:tcBorders>
              <w:top w:val="nil"/>
              <w:left w:val="nil"/>
              <w:bottom w:val="nil"/>
              <w:right w:val="nil"/>
            </w:tcBorders>
            <w:shd w:val="clear" w:color="auto" w:fill="FFFFFF"/>
            <w:vAlign w:val="center"/>
          </w:tcPr>
          <w:p w14:paraId="7F73878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0.88±1.15</w:t>
            </w:r>
          </w:p>
        </w:tc>
        <w:tc>
          <w:tcPr>
            <w:tcW w:w="1826" w:type="dxa"/>
            <w:tcBorders>
              <w:top w:val="nil"/>
              <w:left w:val="nil"/>
              <w:bottom w:val="nil"/>
              <w:right w:val="nil"/>
            </w:tcBorders>
            <w:shd w:val="clear" w:color="auto" w:fill="FFFFFF"/>
            <w:vAlign w:val="center"/>
          </w:tcPr>
          <w:p w14:paraId="0E24521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0.61±0.87</w:t>
            </w:r>
          </w:p>
        </w:tc>
        <w:tc>
          <w:tcPr>
            <w:tcW w:w="924" w:type="dxa"/>
            <w:tcBorders>
              <w:top w:val="nil"/>
              <w:left w:val="nil"/>
              <w:bottom w:val="nil"/>
              <w:right w:val="nil"/>
            </w:tcBorders>
            <w:shd w:val="clear" w:color="auto" w:fill="FFFFFF"/>
            <w:vAlign w:val="center"/>
          </w:tcPr>
          <w:p w14:paraId="226F025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11.586</w:t>
            </w:r>
          </w:p>
        </w:tc>
        <w:tc>
          <w:tcPr>
            <w:tcW w:w="806" w:type="dxa"/>
            <w:tcBorders>
              <w:top w:val="nil"/>
              <w:left w:val="nil"/>
              <w:bottom w:val="nil"/>
              <w:right w:val="nil"/>
            </w:tcBorders>
            <w:shd w:val="clear" w:color="auto" w:fill="FFFFFF"/>
            <w:vAlign w:val="center"/>
          </w:tcPr>
          <w:p w14:paraId="17BAB634"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0EC69E94" w14:textId="77777777" w:rsidTr="00DA1A0F">
        <w:trPr>
          <w:trHeight w:val="276"/>
          <w:jc w:val="center"/>
        </w:trPr>
        <w:tc>
          <w:tcPr>
            <w:tcW w:w="1705" w:type="dxa"/>
            <w:tcBorders>
              <w:top w:val="nil"/>
              <w:left w:val="nil"/>
              <w:bottom w:val="nil"/>
              <w:right w:val="nil"/>
            </w:tcBorders>
            <w:vAlign w:val="center"/>
            <w:hideMark/>
          </w:tcPr>
          <w:p w14:paraId="427C39B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Sleep duration (hours/day)</w:t>
            </w:r>
          </w:p>
        </w:tc>
        <w:tc>
          <w:tcPr>
            <w:tcW w:w="1121" w:type="dxa"/>
            <w:tcBorders>
              <w:top w:val="nil"/>
              <w:left w:val="nil"/>
              <w:bottom w:val="nil"/>
              <w:right w:val="nil"/>
            </w:tcBorders>
            <w:vAlign w:val="center"/>
            <w:hideMark/>
          </w:tcPr>
          <w:p w14:paraId="32BE4698"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top w:val="nil"/>
              <w:left w:val="nil"/>
              <w:bottom w:val="nil"/>
              <w:right w:val="nil"/>
            </w:tcBorders>
            <w:shd w:val="clear" w:color="auto" w:fill="FFFFFF"/>
            <w:vAlign w:val="center"/>
          </w:tcPr>
          <w:p w14:paraId="48A7026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6.22±2.15</w:t>
            </w:r>
          </w:p>
        </w:tc>
        <w:tc>
          <w:tcPr>
            <w:tcW w:w="1905" w:type="dxa"/>
            <w:tcBorders>
              <w:top w:val="nil"/>
              <w:left w:val="nil"/>
              <w:bottom w:val="nil"/>
              <w:right w:val="nil"/>
            </w:tcBorders>
            <w:shd w:val="clear" w:color="auto" w:fill="FFFFFF"/>
            <w:vAlign w:val="center"/>
          </w:tcPr>
          <w:p w14:paraId="4A13B9FA"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6.18±1.98</w:t>
            </w:r>
          </w:p>
        </w:tc>
        <w:tc>
          <w:tcPr>
            <w:tcW w:w="1826" w:type="dxa"/>
            <w:tcBorders>
              <w:top w:val="nil"/>
              <w:left w:val="nil"/>
              <w:bottom w:val="nil"/>
              <w:right w:val="nil"/>
            </w:tcBorders>
            <w:shd w:val="clear" w:color="auto" w:fill="FFFFFF"/>
            <w:vAlign w:val="center"/>
          </w:tcPr>
          <w:p w14:paraId="71D28B2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6.24±2.24</w:t>
            </w:r>
          </w:p>
        </w:tc>
        <w:tc>
          <w:tcPr>
            <w:tcW w:w="924" w:type="dxa"/>
            <w:tcBorders>
              <w:top w:val="nil"/>
              <w:left w:val="nil"/>
              <w:bottom w:val="nil"/>
              <w:right w:val="nil"/>
            </w:tcBorders>
            <w:shd w:val="clear" w:color="auto" w:fill="FFFFFF"/>
            <w:vAlign w:val="center"/>
          </w:tcPr>
          <w:p w14:paraId="35304CA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hAnsi="Times New Roman" w:cs="Times New Roman"/>
                <w:color w:val="000000"/>
                <w:sz w:val="20"/>
                <w:szCs w:val="20"/>
              </w:rPr>
              <w:t>−1</w:t>
            </w:r>
            <w:r w:rsidRPr="00646667">
              <w:rPr>
                <w:rFonts w:ascii="Times New Roman" w:eastAsia="Arial" w:hAnsi="Times New Roman" w:cs="Times New Roman"/>
                <w:color w:val="000000"/>
                <w:sz w:val="20"/>
                <w:szCs w:val="20"/>
              </w:rPr>
              <w:t>.076</w:t>
            </w:r>
          </w:p>
        </w:tc>
        <w:tc>
          <w:tcPr>
            <w:tcW w:w="806" w:type="dxa"/>
            <w:tcBorders>
              <w:top w:val="nil"/>
              <w:left w:val="nil"/>
              <w:bottom w:val="nil"/>
              <w:right w:val="nil"/>
            </w:tcBorders>
            <w:shd w:val="clear" w:color="auto" w:fill="FFFFFF"/>
            <w:vAlign w:val="center"/>
          </w:tcPr>
          <w:p w14:paraId="18F875A9"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0.282</w:t>
            </w:r>
          </w:p>
        </w:tc>
      </w:tr>
      <w:tr w:rsidR="00646667" w:rsidRPr="00646667" w14:paraId="4F0567E0" w14:textId="77777777" w:rsidTr="00DA1A0F">
        <w:trPr>
          <w:trHeight w:val="276"/>
          <w:jc w:val="center"/>
        </w:trPr>
        <w:tc>
          <w:tcPr>
            <w:tcW w:w="1705" w:type="dxa"/>
            <w:tcBorders>
              <w:top w:val="nil"/>
              <w:left w:val="nil"/>
              <w:bottom w:val="nil"/>
              <w:right w:val="nil"/>
            </w:tcBorders>
            <w:vAlign w:val="center"/>
            <w:hideMark/>
          </w:tcPr>
          <w:p w14:paraId="74BE407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lastRenderedPageBreak/>
              <w:t>Chronic disease (%)</w:t>
            </w:r>
          </w:p>
        </w:tc>
        <w:tc>
          <w:tcPr>
            <w:tcW w:w="1121" w:type="dxa"/>
            <w:tcBorders>
              <w:top w:val="nil"/>
              <w:left w:val="nil"/>
              <w:bottom w:val="nil"/>
              <w:right w:val="nil"/>
            </w:tcBorders>
            <w:vAlign w:val="center"/>
            <w:hideMark/>
          </w:tcPr>
          <w:p w14:paraId="41BD32D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With chronic disease</w:t>
            </w:r>
          </w:p>
        </w:tc>
        <w:tc>
          <w:tcPr>
            <w:tcW w:w="1905" w:type="dxa"/>
            <w:tcBorders>
              <w:top w:val="nil"/>
              <w:left w:val="nil"/>
              <w:bottom w:val="nil"/>
              <w:right w:val="nil"/>
            </w:tcBorders>
            <w:shd w:val="clear" w:color="auto" w:fill="FFFFFF"/>
            <w:vAlign w:val="center"/>
          </w:tcPr>
          <w:p w14:paraId="1254086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6597 (85.7%)</w:t>
            </w:r>
          </w:p>
        </w:tc>
        <w:tc>
          <w:tcPr>
            <w:tcW w:w="1905" w:type="dxa"/>
            <w:tcBorders>
              <w:top w:val="nil"/>
              <w:left w:val="nil"/>
              <w:bottom w:val="nil"/>
              <w:right w:val="nil"/>
            </w:tcBorders>
            <w:shd w:val="clear" w:color="auto" w:fill="FFFFFF"/>
            <w:vAlign w:val="center"/>
          </w:tcPr>
          <w:p w14:paraId="3CD2DD90"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2513 (87.1%)</w:t>
            </w:r>
          </w:p>
        </w:tc>
        <w:tc>
          <w:tcPr>
            <w:tcW w:w="1826" w:type="dxa"/>
            <w:tcBorders>
              <w:top w:val="nil"/>
              <w:left w:val="nil"/>
              <w:bottom w:val="nil"/>
              <w:right w:val="nil"/>
            </w:tcBorders>
            <w:shd w:val="clear" w:color="auto" w:fill="FFFFFF"/>
            <w:vAlign w:val="center"/>
          </w:tcPr>
          <w:p w14:paraId="008AB31C"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4084 (84.9%)</w:t>
            </w:r>
          </w:p>
        </w:tc>
        <w:tc>
          <w:tcPr>
            <w:tcW w:w="924" w:type="dxa"/>
            <w:tcBorders>
              <w:top w:val="nil"/>
              <w:left w:val="nil"/>
              <w:bottom w:val="nil"/>
              <w:right w:val="nil"/>
            </w:tcBorders>
            <w:shd w:val="clear" w:color="auto" w:fill="FFFFFF"/>
            <w:vAlign w:val="center"/>
          </w:tcPr>
          <w:p w14:paraId="6405EBD2"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6.824</w:t>
            </w:r>
          </w:p>
        </w:tc>
        <w:tc>
          <w:tcPr>
            <w:tcW w:w="806" w:type="dxa"/>
            <w:tcBorders>
              <w:top w:val="nil"/>
              <w:left w:val="nil"/>
              <w:bottom w:val="nil"/>
              <w:right w:val="nil"/>
            </w:tcBorders>
            <w:shd w:val="clear" w:color="auto" w:fill="FFFFFF"/>
            <w:vAlign w:val="center"/>
          </w:tcPr>
          <w:p w14:paraId="5234CF66"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0.009</w:t>
            </w:r>
          </w:p>
        </w:tc>
      </w:tr>
      <w:tr w:rsidR="00646667" w:rsidRPr="00646667" w14:paraId="0F9370ED" w14:textId="77777777" w:rsidTr="00DA1A0F">
        <w:trPr>
          <w:trHeight w:val="276"/>
          <w:jc w:val="center"/>
        </w:trPr>
        <w:tc>
          <w:tcPr>
            <w:tcW w:w="1705" w:type="dxa"/>
            <w:tcBorders>
              <w:top w:val="nil"/>
              <w:left w:val="nil"/>
              <w:bottom w:val="nil"/>
              <w:right w:val="nil"/>
            </w:tcBorders>
            <w:vAlign w:val="center"/>
            <w:hideMark/>
          </w:tcPr>
          <w:p w14:paraId="1D6EE4D4" w14:textId="77777777" w:rsidR="00646667" w:rsidRPr="00646667" w:rsidRDefault="00646667" w:rsidP="00646667">
            <w:pPr>
              <w:widowControl/>
              <w:rPr>
                <w:rFonts w:ascii="Times New Roman" w:eastAsia="宋体" w:hAnsi="Times New Roman" w:cs="Times New Roman"/>
                <w:color w:val="000000"/>
                <w:kern w:val="0"/>
                <w:szCs w:val="20"/>
              </w:rPr>
            </w:pPr>
          </w:p>
        </w:tc>
        <w:tc>
          <w:tcPr>
            <w:tcW w:w="1121" w:type="dxa"/>
            <w:tcBorders>
              <w:top w:val="nil"/>
              <w:left w:val="nil"/>
              <w:bottom w:val="nil"/>
              <w:right w:val="nil"/>
            </w:tcBorders>
            <w:vAlign w:val="center"/>
            <w:hideMark/>
          </w:tcPr>
          <w:p w14:paraId="424D546F"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None</w:t>
            </w:r>
          </w:p>
        </w:tc>
        <w:tc>
          <w:tcPr>
            <w:tcW w:w="1905" w:type="dxa"/>
            <w:tcBorders>
              <w:top w:val="nil"/>
              <w:left w:val="nil"/>
              <w:bottom w:val="nil"/>
              <w:right w:val="nil"/>
            </w:tcBorders>
            <w:shd w:val="clear" w:color="auto" w:fill="FFFFFF"/>
            <w:vAlign w:val="center"/>
          </w:tcPr>
          <w:p w14:paraId="2BAD01B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1098 (14.3%)</w:t>
            </w:r>
          </w:p>
        </w:tc>
        <w:tc>
          <w:tcPr>
            <w:tcW w:w="1905" w:type="dxa"/>
            <w:tcBorders>
              <w:top w:val="nil"/>
              <w:left w:val="nil"/>
              <w:bottom w:val="nil"/>
              <w:right w:val="nil"/>
            </w:tcBorders>
            <w:shd w:val="clear" w:color="auto" w:fill="FFFFFF"/>
            <w:vAlign w:val="center"/>
          </w:tcPr>
          <w:p w14:paraId="27287A37"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373 (12.9%)</w:t>
            </w:r>
          </w:p>
        </w:tc>
        <w:tc>
          <w:tcPr>
            <w:tcW w:w="1826" w:type="dxa"/>
            <w:tcBorders>
              <w:top w:val="nil"/>
              <w:left w:val="nil"/>
              <w:bottom w:val="nil"/>
              <w:right w:val="nil"/>
            </w:tcBorders>
            <w:shd w:val="clear" w:color="auto" w:fill="FFFFFF"/>
            <w:vAlign w:val="center"/>
          </w:tcPr>
          <w:p w14:paraId="56E55F8E"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Arial" w:hAnsi="Times New Roman" w:cs="Times New Roman"/>
                <w:color w:val="000000"/>
                <w:sz w:val="20"/>
                <w:szCs w:val="20"/>
              </w:rPr>
              <w:t>725 (15.1%)</w:t>
            </w:r>
          </w:p>
        </w:tc>
        <w:tc>
          <w:tcPr>
            <w:tcW w:w="924" w:type="dxa"/>
            <w:tcBorders>
              <w:top w:val="nil"/>
              <w:left w:val="nil"/>
              <w:bottom w:val="nil"/>
              <w:right w:val="nil"/>
            </w:tcBorders>
            <w:vAlign w:val="center"/>
          </w:tcPr>
          <w:p w14:paraId="388FA0AE" w14:textId="77777777" w:rsidR="00646667" w:rsidRPr="00646667" w:rsidRDefault="00646667" w:rsidP="00646667">
            <w:pPr>
              <w:widowControl/>
              <w:rPr>
                <w:rFonts w:ascii="Times New Roman" w:eastAsia="宋体" w:hAnsi="Times New Roman" w:cs="Times New Roman"/>
                <w:color w:val="000000"/>
                <w:kern w:val="0"/>
                <w:szCs w:val="20"/>
              </w:rPr>
            </w:pPr>
          </w:p>
        </w:tc>
        <w:tc>
          <w:tcPr>
            <w:tcW w:w="806" w:type="dxa"/>
            <w:tcBorders>
              <w:top w:val="nil"/>
              <w:left w:val="nil"/>
              <w:bottom w:val="nil"/>
              <w:right w:val="nil"/>
            </w:tcBorders>
            <w:vAlign w:val="center"/>
          </w:tcPr>
          <w:p w14:paraId="791401BC" w14:textId="77777777" w:rsidR="00646667" w:rsidRPr="00646667" w:rsidRDefault="00646667" w:rsidP="00646667">
            <w:pPr>
              <w:widowControl/>
              <w:rPr>
                <w:rFonts w:ascii="Times New Roman" w:eastAsia="宋体" w:hAnsi="Times New Roman" w:cs="Times New Roman"/>
                <w:color w:val="000000"/>
                <w:kern w:val="0"/>
                <w:szCs w:val="20"/>
              </w:rPr>
            </w:pPr>
          </w:p>
        </w:tc>
      </w:tr>
      <w:tr w:rsidR="00646667" w:rsidRPr="00646667" w14:paraId="17617D2A" w14:textId="77777777" w:rsidTr="00DA1A0F">
        <w:trPr>
          <w:trHeight w:val="276"/>
          <w:jc w:val="center"/>
        </w:trPr>
        <w:tc>
          <w:tcPr>
            <w:tcW w:w="1705" w:type="dxa"/>
            <w:tcBorders>
              <w:top w:val="nil"/>
              <w:left w:val="nil"/>
              <w:bottom w:val="nil"/>
              <w:right w:val="nil"/>
            </w:tcBorders>
            <w:vAlign w:val="center"/>
            <w:hideMark/>
          </w:tcPr>
          <w:p w14:paraId="265FEFA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IADL score</w:t>
            </w:r>
          </w:p>
        </w:tc>
        <w:tc>
          <w:tcPr>
            <w:tcW w:w="1121" w:type="dxa"/>
            <w:tcBorders>
              <w:top w:val="nil"/>
              <w:left w:val="nil"/>
              <w:bottom w:val="nil"/>
              <w:right w:val="nil"/>
            </w:tcBorders>
            <w:vAlign w:val="center"/>
            <w:hideMark/>
          </w:tcPr>
          <w:p w14:paraId="497A361B" w14:textId="77777777" w:rsidR="00646667" w:rsidRPr="00646667" w:rsidRDefault="00646667" w:rsidP="00646667">
            <w:pPr>
              <w:widowControl/>
              <w:rPr>
                <w:rFonts w:ascii="Times New Roman" w:eastAsia="宋体" w:hAnsi="Times New Roman" w:cs="Times New Roman"/>
                <w:color w:val="000000"/>
                <w:kern w:val="0"/>
                <w:szCs w:val="20"/>
                <w:highlight w:val="yellow"/>
              </w:rPr>
            </w:pPr>
          </w:p>
        </w:tc>
        <w:tc>
          <w:tcPr>
            <w:tcW w:w="1905" w:type="dxa"/>
            <w:tcBorders>
              <w:top w:val="nil"/>
              <w:left w:val="nil"/>
              <w:bottom w:val="nil"/>
              <w:right w:val="nil"/>
            </w:tcBorders>
            <w:shd w:val="clear" w:color="auto" w:fill="FFFFFF"/>
            <w:vAlign w:val="center"/>
          </w:tcPr>
          <w:p w14:paraId="707A927B"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eastAsia="Arial" w:hAnsi="Times New Roman" w:cs="Times New Roman"/>
                <w:color w:val="000000"/>
                <w:sz w:val="20"/>
                <w:szCs w:val="20"/>
              </w:rPr>
              <w:t>0.74±1.32</w:t>
            </w:r>
          </w:p>
        </w:tc>
        <w:tc>
          <w:tcPr>
            <w:tcW w:w="1905" w:type="dxa"/>
            <w:tcBorders>
              <w:top w:val="nil"/>
              <w:left w:val="nil"/>
              <w:bottom w:val="nil"/>
              <w:right w:val="nil"/>
            </w:tcBorders>
            <w:shd w:val="clear" w:color="auto" w:fill="FFFFFF"/>
            <w:vAlign w:val="center"/>
          </w:tcPr>
          <w:p w14:paraId="29526F5F"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eastAsia="Arial" w:hAnsi="Times New Roman" w:cs="Times New Roman"/>
                <w:color w:val="000000"/>
                <w:sz w:val="20"/>
                <w:szCs w:val="20"/>
              </w:rPr>
              <w:t>0.62±1.25</w:t>
            </w:r>
          </w:p>
        </w:tc>
        <w:tc>
          <w:tcPr>
            <w:tcW w:w="1826" w:type="dxa"/>
            <w:tcBorders>
              <w:top w:val="nil"/>
              <w:left w:val="nil"/>
              <w:bottom w:val="nil"/>
              <w:right w:val="nil"/>
            </w:tcBorders>
            <w:shd w:val="clear" w:color="auto" w:fill="FFFFFF"/>
            <w:vAlign w:val="center"/>
          </w:tcPr>
          <w:p w14:paraId="5A875E8F"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eastAsia="Arial" w:hAnsi="Times New Roman" w:cs="Times New Roman"/>
                <w:color w:val="000000"/>
                <w:sz w:val="20"/>
                <w:szCs w:val="20"/>
              </w:rPr>
              <w:t>0.81±1.35</w:t>
            </w:r>
          </w:p>
        </w:tc>
        <w:tc>
          <w:tcPr>
            <w:tcW w:w="924" w:type="dxa"/>
            <w:tcBorders>
              <w:top w:val="nil"/>
              <w:left w:val="nil"/>
              <w:bottom w:val="nil"/>
              <w:right w:val="nil"/>
            </w:tcBorders>
            <w:shd w:val="clear" w:color="auto" w:fill="FFFFFF"/>
            <w:vAlign w:val="center"/>
          </w:tcPr>
          <w:p w14:paraId="164385FE"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hAnsi="Times New Roman" w:cs="Times New Roman"/>
                <w:color w:val="000000"/>
                <w:sz w:val="20"/>
                <w:szCs w:val="20"/>
              </w:rPr>
              <w:t>−6</w:t>
            </w:r>
            <w:r w:rsidRPr="00646667">
              <w:rPr>
                <w:rFonts w:ascii="Times New Roman" w:eastAsia="Arial" w:hAnsi="Times New Roman" w:cs="Times New Roman"/>
                <w:color w:val="000000"/>
                <w:sz w:val="20"/>
                <w:szCs w:val="20"/>
              </w:rPr>
              <w:t>.128</w:t>
            </w:r>
          </w:p>
        </w:tc>
        <w:tc>
          <w:tcPr>
            <w:tcW w:w="806" w:type="dxa"/>
            <w:tcBorders>
              <w:top w:val="nil"/>
              <w:left w:val="nil"/>
              <w:bottom w:val="nil"/>
              <w:right w:val="nil"/>
            </w:tcBorders>
            <w:shd w:val="clear" w:color="auto" w:fill="FFFFFF"/>
            <w:vAlign w:val="center"/>
          </w:tcPr>
          <w:p w14:paraId="37782649"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7984A76E" w14:textId="77777777" w:rsidTr="00DA1A0F">
        <w:trPr>
          <w:trHeight w:val="276"/>
          <w:jc w:val="center"/>
        </w:trPr>
        <w:tc>
          <w:tcPr>
            <w:tcW w:w="1705" w:type="dxa"/>
            <w:tcBorders>
              <w:top w:val="nil"/>
              <w:left w:val="nil"/>
              <w:bottom w:val="nil"/>
              <w:right w:val="nil"/>
            </w:tcBorders>
            <w:vAlign w:val="center"/>
            <w:hideMark/>
          </w:tcPr>
          <w:p w14:paraId="120B620B"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color w:val="000000"/>
                <w:kern w:val="0"/>
                <w:szCs w:val="20"/>
              </w:rPr>
              <w:t>ADL score</w:t>
            </w:r>
          </w:p>
        </w:tc>
        <w:tc>
          <w:tcPr>
            <w:tcW w:w="1121" w:type="dxa"/>
            <w:tcBorders>
              <w:top w:val="nil"/>
              <w:left w:val="nil"/>
              <w:bottom w:val="nil"/>
              <w:right w:val="nil"/>
            </w:tcBorders>
            <w:vAlign w:val="center"/>
            <w:hideMark/>
          </w:tcPr>
          <w:p w14:paraId="59BCF2CC" w14:textId="77777777" w:rsidR="00646667" w:rsidRPr="00646667" w:rsidRDefault="00646667" w:rsidP="00646667">
            <w:pPr>
              <w:widowControl/>
              <w:rPr>
                <w:rFonts w:ascii="Times New Roman" w:eastAsia="宋体" w:hAnsi="Times New Roman" w:cs="Times New Roman"/>
                <w:color w:val="000000"/>
                <w:kern w:val="0"/>
                <w:szCs w:val="20"/>
                <w:highlight w:val="yellow"/>
              </w:rPr>
            </w:pPr>
          </w:p>
        </w:tc>
        <w:tc>
          <w:tcPr>
            <w:tcW w:w="1905" w:type="dxa"/>
            <w:tcBorders>
              <w:top w:val="nil"/>
              <w:left w:val="nil"/>
              <w:bottom w:val="nil"/>
              <w:right w:val="nil"/>
            </w:tcBorders>
            <w:shd w:val="clear" w:color="auto" w:fill="FFFFFF"/>
            <w:vAlign w:val="center"/>
          </w:tcPr>
          <w:p w14:paraId="40BB5BCB"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eastAsia="Arial" w:hAnsi="Times New Roman" w:cs="Times New Roman"/>
                <w:color w:val="000000"/>
                <w:sz w:val="20"/>
                <w:szCs w:val="20"/>
              </w:rPr>
              <w:t>0.66±1.30</w:t>
            </w:r>
          </w:p>
        </w:tc>
        <w:tc>
          <w:tcPr>
            <w:tcW w:w="1905" w:type="dxa"/>
            <w:tcBorders>
              <w:top w:val="nil"/>
              <w:left w:val="nil"/>
              <w:bottom w:val="nil"/>
              <w:right w:val="nil"/>
            </w:tcBorders>
            <w:shd w:val="clear" w:color="auto" w:fill="FFFFFF"/>
            <w:vAlign w:val="center"/>
          </w:tcPr>
          <w:p w14:paraId="6EBD52DC"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eastAsia="Arial" w:hAnsi="Times New Roman" w:cs="Times New Roman"/>
                <w:color w:val="000000"/>
                <w:sz w:val="20"/>
                <w:szCs w:val="20"/>
              </w:rPr>
              <w:t>0.53±1.17</w:t>
            </w:r>
          </w:p>
        </w:tc>
        <w:tc>
          <w:tcPr>
            <w:tcW w:w="1826" w:type="dxa"/>
            <w:tcBorders>
              <w:top w:val="nil"/>
              <w:left w:val="nil"/>
              <w:bottom w:val="nil"/>
              <w:right w:val="nil"/>
            </w:tcBorders>
            <w:shd w:val="clear" w:color="auto" w:fill="FFFFFF"/>
            <w:vAlign w:val="center"/>
          </w:tcPr>
          <w:p w14:paraId="7020B323"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eastAsia="Arial" w:hAnsi="Times New Roman" w:cs="Times New Roman"/>
                <w:color w:val="000000"/>
                <w:sz w:val="20"/>
                <w:szCs w:val="20"/>
              </w:rPr>
              <w:t>0.73±1.37</w:t>
            </w:r>
          </w:p>
        </w:tc>
        <w:tc>
          <w:tcPr>
            <w:tcW w:w="924" w:type="dxa"/>
            <w:tcBorders>
              <w:top w:val="nil"/>
              <w:left w:val="nil"/>
              <w:bottom w:val="nil"/>
              <w:right w:val="nil"/>
            </w:tcBorders>
            <w:shd w:val="clear" w:color="auto" w:fill="FFFFFF"/>
            <w:vAlign w:val="center"/>
          </w:tcPr>
          <w:p w14:paraId="3185313D" w14:textId="77777777" w:rsidR="00646667" w:rsidRPr="00646667" w:rsidRDefault="00646667" w:rsidP="00646667">
            <w:pPr>
              <w:widowControl/>
              <w:rPr>
                <w:rFonts w:ascii="Times New Roman" w:eastAsia="宋体" w:hAnsi="Times New Roman" w:cs="Times New Roman"/>
                <w:color w:val="000000"/>
                <w:kern w:val="0"/>
                <w:szCs w:val="20"/>
                <w:highlight w:val="yellow"/>
              </w:rPr>
            </w:pPr>
            <w:r w:rsidRPr="00646667">
              <w:rPr>
                <w:rFonts w:ascii="Times New Roman" w:hAnsi="Times New Roman" w:cs="Times New Roman"/>
                <w:color w:val="000000"/>
                <w:sz w:val="20"/>
                <w:szCs w:val="20"/>
              </w:rPr>
              <w:t>−6</w:t>
            </w:r>
            <w:r w:rsidRPr="00646667">
              <w:rPr>
                <w:rFonts w:ascii="Times New Roman" w:eastAsia="Arial" w:hAnsi="Times New Roman" w:cs="Times New Roman"/>
                <w:color w:val="000000"/>
                <w:sz w:val="20"/>
                <w:szCs w:val="20"/>
              </w:rPr>
              <w:t>.496</w:t>
            </w:r>
          </w:p>
        </w:tc>
        <w:tc>
          <w:tcPr>
            <w:tcW w:w="806" w:type="dxa"/>
            <w:tcBorders>
              <w:top w:val="nil"/>
              <w:left w:val="nil"/>
              <w:bottom w:val="nil"/>
              <w:right w:val="nil"/>
            </w:tcBorders>
            <w:shd w:val="clear" w:color="auto" w:fill="FFFFFF"/>
            <w:vAlign w:val="center"/>
          </w:tcPr>
          <w:p w14:paraId="5DBEBDCF"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522DE310" w14:textId="77777777" w:rsidTr="00DA1A0F">
        <w:trPr>
          <w:trHeight w:val="528"/>
          <w:jc w:val="center"/>
        </w:trPr>
        <w:tc>
          <w:tcPr>
            <w:tcW w:w="1705" w:type="dxa"/>
            <w:tcBorders>
              <w:top w:val="none" w:sz="0" w:space="0" w:color="000000"/>
              <w:left w:val="none" w:sz="0" w:space="0" w:color="000000"/>
              <w:bottom w:val="none" w:sz="0" w:space="0" w:color="000000"/>
              <w:right w:val="none" w:sz="0" w:space="0" w:color="000000"/>
            </w:tcBorders>
            <w:shd w:val="clear" w:color="auto" w:fill="FFFFFF"/>
            <w:vAlign w:val="center"/>
          </w:tcPr>
          <w:p w14:paraId="7118231D"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hint="eastAsia"/>
                <w:color w:val="000000"/>
                <w:szCs w:val="20"/>
                <w14:ligatures w14:val="standardContextual"/>
              </w:rPr>
              <w:t xml:space="preserve">Wastewater </w:t>
            </w:r>
            <w:r w:rsidRPr="00646667">
              <w:rPr>
                <w:rFonts w:ascii="Times New Roman" w:eastAsia="宋体" w:hAnsi="Times New Roman" w:cs="Times New Roman"/>
                <w:color w:val="000000"/>
                <w:szCs w:val="20"/>
                <w14:ligatures w14:val="standardContextual"/>
              </w:rPr>
              <w:t xml:space="preserve">treatment rate </w:t>
            </w:r>
            <w:r w:rsidRPr="00646667">
              <w:rPr>
                <w:rFonts w:ascii="Times New Roman" w:eastAsia="宋体" w:hAnsi="Times New Roman" w:cs="Times New Roman" w:hint="eastAsia"/>
                <w:color w:val="000000"/>
                <w:szCs w:val="20"/>
                <w14:ligatures w14:val="standardContextual"/>
              </w:rPr>
              <w:t>(%)</w:t>
            </w:r>
          </w:p>
        </w:tc>
        <w:tc>
          <w:tcPr>
            <w:tcW w:w="1121" w:type="dxa"/>
            <w:tcBorders>
              <w:top w:val="none" w:sz="0" w:space="0" w:color="000000"/>
              <w:left w:val="none" w:sz="0" w:space="0" w:color="000000"/>
              <w:bottom w:val="none" w:sz="0" w:space="0" w:color="000000"/>
              <w:right w:val="none" w:sz="0" w:space="0" w:color="000000"/>
            </w:tcBorders>
            <w:shd w:val="clear" w:color="auto" w:fill="FFFFFF"/>
            <w:vAlign w:val="center"/>
          </w:tcPr>
          <w:p w14:paraId="46080EFD"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shd w:val="clear" w:color="auto" w:fill="FFFFFF" w:themeFill="background1"/>
            <w:vAlign w:val="center"/>
          </w:tcPr>
          <w:p w14:paraId="3E33D8B3"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91.02±6.41</w:t>
            </w:r>
          </w:p>
        </w:tc>
        <w:tc>
          <w:tcPr>
            <w:tcW w:w="1905" w:type="dxa"/>
            <w:shd w:val="clear" w:color="auto" w:fill="FFFFFF" w:themeFill="background1"/>
            <w:vAlign w:val="center"/>
          </w:tcPr>
          <w:p w14:paraId="660D2E3B"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90.99±6.29</w:t>
            </w:r>
          </w:p>
        </w:tc>
        <w:tc>
          <w:tcPr>
            <w:tcW w:w="1826" w:type="dxa"/>
            <w:shd w:val="clear" w:color="auto" w:fill="FFFFFF" w:themeFill="background1"/>
            <w:vAlign w:val="center"/>
          </w:tcPr>
          <w:p w14:paraId="22B37A28"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91.08±6.62</w:t>
            </w:r>
          </w:p>
        </w:tc>
        <w:tc>
          <w:tcPr>
            <w:tcW w:w="924" w:type="dxa"/>
            <w:shd w:val="clear" w:color="auto" w:fill="FFFFFF" w:themeFill="background1"/>
            <w:vAlign w:val="center"/>
          </w:tcPr>
          <w:p w14:paraId="5A621983"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hAnsi="Times New Roman" w:cs="Times New Roman" w:hint="eastAsia"/>
                <w:color w:val="000000"/>
                <w:sz w:val="20"/>
                <w:szCs w:val="20"/>
              </w:rPr>
              <w:t>-</w:t>
            </w:r>
            <w:r w:rsidRPr="00646667">
              <w:rPr>
                <w:rFonts w:ascii="Times New Roman" w:eastAsia="Arial" w:hAnsi="Times New Roman" w:cs="Times New Roman"/>
                <w:color w:val="000000"/>
                <w:sz w:val="20"/>
                <w:szCs w:val="20"/>
              </w:rPr>
              <w:t>0.570</w:t>
            </w:r>
          </w:p>
        </w:tc>
        <w:tc>
          <w:tcPr>
            <w:tcW w:w="806" w:type="dxa"/>
            <w:shd w:val="clear" w:color="auto" w:fill="FFFFFF" w:themeFill="background1"/>
            <w:vAlign w:val="center"/>
          </w:tcPr>
          <w:p w14:paraId="00798D49"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0.569</w:t>
            </w:r>
          </w:p>
        </w:tc>
      </w:tr>
      <w:tr w:rsidR="00646667" w:rsidRPr="00646667" w14:paraId="5A6034BB" w14:textId="77777777" w:rsidTr="00DA1A0F">
        <w:trPr>
          <w:trHeight w:val="528"/>
          <w:jc w:val="center"/>
        </w:trPr>
        <w:tc>
          <w:tcPr>
            <w:tcW w:w="1705" w:type="dxa"/>
            <w:tcBorders>
              <w:top w:val="none" w:sz="0" w:space="0" w:color="000000"/>
              <w:left w:val="none" w:sz="0" w:space="0" w:color="000000"/>
              <w:bottom w:val="none" w:sz="0" w:space="0" w:color="000000"/>
              <w:right w:val="none" w:sz="0" w:space="0" w:color="000000"/>
            </w:tcBorders>
            <w:shd w:val="clear" w:color="auto" w:fill="FFFFFF"/>
            <w:vAlign w:val="center"/>
          </w:tcPr>
          <w:p w14:paraId="456CC9D6"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hint="eastAsia"/>
                <w:color w:val="000000"/>
                <w:szCs w:val="20"/>
                <w14:ligatures w14:val="standardContextual"/>
              </w:rPr>
              <w:t xml:space="preserve">Built-up </w:t>
            </w:r>
            <w:r w:rsidRPr="00646667">
              <w:rPr>
                <w:rFonts w:ascii="Times New Roman" w:eastAsia="宋体" w:hAnsi="Times New Roman" w:cs="Times New Roman"/>
                <w:color w:val="000000"/>
                <w:szCs w:val="20"/>
                <w14:ligatures w14:val="standardContextual"/>
              </w:rPr>
              <w:t>area green coverage rate</w:t>
            </w:r>
            <w:r w:rsidRPr="00646667">
              <w:rPr>
                <w:rFonts w:ascii="Times New Roman" w:eastAsia="宋体" w:hAnsi="Times New Roman" w:cs="Times New Roman" w:hint="eastAsia"/>
                <w:color w:val="000000"/>
                <w:szCs w:val="20"/>
                <w14:ligatures w14:val="standardContextual"/>
              </w:rPr>
              <w:t xml:space="preserve"> (%)</w:t>
            </w:r>
          </w:p>
        </w:tc>
        <w:tc>
          <w:tcPr>
            <w:tcW w:w="1121" w:type="dxa"/>
            <w:tcBorders>
              <w:top w:val="none" w:sz="0" w:space="0" w:color="000000"/>
              <w:left w:val="none" w:sz="0" w:space="0" w:color="000000"/>
              <w:bottom w:val="none" w:sz="0" w:space="0" w:color="000000"/>
              <w:right w:val="none" w:sz="0" w:space="0" w:color="000000"/>
            </w:tcBorders>
            <w:shd w:val="clear" w:color="auto" w:fill="FFFFFF"/>
            <w:vAlign w:val="center"/>
          </w:tcPr>
          <w:p w14:paraId="7987E0B1"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shd w:val="clear" w:color="auto" w:fill="FFFFFF" w:themeFill="background1"/>
            <w:vAlign w:val="center"/>
          </w:tcPr>
          <w:p w14:paraId="6CC3F137"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39.61±4.45</w:t>
            </w:r>
          </w:p>
        </w:tc>
        <w:tc>
          <w:tcPr>
            <w:tcW w:w="1905" w:type="dxa"/>
            <w:shd w:val="clear" w:color="auto" w:fill="FFFFFF" w:themeFill="background1"/>
            <w:vAlign w:val="center"/>
          </w:tcPr>
          <w:p w14:paraId="3409C231"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39.32±4.40</w:t>
            </w:r>
          </w:p>
        </w:tc>
        <w:tc>
          <w:tcPr>
            <w:tcW w:w="1826" w:type="dxa"/>
            <w:shd w:val="clear" w:color="auto" w:fill="FFFFFF" w:themeFill="background1"/>
            <w:vAlign w:val="center"/>
          </w:tcPr>
          <w:p w14:paraId="756BAB56"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40.09±4.49</w:t>
            </w:r>
          </w:p>
        </w:tc>
        <w:tc>
          <w:tcPr>
            <w:tcW w:w="924" w:type="dxa"/>
            <w:shd w:val="clear" w:color="auto" w:fill="FFFFFF" w:themeFill="background1"/>
            <w:vAlign w:val="center"/>
          </w:tcPr>
          <w:p w14:paraId="3E9904C5"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7.418</w:t>
            </w:r>
          </w:p>
        </w:tc>
        <w:tc>
          <w:tcPr>
            <w:tcW w:w="806" w:type="dxa"/>
            <w:shd w:val="clear" w:color="auto" w:fill="FFFFFF" w:themeFill="background1"/>
            <w:vAlign w:val="center"/>
          </w:tcPr>
          <w:p w14:paraId="0F58BD3B"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&lt;0.001</w:t>
            </w:r>
          </w:p>
        </w:tc>
      </w:tr>
      <w:tr w:rsidR="00646667" w:rsidRPr="00646667" w14:paraId="3F56E1BC" w14:textId="77777777" w:rsidTr="00DA1A0F">
        <w:trPr>
          <w:trHeight w:val="528"/>
          <w:jc w:val="center"/>
        </w:trPr>
        <w:tc>
          <w:tcPr>
            <w:tcW w:w="1705" w:type="dxa"/>
            <w:tcBorders>
              <w:top w:val="none" w:sz="0" w:space="0" w:color="000000"/>
              <w:bottom w:val="single" w:sz="4" w:space="0" w:color="auto"/>
            </w:tcBorders>
            <w:shd w:val="clear" w:color="auto" w:fill="FFFFFF"/>
            <w:vAlign w:val="center"/>
          </w:tcPr>
          <w:p w14:paraId="37D3E1E5" w14:textId="77777777" w:rsidR="00646667" w:rsidRPr="00646667" w:rsidRDefault="00646667" w:rsidP="00646667">
            <w:pPr>
              <w:widowControl/>
              <w:rPr>
                <w:rFonts w:ascii="Times New Roman" w:eastAsia="宋体" w:hAnsi="Times New Roman" w:cs="Times New Roman"/>
                <w:color w:val="000000"/>
                <w:kern w:val="0"/>
                <w:szCs w:val="20"/>
              </w:rPr>
            </w:pPr>
            <w:r w:rsidRPr="00646667">
              <w:rPr>
                <w:rFonts w:ascii="Times New Roman" w:eastAsia="宋体" w:hAnsi="Times New Roman" w:cs="Times New Roman" w:hint="eastAsia"/>
                <w:color w:val="000000"/>
                <w:szCs w:val="20"/>
                <w14:ligatures w14:val="standardContextual"/>
              </w:rPr>
              <w:t>Domestic waste treatment rate (%)</w:t>
            </w:r>
          </w:p>
        </w:tc>
        <w:tc>
          <w:tcPr>
            <w:tcW w:w="1121" w:type="dxa"/>
            <w:tcBorders>
              <w:top w:val="none" w:sz="0" w:space="0" w:color="000000"/>
              <w:bottom w:val="single" w:sz="4" w:space="0" w:color="auto"/>
            </w:tcBorders>
            <w:shd w:val="clear" w:color="auto" w:fill="FFFFFF"/>
            <w:vAlign w:val="center"/>
          </w:tcPr>
          <w:p w14:paraId="568DE09D" w14:textId="77777777" w:rsidR="00646667" w:rsidRPr="00646667" w:rsidRDefault="00646667" w:rsidP="00646667">
            <w:pPr>
              <w:widowControl/>
              <w:rPr>
                <w:rFonts w:ascii="Times New Roman" w:eastAsia="宋体" w:hAnsi="Times New Roman" w:cs="Times New Roman"/>
                <w:color w:val="000000"/>
                <w:kern w:val="0"/>
                <w:szCs w:val="20"/>
              </w:rPr>
            </w:pPr>
          </w:p>
        </w:tc>
        <w:tc>
          <w:tcPr>
            <w:tcW w:w="1905" w:type="dxa"/>
            <w:tcBorders>
              <w:bottom w:val="single" w:sz="4" w:space="0" w:color="auto"/>
            </w:tcBorders>
            <w:shd w:val="clear" w:color="auto" w:fill="FFFFFF" w:themeFill="background1"/>
            <w:vAlign w:val="center"/>
          </w:tcPr>
          <w:p w14:paraId="1BEEB962"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97.35±8.41</w:t>
            </w:r>
          </w:p>
        </w:tc>
        <w:tc>
          <w:tcPr>
            <w:tcW w:w="1905" w:type="dxa"/>
            <w:tcBorders>
              <w:bottom w:val="single" w:sz="4" w:space="0" w:color="auto"/>
            </w:tcBorders>
            <w:shd w:val="clear" w:color="auto" w:fill="FFFFFF" w:themeFill="background1"/>
            <w:vAlign w:val="center"/>
          </w:tcPr>
          <w:p w14:paraId="304AAFFB"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97.27±9.36</w:t>
            </w:r>
          </w:p>
        </w:tc>
        <w:tc>
          <w:tcPr>
            <w:tcW w:w="1826" w:type="dxa"/>
            <w:tcBorders>
              <w:bottom w:val="single" w:sz="4" w:space="0" w:color="auto"/>
            </w:tcBorders>
            <w:shd w:val="clear" w:color="auto" w:fill="FFFFFF" w:themeFill="background1"/>
            <w:vAlign w:val="center"/>
          </w:tcPr>
          <w:p w14:paraId="3C4DFFAF"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97.48±6.52</w:t>
            </w:r>
          </w:p>
        </w:tc>
        <w:tc>
          <w:tcPr>
            <w:tcW w:w="924" w:type="dxa"/>
            <w:tcBorders>
              <w:bottom w:val="single" w:sz="4" w:space="0" w:color="auto"/>
            </w:tcBorders>
            <w:shd w:val="clear" w:color="auto" w:fill="FFFFFF" w:themeFill="background1"/>
            <w:vAlign w:val="center"/>
          </w:tcPr>
          <w:p w14:paraId="1756ABB4"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1.081</w:t>
            </w:r>
          </w:p>
        </w:tc>
        <w:tc>
          <w:tcPr>
            <w:tcW w:w="806" w:type="dxa"/>
            <w:tcBorders>
              <w:bottom w:val="single" w:sz="4" w:space="0" w:color="auto"/>
            </w:tcBorders>
            <w:shd w:val="clear" w:color="auto" w:fill="FFFFFF" w:themeFill="background1"/>
            <w:vAlign w:val="center"/>
          </w:tcPr>
          <w:p w14:paraId="7305C4AC" w14:textId="77777777" w:rsidR="00646667" w:rsidRPr="00646667" w:rsidRDefault="00646667" w:rsidP="00646667">
            <w:pPr>
              <w:widowControl/>
              <w:rPr>
                <w:rFonts w:ascii="Times New Roman" w:eastAsia="Arial" w:hAnsi="Times New Roman" w:cs="Times New Roman"/>
                <w:color w:val="000000"/>
                <w:sz w:val="20"/>
                <w:szCs w:val="20"/>
              </w:rPr>
            </w:pPr>
            <w:r w:rsidRPr="00646667">
              <w:rPr>
                <w:rFonts w:ascii="Times New Roman" w:eastAsia="Arial" w:hAnsi="Times New Roman" w:cs="Times New Roman"/>
                <w:color w:val="000000"/>
                <w:sz w:val="20"/>
                <w:szCs w:val="20"/>
              </w:rPr>
              <w:t>0.280</w:t>
            </w:r>
          </w:p>
        </w:tc>
      </w:tr>
    </w:tbl>
    <w:p w14:paraId="031ECED4" w14:textId="77777777" w:rsidR="00646667" w:rsidRPr="00646667" w:rsidRDefault="00646667" w:rsidP="00646667">
      <w:pPr>
        <w:widowControl/>
        <w:spacing w:after="160" w:line="278" w:lineRule="auto"/>
        <w:jc w:val="left"/>
        <w:rPr>
          <w:rFonts w:ascii="Times New Roman" w:eastAsia="宋体" w:hAnsi="Times New Roman" w:cs="Times New Roman"/>
          <w:b/>
          <w:bCs/>
          <w:color w:val="000000" w:themeColor="text1"/>
          <w:kern w:val="0"/>
          <w:sz w:val="22"/>
        </w:rPr>
      </w:pPr>
    </w:p>
    <w:p w14:paraId="4FF15336" w14:textId="77777777" w:rsidR="00646667" w:rsidRPr="00646667" w:rsidRDefault="00646667" w:rsidP="00646667">
      <w:pPr>
        <w:spacing w:line="360" w:lineRule="auto"/>
        <w:ind w:firstLineChars="200" w:firstLine="420"/>
        <w:jc w:val="left"/>
        <w:rPr>
          <w:rFonts w:ascii="Times New Roman" w:eastAsia="宋体" w:hAnsi="Times New Roman"/>
          <w14:ligatures w14:val="standardContextual"/>
        </w:rPr>
      </w:pPr>
    </w:p>
    <w:p w14:paraId="2A035510" w14:textId="77777777" w:rsidR="00646667" w:rsidRDefault="00646667" w:rsidP="0077114F">
      <w:pPr>
        <w:pStyle w:val="af5"/>
        <w:spacing w:before="0" w:beforeAutospacing="0" w:after="0" w:afterAutospacing="0" w:line="360" w:lineRule="auto"/>
        <w:rPr>
          <w:rFonts w:ascii="Times New Roman" w:hAnsi="Times New Roman" w:cs="Times New Roman"/>
          <w:b/>
          <w:bCs/>
          <w:color w:val="000000" w:themeColor="text1"/>
          <w:sz w:val="22"/>
        </w:rPr>
      </w:pPr>
    </w:p>
    <w:p w14:paraId="695AAF01" w14:textId="77777777" w:rsidR="00646667" w:rsidRDefault="00646667">
      <w:pPr>
        <w:widowControl/>
        <w:spacing w:after="160" w:line="278" w:lineRule="auto"/>
        <w:jc w:val="left"/>
        <w:rPr>
          <w:rFonts w:ascii="Times New Roman" w:eastAsia="宋体" w:hAnsi="Times New Roman" w:cs="Times New Roman"/>
          <w:b/>
          <w:bCs/>
          <w:color w:val="000000" w:themeColor="text1"/>
          <w:kern w:val="0"/>
          <w:sz w:val="22"/>
          <w:szCs w:val="24"/>
        </w:rPr>
      </w:pPr>
      <w:r>
        <w:rPr>
          <w:rFonts w:ascii="Times New Roman" w:hAnsi="Times New Roman" w:cs="Times New Roman"/>
          <w:b/>
          <w:bCs/>
          <w:color w:val="000000" w:themeColor="text1"/>
          <w:sz w:val="22"/>
        </w:rPr>
        <w:br w:type="page"/>
      </w:r>
    </w:p>
    <w:p w14:paraId="3C8BEF5B" w14:textId="0ECEBD7D" w:rsidR="0077114F" w:rsidRPr="00EF62C6" w:rsidRDefault="002E4B1B" w:rsidP="0077114F">
      <w:pPr>
        <w:pStyle w:val="af5"/>
        <w:spacing w:before="0" w:beforeAutospacing="0" w:after="0" w:afterAutospacing="0" w:line="360" w:lineRule="auto"/>
        <w:rPr>
          <w:rFonts w:ascii="Times New Roman" w:hAnsi="Times New Roman" w:cs="Times New Roman"/>
          <w:b/>
          <w:bCs/>
          <w:color w:val="000000" w:themeColor="text1"/>
          <w:sz w:val="22"/>
        </w:rPr>
      </w:pPr>
      <w:r>
        <w:rPr>
          <w:rFonts w:ascii="Times New Roman" w:hAnsi="Times New Roman" w:cs="Times New Roman" w:hint="eastAsia"/>
          <w:b/>
          <w:bCs/>
          <w:color w:val="000000" w:themeColor="text1"/>
          <w:sz w:val="22"/>
        </w:rPr>
        <w:lastRenderedPageBreak/>
        <w:t>e</w:t>
      </w:r>
      <w:r w:rsidR="0077114F" w:rsidRPr="00EF62C6">
        <w:rPr>
          <w:rFonts w:ascii="Times New Roman" w:hAnsi="Times New Roman" w:cs="Times New Roman" w:hint="eastAsia"/>
          <w:b/>
          <w:bCs/>
          <w:color w:val="000000" w:themeColor="text1"/>
          <w:sz w:val="22"/>
        </w:rPr>
        <w:t xml:space="preserve">References </w:t>
      </w:r>
    </w:p>
    <w:p w14:paraId="75E1E378" w14:textId="594D8AD9" w:rsidR="001524DB" w:rsidRPr="00ED03F4" w:rsidRDefault="0077114F" w:rsidP="00ED03F4">
      <w:pPr>
        <w:pStyle w:val="a9"/>
        <w:numPr>
          <w:ilvl w:val="0"/>
          <w:numId w:val="10"/>
        </w:numPr>
        <w:spacing w:line="360" w:lineRule="auto"/>
        <w:rPr>
          <w:rFonts w:ascii="Times New Roman" w:eastAsia="宋体" w:hAnsi="Times New Roman"/>
        </w:rPr>
      </w:pPr>
      <w:r w:rsidRPr="00ED03F4">
        <w:rPr>
          <w:rFonts w:ascii="Times New Roman" w:eastAsia="宋体" w:hAnsi="Times New Roman" w:hint="eastAsia"/>
        </w:rPr>
        <w:t xml:space="preserve">Xiao J, Dong X, Ding M, Kong T. </w:t>
      </w:r>
      <w:r w:rsidR="001524DB" w:rsidRPr="00ED03F4">
        <w:rPr>
          <w:rFonts w:ascii="Times New Roman" w:eastAsia="宋体" w:hAnsi="Times New Roman" w:hint="eastAsia"/>
        </w:rPr>
        <w:t xml:space="preserve">Adverse childhood experiences, sleep quality/duration and later-life lower extremity function among older adults in China: evidence from CHARLS. BMC Psychol. 2025;13(1):73. </w:t>
      </w:r>
    </w:p>
    <w:p w14:paraId="07A3C721" w14:textId="3632E37A" w:rsidR="001524DB" w:rsidRPr="00ED03F4" w:rsidRDefault="001524DB" w:rsidP="00ED03F4">
      <w:pPr>
        <w:pStyle w:val="a9"/>
        <w:numPr>
          <w:ilvl w:val="0"/>
          <w:numId w:val="10"/>
        </w:numPr>
        <w:spacing w:line="360" w:lineRule="auto"/>
        <w:rPr>
          <w:rFonts w:ascii="Times New Roman" w:eastAsia="宋体" w:hAnsi="Times New Roman"/>
        </w:rPr>
      </w:pPr>
      <w:r w:rsidRPr="00ED03F4">
        <w:rPr>
          <w:rFonts w:ascii="Times New Roman" w:eastAsia="宋体" w:hAnsi="Times New Roman" w:hint="eastAsia"/>
        </w:rPr>
        <w:t>Feng Q, Yang S, Ye S, et al. Mediation of depressive symptoms in the association between blood urea nitrogen to creatinine ratio and cognition among middle-aged and elderly adults: evidence from a national longitudinal cohort study. BMC Psychiatry. 2024;24(1):515.</w:t>
      </w:r>
    </w:p>
    <w:p w14:paraId="7BF6C45C" w14:textId="73D57634" w:rsidR="00FB7172" w:rsidRPr="00ED03F4" w:rsidRDefault="00FB7172" w:rsidP="00ED03F4">
      <w:pPr>
        <w:pStyle w:val="a9"/>
        <w:numPr>
          <w:ilvl w:val="0"/>
          <w:numId w:val="10"/>
        </w:numPr>
        <w:spacing w:line="360" w:lineRule="auto"/>
        <w:rPr>
          <w:rFonts w:ascii="Times New Roman" w:eastAsia="宋体" w:hAnsi="Times New Roman"/>
        </w:rPr>
      </w:pPr>
      <w:r w:rsidRPr="00ED03F4">
        <w:rPr>
          <w:rFonts w:ascii="Times New Roman" w:eastAsia="宋体" w:hAnsi="Times New Roman" w:hint="eastAsia"/>
        </w:rPr>
        <w:t>Mo S, Wang Y, Peng M, et al. Sex disparity in cognitive aging related to later-life exposure to ambient air pollution. Science of the Total Environment. 2023;886:163980.</w:t>
      </w:r>
    </w:p>
    <w:p w14:paraId="1C47DB92" w14:textId="2CE0BD3C" w:rsidR="001524DB" w:rsidRPr="00ED03F4" w:rsidRDefault="001524DB" w:rsidP="00ED03F4">
      <w:pPr>
        <w:pStyle w:val="a9"/>
        <w:numPr>
          <w:ilvl w:val="0"/>
          <w:numId w:val="10"/>
        </w:numPr>
        <w:spacing w:line="360" w:lineRule="auto"/>
        <w:rPr>
          <w:rFonts w:ascii="Times New Roman" w:eastAsia="宋体" w:hAnsi="Times New Roman"/>
        </w:rPr>
      </w:pPr>
      <w:r w:rsidRPr="00ED03F4">
        <w:rPr>
          <w:rFonts w:ascii="Times New Roman" w:eastAsia="宋体" w:hAnsi="Times New Roman" w:hint="eastAsia"/>
        </w:rPr>
        <w:t xml:space="preserve">Wang F, Xiong YJ, Shao DM, et al. Joint association of sleep duration and depression with new-onset hearing loss: a national cohort study. Front Nutr. 2025;12:1528567. </w:t>
      </w:r>
    </w:p>
    <w:p w14:paraId="1FB28F34" w14:textId="44C86716" w:rsidR="008504C8" w:rsidRPr="00ED03F4" w:rsidRDefault="00481ED9" w:rsidP="00ED03F4">
      <w:pPr>
        <w:pStyle w:val="a9"/>
        <w:numPr>
          <w:ilvl w:val="0"/>
          <w:numId w:val="10"/>
        </w:numPr>
        <w:spacing w:line="360" w:lineRule="auto"/>
        <w:rPr>
          <w:rFonts w:ascii="Times New Roman" w:hAnsi="Times New Roman" w:cs="Times New Roman"/>
          <w:color w:val="000000" w:themeColor="text1"/>
          <w:szCs w:val="22"/>
        </w:rPr>
      </w:pPr>
      <w:r w:rsidRPr="00ED03F4">
        <w:rPr>
          <w:rFonts w:ascii="Times New Roman" w:hAnsi="Times New Roman" w:cs="Times New Roman" w:hint="eastAsia"/>
          <w:color w:val="000000" w:themeColor="text1"/>
        </w:rPr>
        <w:t xml:space="preserve">Ministry of Housing and Urban-Rural Development of the People's Republic of China. China Construction Statistics Yearbook. Available from: </w:t>
      </w:r>
      <w:r w:rsidR="002C36EC" w:rsidRPr="00ED03F4">
        <w:rPr>
          <w:rFonts w:ascii="Times New Roman" w:hAnsi="Times New Roman" w:cs="Times New Roman" w:hint="eastAsia"/>
          <w:color w:val="000000" w:themeColor="text1"/>
        </w:rPr>
        <w:t>https://www.mohurd.gov.cn/gongkai/fdzdgknr/sjfb/tjxx/jstjnj/index.html</w:t>
      </w:r>
    </w:p>
    <w:p w14:paraId="2AD0B301" w14:textId="77777777" w:rsidR="00BE4FBB" w:rsidRDefault="00BE4FBB" w:rsidP="0077114F">
      <w:pPr>
        <w:pStyle w:val="a9"/>
        <w:spacing w:after="0" w:line="360" w:lineRule="auto"/>
        <w:rPr>
          <w:rFonts w:ascii="Times New Roman" w:hAnsi="Times New Roman" w:cs="Times New Roman"/>
          <w:color w:val="000000" w:themeColor="text1"/>
          <w:szCs w:val="22"/>
        </w:rPr>
      </w:pPr>
    </w:p>
    <w:sectPr w:rsidR="00BE4F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74AEE" w14:textId="77777777" w:rsidR="0032066C" w:rsidRDefault="0032066C" w:rsidP="00E25366">
      <w:pPr>
        <w:rPr>
          <w:rFonts w:hint="eastAsia"/>
        </w:rPr>
      </w:pPr>
      <w:r>
        <w:separator/>
      </w:r>
    </w:p>
  </w:endnote>
  <w:endnote w:type="continuationSeparator" w:id="0">
    <w:p w14:paraId="4EE6F9AE" w14:textId="77777777" w:rsidR="0032066C" w:rsidRDefault="0032066C" w:rsidP="00E2536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0D778" w14:textId="77777777" w:rsidR="0032066C" w:rsidRDefault="0032066C" w:rsidP="00E25366">
      <w:pPr>
        <w:rPr>
          <w:rFonts w:hint="eastAsia"/>
        </w:rPr>
      </w:pPr>
      <w:r>
        <w:separator/>
      </w:r>
    </w:p>
  </w:footnote>
  <w:footnote w:type="continuationSeparator" w:id="0">
    <w:p w14:paraId="2E4ADDEF" w14:textId="77777777" w:rsidR="0032066C" w:rsidRDefault="0032066C" w:rsidP="00E2536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D1EF2"/>
    <w:multiLevelType w:val="hybridMultilevel"/>
    <w:tmpl w:val="AEE05220"/>
    <w:lvl w:ilvl="0" w:tplc="2D8827D0">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 w15:restartNumberingAfterBreak="0">
    <w:nsid w:val="24E94607"/>
    <w:multiLevelType w:val="hybridMultilevel"/>
    <w:tmpl w:val="3A7C38B6"/>
    <w:lvl w:ilvl="0" w:tplc="6E76FED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F700CC9"/>
    <w:multiLevelType w:val="hybridMultilevel"/>
    <w:tmpl w:val="7986A7B0"/>
    <w:lvl w:ilvl="0" w:tplc="C3949D3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5931409"/>
    <w:multiLevelType w:val="multilevel"/>
    <w:tmpl w:val="B474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5455F"/>
    <w:multiLevelType w:val="hybridMultilevel"/>
    <w:tmpl w:val="19BCA476"/>
    <w:lvl w:ilvl="0" w:tplc="2D8827D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564585B"/>
    <w:multiLevelType w:val="hybridMultilevel"/>
    <w:tmpl w:val="E3FA8360"/>
    <w:lvl w:ilvl="0" w:tplc="2D8827D0">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6" w15:restartNumberingAfterBreak="0">
    <w:nsid w:val="64A37CB2"/>
    <w:multiLevelType w:val="multilevel"/>
    <w:tmpl w:val="3BC4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2B486D"/>
    <w:multiLevelType w:val="multilevel"/>
    <w:tmpl w:val="869CA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729E9"/>
    <w:multiLevelType w:val="multilevel"/>
    <w:tmpl w:val="0516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3B2C68"/>
    <w:multiLevelType w:val="hybridMultilevel"/>
    <w:tmpl w:val="48262A7A"/>
    <w:lvl w:ilvl="0" w:tplc="BD48E74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33324823">
    <w:abstractNumId w:val="9"/>
  </w:num>
  <w:num w:numId="2" w16cid:durableId="639657231">
    <w:abstractNumId w:val="1"/>
  </w:num>
  <w:num w:numId="3" w16cid:durableId="1774784528">
    <w:abstractNumId w:val="6"/>
  </w:num>
  <w:num w:numId="4" w16cid:durableId="1439596218">
    <w:abstractNumId w:val="7"/>
  </w:num>
  <w:num w:numId="5" w16cid:durableId="392697551">
    <w:abstractNumId w:val="8"/>
  </w:num>
  <w:num w:numId="6" w16cid:durableId="354305297">
    <w:abstractNumId w:val="3"/>
  </w:num>
  <w:num w:numId="7" w16cid:durableId="686252119">
    <w:abstractNumId w:val="4"/>
  </w:num>
  <w:num w:numId="8" w16cid:durableId="767583346">
    <w:abstractNumId w:val="5"/>
  </w:num>
  <w:num w:numId="9" w16cid:durableId="1928074485">
    <w:abstractNumId w:val="0"/>
  </w:num>
  <w:num w:numId="10" w16cid:durableId="1947499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655"/>
    <w:rsid w:val="000304B4"/>
    <w:rsid w:val="000763D7"/>
    <w:rsid w:val="0008066B"/>
    <w:rsid w:val="000A354B"/>
    <w:rsid w:val="000B1358"/>
    <w:rsid w:val="00151465"/>
    <w:rsid w:val="001524DB"/>
    <w:rsid w:val="00156D15"/>
    <w:rsid w:val="001957CA"/>
    <w:rsid w:val="001A49F7"/>
    <w:rsid w:val="001E3DF1"/>
    <w:rsid w:val="001E3F28"/>
    <w:rsid w:val="0021256E"/>
    <w:rsid w:val="002234CD"/>
    <w:rsid w:val="00237331"/>
    <w:rsid w:val="002B0127"/>
    <w:rsid w:val="002C36EC"/>
    <w:rsid w:val="002E4B1B"/>
    <w:rsid w:val="0032066C"/>
    <w:rsid w:val="00336BA5"/>
    <w:rsid w:val="00340B58"/>
    <w:rsid w:val="00342655"/>
    <w:rsid w:val="00394053"/>
    <w:rsid w:val="003A0E51"/>
    <w:rsid w:val="003B11A6"/>
    <w:rsid w:val="003B3BAF"/>
    <w:rsid w:val="0040218A"/>
    <w:rsid w:val="00463A3C"/>
    <w:rsid w:val="00481ED9"/>
    <w:rsid w:val="00491D47"/>
    <w:rsid w:val="004E2740"/>
    <w:rsid w:val="005315E6"/>
    <w:rsid w:val="00547099"/>
    <w:rsid w:val="005732BD"/>
    <w:rsid w:val="00584BFD"/>
    <w:rsid w:val="005954CA"/>
    <w:rsid w:val="005E3FDC"/>
    <w:rsid w:val="00603D5B"/>
    <w:rsid w:val="00625A88"/>
    <w:rsid w:val="00646667"/>
    <w:rsid w:val="006728B4"/>
    <w:rsid w:val="006A4D68"/>
    <w:rsid w:val="006D2AD6"/>
    <w:rsid w:val="006D6AAF"/>
    <w:rsid w:val="006E5A1E"/>
    <w:rsid w:val="00730CEE"/>
    <w:rsid w:val="007357B1"/>
    <w:rsid w:val="0074651C"/>
    <w:rsid w:val="00754BA1"/>
    <w:rsid w:val="0077114F"/>
    <w:rsid w:val="007B3B41"/>
    <w:rsid w:val="007B41A9"/>
    <w:rsid w:val="008504C8"/>
    <w:rsid w:val="008A3FD4"/>
    <w:rsid w:val="008C5B74"/>
    <w:rsid w:val="008C72F1"/>
    <w:rsid w:val="0090629C"/>
    <w:rsid w:val="00917229"/>
    <w:rsid w:val="0097366B"/>
    <w:rsid w:val="00985B73"/>
    <w:rsid w:val="0098724D"/>
    <w:rsid w:val="009F5476"/>
    <w:rsid w:val="00A610FA"/>
    <w:rsid w:val="00A64E36"/>
    <w:rsid w:val="00A84F3A"/>
    <w:rsid w:val="00AB1C66"/>
    <w:rsid w:val="00AD0595"/>
    <w:rsid w:val="00B71681"/>
    <w:rsid w:val="00BE1CCF"/>
    <w:rsid w:val="00BE4FBB"/>
    <w:rsid w:val="00C77613"/>
    <w:rsid w:val="00C93EFA"/>
    <w:rsid w:val="00CA7391"/>
    <w:rsid w:val="00CB5C34"/>
    <w:rsid w:val="00D04CD6"/>
    <w:rsid w:val="00D25AC7"/>
    <w:rsid w:val="00D261AC"/>
    <w:rsid w:val="00D45933"/>
    <w:rsid w:val="00DE64EA"/>
    <w:rsid w:val="00DF1FAF"/>
    <w:rsid w:val="00E147BC"/>
    <w:rsid w:val="00E25366"/>
    <w:rsid w:val="00E5194B"/>
    <w:rsid w:val="00E81F86"/>
    <w:rsid w:val="00ED03F4"/>
    <w:rsid w:val="00EF62C6"/>
    <w:rsid w:val="00F5443C"/>
    <w:rsid w:val="00F613C1"/>
    <w:rsid w:val="00F77023"/>
    <w:rsid w:val="00F87997"/>
    <w:rsid w:val="00FB6608"/>
    <w:rsid w:val="00FB7172"/>
    <w:rsid w:val="00FE6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B0296"/>
  <w15:chartTrackingRefBased/>
  <w15:docId w15:val="{826C4333-EE65-4A23-B85E-332256C32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3D7"/>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342655"/>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342655"/>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342655"/>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342655"/>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342655"/>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342655"/>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342655"/>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342655"/>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342655"/>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4265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4265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4265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42655"/>
    <w:rPr>
      <w:rFonts w:cstheme="majorBidi"/>
      <w:color w:val="2F5496" w:themeColor="accent1" w:themeShade="BF"/>
      <w:sz w:val="28"/>
      <w:szCs w:val="28"/>
    </w:rPr>
  </w:style>
  <w:style w:type="character" w:customStyle="1" w:styleId="50">
    <w:name w:val="标题 5 字符"/>
    <w:basedOn w:val="a0"/>
    <w:link w:val="5"/>
    <w:uiPriority w:val="9"/>
    <w:semiHidden/>
    <w:rsid w:val="00342655"/>
    <w:rPr>
      <w:rFonts w:cstheme="majorBidi"/>
      <w:color w:val="2F5496" w:themeColor="accent1" w:themeShade="BF"/>
      <w:sz w:val="24"/>
    </w:rPr>
  </w:style>
  <w:style w:type="character" w:customStyle="1" w:styleId="60">
    <w:name w:val="标题 6 字符"/>
    <w:basedOn w:val="a0"/>
    <w:link w:val="6"/>
    <w:uiPriority w:val="9"/>
    <w:semiHidden/>
    <w:rsid w:val="00342655"/>
    <w:rPr>
      <w:rFonts w:cstheme="majorBidi"/>
      <w:b/>
      <w:bCs/>
      <w:color w:val="2F5496" w:themeColor="accent1" w:themeShade="BF"/>
    </w:rPr>
  </w:style>
  <w:style w:type="character" w:customStyle="1" w:styleId="70">
    <w:name w:val="标题 7 字符"/>
    <w:basedOn w:val="a0"/>
    <w:link w:val="7"/>
    <w:uiPriority w:val="9"/>
    <w:semiHidden/>
    <w:rsid w:val="00342655"/>
    <w:rPr>
      <w:rFonts w:cstheme="majorBidi"/>
      <w:b/>
      <w:bCs/>
      <w:color w:val="595959" w:themeColor="text1" w:themeTint="A6"/>
    </w:rPr>
  </w:style>
  <w:style w:type="character" w:customStyle="1" w:styleId="80">
    <w:name w:val="标题 8 字符"/>
    <w:basedOn w:val="a0"/>
    <w:link w:val="8"/>
    <w:uiPriority w:val="9"/>
    <w:semiHidden/>
    <w:rsid w:val="00342655"/>
    <w:rPr>
      <w:rFonts w:cstheme="majorBidi"/>
      <w:color w:val="595959" w:themeColor="text1" w:themeTint="A6"/>
    </w:rPr>
  </w:style>
  <w:style w:type="character" w:customStyle="1" w:styleId="90">
    <w:name w:val="标题 9 字符"/>
    <w:basedOn w:val="a0"/>
    <w:link w:val="9"/>
    <w:uiPriority w:val="9"/>
    <w:semiHidden/>
    <w:rsid w:val="00342655"/>
    <w:rPr>
      <w:rFonts w:eastAsiaTheme="majorEastAsia" w:cstheme="majorBidi"/>
      <w:color w:val="595959" w:themeColor="text1" w:themeTint="A6"/>
    </w:rPr>
  </w:style>
  <w:style w:type="paragraph" w:styleId="a3">
    <w:name w:val="Title"/>
    <w:basedOn w:val="a"/>
    <w:next w:val="a"/>
    <w:link w:val="a4"/>
    <w:uiPriority w:val="10"/>
    <w:qFormat/>
    <w:rsid w:val="0034265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3426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265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3426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2655"/>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342655"/>
    <w:rPr>
      <w:i/>
      <w:iCs/>
      <w:color w:val="404040" w:themeColor="text1" w:themeTint="BF"/>
    </w:rPr>
  </w:style>
  <w:style w:type="paragraph" w:styleId="a9">
    <w:name w:val="List Paragraph"/>
    <w:basedOn w:val="a"/>
    <w:uiPriority w:val="34"/>
    <w:qFormat/>
    <w:rsid w:val="00342655"/>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342655"/>
    <w:rPr>
      <w:i/>
      <w:iCs/>
      <w:color w:val="2F5496" w:themeColor="accent1" w:themeShade="BF"/>
    </w:rPr>
  </w:style>
  <w:style w:type="paragraph" w:styleId="ab">
    <w:name w:val="Intense Quote"/>
    <w:basedOn w:val="a"/>
    <w:next w:val="a"/>
    <w:link w:val="ac"/>
    <w:uiPriority w:val="30"/>
    <w:qFormat/>
    <w:rsid w:val="0034265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342655"/>
    <w:rPr>
      <w:i/>
      <w:iCs/>
      <w:color w:val="2F5496" w:themeColor="accent1" w:themeShade="BF"/>
    </w:rPr>
  </w:style>
  <w:style w:type="character" w:styleId="ad">
    <w:name w:val="Intense Reference"/>
    <w:basedOn w:val="a0"/>
    <w:uiPriority w:val="32"/>
    <w:qFormat/>
    <w:rsid w:val="00342655"/>
    <w:rPr>
      <w:b/>
      <w:bCs/>
      <w:smallCaps/>
      <w:color w:val="2F5496" w:themeColor="accent1" w:themeShade="BF"/>
      <w:spacing w:val="5"/>
    </w:rPr>
  </w:style>
  <w:style w:type="paragraph" w:styleId="ae">
    <w:name w:val="header"/>
    <w:basedOn w:val="a"/>
    <w:link w:val="af"/>
    <w:uiPriority w:val="99"/>
    <w:unhideWhenUsed/>
    <w:rsid w:val="00E25366"/>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E25366"/>
    <w:rPr>
      <w:sz w:val="18"/>
      <w:szCs w:val="18"/>
    </w:rPr>
  </w:style>
  <w:style w:type="paragraph" w:styleId="af0">
    <w:name w:val="footer"/>
    <w:basedOn w:val="a"/>
    <w:link w:val="af1"/>
    <w:uiPriority w:val="99"/>
    <w:unhideWhenUsed/>
    <w:rsid w:val="00E25366"/>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E25366"/>
    <w:rPr>
      <w:sz w:val="18"/>
      <w:szCs w:val="18"/>
    </w:rPr>
  </w:style>
  <w:style w:type="paragraph" w:customStyle="1" w:styleId="ds-markdown-paragraph">
    <w:name w:val="ds-markdown-paragraph"/>
    <w:basedOn w:val="a"/>
    <w:rsid w:val="006E5A1E"/>
    <w:pPr>
      <w:widowControl/>
      <w:spacing w:before="100" w:beforeAutospacing="1" w:after="100" w:afterAutospacing="1"/>
      <w:jc w:val="left"/>
    </w:pPr>
    <w:rPr>
      <w:rFonts w:ascii="宋体" w:eastAsia="宋体" w:hAnsi="宋体" w:cs="宋体"/>
      <w:kern w:val="0"/>
      <w:sz w:val="24"/>
      <w:szCs w:val="24"/>
    </w:rPr>
  </w:style>
  <w:style w:type="character" w:styleId="af2">
    <w:name w:val="Strong"/>
    <w:basedOn w:val="a0"/>
    <w:uiPriority w:val="22"/>
    <w:qFormat/>
    <w:rsid w:val="006E5A1E"/>
    <w:rPr>
      <w:b/>
      <w:bCs/>
    </w:rPr>
  </w:style>
  <w:style w:type="character" w:styleId="af3">
    <w:name w:val="Emphasis"/>
    <w:basedOn w:val="a0"/>
    <w:uiPriority w:val="20"/>
    <w:qFormat/>
    <w:rsid w:val="006E5A1E"/>
    <w:rPr>
      <w:i/>
      <w:iCs/>
    </w:rPr>
  </w:style>
  <w:style w:type="table" w:styleId="af4">
    <w:name w:val="Table Grid"/>
    <w:basedOn w:val="a1"/>
    <w:autoRedefine/>
    <w:qFormat/>
    <w:rsid w:val="004E2740"/>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unhideWhenUsed/>
    <w:rsid w:val="0077114F"/>
    <w:pPr>
      <w:widowControl/>
      <w:spacing w:before="100" w:beforeAutospacing="1" w:after="100" w:afterAutospacing="1"/>
      <w:jc w:val="left"/>
    </w:pPr>
    <w:rPr>
      <w:rFonts w:ascii="宋体" w:eastAsia="宋体" w:hAnsi="宋体" w:cs="宋体"/>
      <w:kern w:val="0"/>
      <w:sz w:val="24"/>
      <w:szCs w:val="24"/>
    </w:rPr>
  </w:style>
  <w:style w:type="character" w:styleId="af6">
    <w:name w:val="Hyperlink"/>
    <w:basedOn w:val="a0"/>
    <w:uiPriority w:val="99"/>
    <w:unhideWhenUsed/>
    <w:rsid w:val="00FB7172"/>
    <w:rPr>
      <w:color w:val="0563C1" w:themeColor="hyperlink"/>
      <w:u w:val="single"/>
    </w:rPr>
  </w:style>
  <w:style w:type="character" w:styleId="af7">
    <w:name w:val="Unresolved Mention"/>
    <w:basedOn w:val="a0"/>
    <w:uiPriority w:val="99"/>
    <w:semiHidden/>
    <w:unhideWhenUsed/>
    <w:rsid w:val="00FB7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10</Pages>
  <Words>2249</Words>
  <Characters>12822</Characters>
  <Application>Microsoft Office Word</Application>
  <DocSecurity>0</DocSecurity>
  <Lines>106</Lines>
  <Paragraphs>30</Paragraphs>
  <ScaleCrop>false</ScaleCrop>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 田</dc:creator>
  <cp:keywords/>
  <dc:description/>
  <cp:lastModifiedBy>Administrator</cp:lastModifiedBy>
  <cp:revision>99</cp:revision>
  <dcterms:created xsi:type="dcterms:W3CDTF">2025-08-12T01:28:00Z</dcterms:created>
  <dcterms:modified xsi:type="dcterms:W3CDTF">2025-11-30T03:25:00Z</dcterms:modified>
</cp:coreProperties>
</file>