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32B4" w14:textId="1BCB9F7F" w:rsidR="00AA0FCB" w:rsidRPr="00D22B43" w:rsidRDefault="00BB6B8D" w:rsidP="0022413B">
      <w:pPr>
        <w:spacing w:line="360" w:lineRule="auto"/>
        <w:rPr>
          <w:rFonts w:ascii="Arial" w:hAnsi="Arial" w:cs="Arial"/>
          <w:b/>
          <w:bCs/>
          <w:sz w:val="28"/>
          <w:szCs w:val="32"/>
          <w:lang w:val="en-US"/>
        </w:rPr>
      </w:pPr>
      <w:r w:rsidRPr="00D22B43">
        <w:rPr>
          <w:rFonts w:ascii="Arial" w:hAnsi="Arial" w:cs="Arial"/>
          <w:b/>
          <w:bCs/>
          <w:sz w:val="28"/>
          <w:szCs w:val="32"/>
          <w:lang w:val="en-US"/>
        </w:rPr>
        <w:t xml:space="preserve">Appendix </w:t>
      </w:r>
      <w:r w:rsidR="00D22B43" w:rsidRPr="00D22B43">
        <w:rPr>
          <w:rFonts w:ascii="Arial" w:hAnsi="Arial" w:cs="Arial"/>
          <w:b/>
          <w:bCs/>
          <w:sz w:val="28"/>
          <w:szCs w:val="32"/>
          <w:lang w:val="en-US"/>
        </w:rPr>
        <w:t>D</w:t>
      </w:r>
      <w:r w:rsidR="00AA0FCB" w:rsidRPr="00D22B43">
        <w:rPr>
          <w:rFonts w:ascii="Arial" w:hAnsi="Arial" w:cs="Arial"/>
          <w:b/>
          <w:bCs/>
          <w:sz w:val="28"/>
          <w:szCs w:val="32"/>
          <w:lang w:val="en-US"/>
        </w:rPr>
        <w:t xml:space="preserve">. Results </w:t>
      </w:r>
      <w:r w:rsidR="0000060A" w:rsidRPr="00D22B43">
        <w:rPr>
          <w:rFonts w:ascii="Arial" w:hAnsi="Arial" w:cs="Arial"/>
          <w:b/>
          <w:bCs/>
          <w:sz w:val="28"/>
          <w:szCs w:val="32"/>
          <w:lang w:val="en-US"/>
        </w:rPr>
        <w:t>related to</w:t>
      </w:r>
      <w:r w:rsidR="00AA0FCB" w:rsidRPr="00D22B43">
        <w:rPr>
          <w:rFonts w:ascii="Arial" w:hAnsi="Arial" w:cs="Arial"/>
          <w:b/>
          <w:bCs/>
          <w:sz w:val="28"/>
          <w:szCs w:val="32"/>
          <w:lang w:val="en-US"/>
        </w:rPr>
        <w:t xml:space="preserve"> safety and adherence</w:t>
      </w:r>
    </w:p>
    <w:p w14:paraId="0D8BF118" w14:textId="77777777" w:rsidR="00AA0FCB" w:rsidRDefault="00AA0FCB" w:rsidP="00AA0FCB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</w:p>
    <w:p w14:paraId="372EA3A5" w14:textId="61E76A70" w:rsidR="00341B85" w:rsidRPr="00AA0FCB" w:rsidRDefault="00AA0FCB" w:rsidP="00AA0FCB">
      <w:pPr>
        <w:spacing w:line="36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AA0FCB">
        <w:rPr>
          <w:rFonts w:ascii="Times New Roman" w:hAnsi="Times New Roman" w:cs="Times New Roman"/>
          <w:sz w:val="24"/>
          <w:szCs w:val="28"/>
          <w:lang w:val="en-US"/>
        </w:rPr>
        <w:t>Out of the 194 women who were randomized, 168 successfully completed the 9-month exercise intervention, while 26 participants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: 13, DME: 13) dropped out. The primary reasons for dropout included injuries or illness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: 5, DME: 11), dissatisfaction with the training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: 3, DME: 0), and other unspecified reasons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: 5, DME: 2). The average attendance rate was 94% for the 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="00BF5AD9"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group and 81% for the DME group, with 3.5% of the latter's sessions being performed at home; these rates exclude dropouts. Among the 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="00BF5AD9"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participants, the proportion of women who met or exceeded the trigger level on each training machine was 68% for the upper growth trigger, 87% for the lower growth trigger, 92% for the core growth trigger, and 92% for postural growth trigger. A total of 32 adverse events (AEs) were reported, 18 of which occurred outside the study. Fourteen AEs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: 9, DME: 5; Fisher’s exact p=0.406) were directly related to the exercise intervention. The most frequently reported AE was a gradual onset of musculoskeletal pain (n=9), followed by sudden onset pain (n=3), one case of dizziness, and one fall. In five out of the 12 musculoskeletal pain cases, participants had a prior history of pain in the affected area. One serious AE was recorded: a participant in the DME group fell off a balance board, sustaining a fracture of the os triquetrum. At baseline, 21 women had vertebral fractures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: 10, DME: 11; </w:t>
      </w:r>
      <w:r w:rsidRPr="00AA0FCB">
        <w:rPr>
          <w:rFonts w:ascii="Times New Roman" w:hAnsi="Times New Roman" w:cs="Times New Roman" w:hint="eastAsia"/>
          <w:sz w:val="24"/>
          <w:szCs w:val="28"/>
          <w:lang w:val="en-US"/>
        </w:rPr>
        <w:t>χ²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 p=0.817). After nine months, four new vertebral fractures were identified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: 3, DME: 1). Two of these (one in each group) were confirmed to have resulted from accidents unrelated to the study, while the cause of the remaining two fractures (both in the 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="00BF5AD9" w:rsidRPr="00AA0FC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group) could not be determined. At follow-up, a total of 31 self-reported falls occurred within the past six months (</w:t>
      </w:r>
      <w:r w:rsidR="00BF5AD9">
        <w:rPr>
          <w:rFonts w:ascii="Times New Roman" w:hAnsi="Times New Roman" w:cs="Times New Roman"/>
          <w:sz w:val="24"/>
          <w:szCs w:val="28"/>
          <w:lang w:val="en-US"/>
        </w:rPr>
        <w:t>OS</w:t>
      </w:r>
      <w:r w:rsidRPr="00AA0FCB">
        <w:rPr>
          <w:rFonts w:ascii="Times New Roman" w:hAnsi="Times New Roman" w:cs="Times New Roman"/>
          <w:sz w:val="24"/>
          <w:szCs w:val="28"/>
          <w:lang w:val="en-US"/>
        </w:rPr>
        <w:t>: 17, DME: 14), with no significant difference between the groups (p=0.835).</w:t>
      </w:r>
    </w:p>
    <w:sectPr w:rsidR="00341B85" w:rsidRPr="00AA0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3B"/>
    <w:rsid w:val="0000060A"/>
    <w:rsid w:val="001A1E5B"/>
    <w:rsid w:val="001E5C94"/>
    <w:rsid w:val="0022413B"/>
    <w:rsid w:val="00291F81"/>
    <w:rsid w:val="00341B85"/>
    <w:rsid w:val="00594623"/>
    <w:rsid w:val="008C507C"/>
    <w:rsid w:val="009F2F63"/>
    <w:rsid w:val="00AA0FCB"/>
    <w:rsid w:val="00BB6B8D"/>
    <w:rsid w:val="00BF5AD9"/>
    <w:rsid w:val="00C56422"/>
    <w:rsid w:val="00D22B43"/>
    <w:rsid w:val="00D75076"/>
    <w:rsid w:val="00E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BE64"/>
  <w15:chartTrackingRefBased/>
  <w15:docId w15:val="{9CE9C072-D1FD-478C-8F8A-A2F60C2A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" w:eastAsiaTheme="minorHAnsi" w:hAnsi="DM Sans" w:cstheme="minorBidi"/>
        <w:sz w:val="22"/>
        <w:szCs w:val="24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E5B"/>
  </w:style>
  <w:style w:type="paragraph" w:styleId="Rubrik1">
    <w:name w:val="heading 1"/>
    <w:basedOn w:val="Normal"/>
    <w:next w:val="Normal"/>
    <w:link w:val="Rubrik1Char"/>
    <w:uiPriority w:val="9"/>
    <w:qFormat/>
    <w:rsid w:val="00D75076"/>
    <w:pPr>
      <w:keepNext/>
      <w:keepLines/>
      <w:spacing w:before="360" w:after="80"/>
      <w:outlineLvl w:val="0"/>
    </w:pPr>
    <w:rPr>
      <w:rFonts w:eastAsiaTheme="majorEastAsia" w:cstheme="majorBidi"/>
      <w:color w:val="0070C0"/>
      <w:sz w:val="32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75076"/>
    <w:pPr>
      <w:keepNext/>
      <w:keepLines/>
      <w:spacing w:before="160" w:after="80"/>
      <w:outlineLvl w:val="1"/>
    </w:pPr>
    <w:rPr>
      <w:rFonts w:eastAsiaTheme="majorEastAsia" w:cstheme="majorBidi"/>
      <w:color w:val="153D63" w:themeColor="text2" w:themeTint="E6"/>
      <w:sz w:val="28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241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241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241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241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241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241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241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D75076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D75076"/>
    <w:rPr>
      <w:rFonts w:eastAsiaTheme="majorEastAsia" w:cstheme="majorBidi"/>
      <w:color w:val="0070C0"/>
      <w:sz w:val="32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75076"/>
    <w:rPr>
      <w:rFonts w:eastAsiaTheme="majorEastAsia" w:cstheme="majorBidi"/>
      <w:color w:val="153D63" w:themeColor="text2" w:themeTint="E6"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2413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2413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2413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241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241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241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2413B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24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24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241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241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4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2413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2413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2413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24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2413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24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Lindberg</dc:creator>
  <cp:keywords/>
  <dc:description/>
  <cp:lastModifiedBy>Peter Lindberg</cp:lastModifiedBy>
  <cp:revision>8</cp:revision>
  <dcterms:created xsi:type="dcterms:W3CDTF">2025-07-28T07:18:00Z</dcterms:created>
  <dcterms:modified xsi:type="dcterms:W3CDTF">2026-05-04T11:01:00Z</dcterms:modified>
</cp:coreProperties>
</file>