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EBEBE" w14:textId="67A6505F" w:rsidR="00CF0142" w:rsidRDefault="00402DC2" w:rsidP="00CF0142">
      <w:pPr>
        <w:jc w:val="center"/>
        <w:rPr>
          <w:rFonts w:ascii="Times New Roman" w:hAnsi="Times New Roman" w:cs="Times New Roman"/>
          <w:b/>
          <w:bCs/>
          <w:lang w:eastAsia="en-IN"/>
        </w:rPr>
      </w:pPr>
      <w:r>
        <w:rPr>
          <w:rFonts w:ascii="Times New Roman" w:hAnsi="Times New Roman" w:cs="Times New Roman"/>
          <w:b/>
          <w:bCs/>
          <w:lang w:eastAsia="en-IN"/>
        </w:rPr>
        <w:t>9.</w:t>
      </w:r>
      <w:r w:rsidR="00CF0142" w:rsidRPr="00CF0142">
        <w:rPr>
          <w:rFonts w:ascii="Times New Roman" w:hAnsi="Times New Roman" w:cs="Times New Roman"/>
          <w:b/>
          <w:bCs/>
          <w:lang w:eastAsia="en-IN"/>
        </w:rPr>
        <w:t xml:space="preserve">APPENDIX </w:t>
      </w:r>
    </w:p>
    <w:p w14:paraId="2420D210" w14:textId="5531A4B4" w:rsidR="00FA4E1E" w:rsidRDefault="00FA4E1E" w:rsidP="00CF0142">
      <w:pPr>
        <w:jc w:val="center"/>
        <w:rPr>
          <w:rFonts w:ascii="Times New Roman" w:hAnsi="Times New Roman" w:cs="Times New Roman"/>
          <w:b/>
          <w:bCs/>
          <w:lang w:eastAsia="en-IN"/>
        </w:rPr>
      </w:pPr>
      <w:r w:rsidRPr="00FA4E1E">
        <w:rPr>
          <w:rFonts w:ascii="Times New Roman" w:hAnsi="Times New Roman" w:cs="Times New Roman"/>
          <w:b/>
          <w:bCs/>
          <w:lang w:eastAsia="en-IN"/>
        </w:rPr>
        <w:t>Prevalence, Correlates and Impact of Geriatric Syndromes: A Systematic Review and Meta-Analysis</w:t>
      </w:r>
    </w:p>
    <w:p w14:paraId="2F27764A" w14:textId="15DCCCAB" w:rsidR="00173249" w:rsidRPr="00173249" w:rsidRDefault="00173249" w:rsidP="00173249">
      <w:pPr>
        <w:pStyle w:val="ListParagraph"/>
        <w:numPr>
          <w:ilvl w:val="0"/>
          <w:numId w:val="14"/>
        </w:numPr>
        <w:jc w:val="both"/>
        <w:rPr>
          <w:rFonts w:ascii="Times New Roman" w:hAnsi="Times New Roman" w:cs="Times New Roman"/>
          <w:b/>
          <w:bCs/>
        </w:rPr>
      </w:pPr>
      <w:r w:rsidRPr="00173249">
        <w:rPr>
          <w:rFonts w:ascii="Times New Roman" w:hAnsi="Times New Roman" w:cs="Times New Roman"/>
          <w:b/>
          <w:bCs/>
        </w:rPr>
        <w:t xml:space="preserve">Supplementary Table </w:t>
      </w:r>
      <w:r>
        <w:rPr>
          <w:rFonts w:ascii="Times New Roman" w:hAnsi="Times New Roman" w:cs="Times New Roman"/>
          <w:b/>
          <w:bCs/>
        </w:rPr>
        <w:t xml:space="preserve">S </w:t>
      </w:r>
      <w:r w:rsidRPr="00173249">
        <w:rPr>
          <w:rFonts w:ascii="Times New Roman" w:hAnsi="Times New Roman" w:cs="Times New Roman"/>
          <w:b/>
          <w:bCs/>
        </w:rPr>
        <w:t xml:space="preserve">1: </w:t>
      </w:r>
      <w:r w:rsidR="000F7DCF" w:rsidRPr="000F7DCF">
        <w:rPr>
          <w:rFonts w:ascii="Times New Roman" w:hAnsi="Times New Roman" w:cs="Times New Roman"/>
          <w:b/>
          <w:bCs/>
        </w:rPr>
        <w:t>Database search strategies</w:t>
      </w:r>
      <w:r w:rsidRPr="00173249">
        <w:rPr>
          <w:rFonts w:ascii="Times New Roman" w:hAnsi="Times New Roman" w:cs="Times New Roman"/>
          <w:b/>
          <w:bCs/>
        </w:rPr>
        <w:t>.</w:t>
      </w:r>
    </w:p>
    <w:tbl>
      <w:tblPr>
        <w:tblStyle w:val="TableGrid"/>
        <w:tblW w:w="10348" w:type="dxa"/>
        <w:tblInd w:w="-714" w:type="dxa"/>
        <w:tblLook w:val="04A0" w:firstRow="1" w:lastRow="0" w:firstColumn="1" w:lastColumn="0" w:noHBand="0" w:noVBand="1"/>
      </w:tblPr>
      <w:tblGrid>
        <w:gridCol w:w="1170"/>
        <w:gridCol w:w="901"/>
        <w:gridCol w:w="8277"/>
      </w:tblGrid>
      <w:tr w:rsidR="00173249" w:rsidRPr="00BF5FFA" w14:paraId="704CE09A" w14:textId="77777777" w:rsidTr="00A6511D">
        <w:tc>
          <w:tcPr>
            <w:tcW w:w="0" w:type="auto"/>
            <w:hideMark/>
          </w:tcPr>
          <w:p w14:paraId="17F1BE3E" w14:textId="77777777" w:rsidR="00173249" w:rsidRPr="00402DC2" w:rsidRDefault="00173249" w:rsidP="00402DC2">
            <w:pPr>
              <w:jc w:val="center"/>
              <w:rPr>
                <w:rFonts w:ascii="Times New Roman" w:hAnsi="Times New Roman" w:cs="Times New Roman"/>
                <w:b/>
                <w:bCs/>
                <w:lang w:eastAsia="en-IN"/>
              </w:rPr>
            </w:pPr>
            <w:r w:rsidRPr="00402DC2">
              <w:rPr>
                <w:rFonts w:ascii="Times New Roman" w:hAnsi="Times New Roman" w:cs="Times New Roman"/>
                <w:b/>
                <w:bCs/>
                <w:lang w:eastAsia="en-IN"/>
              </w:rPr>
              <w:t>Databases</w:t>
            </w:r>
          </w:p>
        </w:tc>
        <w:tc>
          <w:tcPr>
            <w:tcW w:w="0" w:type="auto"/>
            <w:hideMark/>
          </w:tcPr>
          <w:p w14:paraId="301BFD55" w14:textId="77777777" w:rsidR="00173249" w:rsidRPr="00402DC2" w:rsidRDefault="00173249" w:rsidP="00402DC2">
            <w:pPr>
              <w:jc w:val="center"/>
              <w:rPr>
                <w:rFonts w:ascii="Times New Roman" w:hAnsi="Times New Roman" w:cs="Times New Roman"/>
                <w:b/>
                <w:bCs/>
                <w:lang w:eastAsia="en-IN"/>
              </w:rPr>
            </w:pPr>
            <w:r w:rsidRPr="00402DC2">
              <w:rPr>
                <w:rFonts w:ascii="Times New Roman" w:hAnsi="Times New Roman" w:cs="Times New Roman"/>
                <w:b/>
                <w:bCs/>
                <w:lang w:eastAsia="en-IN"/>
              </w:rPr>
              <w:t>Results</w:t>
            </w:r>
          </w:p>
        </w:tc>
        <w:tc>
          <w:tcPr>
            <w:tcW w:w="8277" w:type="dxa"/>
            <w:hideMark/>
          </w:tcPr>
          <w:p w14:paraId="3CD2712F" w14:textId="77777777" w:rsidR="00173249" w:rsidRPr="00402DC2" w:rsidRDefault="00173249" w:rsidP="00402DC2">
            <w:pPr>
              <w:jc w:val="center"/>
              <w:rPr>
                <w:rFonts w:ascii="Times New Roman" w:hAnsi="Times New Roman" w:cs="Times New Roman"/>
                <w:b/>
                <w:bCs/>
                <w:lang w:eastAsia="en-IN"/>
              </w:rPr>
            </w:pPr>
            <w:r w:rsidRPr="00402DC2">
              <w:rPr>
                <w:rFonts w:ascii="Times New Roman" w:hAnsi="Times New Roman" w:cs="Times New Roman"/>
                <w:b/>
                <w:bCs/>
                <w:lang w:eastAsia="en-IN"/>
              </w:rPr>
              <w:t>Search details</w:t>
            </w:r>
          </w:p>
        </w:tc>
      </w:tr>
      <w:tr w:rsidR="00173249" w:rsidRPr="00BF5FFA" w14:paraId="59DF0863" w14:textId="77777777" w:rsidTr="00A6511D">
        <w:tc>
          <w:tcPr>
            <w:tcW w:w="0" w:type="auto"/>
            <w:hideMark/>
          </w:tcPr>
          <w:p w14:paraId="50516D8E" w14:textId="77777777" w:rsidR="00173249" w:rsidRPr="00BF5FFA" w:rsidRDefault="00173249" w:rsidP="00B95BBC">
            <w:pPr>
              <w:rPr>
                <w:rFonts w:ascii="Times New Roman" w:hAnsi="Times New Roman" w:cs="Times New Roman"/>
                <w:lang w:eastAsia="en-IN"/>
              </w:rPr>
            </w:pPr>
            <w:r w:rsidRPr="00BF5FFA">
              <w:rPr>
                <w:rFonts w:ascii="Times New Roman" w:hAnsi="Times New Roman" w:cs="Times New Roman"/>
                <w:lang w:eastAsia="en-IN"/>
              </w:rPr>
              <w:t>PubMed</w:t>
            </w:r>
          </w:p>
        </w:tc>
        <w:tc>
          <w:tcPr>
            <w:tcW w:w="0" w:type="auto"/>
            <w:hideMark/>
          </w:tcPr>
          <w:p w14:paraId="5EE4B2EE" w14:textId="77777777" w:rsidR="00173249" w:rsidRPr="00BF5FFA" w:rsidRDefault="00173249" w:rsidP="00B95BBC">
            <w:pPr>
              <w:rPr>
                <w:rFonts w:ascii="Times New Roman" w:hAnsi="Times New Roman" w:cs="Times New Roman"/>
                <w:lang w:eastAsia="en-IN"/>
              </w:rPr>
            </w:pPr>
            <w:r w:rsidRPr="00BF5FFA">
              <w:rPr>
                <w:rFonts w:ascii="Times New Roman" w:hAnsi="Times New Roman" w:cs="Times New Roman"/>
                <w:lang w:eastAsia="en-IN"/>
              </w:rPr>
              <w:t>2,298</w:t>
            </w:r>
          </w:p>
        </w:tc>
        <w:tc>
          <w:tcPr>
            <w:tcW w:w="8277" w:type="dxa"/>
            <w:hideMark/>
          </w:tcPr>
          <w:p w14:paraId="06B14635" w14:textId="77777777" w:rsidR="00173249" w:rsidRPr="00BF5FFA" w:rsidRDefault="00173249" w:rsidP="00B95BBC">
            <w:pPr>
              <w:rPr>
                <w:rFonts w:ascii="Times New Roman" w:hAnsi="Times New Roman" w:cs="Times New Roman"/>
                <w:lang w:eastAsia="en-IN"/>
              </w:rPr>
            </w:pPr>
            <w:r w:rsidRPr="00BF5FFA">
              <w:rPr>
                <w:rFonts w:ascii="Times New Roman" w:hAnsi="Times New Roman" w:cs="Times New Roman"/>
                <w:lang w:eastAsia="en-IN"/>
              </w:rPr>
              <w:t>("Geriatric Assessment" OR "Frail Elderly" OR "Accidental Falls" OR "Cognition Disorders" OR "Malnutrition" OR "Urinary Incontinence" OR "Depression" OR "Activities of Daily Living") AND ("</w:t>
            </w:r>
            <w:r>
              <w:rPr>
                <w:rFonts w:ascii="Times New Roman" w:hAnsi="Times New Roman" w:cs="Times New Roman"/>
                <w:lang w:eastAsia="en-IN"/>
              </w:rPr>
              <w:t>Older</w:t>
            </w:r>
            <w:r w:rsidRPr="00BF5FFA">
              <w:rPr>
                <w:rFonts w:ascii="Times New Roman" w:hAnsi="Times New Roman" w:cs="Times New Roman"/>
                <w:lang w:eastAsia="en-IN"/>
              </w:rPr>
              <w:t xml:space="preserve"> Population" OR "</w:t>
            </w:r>
            <w:r>
              <w:rPr>
                <w:rFonts w:ascii="Times New Roman" w:hAnsi="Times New Roman" w:cs="Times New Roman"/>
                <w:lang w:eastAsia="en-IN"/>
              </w:rPr>
              <w:t>Elderly</w:t>
            </w:r>
            <w:r w:rsidRPr="00BF5FFA">
              <w:rPr>
                <w:rFonts w:ascii="Times New Roman" w:hAnsi="Times New Roman" w:cs="Times New Roman"/>
                <w:lang w:eastAsia="en-IN"/>
              </w:rPr>
              <w:t xml:space="preserve"> Health") AND ("Aged" OR "Aged, 80 and over") AND ("Prevalence" OR "</w:t>
            </w:r>
            <w:r>
              <w:rPr>
                <w:rFonts w:ascii="Times New Roman" w:hAnsi="Times New Roman" w:cs="Times New Roman"/>
                <w:lang w:eastAsia="en-IN"/>
              </w:rPr>
              <w:t>QoL</w:t>
            </w:r>
            <w:r w:rsidRPr="00BF5FFA">
              <w:rPr>
                <w:rFonts w:ascii="Times New Roman" w:hAnsi="Times New Roman" w:cs="Times New Roman"/>
                <w:lang w:eastAsia="en-IN"/>
              </w:rPr>
              <w:t>" OR "Patient Acceptance of Health Care" OR "Health Services/statistics and numerical data")</w:t>
            </w:r>
          </w:p>
        </w:tc>
      </w:tr>
      <w:tr w:rsidR="00173249" w:rsidRPr="00BF5FFA" w14:paraId="6A27BD71" w14:textId="77777777" w:rsidTr="00A6511D">
        <w:tc>
          <w:tcPr>
            <w:tcW w:w="0" w:type="auto"/>
            <w:hideMark/>
          </w:tcPr>
          <w:p w14:paraId="5C51B373" w14:textId="77777777" w:rsidR="00173249" w:rsidRPr="00BF5FFA" w:rsidRDefault="00173249" w:rsidP="00B95BBC">
            <w:pPr>
              <w:rPr>
                <w:rFonts w:ascii="Times New Roman" w:hAnsi="Times New Roman" w:cs="Times New Roman"/>
                <w:lang w:eastAsia="en-IN"/>
              </w:rPr>
            </w:pPr>
            <w:r w:rsidRPr="00BF5FFA">
              <w:rPr>
                <w:rFonts w:ascii="Times New Roman" w:hAnsi="Times New Roman" w:cs="Times New Roman"/>
                <w:lang w:eastAsia="en-IN"/>
              </w:rPr>
              <w:t>Scopus</w:t>
            </w:r>
          </w:p>
        </w:tc>
        <w:tc>
          <w:tcPr>
            <w:tcW w:w="0" w:type="auto"/>
            <w:hideMark/>
          </w:tcPr>
          <w:p w14:paraId="455E3BC9" w14:textId="77777777" w:rsidR="00173249" w:rsidRPr="00BF5FFA" w:rsidRDefault="00173249" w:rsidP="00B95BBC">
            <w:pPr>
              <w:rPr>
                <w:rFonts w:ascii="Times New Roman" w:hAnsi="Times New Roman" w:cs="Times New Roman"/>
                <w:lang w:eastAsia="en-IN"/>
              </w:rPr>
            </w:pPr>
            <w:r w:rsidRPr="00BF5FFA">
              <w:rPr>
                <w:rFonts w:ascii="Times New Roman" w:hAnsi="Times New Roman" w:cs="Times New Roman"/>
                <w:lang w:eastAsia="en-IN"/>
              </w:rPr>
              <w:t>1,654</w:t>
            </w:r>
          </w:p>
        </w:tc>
        <w:tc>
          <w:tcPr>
            <w:tcW w:w="8277" w:type="dxa"/>
            <w:hideMark/>
          </w:tcPr>
          <w:p w14:paraId="4B287545" w14:textId="77777777" w:rsidR="00173249" w:rsidRPr="00BF5FFA" w:rsidRDefault="00173249" w:rsidP="00B95BBC">
            <w:pPr>
              <w:rPr>
                <w:rFonts w:ascii="Times New Roman" w:hAnsi="Times New Roman" w:cs="Times New Roman"/>
                <w:lang w:eastAsia="en-IN"/>
              </w:rPr>
            </w:pPr>
            <w:r w:rsidRPr="00BF5FFA">
              <w:rPr>
                <w:rFonts w:ascii="Times New Roman" w:hAnsi="Times New Roman" w:cs="Times New Roman"/>
                <w:lang w:eastAsia="en-IN"/>
              </w:rPr>
              <w:t>(TITLE-ABS-KEY ("geriatric syndrome*" OR "frailty" OR "falls" OR "cognitive decline" OR "malnutrition" OR "urinary incontinence" OR "depression") AND TITLE-ABS-KEY ("</w:t>
            </w:r>
            <w:r>
              <w:rPr>
                <w:rFonts w:ascii="Times New Roman" w:hAnsi="Times New Roman" w:cs="Times New Roman"/>
                <w:lang w:eastAsia="en-IN"/>
              </w:rPr>
              <w:t>older</w:t>
            </w:r>
            <w:r w:rsidRPr="00BF5FFA">
              <w:rPr>
                <w:rFonts w:ascii="Times New Roman" w:hAnsi="Times New Roman" w:cs="Times New Roman"/>
                <w:lang w:eastAsia="en-IN"/>
              </w:rPr>
              <w:t>" OR "city" OR "metropolitan" OR "municipal") AND TITLE-ABS-KEY ("elderly" OR "older adults" OR "aged" OR "senior") AND TITLE-ABS-KEY ("prevalence" OR "epidemiology" OR "</w:t>
            </w:r>
            <w:r>
              <w:rPr>
                <w:rFonts w:ascii="Times New Roman" w:hAnsi="Times New Roman" w:cs="Times New Roman"/>
                <w:lang w:eastAsia="en-IN"/>
              </w:rPr>
              <w:t>QoL</w:t>
            </w:r>
            <w:r w:rsidRPr="00BF5FFA">
              <w:rPr>
                <w:rFonts w:ascii="Times New Roman" w:hAnsi="Times New Roman" w:cs="Times New Roman"/>
                <w:lang w:eastAsia="en-IN"/>
              </w:rPr>
              <w:t>" OR "</w:t>
            </w:r>
            <w:r>
              <w:rPr>
                <w:rFonts w:ascii="Times New Roman" w:hAnsi="Times New Roman" w:cs="Times New Roman"/>
                <w:lang w:eastAsia="en-IN"/>
              </w:rPr>
              <w:t>HCU</w:t>
            </w:r>
            <w:r w:rsidRPr="00BF5FFA">
              <w:rPr>
                <w:rFonts w:ascii="Times New Roman" w:hAnsi="Times New Roman" w:cs="Times New Roman"/>
                <w:lang w:eastAsia="en-IN"/>
              </w:rPr>
              <w:t>"))</w:t>
            </w:r>
          </w:p>
        </w:tc>
      </w:tr>
      <w:tr w:rsidR="00173249" w:rsidRPr="00BF5FFA" w14:paraId="311273EE" w14:textId="77777777" w:rsidTr="00A6511D">
        <w:tc>
          <w:tcPr>
            <w:tcW w:w="0" w:type="auto"/>
          </w:tcPr>
          <w:p w14:paraId="119B8F0A" w14:textId="77777777" w:rsidR="00173249" w:rsidRPr="00BF5FFA" w:rsidRDefault="00173249" w:rsidP="00B95BBC">
            <w:pPr>
              <w:rPr>
                <w:rFonts w:ascii="Times New Roman" w:hAnsi="Times New Roman" w:cs="Times New Roman"/>
                <w:lang w:eastAsia="en-IN"/>
              </w:rPr>
            </w:pPr>
            <w:r w:rsidRPr="00BF5FFA">
              <w:rPr>
                <w:rFonts w:ascii="Times New Roman" w:hAnsi="Times New Roman" w:cs="Times New Roman"/>
                <w:lang w:eastAsia="en-IN"/>
              </w:rPr>
              <w:t>EMBASE</w:t>
            </w:r>
          </w:p>
        </w:tc>
        <w:tc>
          <w:tcPr>
            <w:tcW w:w="0" w:type="auto"/>
          </w:tcPr>
          <w:p w14:paraId="17CB3732" w14:textId="77777777" w:rsidR="00173249" w:rsidRPr="00BF5FFA" w:rsidRDefault="00173249" w:rsidP="00B95BBC">
            <w:pPr>
              <w:rPr>
                <w:rFonts w:ascii="Times New Roman" w:hAnsi="Times New Roman" w:cs="Times New Roman"/>
                <w:lang w:eastAsia="en-IN"/>
              </w:rPr>
            </w:pPr>
            <w:r w:rsidRPr="00BF5FFA">
              <w:rPr>
                <w:rFonts w:ascii="Times New Roman" w:hAnsi="Times New Roman" w:cs="Times New Roman"/>
                <w:lang w:eastAsia="en-IN"/>
              </w:rPr>
              <w:t>460</w:t>
            </w:r>
          </w:p>
        </w:tc>
        <w:tc>
          <w:tcPr>
            <w:tcW w:w="8277" w:type="dxa"/>
          </w:tcPr>
          <w:p w14:paraId="6A11345B" w14:textId="77777777" w:rsidR="00173249" w:rsidRPr="00BF5FFA" w:rsidRDefault="00173249" w:rsidP="00B95BBC">
            <w:pPr>
              <w:rPr>
                <w:rFonts w:ascii="Times New Roman" w:hAnsi="Times New Roman" w:cs="Times New Roman"/>
                <w:lang w:eastAsia="en-IN"/>
              </w:rPr>
            </w:pPr>
            <w:proofErr w:type="spellStart"/>
            <w:r w:rsidRPr="00BF5FFA">
              <w:rPr>
                <w:rFonts w:ascii="Times New Roman" w:hAnsi="Times New Roman" w:cs="Times New Roman"/>
                <w:lang w:eastAsia="en-IN"/>
              </w:rPr>
              <w:t>allintitle</w:t>
            </w:r>
            <w:proofErr w:type="spellEnd"/>
            <w:r w:rsidRPr="00BF5FFA">
              <w:rPr>
                <w:rFonts w:ascii="Times New Roman" w:hAnsi="Times New Roman" w:cs="Times New Roman"/>
                <w:lang w:eastAsia="en-IN"/>
              </w:rPr>
              <w:t>: ("geriatric syndromes" OR "frailty" OR "falls" OR "depression") AND ("</w:t>
            </w:r>
            <w:r>
              <w:rPr>
                <w:rFonts w:ascii="Times New Roman" w:hAnsi="Times New Roman" w:cs="Times New Roman"/>
                <w:lang w:eastAsia="en-IN"/>
              </w:rPr>
              <w:t>older</w:t>
            </w:r>
            <w:r w:rsidRPr="00BF5FFA">
              <w:rPr>
                <w:rFonts w:ascii="Times New Roman" w:hAnsi="Times New Roman" w:cs="Times New Roman"/>
                <w:lang w:eastAsia="en-IN"/>
              </w:rPr>
              <w:t>" OR "city") AND ("elderly" OR "older adults")</w:t>
            </w:r>
          </w:p>
        </w:tc>
      </w:tr>
      <w:tr w:rsidR="00173249" w:rsidRPr="00BF5FFA" w14:paraId="48A7A432" w14:textId="77777777" w:rsidTr="00A6511D">
        <w:tc>
          <w:tcPr>
            <w:tcW w:w="0" w:type="auto"/>
          </w:tcPr>
          <w:p w14:paraId="2BF64861" w14:textId="77777777" w:rsidR="00173249" w:rsidRPr="00BF5FFA" w:rsidRDefault="00173249" w:rsidP="00B95BBC">
            <w:pPr>
              <w:rPr>
                <w:rFonts w:ascii="Times New Roman" w:hAnsi="Times New Roman" w:cs="Times New Roman"/>
                <w:lang w:eastAsia="en-IN"/>
              </w:rPr>
            </w:pPr>
            <w:r w:rsidRPr="00BF5FFA">
              <w:rPr>
                <w:rFonts w:ascii="Times New Roman" w:hAnsi="Times New Roman" w:cs="Times New Roman"/>
                <w:lang w:eastAsia="en-IN"/>
              </w:rPr>
              <w:t>Web of Science</w:t>
            </w:r>
          </w:p>
        </w:tc>
        <w:tc>
          <w:tcPr>
            <w:tcW w:w="0" w:type="auto"/>
          </w:tcPr>
          <w:p w14:paraId="22437FB1" w14:textId="77777777" w:rsidR="00173249" w:rsidRPr="00BF5FFA" w:rsidRDefault="00173249" w:rsidP="00B95BBC">
            <w:pPr>
              <w:rPr>
                <w:rFonts w:ascii="Times New Roman" w:hAnsi="Times New Roman" w:cs="Times New Roman"/>
                <w:lang w:eastAsia="en-IN"/>
              </w:rPr>
            </w:pPr>
            <w:r w:rsidRPr="00BF5FFA">
              <w:rPr>
                <w:rFonts w:ascii="Times New Roman" w:hAnsi="Times New Roman" w:cs="Times New Roman"/>
                <w:lang w:eastAsia="en-IN"/>
              </w:rPr>
              <w:t>184</w:t>
            </w:r>
          </w:p>
        </w:tc>
        <w:tc>
          <w:tcPr>
            <w:tcW w:w="8277" w:type="dxa"/>
          </w:tcPr>
          <w:p w14:paraId="12866399" w14:textId="77777777" w:rsidR="00173249" w:rsidRPr="00BF5FFA" w:rsidRDefault="00173249" w:rsidP="00B95BBC">
            <w:pPr>
              <w:rPr>
                <w:rFonts w:ascii="Times New Roman" w:hAnsi="Times New Roman" w:cs="Times New Roman"/>
                <w:lang w:eastAsia="en-IN"/>
              </w:rPr>
            </w:pPr>
            <w:r w:rsidRPr="00BF5FFA">
              <w:rPr>
                <w:rFonts w:ascii="Times New Roman" w:hAnsi="Times New Roman" w:cs="Times New Roman"/>
                <w:lang w:eastAsia="en-IN"/>
              </w:rPr>
              <w:t>TS</w:t>
            </w:r>
            <w:proofErr w:type="gramStart"/>
            <w:r w:rsidRPr="00BF5FFA">
              <w:rPr>
                <w:rFonts w:ascii="Times New Roman" w:hAnsi="Times New Roman" w:cs="Times New Roman"/>
                <w:lang w:eastAsia="en-IN"/>
              </w:rPr>
              <w:t>=(</w:t>
            </w:r>
            <w:proofErr w:type="gramEnd"/>
            <w:r w:rsidRPr="00BF5FFA">
              <w:rPr>
                <w:rFonts w:ascii="Times New Roman" w:hAnsi="Times New Roman" w:cs="Times New Roman"/>
                <w:lang w:eastAsia="en-IN"/>
              </w:rPr>
              <w:t>"geriatric syndrome*" OR "frailty" OR "falls" OR "cognitive impairment" OR "functional decline") AND TS</w:t>
            </w:r>
            <w:proofErr w:type="gramStart"/>
            <w:r w:rsidRPr="00BF5FFA">
              <w:rPr>
                <w:rFonts w:ascii="Times New Roman" w:hAnsi="Times New Roman" w:cs="Times New Roman"/>
                <w:lang w:eastAsia="en-IN"/>
              </w:rPr>
              <w:t>=(</w:t>
            </w:r>
            <w:proofErr w:type="gramEnd"/>
            <w:r w:rsidRPr="00BF5FFA">
              <w:rPr>
                <w:rFonts w:ascii="Times New Roman" w:hAnsi="Times New Roman" w:cs="Times New Roman"/>
                <w:lang w:eastAsia="en-IN"/>
              </w:rPr>
              <w:t>"</w:t>
            </w:r>
            <w:r>
              <w:rPr>
                <w:rFonts w:ascii="Times New Roman" w:hAnsi="Times New Roman" w:cs="Times New Roman"/>
                <w:lang w:eastAsia="en-IN"/>
              </w:rPr>
              <w:t>older</w:t>
            </w:r>
            <w:r w:rsidRPr="00BF5FFA">
              <w:rPr>
                <w:rFonts w:ascii="Times New Roman" w:hAnsi="Times New Roman" w:cs="Times New Roman"/>
                <w:lang w:eastAsia="en-IN"/>
              </w:rPr>
              <w:t>" OR "</w:t>
            </w:r>
            <w:r>
              <w:rPr>
                <w:rFonts w:ascii="Times New Roman" w:hAnsi="Times New Roman" w:cs="Times New Roman"/>
                <w:lang w:eastAsia="en-IN"/>
              </w:rPr>
              <w:t>older</w:t>
            </w:r>
            <w:r w:rsidRPr="00BF5FFA">
              <w:rPr>
                <w:rFonts w:ascii="Times New Roman" w:hAnsi="Times New Roman" w:cs="Times New Roman"/>
                <w:lang w:eastAsia="en-IN"/>
              </w:rPr>
              <w:t xml:space="preserve"> population") AND TS</w:t>
            </w:r>
            <w:proofErr w:type="gramStart"/>
            <w:r w:rsidRPr="00BF5FFA">
              <w:rPr>
                <w:rFonts w:ascii="Times New Roman" w:hAnsi="Times New Roman" w:cs="Times New Roman"/>
                <w:lang w:eastAsia="en-IN"/>
              </w:rPr>
              <w:t>=(</w:t>
            </w:r>
            <w:proofErr w:type="gramEnd"/>
            <w:r w:rsidRPr="00BF5FFA">
              <w:rPr>
                <w:rFonts w:ascii="Times New Roman" w:hAnsi="Times New Roman" w:cs="Times New Roman"/>
                <w:lang w:eastAsia="en-IN"/>
              </w:rPr>
              <w:t>"elderly" OR "older people" OR "aged 60") AND TS</w:t>
            </w:r>
            <w:proofErr w:type="gramStart"/>
            <w:r w:rsidRPr="00BF5FFA">
              <w:rPr>
                <w:rFonts w:ascii="Times New Roman" w:hAnsi="Times New Roman" w:cs="Times New Roman"/>
                <w:lang w:eastAsia="en-IN"/>
              </w:rPr>
              <w:t>=(</w:t>
            </w:r>
            <w:proofErr w:type="gramEnd"/>
            <w:r w:rsidRPr="00BF5FFA">
              <w:rPr>
                <w:rFonts w:ascii="Times New Roman" w:hAnsi="Times New Roman" w:cs="Times New Roman"/>
                <w:lang w:eastAsia="en-IN"/>
              </w:rPr>
              <w:t>"prevalence" OR "</w:t>
            </w:r>
            <w:r>
              <w:rPr>
                <w:rFonts w:ascii="Times New Roman" w:hAnsi="Times New Roman" w:cs="Times New Roman"/>
                <w:lang w:eastAsia="en-IN"/>
              </w:rPr>
              <w:t>QoL</w:t>
            </w:r>
            <w:r w:rsidRPr="00BF5FFA">
              <w:rPr>
                <w:rFonts w:ascii="Times New Roman" w:hAnsi="Times New Roman" w:cs="Times New Roman"/>
                <w:lang w:eastAsia="en-IN"/>
              </w:rPr>
              <w:t>" OR "hospitalization")</w:t>
            </w:r>
          </w:p>
        </w:tc>
      </w:tr>
    </w:tbl>
    <w:p w14:paraId="6252F42B" w14:textId="77777777" w:rsidR="00173249" w:rsidRDefault="00173249" w:rsidP="00173249">
      <w:pPr>
        <w:rPr>
          <w:rFonts w:ascii="Times New Roman" w:hAnsi="Times New Roman" w:cs="Times New Roman"/>
          <w:b/>
          <w:bCs/>
          <w:lang w:eastAsia="en-IN"/>
        </w:rPr>
      </w:pPr>
    </w:p>
    <w:p w14:paraId="09244241" w14:textId="1CA7E9E9" w:rsidR="00173249" w:rsidRPr="00173249" w:rsidRDefault="00173249" w:rsidP="00173249">
      <w:pPr>
        <w:ind w:left="426" w:right="-589" w:hanging="1135"/>
        <w:rPr>
          <w:rFonts w:ascii="Times New Roman" w:hAnsi="Times New Roman" w:cs="Times New Roman"/>
          <w:b/>
          <w:bCs/>
          <w:lang w:eastAsia="en-IN"/>
        </w:rPr>
      </w:pPr>
      <w:r>
        <w:rPr>
          <w:rFonts w:ascii="Times New Roman" w:hAnsi="Times New Roman" w:cs="Times New Roman"/>
          <w:b/>
          <w:bCs/>
          <w:lang w:eastAsia="en-IN"/>
        </w:rPr>
        <w:t xml:space="preserve">2. </w:t>
      </w:r>
      <w:r w:rsidRPr="00173249">
        <w:rPr>
          <w:rFonts w:ascii="Times New Roman" w:hAnsi="Times New Roman" w:cs="Times New Roman"/>
          <w:b/>
          <w:bCs/>
        </w:rPr>
        <w:t xml:space="preserve">Supplementary Table </w:t>
      </w:r>
      <w:r>
        <w:rPr>
          <w:rFonts w:ascii="Times New Roman" w:hAnsi="Times New Roman" w:cs="Times New Roman"/>
          <w:b/>
          <w:bCs/>
        </w:rPr>
        <w:t>S 2</w:t>
      </w:r>
      <w:r w:rsidRPr="00173249">
        <w:rPr>
          <w:rFonts w:ascii="Times New Roman" w:hAnsi="Times New Roman" w:cs="Times New Roman"/>
          <w:b/>
          <w:bCs/>
          <w:lang w:eastAsia="en-IN"/>
        </w:rPr>
        <w:t>:</w:t>
      </w:r>
      <w:r w:rsidR="000F7DCF">
        <w:rPr>
          <w:rFonts w:ascii="Times New Roman" w:hAnsi="Times New Roman" w:cs="Times New Roman"/>
          <w:b/>
          <w:bCs/>
          <w:lang w:eastAsia="en-IN"/>
        </w:rPr>
        <w:t xml:space="preserve"> Detailed</w:t>
      </w:r>
      <w:r w:rsidRPr="00173249">
        <w:rPr>
          <w:rFonts w:ascii="Times New Roman" w:hAnsi="Times New Roman" w:cs="Times New Roman"/>
          <w:b/>
          <w:bCs/>
          <w:lang w:eastAsia="en-IN"/>
        </w:rPr>
        <w:t xml:space="preserve"> </w:t>
      </w:r>
      <w:r w:rsidR="000F7DCF" w:rsidRPr="000F7DCF">
        <w:rPr>
          <w:rFonts w:ascii="Times New Roman" w:hAnsi="Times New Roman" w:cs="Times New Roman"/>
          <w:b/>
          <w:bCs/>
          <w:lang w:eastAsia="en-IN"/>
        </w:rPr>
        <w:t>Characteristics of the 57 included studies</w:t>
      </w:r>
      <w:r w:rsidRPr="00173249">
        <w:rPr>
          <w:rFonts w:ascii="Times New Roman" w:hAnsi="Times New Roman" w:cs="Times New Roman"/>
          <w:b/>
          <w:bCs/>
          <w:lang w:eastAsia="en-IN"/>
        </w:rPr>
        <w:t>.</w:t>
      </w:r>
    </w:p>
    <w:tbl>
      <w:tblPr>
        <w:tblStyle w:val="GridTable1Light"/>
        <w:tblW w:w="11084" w:type="dxa"/>
        <w:tblInd w:w="-1281" w:type="dxa"/>
        <w:tblLayout w:type="fixed"/>
        <w:tblLook w:val="04A0" w:firstRow="1" w:lastRow="0" w:firstColumn="1" w:lastColumn="0" w:noHBand="0" w:noVBand="1"/>
      </w:tblPr>
      <w:tblGrid>
        <w:gridCol w:w="412"/>
        <w:gridCol w:w="1148"/>
        <w:gridCol w:w="676"/>
        <w:gridCol w:w="636"/>
        <w:gridCol w:w="851"/>
        <w:gridCol w:w="718"/>
        <w:gridCol w:w="521"/>
        <w:gridCol w:w="709"/>
        <w:gridCol w:w="708"/>
        <w:gridCol w:w="1843"/>
        <w:gridCol w:w="1020"/>
        <w:gridCol w:w="1842"/>
      </w:tblGrid>
      <w:tr w:rsidR="00173249" w:rsidRPr="00173249" w14:paraId="1B6AFD49" w14:textId="77777777" w:rsidTr="0062479D">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4F0E6611"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bookmarkStart w:id="0" w:name="_Hlk218875292"/>
            <w:proofErr w:type="spellStart"/>
            <w:r w:rsidRPr="00173249">
              <w:rPr>
                <w:rFonts w:ascii="Times New Roman" w:eastAsia="Times New Roman" w:hAnsi="Times New Roman" w:cs="Times New Roman"/>
                <w:kern w:val="0"/>
                <w:sz w:val="18"/>
                <w:szCs w:val="18"/>
                <w:lang w:eastAsia="en-IN"/>
                <w14:ligatures w14:val="none"/>
              </w:rPr>
              <w:t>S.No</w:t>
            </w:r>
            <w:proofErr w:type="spellEnd"/>
            <w:r w:rsidRPr="00173249">
              <w:rPr>
                <w:rFonts w:ascii="Times New Roman" w:eastAsia="Times New Roman" w:hAnsi="Times New Roman" w:cs="Times New Roman"/>
                <w:kern w:val="0"/>
                <w:sz w:val="18"/>
                <w:szCs w:val="18"/>
                <w:lang w:eastAsia="en-IN"/>
                <w14:ligatures w14:val="none"/>
              </w:rPr>
              <w:t>.</w:t>
            </w:r>
          </w:p>
        </w:tc>
        <w:tc>
          <w:tcPr>
            <w:tcW w:w="1148" w:type="dxa"/>
            <w:hideMark/>
          </w:tcPr>
          <w:p w14:paraId="766E8BB0" w14:textId="77777777" w:rsidR="00173249" w:rsidRPr="00173249" w:rsidRDefault="00173249" w:rsidP="00173249">
            <w:pPr>
              <w:ind w:right="414"/>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Author (s)</w:t>
            </w:r>
          </w:p>
        </w:tc>
        <w:tc>
          <w:tcPr>
            <w:tcW w:w="676" w:type="dxa"/>
            <w:hideMark/>
          </w:tcPr>
          <w:p w14:paraId="09F1E643" w14:textId="77777777" w:rsidR="00173249" w:rsidRPr="00173249" w:rsidRDefault="00173249" w:rsidP="001732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Journal</w:t>
            </w:r>
          </w:p>
        </w:tc>
        <w:tc>
          <w:tcPr>
            <w:tcW w:w="636" w:type="dxa"/>
            <w:hideMark/>
          </w:tcPr>
          <w:p w14:paraId="201B4D9E" w14:textId="77777777" w:rsidR="00173249" w:rsidRPr="00173249" w:rsidRDefault="00173249" w:rsidP="001732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YOP</w:t>
            </w:r>
          </w:p>
        </w:tc>
        <w:tc>
          <w:tcPr>
            <w:tcW w:w="851" w:type="dxa"/>
            <w:hideMark/>
          </w:tcPr>
          <w:p w14:paraId="527D5F7E" w14:textId="77777777" w:rsidR="00173249" w:rsidRPr="00173249" w:rsidRDefault="00173249" w:rsidP="001732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Study setting</w:t>
            </w:r>
          </w:p>
        </w:tc>
        <w:tc>
          <w:tcPr>
            <w:tcW w:w="718" w:type="dxa"/>
            <w:hideMark/>
          </w:tcPr>
          <w:p w14:paraId="2EC54E59" w14:textId="77777777" w:rsidR="00173249" w:rsidRPr="00173249" w:rsidRDefault="00173249" w:rsidP="001732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Study duration</w:t>
            </w:r>
          </w:p>
        </w:tc>
        <w:tc>
          <w:tcPr>
            <w:tcW w:w="521" w:type="dxa"/>
            <w:hideMark/>
          </w:tcPr>
          <w:p w14:paraId="625B838C" w14:textId="77777777" w:rsidR="00173249" w:rsidRPr="00173249" w:rsidRDefault="00173249" w:rsidP="001732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Sample size</w:t>
            </w:r>
          </w:p>
        </w:tc>
        <w:tc>
          <w:tcPr>
            <w:tcW w:w="709" w:type="dxa"/>
            <w:hideMark/>
          </w:tcPr>
          <w:p w14:paraId="6BD27C2E" w14:textId="77777777" w:rsidR="00173249" w:rsidRPr="00173249" w:rsidRDefault="00173249" w:rsidP="001732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Study participants and age</w:t>
            </w:r>
          </w:p>
        </w:tc>
        <w:tc>
          <w:tcPr>
            <w:tcW w:w="708" w:type="dxa"/>
            <w:hideMark/>
          </w:tcPr>
          <w:p w14:paraId="04F2E740" w14:textId="77777777" w:rsidR="00173249" w:rsidRPr="00173249" w:rsidRDefault="00173249" w:rsidP="001732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Study design</w:t>
            </w:r>
          </w:p>
        </w:tc>
        <w:tc>
          <w:tcPr>
            <w:tcW w:w="1843" w:type="dxa"/>
            <w:hideMark/>
          </w:tcPr>
          <w:p w14:paraId="759E4382" w14:textId="77777777" w:rsidR="00173249" w:rsidRPr="00173249" w:rsidRDefault="00173249" w:rsidP="001732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Prevalence of Geriatric Syndromes</w:t>
            </w:r>
          </w:p>
        </w:tc>
        <w:tc>
          <w:tcPr>
            <w:tcW w:w="1020" w:type="dxa"/>
            <w:hideMark/>
          </w:tcPr>
          <w:p w14:paraId="5390DA72" w14:textId="77777777" w:rsidR="00173249" w:rsidRPr="00173249" w:rsidRDefault="00173249" w:rsidP="001732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Assessment tool</w:t>
            </w:r>
          </w:p>
        </w:tc>
        <w:tc>
          <w:tcPr>
            <w:tcW w:w="1842" w:type="dxa"/>
          </w:tcPr>
          <w:p w14:paraId="771929F1" w14:textId="77777777" w:rsidR="00173249" w:rsidRPr="00173249" w:rsidRDefault="00173249" w:rsidP="0017324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gramStart"/>
            <w:r w:rsidRPr="00173249">
              <w:rPr>
                <w:rFonts w:ascii="Times New Roman" w:eastAsia="Times New Roman" w:hAnsi="Times New Roman" w:cs="Times New Roman"/>
                <w:kern w:val="0"/>
                <w:sz w:val="18"/>
                <w:szCs w:val="18"/>
                <w:lang w:eastAsia="en-IN"/>
                <w14:ligatures w14:val="none"/>
              </w:rPr>
              <w:t>Impact[</w:t>
            </w:r>
            <w:proofErr w:type="gramEnd"/>
            <w:r w:rsidRPr="00173249">
              <w:rPr>
                <w:rFonts w:ascii="Times New Roman" w:eastAsia="Times New Roman" w:hAnsi="Times New Roman" w:cs="Times New Roman"/>
                <w:kern w:val="0"/>
                <w:sz w:val="18"/>
                <w:szCs w:val="18"/>
                <w:lang w:eastAsia="en-IN"/>
                <w14:ligatures w14:val="none"/>
              </w:rPr>
              <w:t>Quality of Life (</w:t>
            </w:r>
            <w:proofErr w:type="spellStart"/>
            <w:r w:rsidRPr="00173249">
              <w:rPr>
                <w:rFonts w:ascii="Times New Roman" w:eastAsia="Times New Roman" w:hAnsi="Times New Roman" w:cs="Times New Roman"/>
                <w:kern w:val="0"/>
                <w:sz w:val="18"/>
                <w:szCs w:val="18"/>
                <w:lang w:eastAsia="en-IN"/>
                <w14:ligatures w14:val="none"/>
              </w:rPr>
              <w:t>Qol</w:t>
            </w:r>
            <w:proofErr w:type="spellEnd"/>
            <w:r w:rsidRPr="00173249">
              <w:rPr>
                <w:rFonts w:ascii="Times New Roman" w:eastAsia="Times New Roman" w:hAnsi="Times New Roman" w:cs="Times New Roman"/>
                <w:kern w:val="0"/>
                <w:sz w:val="18"/>
                <w:szCs w:val="18"/>
                <w:lang w:eastAsia="en-IN"/>
                <w14:ligatures w14:val="none"/>
              </w:rPr>
              <w:t xml:space="preserve">)and Health Care </w:t>
            </w:r>
            <w:proofErr w:type="gramStart"/>
            <w:r w:rsidRPr="00173249">
              <w:rPr>
                <w:rFonts w:ascii="Times New Roman" w:eastAsia="Times New Roman" w:hAnsi="Times New Roman" w:cs="Times New Roman"/>
                <w:kern w:val="0"/>
                <w:sz w:val="18"/>
                <w:szCs w:val="18"/>
                <w:lang w:eastAsia="en-IN"/>
                <w14:ligatures w14:val="none"/>
              </w:rPr>
              <w:t>Utilization(</w:t>
            </w:r>
            <w:proofErr w:type="gramEnd"/>
            <w:r w:rsidRPr="00173249">
              <w:rPr>
                <w:rFonts w:ascii="Times New Roman" w:eastAsia="Times New Roman" w:hAnsi="Times New Roman" w:cs="Times New Roman"/>
                <w:kern w:val="0"/>
                <w:sz w:val="18"/>
                <w:szCs w:val="18"/>
                <w:lang w:eastAsia="en-IN"/>
                <w14:ligatures w14:val="none"/>
              </w:rPr>
              <w:t>HCU)]</w:t>
            </w:r>
          </w:p>
        </w:tc>
      </w:tr>
      <w:tr w:rsidR="00173249" w:rsidRPr="00173249" w14:paraId="52BD046C"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7283A15F"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w:t>
            </w:r>
          </w:p>
        </w:tc>
        <w:tc>
          <w:tcPr>
            <w:tcW w:w="1148" w:type="dxa"/>
            <w:hideMark/>
          </w:tcPr>
          <w:p w14:paraId="3ED2C122" w14:textId="49A89CD6"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Wang et al.</w:t>
            </w:r>
          </w:p>
        </w:tc>
        <w:tc>
          <w:tcPr>
            <w:tcW w:w="676" w:type="dxa"/>
            <w:hideMark/>
          </w:tcPr>
          <w:p w14:paraId="3648068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Sci Rep</w:t>
            </w:r>
          </w:p>
        </w:tc>
        <w:tc>
          <w:tcPr>
            <w:tcW w:w="636" w:type="dxa"/>
            <w:hideMark/>
          </w:tcPr>
          <w:p w14:paraId="042E2B7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2024</w:t>
            </w:r>
          </w:p>
        </w:tc>
        <w:tc>
          <w:tcPr>
            <w:tcW w:w="851" w:type="dxa"/>
            <w:hideMark/>
          </w:tcPr>
          <w:p w14:paraId="7A46AC0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China (Chengdu)</w:t>
            </w:r>
          </w:p>
        </w:tc>
        <w:tc>
          <w:tcPr>
            <w:tcW w:w="718" w:type="dxa"/>
            <w:hideMark/>
          </w:tcPr>
          <w:p w14:paraId="0442780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Oct 2022 – Mar 2023</w:t>
            </w:r>
          </w:p>
        </w:tc>
        <w:tc>
          <w:tcPr>
            <w:tcW w:w="521" w:type="dxa"/>
            <w:hideMark/>
          </w:tcPr>
          <w:p w14:paraId="0503D5E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706</w:t>
            </w:r>
          </w:p>
        </w:tc>
        <w:tc>
          <w:tcPr>
            <w:tcW w:w="709" w:type="dxa"/>
            <w:hideMark/>
          </w:tcPr>
          <w:p w14:paraId="7F31B03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Community-dwelling, ≥60 years</w:t>
            </w:r>
          </w:p>
        </w:tc>
        <w:tc>
          <w:tcPr>
            <w:tcW w:w="708" w:type="dxa"/>
            <w:hideMark/>
          </w:tcPr>
          <w:p w14:paraId="3042421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78EF306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Polypharmacy (58.5%), Malnutrition (43.1%), Multimorbidity (42.1%), Frailty (34.3%), Falls (5.1%)</w:t>
            </w:r>
          </w:p>
        </w:tc>
        <w:tc>
          <w:tcPr>
            <w:tcW w:w="1020" w:type="dxa"/>
            <w:hideMark/>
          </w:tcPr>
          <w:p w14:paraId="0B21699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FRAIL scale, MNA-SF, GDS-15, MMSE</w:t>
            </w:r>
          </w:p>
        </w:tc>
        <w:tc>
          <w:tcPr>
            <w:tcW w:w="1842" w:type="dxa"/>
          </w:tcPr>
          <w:p w14:paraId="1BDB9A5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0E6CC22D"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385F9700"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w:t>
            </w:r>
          </w:p>
        </w:tc>
        <w:tc>
          <w:tcPr>
            <w:tcW w:w="1148" w:type="dxa"/>
            <w:hideMark/>
          </w:tcPr>
          <w:p w14:paraId="4630A6D4" w14:textId="57CE58DB"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Liberman et al</w:t>
            </w:r>
            <w:r w:rsidRPr="00173249">
              <w:rPr>
                <w:rFonts w:ascii="Times New Roman" w:eastAsia="Times New Roman" w:hAnsi="Times New Roman" w:cs="Times New Roman"/>
                <w:kern w:val="0"/>
                <w:sz w:val="18"/>
                <w:szCs w:val="18"/>
                <w:lang w:eastAsia="en-IN"/>
                <w14:ligatures w14:val="none"/>
              </w:rPr>
              <w:fldChar w:fldCharType="begin"/>
            </w:r>
            <w:r w:rsidR="003C6C5C">
              <w:rPr>
                <w:rFonts w:ascii="Times New Roman" w:eastAsia="Times New Roman" w:hAnsi="Times New Roman" w:cs="Times New Roman"/>
                <w:kern w:val="0"/>
                <w:sz w:val="18"/>
                <w:szCs w:val="18"/>
                <w:lang w:eastAsia="en-IN"/>
                <w14:ligatures w14:val="none"/>
              </w:rPr>
              <w:instrText xml:space="preserve"> ADDIN ZOTERO_ITEM CSL_CITATION {"citationID":"LJ50JOUx","properties":{"formattedCitation":"(2)","plainCitation":"(2)","noteIndex":0},"citationItems":[{"id":2765,"uris":["http://zotero.org/users/12232949/items/GR88TUUX"],"itemData":{"id":2765,"type":"article-journal","abstract":"Background\nIn growing elderly populations, there is a heavy burden of comorbidity and a high rate of geriatric syndromes (GS) including chronic pain.\n\nPurpose\nTo assess the prevalence of chronic pain among individuals aged ≥65 years in the Southern District of Israel and to evaluate associations between chronic pain and other GS.\n\nMethods\nA telephone interview was conducted on a sample of older adults who live in the community. The interview included the Brief Pain Inventory and a questionnaire on common geriatric problems.\n\nResults\nOf 419 elderly individuals who agreed to be interviewed 232 (55.2%) suffered from chronic pain. Of those who reported chronic pain, 136 participants (68.6%) noted that they had very severe or unbearable pain. There were statistically significant associations between the pain itself and decline in patient’s functional status, increased falls, reduced mood, and cognitive decline.\n\nConclusion\nThe results of this study show that chronic pain is very common in older adults and that it is associated with other GS. There is a need to increase awareness of chronic pain in older adults and to emphasize the important role that it plays in their care.","container-title":"Journal of Pain Research","DOI":"10.2147/JPR.S160847","ISSN":"1178-7090","journalAbbreviation":"J Pain Res","page":"1171-1180","PMID":"29950889","PMCID":"PMC6016537","source":"PubMed Central","title":"Chronic pain and geriatric syndromes in community-dwelling patients aged ≥65 years","URL":"https://pmc.ncbi.nlm.nih.gov/articles/PMC6016537/","volume":"11","author":[{"family":"Liberman","given":"Orly"},{"family":"Freud","given":"Tamar"},{"family":"Peleg","given":"Roni"},{"family":"Keren","given":"Ariela"},{"family":"Press","given":"Yan"}],"accessed":{"date-parts":[["2026",1,9]]},"issued":{"date-parts":[["2018",6,19]]}}}],"schema":"https://github.com/citation-style-language/schema/raw/master/csl-citation.json"} </w:instrText>
            </w:r>
            <w:r w:rsidRPr="00173249">
              <w:rPr>
                <w:rFonts w:ascii="Times New Roman" w:eastAsia="Times New Roman" w:hAnsi="Times New Roman" w:cs="Times New Roman"/>
                <w:kern w:val="0"/>
                <w:sz w:val="18"/>
                <w:szCs w:val="18"/>
                <w:lang w:eastAsia="en-IN"/>
                <w14:ligatures w14:val="none"/>
              </w:rPr>
              <w:fldChar w:fldCharType="separate"/>
            </w:r>
            <w:r w:rsidR="003C6C5C" w:rsidRPr="003C6C5C">
              <w:rPr>
                <w:rFonts w:ascii="Times New Roman" w:hAnsi="Times New Roman" w:cs="Times New Roman"/>
                <w:sz w:val="18"/>
              </w:rPr>
              <w:t>)</w:t>
            </w:r>
            <w:r w:rsidRPr="00173249">
              <w:rPr>
                <w:rFonts w:ascii="Times New Roman" w:eastAsia="Times New Roman" w:hAnsi="Times New Roman" w:cs="Times New Roman"/>
                <w:kern w:val="0"/>
                <w:sz w:val="18"/>
                <w:szCs w:val="18"/>
                <w:lang w:eastAsia="en-IN"/>
                <w14:ligatures w14:val="none"/>
              </w:rPr>
              <w:fldChar w:fldCharType="end"/>
            </w:r>
            <w:r w:rsidRPr="00173249">
              <w:rPr>
                <w:rFonts w:ascii="Times New Roman" w:eastAsia="Times New Roman" w:hAnsi="Times New Roman" w:cs="Times New Roman"/>
                <w:kern w:val="0"/>
                <w:sz w:val="18"/>
                <w:szCs w:val="18"/>
                <w:lang w:eastAsia="en-IN"/>
                <w14:ligatures w14:val="none"/>
              </w:rPr>
              <w:t>.</w:t>
            </w:r>
          </w:p>
        </w:tc>
        <w:tc>
          <w:tcPr>
            <w:tcW w:w="676" w:type="dxa"/>
            <w:hideMark/>
          </w:tcPr>
          <w:p w14:paraId="537CE5F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 Pain Res</w:t>
            </w:r>
          </w:p>
        </w:tc>
        <w:tc>
          <w:tcPr>
            <w:tcW w:w="636" w:type="dxa"/>
            <w:hideMark/>
          </w:tcPr>
          <w:p w14:paraId="798EEB2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2018</w:t>
            </w:r>
          </w:p>
        </w:tc>
        <w:tc>
          <w:tcPr>
            <w:tcW w:w="851" w:type="dxa"/>
            <w:hideMark/>
          </w:tcPr>
          <w:p w14:paraId="7ADF25E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Israel</w:t>
            </w:r>
          </w:p>
        </w:tc>
        <w:tc>
          <w:tcPr>
            <w:tcW w:w="718" w:type="dxa"/>
            <w:hideMark/>
          </w:tcPr>
          <w:p w14:paraId="5DBD214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2014 – 2015</w:t>
            </w:r>
          </w:p>
        </w:tc>
        <w:tc>
          <w:tcPr>
            <w:tcW w:w="521" w:type="dxa"/>
            <w:hideMark/>
          </w:tcPr>
          <w:p w14:paraId="3BB3447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419</w:t>
            </w:r>
          </w:p>
        </w:tc>
        <w:tc>
          <w:tcPr>
            <w:tcW w:w="709" w:type="dxa"/>
            <w:hideMark/>
          </w:tcPr>
          <w:p w14:paraId="67574E1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Community-dwelling, ≥65 years</w:t>
            </w:r>
          </w:p>
        </w:tc>
        <w:tc>
          <w:tcPr>
            <w:tcW w:w="708" w:type="dxa"/>
            <w:hideMark/>
          </w:tcPr>
          <w:p w14:paraId="1B5CC58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5112330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Chronic pain (55.2%), Falls (38.4%), Functional decline (ADL/IADL impairment)</w:t>
            </w:r>
          </w:p>
        </w:tc>
        <w:tc>
          <w:tcPr>
            <w:tcW w:w="1020" w:type="dxa"/>
            <w:hideMark/>
          </w:tcPr>
          <w:p w14:paraId="423C070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BPI, Self-report, Katz ADL</w:t>
            </w:r>
          </w:p>
        </w:tc>
        <w:tc>
          <w:tcPr>
            <w:tcW w:w="1842" w:type="dxa"/>
          </w:tcPr>
          <w:p w14:paraId="13E68AF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QoL: Pain interference with mood and sleep was recorded.</w:t>
            </w:r>
          </w:p>
        </w:tc>
      </w:tr>
      <w:tr w:rsidR="00173249" w:rsidRPr="00173249" w14:paraId="43733A41"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7D61F988"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3</w:t>
            </w:r>
          </w:p>
        </w:tc>
        <w:tc>
          <w:tcPr>
            <w:tcW w:w="1148" w:type="dxa"/>
            <w:hideMark/>
          </w:tcPr>
          <w:p w14:paraId="32AED7A9" w14:textId="2233A233"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Cheung et al.</w:t>
            </w:r>
          </w:p>
        </w:tc>
        <w:tc>
          <w:tcPr>
            <w:tcW w:w="676" w:type="dxa"/>
            <w:hideMark/>
          </w:tcPr>
          <w:p w14:paraId="78942E9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BMC </w:t>
            </w:r>
            <w:proofErr w:type="spellStart"/>
            <w:r w:rsidRPr="00173249">
              <w:rPr>
                <w:rFonts w:ascii="Times New Roman" w:eastAsia="Times New Roman" w:hAnsi="Times New Roman" w:cs="Times New Roman"/>
                <w:kern w:val="0"/>
                <w:sz w:val="18"/>
                <w:szCs w:val="18"/>
                <w:lang w:eastAsia="en-IN"/>
                <w14:ligatures w14:val="none"/>
              </w:rPr>
              <w:t>Geriatr</w:t>
            </w:r>
            <w:proofErr w:type="spellEnd"/>
          </w:p>
        </w:tc>
        <w:tc>
          <w:tcPr>
            <w:tcW w:w="636" w:type="dxa"/>
            <w:hideMark/>
          </w:tcPr>
          <w:p w14:paraId="67CCE3B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2018</w:t>
            </w:r>
          </w:p>
        </w:tc>
        <w:tc>
          <w:tcPr>
            <w:tcW w:w="851" w:type="dxa"/>
            <w:hideMark/>
          </w:tcPr>
          <w:p w14:paraId="3A48196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Hong Kong</w:t>
            </w:r>
          </w:p>
        </w:tc>
        <w:tc>
          <w:tcPr>
            <w:tcW w:w="718" w:type="dxa"/>
            <w:hideMark/>
          </w:tcPr>
          <w:p w14:paraId="7B025F6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2011 – 2012</w:t>
            </w:r>
          </w:p>
        </w:tc>
        <w:tc>
          <w:tcPr>
            <w:tcW w:w="521" w:type="dxa"/>
            <w:hideMark/>
          </w:tcPr>
          <w:p w14:paraId="2513B37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2,618</w:t>
            </w:r>
          </w:p>
        </w:tc>
        <w:tc>
          <w:tcPr>
            <w:tcW w:w="709" w:type="dxa"/>
            <w:hideMark/>
          </w:tcPr>
          <w:p w14:paraId="7FD9829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community-dwelling, ≥60 years</w:t>
            </w:r>
          </w:p>
        </w:tc>
        <w:tc>
          <w:tcPr>
            <w:tcW w:w="708" w:type="dxa"/>
            <w:hideMark/>
          </w:tcPr>
          <w:p w14:paraId="5675012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61BA048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Any syndrome (75.3%), Multimorbidity (41.8%), IADL disability (22.5%)</w:t>
            </w:r>
          </w:p>
        </w:tc>
        <w:tc>
          <w:tcPr>
            <w:tcW w:w="1020" w:type="dxa"/>
            <w:hideMark/>
          </w:tcPr>
          <w:p w14:paraId="384C238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GDS, MMSE, Cardiovascular Risk</w:t>
            </w:r>
          </w:p>
        </w:tc>
        <w:tc>
          <w:tcPr>
            <w:tcW w:w="1842" w:type="dxa"/>
          </w:tcPr>
          <w:p w14:paraId="5BFAE6C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QoL: Assessed via functional disability (IADL) and pain impact.</w:t>
            </w:r>
          </w:p>
        </w:tc>
      </w:tr>
      <w:tr w:rsidR="00173249" w:rsidRPr="00173249" w14:paraId="0BDC512A"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368E95AC"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4</w:t>
            </w:r>
          </w:p>
        </w:tc>
        <w:tc>
          <w:tcPr>
            <w:tcW w:w="1148" w:type="dxa"/>
            <w:hideMark/>
          </w:tcPr>
          <w:p w14:paraId="1710BAF5" w14:textId="31E253CC"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173249">
              <w:rPr>
                <w:rFonts w:ascii="Times New Roman" w:eastAsia="Times New Roman" w:hAnsi="Times New Roman" w:cs="Times New Roman"/>
                <w:kern w:val="0"/>
                <w:sz w:val="18"/>
                <w:szCs w:val="18"/>
                <w:lang w:eastAsia="en-IN"/>
                <w14:ligatures w14:val="none"/>
              </w:rPr>
              <w:t>Topcu</w:t>
            </w:r>
            <w:proofErr w:type="spellEnd"/>
            <w:r w:rsidRPr="00173249">
              <w:rPr>
                <w:rFonts w:ascii="Times New Roman" w:eastAsia="Times New Roman" w:hAnsi="Times New Roman" w:cs="Times New Roman"/>
                <w:kern w:val="0"/>
                <w:sz w:val="18"/>
                <w:szCs w:val="18"/>
                <w:lang w:eastAsia="en-IN"/>
                <w14:ligatures w14:val="none"/>
              </w:rPr>
              <w:t xml:space="preserve"> et al.</w:t>
            </w:r>
          </w:p>
        </w:tc>
        <w:tc>
          <w:tcPr>
            <w:tcW w:w="676" w:type="dxa"/>
            <w:hideMark/>
          </w:tcPr>
          <w:p w14:paraId="77E109D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Front Med</w:t>
            </w:r>
          </w:p>
        </w:tc>
        <w:tc>
          <w:tcPr>
            <w:tcW w:w="636" w:type="dxa"/>
            <w:hideMark/>
          </w:tcPr>
          <w:p w14:paraId="0F42755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2024</w:t>
            </w:r>
          </w:p>
        </w:tc>
        <w:tc>
          <w:tcPr>
            <w:tcW w:w="851" w:type="dxa"/>
            <w:hideMark/>
          </w:tcPr>
          <w:p w14:paraId="039C38F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173249">
              <w:rPr>
                <w:rFonts w:ascii="Times New Roman" w:eastAsia="Times New Roman" w:hAnsi="Times New Roman" w:cs="Times New Roman"/>
                <w:kern w:val="0"/>
                <w:sz w:val="18"/>
                <w:szCs w:val="18"/>
                <w:lang w:eastAsia="en-IN"/>
                <w14:ligatures w14:val="none"/>
              </w:rPr>
              <w:t>Türkey</w:t>
            </w:r>
            <w:proofErr w:type="spellEnd"/>
          </w:p>
        </w:tc>
        <w:tc>
          <w:tcPr>
            <w:tcW w:w="718" w:type="dxa"/>
            <w:hideMark/>
          </w:tcPr>
          <w:p w14:paraId="1B43061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Oct 2020 – Oct 2022</w:t>
            </w:r>
          </w:p>
        </w:tc>
        <w:tc>
          <w:tcPr>
            <w:tcW w:w="521" w:type="dxa"/>
            <w:hideMark/>
          </w:tcPr>
          <w:p w14:paraId="754DABC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218</w:t>
            </w:r>
          </w:p>
        </w:tc>
        <w:tc>
          <w:tcPr>
            <w:tcW w:w="709" w:type="dxa"/>
            <w:hideMark/>
          </w:tcPr>
          <w:p w14:paraId="3FC48C3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Cancer outpatients, ≥65 years</w:t>
            </w:r>
          </w:p>
        </w:tc>
        <w:tc>
          <w:tcPr>
            <w:tcW w:w="708" w:type="dxa"/>
            <w:hideMark/>
          </w:tcPr>
          <w:p w14:paraId="72443BB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3EB514C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Frailty (54.4%), Insomnia (46.3%), Malnutrition (36%), Incontinence (36.2%), Depression (27.6%)</w:t>
            </w:r>
          </w:p>
        </w:tc>
        <w:tc>
          <w:tcPr>
            <w:tcW w:w="1020" w:type="dxa"/>
            <w:hideMark/>
          </w:tcPr>
          <w:p w14:paraId="43EC1DF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CGA, ECOG-PS, Tinetti, GDS</w:t>
            </w:r>
          </w:p>
        </w:tc>
        <w:tc>
          <w:tcPr>
            <w:tcW w:w="1842" w:type="dxa"/>
          </w:tcPr>
          <w:p w14:paraId="5445911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26F0B9A4"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1E226D02"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5</w:t>
            </w:r>
          </w:p>
        </w:tc>
        <w:tc>
          <w:tcPr>
            <w:tcW w:w="1148" w:type="dxa"/>
            <w:hideMark/>
          </w:tcPr>
          <w:p w14:paraId="29BCBAC6" w14:textId="52B587B5"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Allain et al.</w:t>
            </w:r>
          </w:p>
        </w:tc>
        <w:tc>
          <w:tcPr>
            <w:tcW w:w="676" w:type="dxa"/>
            <w:hideMark/>
          </w:tcPr>
          <w:p w14:paraId="4855F7A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Malawi Med J</w:t>
            </w:r>
          </w:p>
        </w:tc>
        <w:tc>
          <w:tcPr>
            <w:tcW w:w="636" w:type="dxa"/>
            <w:hideMark/>
          </w:tcPr>
          <w:p w14:paraId="250989B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2014</w:t>
            </w:r>
          </w:p>
        </w:tc>
        <w:tc>
          <w:tcPr>
            <w:tcW w:w="851" w:type="dxa"/>
            <w:hideMark/>
          </w:tcPr>
          <w:p w14:paraId="79F5347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Malawi (Blantyre)</w:t>
            </w:r>
          </w:p>
        </w:tc>
        <w:tc>
          <w:tcPr>
            <w:tcW w:w="718" w:type="dxa"/>
            <w:hideMark/>
          </w:tcPr>
          <w:p w14:paraId="4EEA337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Dec 2011 – Jan 20</w:t>
            </w:r>
          </w:p>
          <w:p w14:paraId="09C5104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12</w:t>
            </w:r>
          </w:p>
        </w:tc>
        <w:tc>
          <w:tcPr>
            <w:tcW w:w="521" w:type="dxa"/>
            <w:hideMark/>
          </w:tcPr>
          <w:p w14:paraId="680F636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98</w:t>
            </w:r>
          </w:p>
        </w:tc>
        <w:tc>
          <w:tcPr>
            <w:tcW w:w="709" w:type="dxa"/>
            <w:hideMark/>
          </w:tcPr>
          <w:p w14:paraId="3164D21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clinic attendees, </w:t>
            </w:r>
            <w:r w:rsidRPr="00173249">
              <w:rPr>
                <w:rFonts w:ascii="Times New Roman" w:eastAsia="Times New Roman" w:hAnsi="Times New Roman" w:cs="Times New Roman"/>
                <w:kern w:val="0"/>
                <w:sz w:val="18"/>
                <w:szCs w:val="18"/>
                <w:lang w:eastAsia="en-IN"/>
                <w14:ligatures w14:val="none"/>
              </w:rPr>
              <w:lastRenderedPageBreak/>
              <w:t>≥60 years</w:t>
            </w:r>
          </w:p>
        </w:tc>
        <w:tc>
          <w:tcPr>
            <w:tcW w:w="708" w:type="dxa"/>
            <w:hideMark/>
          </w:tcPr>
          <w:p w14:paraId="03DD73C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lastRenderedPageBreak/>
              <w:t>Cross-sectional</w:t>
            </w:r>
          </w:p>
        </w:tc>
        <w:tc>
          <w:tcPr>
            <w:tcW w:w="1843" w:type="dxa"/>
            <w:hideMark/>
          </w:tcPr>
          <w:p w14:paraId="61AEAF6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Memory loss (66.3%), Falls (40.8%), TUG &gt;16s (29.8%), </w:t>
            </w:r>
            <w:r w:rsidRPr="00173249">
              <w:rPr>
                <w:rFonts w:ascii="Times New Roman" w:eastAsia="Times New Roman" w:hAnsi="Times New Roman" w:cs="Times New Roman"/>
                <w:kern w:val="0"/>
                <w:sz w:val="18"/>
                <w:szCs w:val="18"/>
                <w:lang w:eastAsia="en-IN"/>
                <w14:ligatures w14:val="none"/>
              </w:rPr>
              <w:lastRenderedPageBreak/>
              <w:t>Urinary incontinence (24.5%)</w:t>
            </w:r>
          </w:p>
        </w:tc>
        <w:tc>
          <w:tcPr>
            <w:tcW w:w="1020" w:type="dxa"/>
            <w:hideMark/>
          </w:tcPr>
          <w:p w14:paraId="058C82D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lastRenderedPageBreak/>
              <w:t>AMT, TUG</w:t>
            </w:r>
          </w:p>
        </w:tc>
        <w:tc>
          <w:tcPr>
            <w:tcW w:w="1842" w:type="dxa"/>
          </w:tcPr>
          <w:p w14:paraId="7A83A22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22137EB7"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7C0E8BA3"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6</w:t>
            </w:r>
          </w:p>
        </w:tc>
        <w:tc>
          <w:tcPr>
            <w:tcW w:w="1148" w:type="dxa"/>
            <w:hideMark/>
          </w:tcPr>
          <w:p w14:paraId="550FDBDB" w14:textId="1924195A"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He et al.</w:t>
            </w:r>
          </w:p>
        </w:tc>
        <w:tc>
          <w:tcPr>
            <w:tcW w:w="676" w:type="dxa"/>
            <w:hideMark/>
          </w:tcPr>
          <w:p w14:paraId="5C72534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Aging Clin Exp Res</w:t>
            </w:r>
          </w:p>
        </w:tc>
        <w:tc>
          <w:tcPr>
            <w:tcW w:w="636" w:type="dxa"/>
            <w:hideMark/>
          </w:tcPr>
          <w:p w14:paraId="28F181C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2025</w:t>
            </w:r>
          </w:p>
        </w:tc>
        <w:tc>
          <w:tcPr>
            <w:tcW w:w="851" w:type="dxa"/>
            <w:hideMark/>
          </w:tcPr>
          <w:p w14:paraId="540D08A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China (Zhejiang)</w:t>
            </w:r>
          </w:p>
        </w:tc>
        <w:tc>
          <w:tcPr>
            <w:tcW w:w="718" w:type="dxa"/>
            <w:hideMark/>
          </w:tcPr>
          <w:p w14:paraId="131212E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2019 – 2023</w:t>
            </w:r>
          </w:p>
        </w:tc>
        <w:tc>
          <w:tcPr>
            <w:tcW w:w="521" w:type="dxa"/>
            <w:hideMark/>
          </w:tcPr>
          <w:p w14:paraId="376C547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685</w:t>
            </w:r>
          </w:p>
        </w:tc>
        <w:tc>
          <w:tcPr>
            <w:tcW w:w="709" w:type="dxa"/>
            <w:hideMark/>
          </w:tcPr>
          <w:p w14:paraId="51F1B25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Rural/Community, ≥60 years</w:t>
            </w:r>
          </w:p>
        </w:tc>
        <w:tc>
          <w:tcPr>
            <w:tcW w:w="708" w:type="dxa"/>
            <w:hideMark/>
          </w:tcPr>
          <w:p w14:paraId="4054CF7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Prospective Cohort</w:t>
            </w:r>
          </w:p>
        </w:tc>
        <w:tc>
          <w:tcPr>
            <w:tcW w:w="1843" w:type="dxa"/>
            <w:hideMark/>
          </w:tcPr>
          <w:p w14:paraId="10A8B43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Malnutrition risk (34.3%), Frailty (32.9%), Sarcopenia (21.1%), Falls (17.6%)</w:t>
            </w:r>
          </w:p>
        </w:tc>
        <w:tc>
          <w:tcPr>
            <w:tcW w:w="1020" w:type="dxa"/>
            <w:hideMark/>
          </w:tcPr>
          <w:p w14:paraId="3317937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MNA-SF, FRAIL scale, AWGS 2019</w:t>
            </w:r>
          </w:p>
        </w:tc>
        <w:tc>
          <w:tcPr>
            <w:tcW w:w="1842" w:type="dxa"/>
          </w:tcPr>
          <w:p w14:paraId="2A80965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07F45928"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60F0EB6D"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7</w:t>
            </w:r>
          </w:p>
        </w:tc>
        <w:tc>
          <w:tcPr>
            <w:tcW w:w="1148" w:type="dxa"/>
            <w:hideMark/>
          </w:tcPr>
          <w:p w14:paraId="1584903D" w14:textId="6218F3EE"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173249">
              <w:rPr>
                <w:rFonts w:ascii="Times New Roman" w:eastAsia="Times New Roman" w:hAnsi="Times New Roman" w:cs="Times New Roman"/>
                <w:kern w:val="0"/>
                <w:sz w:val="18"/>
                <w:szCs w:val="18"/>
                <w:lang w:eastAsia="en-IN"/>
                <w14:ligatures w14:val="none"/>
              </w:rPr>
              <w:t>Tkacheva</w:t>
            </w:r>
            <w:proofErr w:type="spellEnd"/>
            <w:r w:rsidRPr="00173249">
              <w:rPr>
                <w:rFonts w:ascii="Times New Roman" w:eastAsia="Times New Roman" w:hAnsi="Times New Roman" w:cs="Times New Roman"/>
                <w:kern w:val="0"/>
                <w:sz w:val="18"/>
                <w:szCs w:val="18"/>
                <w:lang w:eastAsia="en-IN"/>
                <w14:ligatures w14:val="none"/>
              </w:rPr>
              <w:t xml:space="preserve"> et al</w:t>
            </w:r>
          </w:p>
        </w:tc>
        <w:tc>
          <w:tcPr>
            <w:tcW w:w="676" w:type="dxa"/>
            <w:hideMark/>
          </w:tcPr>
          <w:p w14:paraId="199E2D4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Clin </w:t>
            </w:r>
            <w:proofErr w:type="spellStart"/>
            <w:r w:rsidRPr="00173249">
              <w:rPr>
                <w:rFonts w:ascii="Times New Roman" w:eastAsia="Times New Roman" w:hAnsi="Times New Roman" w:cs="Times New Roman"/>
                <w:kern w:val="0"/>
                <w:sz w:val="18"/>
                <w:szCs w:val="18"/>
                <w:lang w:eastAsia="en-IN"/>
                <w14:ligatures w14:val="none"/>
              </w:rPr>
              <w:t>Interv</w:t>
            </w:r>
            <w:proofErr w:type="spellEnd"/>
            <w:r w:rsidRPr="00173249">
              <w:rPr>
                <w:rFonts w:ascii="Times New Roman" w:eastAsia="Times New Roman" w:hAnsi="Times New Roman" w:cs="Times New Roman"/>
                <w:kern w:val="0"/>
                <w:sz w:val="18"/>
                <w:szCs w:val="18"/>
                <w:lang w:eastAsia="en-IN"/>
                <w14:ligatures w14:val="none"/>
              </w:rPr>
              <w:t xml:space="preserve"> Aging</w:t>
            </w:r>
          </w:p>
        </w:tc>
        <w:tc>
          <w:tcPr>
            <w:tcW w:w="636" w:type="dxa"/>
            <w:hideMark/>
          </w:tcPr>
          <w:p w14:paraId="643B002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2018</w:t>
            </w:r>
          </w:p>
        </w:tc>
        <w:tc>
          <w:tcPr>
            <w:tcW w:w="851" w:type="dxa"/>
            <w:hideMark/>
          </w:tcPr>
          <w:p w14:paraId="468308A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Russia (Moscow)</w:t>
            </w:r>
          </w:p>
        </w:tc>
        <w:tc>
          <w:tcPr>
            <w:tcW w:w="718" w:type="dxa"/>
            <w:hideMark/>
          </w:tcPr>
          <w:p w14:paraId="2BEFD8F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2014 – 2015</w:t>
            </w:r>
          </w:p>
        </w:tc>
        <w:tc>
          <w:tcPr>
            <w:tcW w:w="521" w:type="dxa"/>
            <w:hideMark/>
          </w:tcPr>
          <w:p w14:paraId="2B64587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1,220</w:t>
            </w:r>
          </w:p>
        </w:tc>
        <w:tc>
          <w:tcPr>
            <w:tcW w:w="709" w:type="dxa"/>
            <w:hideMark/>
          </w:tcPr>
          <w:p w14:paraId="43A1F4E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 clinics, ≥65 years</w:t>
            </w:r>
          </w:p>
        </w:tc>
        <w:tc>
          <w:tcPr>
            <w:tcW w:w="708" w:type="dxa"/>
            <w:hideMark/>
          </w:tcPr>
          <w:p w14:paraId="373CA2C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2C3C640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Visual/hearing impairment (58.3%), Cognitive impairment (58.2%), Mood disorder (46.0%)</w:t>
            </w:r>
          </w:p>
        </w:tc>
        <w:tc>
          <w:tcPr>
            <w:tcW w:w="1020" w:type="dxa"/>
            <w:hideMark/>
          </w:tcPr>
          <w:p w14:paraId="23D58CC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CGA, VNP, MMSE, GDS-15</w:t>
            </w:r>
          </w:p>
        </w:tc>
        <w:tc>
          <w:tcPr>
            <w:tcW w:w="1842" w:type="dxa"/>
          </w:tcPr>
          <w:p w14:paraId="52865EE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5823FFE8"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440D09B4"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8</w:t>
            </w:r>
          </w:p>
        </w:tc>
        <w:tc>
          <w:tcPr>
            <w:tcW w:w="1148" w:type="dxa"/>
            <w:hideMark/>
          </w:tcPr>
          <w:p w14:paraId="433A24BE" w14:textId="7252DABC"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Imaoka et al.</w:t>
            </w:r>
          </w:p>
        </w:tc>
        <w:tc>
          <w:tcPr>
            <w:tcW w:w="676" w:type="dxa"/>
            <w:hideMark/>
          </w:tcPr>
          <w:p w14:paraId="28A06B8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Prev Med Rep</w:t>
            </w:r>
          </w:p>
        </w:tc>
        <w:tc>
          <w:tcPr>
            <w:tcW w:w="636" w:type="dxa"/>
            <w:hideMark/>
          </w:tcPr>
          <w:p w14:paraId="2D4935F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2021</w:t>
            </w:r>
          </w:p>
        </w:tc>
        <w:tc>
          <w:tcPr>
            <w:tcW w:w="851" w:type="dxa"/>
            <w:hideMark/>
          </w:tcPr>
          <w:p w14:paraId="6CA71E9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Japan</w:t>
            </w:r>
          </w:p>
        </w:tc>
        <w:tc>
          <w:tcPr>
            <w:tcW w:w="718" w:type="dxa"/>
            <w:hideMark/>
          </w:tcPr>
          <w:p w14:paraId="624E527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2018 – 2019</w:t>
            </w:r>
          </w:p>
        </w:tc>
        <w:tc>
          <w:tcPr>
            <w:tcW w:w="521" w:type="dxa"/>
            <w:hideMark/>
          </w:tcPr>
          <w:p w14:paraId="71BF5D2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335</w:t>
            </w:r>
          </w:p>
        </w:tc>
        <w:tc>
          <w:tcPr>
            <w:tcW w:w="709" w:type="dxa"/>
            <w:hideMark/>
          </w:tcPr>
          <w:p w14:paraId="55656F8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Community-dwelling, ≥65 years</w:t>
            </w:r>
          </w:p>
        </w:tc>
        <w:tc>
          <w:tcPr>
            <w:tcW w:w="708" w:type="dxa"/>
            <w:hideMark/>
          </w:tcPr>
          <w:p w14:paraId="2F75015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36C111E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Pre-frailty (50.4%), Depressive symptoms (28.1%), Sarcopenia (13.1%), Frailty (8.1%)</w:t>
            </w:r>
          </w:p>
        </w:tc>
        <w:tc>
          <w:tcPr>
            <w:tcW w:w="1020" w:type="dxa"/>
            <w:hideMark/>
          </w:tcPr>
          <w:p w14:paraId="27D9176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GDS-15, AWGS 2019, Fried Phenotype</w:t>
            </w:r>
          </w:p>
        </w:tc>
        <w:tc>
          <w:tcPr>
            <w:tcW w:w="1842" w:type="dxa"/>
          </w:tcPr>
          <w:p w14:paraId="4E637247" w14:textId="77777777" w:rsidR="00173249" w:rsidRPr="00173249" w:rsidRDefault="00173249" w:rsidP="0017324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1EE3ADFD"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781D599E"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9</w:t>
            </w:r>
          </w:p>
        </w:tc>
        <w:tc>
          <w:tcPr>
            <w:tcW w:w="1148" w:type="dxa"/>
            <w:hideMark/>
          </w:tcPr>
          <w:p w14:paraId="190409A6" w14:textId="6F9E4000"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Ong et al.</w:t>
            </w:r>
          </w:p>
        </w:tc>
        <w:tc>
          <w:tcPr>
            <w:tcW w:w="676" w:type="dxa"/>
            <w:hideMark/>
          </w:tcPr>
          <w:p w14:paraId="4AF2D38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 Frailty Aging</w:t>
            </w:r>
          </w:p>
        </w:tc>
        <w:tc>
          <w:tcPr>
            <w:tcW w:w="636" w:type="dxa"/>
            <w:hideMark/>
          </w:tcPr>
          <w:p w14:paraId="60AA0B61" w14:textId="404BD378"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w:t>
            </w:r>
            <w:r w:rsidR="007B58F7">
              <w:rPr>
                <w:rFonts w:ascii="Times New Roman" w:eastAsia="Times New Roman" w:hAnsi="Times New Roman" w:cs="Times New Roman"/>
                <w:kern w:val="0"/>
                <w:sz w:val="18"/>
                <w:szCs w:val="18"/>
                <w:lang w:eastAsia="en-IN"/>
                <w14:ligatures w14:val="none"/>
              </w:rPr>
              <w:t>2</w:t>
            </w:r>
          </w:p>
        </w:tc>
        <w:tc>
          <w:tcPr>
            <w:tcW w:w="851" w:type="dxa"/>
            <w:hideMark/>
          </w:tcPr>
          <w:p w14:paraId="7683758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Singapore</w:t>
            </w:r>
          </w:p>
        </w:tc>
        <w:tc>
          <w:tcPr>
            <w:tcW w:w="718" w:type="dxa"/>
            <w:hideMark/>
          </w:tcPr>
          <w:p w14:paraId="2C41C95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2017 – 2019</w:t>
            </w:r>
          </w:p>
        </w:tc>
        <w:tc>
          <w:tcPr>
            <w:tcW w:w="521" w:type="dxa"/>
            <w:hideMark/>
          </w:tcPr>
          <w:p w14:paraId="72D4DE4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229</w:t>
            </w:r>
          </w:p>
        </w:tc>
        <w:tc>
          <w:tcPr>
            <w:tcW w:w="709" w:type="dxa"/>
            <w:hideMark/>
          </w:tcPr>
          <w:p w14:paraId="6B60FA7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 ≥60 years</w:t>
            </w:r>
          </w:p>
        </w:tc>
        <w:tc>
          <w:tcPr>
            <w:tcW w:w="708" w:type="dxa"/>
            <w:hideMark/>
          </w:tcPr>
          <w:p w14:paraId="0274FCE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5D16C56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Pre-frailty (44.5%), Falls (21%), Anorexia (16.6%), Cognitive impairment (CMMSE &lt;24)</w:t>
            </w:r>
          </w:p>
        </w:tc>
        <w:tc>
          <w:tcPr>
            <w:tcW w:w="1020" w:type="dxa"/>
            <w:hideMark/>
          </w:tcPr>
          <w:p w14:paraId="4DA066C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SFS-8, CMMSE, FAB, Fried Phenotype</w:t>
            </w:r>
          </w:p>
        </w:tc>
        <w:tc>
          <w:tcPr>
            <w:tcW w:w="1842" w:type="dxa"/>
          </w:tcPr>
          <w:p w14:paraId="1D92AC2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Poor QoL (EQ-5D index &lt;0.881) in 12.2% overall; 40% in frail/impaired group.</w:t>
            </w:r>
          </w:p>
        </w:tc>
      </w:tr>
      <w:tr w:rsidR="00173249" w:rsidRPr="00173249" w14:paraId="1A36BAB7"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1F967783"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10</w:t>
            </w:r>
          </w:p>
        </w:tc>
        <w:tc>
          <w:tcPr>
            <w:tcW w:w="1148" w:type="dxa"/>
            <w:hideMark/>
          </w:tcPr>
          <w:p w14:paraId="6A73A3B2" w14:textId="63487171"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173249">
              <w:rPr>
                <w:rFonts w:ascii="Times New Roman" w:eastAsia="Times New Roman" w:hAnsi="Times New Roman" w:cs="Times New Roman"/>
                <w:kern w:val="0"/>
                <w:sz w:val="18"/>
                <w:szCs w:val="18"/>
                <w:lang w:eastAsia="en-IN"/>
                <w14:ligatures w14:val="none"/>
              </w:rPr>
              <w:t>Sugie</w:t>
            </w:r>
            <w:proofErr w:type="spellEnd"/>
            <w:r w:rsidRPr="00173249">
              <w:rPr>
                <w:rFonts w:ascii="Times New Roman" w:eastAsia="Times New Roman" w:hAnsi="Times New Roman" w:cs="Times New Roman"/>
                <w:kern w:val="0"/>
                <w:sz w:val="18"/>
                <w:szCs w:val="18"/>
                <w:lang w:eastAsia="en-IN"/>
                <w14:ligatures w14:val="none"/>
              </w:rPr>
              <w:t xml:space="preserve"> et al.</w:t>
            </w:r>
          </w:p>
        </w:tc>
        <w:tc>
          <w:tcPr>
            <w:tcW w:w="676" w:type="dxa"/>
            <w:hideMark/>
          </w:tcPr>
          <w:p w14:paraId="715BCBF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173249">
              <w:rPr>
                <w:rFonts w:ascii="Times New Roman" w:eastAsia="Times New Roman" w:hAnsi="Times New Roman" w:cs="Times New Roman"/>
                <w:kern w:val="0"/>
                <w:sz w:val="18"/>
                <w:szCs w:val="18"/>
                <w:lang w:eastAsia="en-IN"/>
                <w14:ligatures w14:val="none"/>
              </w:rPr>
              <w:t>Geriatr</w:t>
            </w:r>
            <w:proofErr w:type="spellEnd"/>
            <w:r w:rsidRPr="00173249">
              <w:rPr>
                <w:rFonts w:ascii="Times New Roman" w:eastAsia="Times New Roman" w:hAnsi="Times New Roman" w:cs="Times New Roman"/>
                <w:kern w:val="0"/>
                <w:sz w:val="18"/>
                <w:szCs w:val="18"/>
                <w:lang w:eastAsia="en-IN"/>
                <w14:ligatures w14:val="none"/>
              </w:rPr>
              <w:t xml:space="preserve"> </w:t>
            </w:r>
            <w:proofErr w:type="spellStart"/>
            <w:r w:rsidRPr="00173249">
              <w:rPr>
                <w:rFonts w:ascii="Times New Roman" w:eastAsia="Times New Roman" w:hAnsi="Times New Roman" w:cs="Times New Roman"/>
                <w:kern w:val="0"/>
                <w:sz w:val="18"/>
                <w:szCs w:val="18"/>
                <w:lang w:eastAsia="en-IN"/>
                <w14:ligatures w14:val="none"/>
              </w:rPr>
              <w:t>Gerontol</w:t>
            </w:r>
            <w:proofErr w:type="spellEnd"/>
            <w:r w:rsidRPr="00173249">
              <w:rPr>
                <w:rFonts w:ascii="Times New Roman" w:eastAsia="Times New Roman" w:hAnsi="Times New Roman" w:cs="Times New Roman"/>
                <w:kern w:val="0"/>
                <w:sz w:val="18"/>
                <w:szCs w:val="18"/>
                <w:lang w:eastAsia="en-IN"/>
                <w14:ligatures w14:val="none"/>
              </w:rPr>
              <w:t xml:space="preserve"> Int</w:t>
            </w:r>
          </w:p>
        </w:tc>
        <w:tc>
          <w:tcPr>
            <w:tcW w:w="636" w:type="dxa"/>
            <w:hideMark/>
          </w:tcPr>
          <w:p w14:paraId="69AC969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2020</w:t>
            </w:r>
          </w:p>
        </w:tc>
        <w:tc>
          <w:tcPr>
            <w:tcW w:w="851" w:type="dxa"/>
            <w:hideMark/>
          </w:tcPr>
          <w:p w14:paraId="1D19692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Japan (Tokyo)</w:t>
            </w:r>
          </w:p>
        </w:tc>
        <w:tc>
          <w:tcPr>
            <w:tcW w:w="718" w:type="dxa"/>
            <w:hideMark/>
          </w:tcPr>
          <w:p w14:paraId="72E30E1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2016 – 2017</w:t>
            </w:r>
          </w:p>
        </w:tc>
        <w:tc>
          <w:tcPr>
            <w:tcW w:w="521" w:type="dxa"/>
            <w:hideMark/>
          </w:tcPr>
          <w:p w14:paraId="0BA1B42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67</w:t>
            </w:r>
          </w:p>
        </w:tc>
        <w:tc>
          <w:tcPr>
            <w:tcW w:w="709" w:type="dxa"/>
            <w:hideMark/>
          </w:tcPr>
          <w:p w14:paraId="5587E2A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outpatients, ≥65 years</w:t>
            </w:r>
          </w:p>
        </w:tc>
        <w:tc>
          <w:tcPr>
            <w:tcW w:w="708" w:type="dxa"/>
            <w:hideMark/>
          </w:tcPr>
          <w:p w14:paraId="590EEEE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Pre-post Intervention</w:t>
            </w:r>
          </w:p>
        </w:tc>
        <w:tc>
          <w:tcPr>
            <w:tcW w:w="1843" w:type="dxa"/>
            <w:hideMark/>
          </w:tcPr>
          <w:p w14:paraId="2CEF92F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Chronic pain (82%), </w:t>
            </w:r>
            <w:proofErr w:type="gramStart"/>
            <w:r w:rsidRPr="00173249">
              <w:rPr>
                <w:rFonts w:ascii="Times New Roman" w:eastAsia="Times New Roman" w:hAnsi="Times New Roman" w:cs="Times New Roman"/>
                <w:kern w:val="0"/>
                <w:sz w:val="18"/>
                <w:szCs w:val="18"/>
                <w:lang w:eastAsia="en-IN"/>
                <w14:ligatures w14:val="none"/>
              </w:rPr>
              <w:t>Pre-frailty</w:t>
            </w:r>
            <w:proofErr w:type="gramEnd"/>
            <w:r w:rsidRPr="00173249">
              <w:rPr>
                <w:rFonts w:ascii="Times New Roman" w:eastAsia="Times New Roman" w:hAnsi="Times New Roman" w:cs="Times New Roman"/>
                <w:kern w:val="0"/>
                <w:sz w:val="18"/>
                <w:szCs w:val="18"/>
                <w:lang w:eastAsia="en-IN"/>
                <w14:ligatures w14:val="none"/>
              </w:rPr>
              <w:t xml:space="preserve"> (61%), Incontinence (51%), </w:t>
            </w:r>
            <w:proofErr w:type="spellStart"/>
            <w:r w:rsidRPr="00173249">
              <w:rPr>
                <w:rFonts w:ascii="Times New Roman" w:eastAsia="Times New Roman" w:hAnsi="Times New Roman" w:cs="Times New Roman"/>
                <w:kern w:val="0"/>
                <w:sz w:val="18"/>
                <w:szCs w:val="18"/>
                <w:lang w:eastAsia="en-IN"/>
                <w14:ligatures w14:val="none"/>
              </w:rPr>
              <w:t>Edema</w:t>
            </w:r>
            <w:proofErr w:type="spellEnd"/>
            <w:r w:rsidRPr="00173249">
              <w:rPr>
                <w:rFonts w:ascii="Times New Roman" w:eastAsia="Times New Roman" w:hAnsi="Times New Roman" w:cs="Times New Roman"/>
                <w:kern w:val="0"/>
                <w:sz w:val="18"/>
                <w:szCs w:val="18"/>
                <w:lang w:eastAsia="en-IN"/>
                <w14:ligatures w14:val="none"/>
              </w:rPr>
              <w:t xml:space="preserve"> (48%), Frailty (39%)</w:t>
            </w:r>
          </w:p>
        </w:tc>
        <w:tc>
          <w:tcPr>
            <w:tcW w:w="1020" w:type="dxa"/>
            <w:hideMark/>
          </w:tcPr>
          <w:p w14:paraId="7DE519E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J-CHS Frailty, GDS-15, MNA-SF</w:t>
            </w:r>
          </w:p>
        </w:tc>
        <w:tc>
          <w:tcPr>
            <w:tcW w:w="1842" w:type="dxa"/>
          </w:tcPr>
          <w:p w14:paraId="591F20B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QoL: Physical QoL (SF-8) improved significantly (40.8 → 42.7) after intervention</w:t>
            </w:r>
          </w:p>
        </w:tc>
      </w:tr>
      <w:tr w:rsidR="00173249" w:rsidRPr="00173249" w14:paraId="5DFCCAD0"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40A5B4BB"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11</w:t>
            </w:r>
          </w:p>
        </w:tc>
        <w:tc>
          <w:tcPr>
            <w:tcW w:w="1148" w:type="dxa"/>
            <w:hideMark/>
          </w:tcPr>
          <w:p w14:paraId="301330E4" w14:textId="6D34F7E8"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Essomba et al.</w:t>
            </w:r>
          </w:p>
        </w:tc>
        <w:tc>
          <w:tcPr>
            <w:tcW w:w="676" w:type="dxa"/>
            <w:hideMark/>
          </w:tcPr>
          <w:p w14:paraId="6B47753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Pan </w:t>
            </w:r>
            <w:proofErr w:type="spellStart"/>
            <w:r w:rsidRPr="00173249">
              <w:rPr>
                <w:rFonts w:ascii="Times New Roman" w:eastAsia="Times New Roman" w:hAnsi="Times New Roman" w:cs="Times New Roman"/>
                <w:kern w:val="0"/>
                <w:sz w:val="18"/>
                <w:szCs w:val="18"/>
                <w:lang w:eastAsia="en-IN"/>
                <w14:ligatures w14:val="none"/>
              </w:rPr>
              <w:t>Afr</w:t>
            </w:r>
            <w:proofErr w:type="spellEnd"/>
            <w:r w:rsidRPr="00173249">
              <w:rPr>
                <w:rFonts w:ascii="Times New Roman" w:eastAsia="Times New Roman" w:hAnsi="Times New Roman" w:cs="Times New Roman"/>
                <w:kern w:val="0"/>
                <w:sz w:val="18"/>
                <w:szCs w:val="18"/>
                <w:lang w:eastAsia="en-IN"/>
                <w14:ligatures w14:val="none"/>
              </w:rPr>
              <w:t xml:space="preserve"> Med J</w:t>
            </w:r>
          </w:p>
        </w:tc>
        <w:tc>
          <w:tcPr>
            <w:tcW w:w="636" w:type="dxa"/>
            <w:hideMark/>
          </w:tcPr>
          <w:p w14:paraId="2F67B4E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2020</w:t>
            </w:r>
          </w:p>
        </w:tc>
        <w:tc>
          <w:tcPr>
            <w:tcW w:w="851" w:type="dxa"/>
            <w:hideMark/>
          </w:tcPr>
          <w:p w14:paraId="38934B7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Cameroon (Yaoundé)</w:t>
            </w:r>
          </w:p>
        </w:tc>
        <w:tc>
          <w:tcPr>
            <w:tcW w:w="718" w:type="dxa"/>
            <w:hideMark/>
          </w:tcPr>
          <w:p w14:paraId="05C22C3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2019</w:t>
            </w:r>
          </w:p>
        </w:tc>
        <w:tc>
          <w:tcPr>
            <w:tcW w:w="521" w:type="dxa"/>
            <w:hideMark/>
          </w:tcPr>
          <w:p w14:paraId="0527A8C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104</w:t>
            </w:r>
          </w:p>
        </w:tc>
        <w:tc>
          <w:tcPr>
            <w:tcW w:w="709" w:type="dxa"/>
            <w:hideMark/>
          </w:tcPr>
          <w:p w14:paraId="5D82AFD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hospital outpatients, ≥55 years</w:t>
            </w:r>
          </w:p>
        </w:tc>
        <w:tc>
          <w:tcPr>
            <w:tcW w:w="708" w:type="dxa"/>
            <w:hideMark/>
          </w:tcPr>
          <w:p w14:paraId="79A1756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422181C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Any syndrome (67.3%), IADL disability (37.5%), Sarcopenia (26.2%), Cognitive impairment (20.2%)</w:t>
            </w:r>
          </w:p>
        </w:tc>
        <w:tc>
          <w:tcPr>
            <w:tcW w:w="1020" w:type="dxa"/>
            <w:hideMark/>
          </w:tcPr>
          <w:p w14:paraId="1A7D74B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Katz ADL, Lawton IADL, SARC-F</w:t>
            </w:r>
          </w:p>
        </w:tc>
        <w:tc>
          <w:tcPr>
            <w:tcW w:w="1842" w:type="dxa"/>
          </w:tcPr>
          <w:p w14:paraId="59F3186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0BB9360D"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45FD76C3"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12</w:t>
            </w:r>
          </w:p>
        </w:tc>
        <w:tc>
          <w:tcPr>
            <w:tcW w:w="1148" w:type="dxa"/>
            <w:hideMark/>
          </w:tcPr>
          <w:p w14:paraId="27C1F194" w14:textId="241762CA"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Bello-Chavolla</w:t>
            </w:r>
          </w:p>
        </w:tc>
        <w:tc>
          <w:tcPr>
            <w:tcW w:w="676" w:type="dxa"/>
            <w:hideMark/>
          </w:tcPr>
          <w:p w14:paraId="565D935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Rev Invest Clin</w:t>
            </w:r>
          </w:p>
        </w:tc>
        <w:tc>
          <w:tcPr>
            <w:tcW w:w="636" w:type="dxa"/>
            <w:hideMark/>
          </w:tcPr>
          <w:p w14:paraId="5EE9F22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2017</w:t>
            </w:r>
          </w:p>
        </w:tc>
        <w:tc>
          <w:tcPr>
            <w:tcW w:w="851" w:type="dxa"/>
            <w:hideMark/>
          </w:tcPr>
          <w:p w14:paraId="4FFCA16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Mexico (Mexico City)</w:t>
            </w:r>
          </w:p>
        </w:tc>
        <w:tc>
          <w:tcPr>
            <w:tcW w:w="718" w:type="dxa"/>
            <w:hideMark/>
          </w:tcPr>
          <w:p w14:paraId="29C9E72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2017</w:t>
            </w:r>
          </w:p>
        </w:tc>
        <w:tc>
          <w:tcPr>
            <w:tcW w:w="521" w:type="dxa"/>
            <w:hideMark/>
          </w:tcPr>
          <w:p w14:paraId="41B6B0F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135</w:t>
            </w:r>
          </w:p>
        </w:tc>
        <w:tc>
          <w:tcPr>
            <w:tcW w:w="709" w:type="dxa"/>
            <w:hideMark/>
          </w:tcPr>
          <w:p w14:paraId="18AFEB1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 ≥70 years</w:t>
            </w:r>
          </w:p>
        </w:tc>
        <w:tc>
          <w:tcPr>
            <w:tcW w:w="708" w:type="dxa"/>
            <w:hideMark/>
          </w:tcPr>
          <w:p w14:paraId="2FDAB8C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74EEB76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Cognitive impairment (14.1%), Frailty (Associated with cognition)</w:t>
            </w:r>
          </w:p>
        </w:tc>
        <w:tc>
          <w:tcPr>
            <w:tcW w:w="1020" w:type="dxa"/>
            <w:hideMark/>
          </w:tcPr>
          <w:p w14:paraId="04FFBF5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MMSE, IST, Fried Phenotype</w:t>
            </w:r>
          </w:p>
        </w:tc>
        <w:tc>
          <w:tcPr>
            <w:tcW w:w="1842" w:type="dxa"/>
          </w:tcPr>
          <w:p w14:paraId="625C586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018BEF94"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5B5B4C24"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13</w:t>
            </w:r>
          </w:p>
        </w:tc>
        <w:tc>
          <w:tcPr>
            <w:tcW w:w="1148" w:type="dxa"/>
            <w:hideMark/>
          </w:tcPr>
          <w:p w14:paraId="5884DC7D" w14:textId="30359B40"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Kwon et al.</w:t>
            </w:r>
          </w:p>
        </w:tc>
        <w:tc>
          <w:tcPr>
            <w:tcW w:w="676" w:type="dxa"/>
            <w:hideMark/>
          </w:tcPr>
          <w:p w14:paraId="7C0B985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Japanese Journal of Geriatric</w:t>
            </w:r>
          </w:p>
        </w:tc>
        <w:tc>
          <w:tcPr>
            <w:tcW w:w="636" w:type="dxa"/>
            <w:hideMark/>
          </w:tcPr>
          <w:p w14:paraId="63DF9E1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2007</w:t>
            </w:r>
          </w:p>
        </w:tc>
        <w:tc>
          <w:tcPr>
            <w:tcW w:w="851" w:type="dxa"/>
            <w:hideMark/>
          </w:tcPr>
          <w:p w14:paraId="14C0AE9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Japan (Tokyo)</w:t>
            </w:r>
          </w:p>
        </w:tc>
        <w:tc>
          <w:tcPr>
            <w:tcW w:w="718" w:type="dxa"/>
            <w:hideMark/>
          </w:tcPr>
          <w:p w14:paraId="3EF7000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2007</w:t>
            </w:r>
          </w:p>
        </w:tc>
        <w:tc>
          <w:tcPr>
            <w:tcW w:w="521" w:type="dxa"/>
            <w:hideMark/>
          </w:tcPr>
          <w:p w14:paraId="24C9856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1,784</w:t>
            </w:r>
          </w:p>
        </w:tc>
        <w:tc>
          <w:tcPr>
            <w:tcW w:w="709" w:type="dxa"/>
            <w:hideMark/>
          </w:tcPr>
          <w:p w14:paraId="620EBCD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 ≥70 years</w:t>
            </w:r>
          </w:p>
        </w:tc>
        <w:tc>
          <w:tcPr>
            <w:tcW w:w="708" w:type="dxa"/>
            <w:hideMark/>
          </w:tcPr>
          <w:p w14:paraId="6A6F85C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536D19C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Falls, Incontinence, Depression, Undernutrition (Prevalence not specified in abstract)</w:t>
            </w:r>
          </w:p>
        </w:tc>
        <w:tc>
          <w:tcPr>
            <w:tcW w:w="1020" w:type="dxa"/>
            <w:hideMark/>
          </w:tcPr>
          <w:p w14:paraId="1B8307B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TMIG Index, Self-report</w:t>
            </w:r>
          </w:p>
        </w:tc>
        <w:tc>
          <w:tcPr>
            <w:tcW w:w="1842" w:type="dxa"/>
          </w:tcPr>
          <w:p w14:paraId="0CCBCD3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741B31EF"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7072B044"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14</w:t>
            </w:r>
          </w:p>
        </w:tc>
        <w:tc>
          <w:tcPr>
            <w:tcW w:w="1148" w:type="dxa"/>
            <w:hideMark/>
          </w:tcPr>
          <w:p w14:paraId="7AE1270C" w14:textId="1391C51D"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Su et al.</w:t>
            </w:r>
          </w:p>
        </w:tc>
        <w:tc>
          <w:tcPr>
            <w:tcW w:w="676" w:type="dxa"/>
            <w:hideMark/>
          </w:tcPr>
          <w:p w14:paraId="2AA3F6F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BMC Geriatrics</w:t>
            </w:r>
          </w:p>
        </w:tc>
        <w:tc>
          <w:tcPr>
            <w:tcW w:w="636" w:type="dxa"/>
            <w:hideMark/>
          </w:tcPr>
          <w:p w14:paraId="6F46221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2025</w:t>
            </w:r>
          </w:p>
        </w:tc>
        <w:tc>
          <w:tcPr>
            <w:tcW w:w="851" w:type="dxa"/>
            <w:hideMark/>
          </w:tcPr>
          <w:p w14:paraId="7096CDA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Taiwan</w:t>
            </w:r>
          </w:p>
        </w:tc>
        <w:tc>
          <w:tcPr>
            <w:tcW w:w="718" w:type="dxa"/>
            <w:hideMark/>
          </w:tcPr>
          <w:p w14:paraId="645D79D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June 2018 to September 2018</w:t>
            </w:r>
          </w:p>
        </w:tc>
        <w:tc>
          <w:tcPr>
            <w:tcW w:w="521" w:type="dxa"/>
            <w:hideMark/>
          </w:tcPr>
          <w:p w14:paraId="7117B05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160</w:t>
            </w:r>
          </w:p>
        </w:tc>
        <w:tc>
          <w:tcPr>
            <w:tcW w:w="709" w:type="dxa"/>
            <w:hideMark/>
          </w:tcPr>
          <w:p w14:paraId="34D4591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Hospital inpatients, ≥65 years</w:t>
            </w:r>
          </w:p>
        </w:tc>
        <w:tc>
          <w:tcPr>
            <w:tcW w:w="708" w:type="dxa"/>
            <w:hideMark/>
          </w:tcPr>
          <w:p w14:paraId="516A816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Observational</w:t>
            </w:r>
          </w:p>
        </w:tc>
        <w:tc>
          <w:tcPr>
            <w:tcW w:w="1843" w:type="dxa"/>
            <w:hideMark/>
          </w:tcPr>
          <w:p w14:paraId="7DF403A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High burden of ADL disability, frailty, pain, and depression (Used for prediction model)</w:t>
            </w:r>
          </w:p>
        </w:tc>
        <w:tc>
          <w:tcPr>
            <w:tcW w:w="1020" w:type="dxa"/>
            <w:hideMark/>
          </w:tcPr>
          <w:p w14:paraId="153DA57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EQ-5D-3L, CCI, Self-report</w:t>
            </w:r>
          </w:p>
        </w:tc>
        <w:tc>
          <w:tcPr>
            <w:tcW w:w="1842" w:type="dxa"/>
          </w:tcPr>
          <w:p w14:paraId="79029BA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0AF109BE"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525781DA"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15</w:t>
            </w:r>
          </w:p>
        </w:tc>
        <w:tc>
          <w:tcPr>
            <w:tcW w:w="1148" w:type="dxa"/>
            <w:hideMark/>
          </w:tcPr>
          <w:p w14:paraId="021D74EC" w14:textId="5A439B5C"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Chao et al.</w:t>
            </w:r>
          </w:p>
        </w:tc>
        <w:tc>
          <w:tcPr>
            <w:tcW w:w="676" w:type="dxa"/>
            <w:hideMark/>
          </w:tcPr>
          <w:p w14:paraId="3F1B245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Clinical Interventions in Aging</w:t>
            </w:r>
          </w:p>
        </w:tc>
        <w:tc>
          <w:tcPr>
            <w:tcW w:w="636" w:type="dxa"/>
            <w:hideMark/>
          </w:tcPr>
          <w:p w14:paraId="0F4E676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2016</w:t>
            </w:r>
          </w:p>
        </w:tc>
        <w:tc>
          <w:tcPr>
            <w:tcW w:w="851" w:type="dxa"/>
            <w:hideMark/>
          </w:tcPr>
          <w:p w14:paraId="4DE137E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Taiwan</w:t>
            </w:r>
          </w:p>
        </w:tc>
        <w:tc>
          <w:tcPr>
            <w:tcW w:w="718" w:type="dxa"/>
            <w:hideMark/>
          </w:tcPr>
          <w:p w14:paraId="5429705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2009–2013 </w:t>
            </w:r>
          </w:p>
        </w:tc>
        <w:tc>
          <w:tcPr>
            <w:tcW w:w="521" w:type="dxa"/>
            <w:hideMark/>
          </w:tcPr>
          <w:p w14:paraId="54C72C3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847</w:t>
            </w:r>
          </w:p>
        </w:tc>
        <w:tc>
          <w:tcPr>
            <w:tcW w:w="709" w:type="dxa"/>
            <w:hideMark/>
          </w:tcPr>
          <w:p w14:paraId="77F7404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Dialysis patients, &gt;20 years</w:t>
            </w:r>
          </w:p>
        </w:tc>
        <w:tc>
          <w:tcPr>
            <w:tcW w:w="708" w:type="dxa"/>
            <w:hideMark/>
          </w:tcPr>
          <w:p w14:paraId="636A7E0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Prospective Cohort</w:t>
            </w:r>
          </w:p>
        </w:tc>
        <w:tc>
          <w:tcPr>
            <w:tcW w:w="1843" w:type="dxa"/>
            <w:hideMark/>
          </w:tcPr>
          <w:p w14:paraId="0772757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Frailty, Polypharmacy, Malnutrition (Associated with low medication adherence)</w:t>
            </w:r>
          </w:p>
        </w:tc>
        <w:tc>
          <w:tcPr>
            <w:tcW w:w="1020" w:type="dxa"/>
            <w:hideMark/>
          </w:tcPr>
          <w:p w14:paraId="4D12222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Clinical Frailty Scale, Serum Albumin</w:t>
            </w:r>
          </w:p>
        </w:tc>
        <w:tc>
          <w:tcPr>
            <w:tcW w:w="1842" w:type="dxa"/>
          </w:tcPr>
          <w:p w14:paraId="4BB5725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1B2E3AB4"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5C0F7B17"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16</w:t>
            </w:r>
          </w:p>
        </w:tc>
        <w:tc>
          <w:tcPr>
            <w:tcW w:w="1148" w:type="dxa"/>
            <w:hideMark/>
          </w:tcPr>
          <w:p w14:paraId="58F1FC9E" w14:textId="6EAC109B"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Kim et al.</w:t>
            </w:r>
          </w:p>
        </w:tc>
        <w:tc>
          <w:tcPr>
            <w:tcW w:w="676" w:type="dxa"/>
            <w:hideMark/>
          </w:tcPr>
          <w:p w14:paraId="56751C6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Japanese Journal of Geriatrics)</w:t>
            </w:r>
          </w:p>
        </w:tc>
        <w:tc>
          <w:tcPr>
            <w:tcW w:w="636" w:type="dxa"/>
            <w:hideMark/>
          </w:tcPr>
          <w:p w14:paraId="65CE8D0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2008</w:t>
            </w:r>
          </w:p>
        </w:tc>
        <w:tc>
          <w:tcPr>
            <w:tcW w:w="851" w:type="dxa"/>
            <w:hideMark/>
          </w:tcPr>
          <w:p w14:paraId="4006276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Japan (Tokyo)</w:t>
            </w:r>
          </w:p>
        </w:tc>
        <w:tc>
          <w:tcPr>
            <w:tcW w:w="718" w:type="dxa"/>
            <w:hideMark/>
          </w:tcPr>
          <w:p w14:paraId="47237C8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01-11-2006</w:t>
            </w:r>
          </w:p>
        </w:tc>
        <w:tc>
          <w:tcPr>
            <w:tcW w:w="521" w:type="dxa"/>
            <w:hideMark/>
          </w:tcPr>
          <w:p w14:paraId="376D318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925</w:t>
            </w:r>
          </w:p>
        </w:tc>
        <w:tc>
          <w:tcPr>
            <w:tcW w:w="709" w:type="dxa"/>
            <w:hideMark/>
          </w:tcPr>
          <w:p w14:paraId="7311730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 women, ≥70 years</w:t>
            </w:r>
          </w:p>
        </w:tc>
        <w:tc>
          <w:tcPr>
            <w:tcW w:w="708" w:type="dxa"/>
            <w:hideMark/>
          </w:tcPr>
          <w:p w14:paraId="7F780C0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3B72FD1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Urinary incontinence (Higher in obese), Pain, Falls, IADL disability</w:t>
            </w:r>
          </w:p>
        </w:tc>
        <w:tc>
          <w:tcPr>
            <w:tcW w:w="1020" w:type="dxa"/>
            <w:hideMark/>
          </w:tcPr>
          <w:p w14:paraId="4564B91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Body Composition, IADL Scale</w:t>
            </w:r>
          </w:p>
        </w:tc>
        <w:tc>
          <w:tcPr>
            <w:tcW w:w="1842" w:type="dxa"/>
          </w:tcPr>
          <w:p w14:paraId="441CAD3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40AAB42B"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578EBA72"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lastRenderedPageBreak/>
              <w:t>17</w:t>
            </w:r>
          </w:p>
        </w:tc>
        <w:tc>
          <w:tcPr>
            <w:tcW w:w="1148" w:type="dxa"/>
            <w:hideMark/>
          </w:tcPr>
          <w:p w14:paraId="199383F4" w14:textId="5A05F1A2"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Wu et al.</w:t>
            </w:r>
          </w:p>
        </w:tc>
        <w:tc>
          <w:tcPr>
            <w:tcW w:w="676" w:type="dxa"/>
            <w:hideMark/>
          </w:tcPr>
          <w:p w14:paraId="4B39E7A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BMC </w:t>
            </w:r>
            <w:proofErr w:type="spellStart"/>
            <w:r w:rsidRPr="00173249">
              <w:rPr>
                <w:rFonts w:ascii="Times New Roman" w:eastAsia="Times New Roman" w:hAnsi="Times New Roman" w:cs="Times New Roman"/>
                <w:kern w:val="0"/>
                <w:sz w:val="18"/>
                <w:szCs w:val="18"/>
                <w:lang w:eastAsia="en-IN"/>
                <w14:ligatures w14:val="none"/>
              </w:rPr>
              <w:t>Geriatr</w:t>
            </w:r>
            <w:proofErr w:type="spellEnd"/>
          </w:p>
        </w:tc>
        <w:tc>
          <w:tcPr>
            <w:tcW w:w="636" w:type="dxa"/>
            <w:hideMark/>
          </w:tcPr>
          <w:p w14:paraId="0777E9F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2024</w:t>
            </w:r>
          </w:p>
        </w:tc>
        <w:tc>
          <w:tcPr>
            <w:tcW w:w="851" w:type="dxa"/>
            <w:hideMark/>
          </w:tcPr>
          <w:p w14:paraId="1E57D12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China (</w:t>
            </w:r>
            <w:proofErr w:type="gramStart"/>
            <w:r w:rsidRPr="00173249">
              <w:rPr>
                <w:rFonts w:ascii="Times New Roman" w:eastAsia="Times New Roman" w:hAnsi="Times New Roman" w:cs="Times New Roman"/>
                <w:kern w:val="0"/>
                <w:sz w:val="18"/>
                <w:szCs w:val="18"/>
                <w:lang w:eastAsia="en-IN"/>
                <w14:ligatures w14:val="none"/>
              </w:rPr>
              <w:t>Multi-region</w:t>
            </w:r>
            <w:proofErr w:type="gramEnd"/>
            <w:r w:rsidRPr="00173249">
              <w:rPr>
                <w:rFonts w:ascii="Times New Roman" w:eastAsia="Times New Roman" w:hAnsi="Times New Roman" w:cs="Times New Roman"/>
                <w:kern w:val="0"/>
                <w:sz w:val="18"/>
                <w:szCs w:val="18"/>
                <w:lang w:eastAsia="en-IN"/>
                <w14:ligatures w14:val="none"/>
              </w:rPr>
              <w:t>)</w:t>
            </w:r>
          </w:p>
        </w:tc>
        <w:tc>
          <w:tcPr>
            <w:tcW w:w="718" w:type="dxa"/>
            <w:hideMark/>
          </w:tcPr>
          <w:p w14:paraId="2A00450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Jan – Dec 2022</w:t>
            </w:r>
          </w:p>
        </w:tc>
        <w:tc>
          <w:tcPr>
            <w:tcW w:w="521" w:type="dxa"/>
            <w:hideMark/>
          </w:tcPr>
          <w:p w14:paraId="6765C2C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5,318</w:t>
            </w:r>
          </w:p>
        </w:tc>
        <w:tc>
          <w:tcPr>
            <w:tcW w:w="709" w:type="dxa"/>
            <w:hideMark/>
          </w:tcPr>
          <w:p w14:paraId="45EF7D2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Mixed Settings (69%) &amp; Rural, ≥65 years</w:t>
            </w:r>
          </w:p>
        </w:tc>
        <w:tc>
          <w:tcPr>
            <w:tcW w:w="708" w:type="dxa"/>
            <w:hideMark/>
          </w:tcPr>
          <w:p w14:paraId="0FA127F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3487370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Falls (62.0%), Dementia (55.1%), Malnutrition (54.7%), Frailty (40.5%)</w:t>
            </w:r>
          </w:p>
        </w:tc>
        <w:tc>
          <w:tcPr>
            <w:tcW w:w="1020" w:type="dxa"/>
            <w:hideMark/>
          </w:tcPr>
          <w:p w14:paraId="4256CA8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GS Awareness Scale</w:t>
            </w:r>
          </w:p>
        </w:tc>
        <w:tc>
          <w:tcPr>
            <w:tcW w:w="1842" w:type="dxa"/>
          </w:tcPr>
          <w:p w14:paraId="16A485B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1077C566"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6FCEA4AB"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18</w:t>
            </w:r>
          </w:p>
        </w:tc>
        <w:tc>
          <w:tcPr>
            <w:tcW w:w="1148" w:type="dxa"/>
            <w:hideMark/>
          </w:tcPr>
          <w:p w14:paraId="65902629" w14:textId="3113C046"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Sanford et al.</w:t>
            </w:r>
          </w:p>
        </w:tc>
        <w:tc>
          <w:tcPr>
            <w:tcW w:w="676" w:type="dxa"/>
            <w:hideMark/>
          </w:tcPr>
          <w:p w14:paraId="6614DE6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173249">
              <w:rPr>
                <w:rFonts w:ascii="Times New Roman" w:eastAsia="Times New Roman" w:hAnsi="Times New Roman" w:cs="Times New Roman"/>
                <w:kern w:val="0"/>
                <w:sz w:val="18"/>
                <w:szCs w:val="18"/>
                <w:lang w:eastAsia="en-IN"/>
                <w14:ligatures w14:val="none"/>
              </w:rPr>
              <w:t>PLoS</w:t>
            </w:r>
            <w:proofErr w:type="spellEnd"/>
            <w:r w:rsidRPr="00173249">
              <w:rPr>
                <w:rFonts w:ascii="Times New Roman" w:eastAsia="Times New Roman" w:hAnsi="Times New Roman" w:cs="Times New Roman"/>
                <w:kern w:val="0"/>
                <w:sz w:val="18"/>
                <w:szCs w:val="18"/>
                <w:lang w:eastAsia="en-IN"/>
                <w14:ligatures w14:val="none"/>
              </w:rPr>
              <w:t xml:space="preserve"> ONE</w:t>
            </w:r>
          </w:p>
        </w:tc>
        <w:tc>
          <w:tcPr>
            <w:tcW w:w="636" w:type="dxa"/>
            <w:hideMark/>
          </w:tcPr>
          <w:p w14:paraId="49A57B7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2020</w:t>
            </w:r>
          </w:p>
        </w:tc>
        <w:tc>
          <w:tcPr>
            <w:tcW w:w="851" w:type="dxa"/>
            <w:hideMark/>
          </w:tcPr>
          <w:p w14:paraId="6C7DB6A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USA (Missouri)</w:t>
            </w:r>
          </w:p>
        </w:tc>
        <w:tc>
          <w:tcPr>
            <w:tcW w:w="718" w:type="dxa"/>
            <w:hideMark/>
          </w:tcPr>
          <w:p w14:paraId="2DD60B2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2015 – 2019</w:t>
            </w:r>
          </w:p>
        </w:tc>
        <w:tc>
          <w:tcPr>
            <w:tcW w:w="521" w:type="dxa"/>
            <w:hideMark/>
          </w:tcPr>
          <w:p w14:paraId="0775A34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11,344</w:t>
            </w:r>
          </w:p>
        </w:tc>
        <w:tc>
          <w:tcPr>
            <w:tcW w:w="709" w:type="dxa"/>
            <w:hideMark/>
          </w:tcPr>
          <w:p w14:paraId="47053CF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Mixed settings, ≥65 years</w:t>
            </w:r>
          </w:p>
        </w:tc>
        <w:tc>
          <w:tcPr>
            <w:tcW w:w="708" w:type="dxa"/>
            <w:hideMark/>
          </w:tcPr>
          <w:p w14:paraId="2F00EB0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514666AE" w14:textId="69B3D18D" w:rsidR="00173249" w:rsidRPr="00173249" w:rsidRDefault="00845110"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845110">
              <w:rPr>
                <w:rFonts w:ascii="Times New Roman" w:eastAsia="Times New Roman" w:hAnsi="Times New Roman" w:cs="Times New Roman"/>
                <w:kern w:val="0"/>
                <w:sz w:val="18"/>
                <w:szCs w:val="18"/>
                <w:lang w:eastAsia="en-IN"/>
                <w14:ligatures w14:val="none"/>
              </w:rPr>
              <w:t xml:space="preserve">frailty 31.4%, sarcopenia 47.9%, risk of weight loss 36.7%, dementia 23.4%, </w:t>
            </w:r>
            <w:proofErr w:type="spellStart"/>
            <w:r w:rsidRPr="00845110">
              <w:rPr>
                <w:rFonts w:ascii="Times New Roman" w:eastAsia="Times New Roman" w:hAnsi="Times New Roman" w:cs="Times New Roman"/>
                <w:kern w:val="0"/>
                <w:sz w:val="18"/>
                <w:szCs w:val="18"/>
                <w:lang w:eastAsia="en-IN"/>
                <w14:ligatures w14:val="none"/>
              </w:rPr>
              <w:t>MCI+dementia</w:t>
            </w:r>
            <w:proofErr w:type="spellEnd"/>
            <w:r w:rsidRPr="00845110">
              <w:rPr>
                <w:rFonts w:ascii="Times New Roman" w:eastAsia="Times New Roman" w:hAnsi="Times New Roman" w:cs="Times New Roman"/>
                <w:kern w:val="0"/>
                <w:sz w:val="18"/>
                <w:szCs w:val="18"/>
                <w:lang w:eastAsia="en-IN"/>
                <w14:ligatures w14:val="none"/>
              </w:rPr>
              <w:t xml:space="preserve"> 46.0%</w:t>
            </w:r>
          </w:p>
        </w:tc>
        <w:tc>
          <w:tcPr>
            <w:tcW w:w="1020" w:type="dxa"/>
            <w:hideMark/>
          </w:tcPr>
          <w:p w14:paraId="14DDFEF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RGA (FRAIL, SARC-F, SNAQ, RCS)</w:t>
            </w:r>
          </w:p>
        </w:tc>
        <w:tc>
          <w:tcPr>
            <w:tcW w:w="1842" w:type="dxa"/>
          </w:tcPr>
          <w:p w14:paraId="238A6CA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369E1CEA"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5DDC9565"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19</w:t>
            </w:r>
          </w:p>
        </w:tc>
        <w:tc>
          <w:tcPr>
            <w:tcW w:w="1148" w:type="dxa"/>
            <w:hideMark/>
          </w:tcPr>
          <w:p w14:paraId="725C3E7F" w14:textId="5DC410E6"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173249">
              <w:rPr>
                <w:rFonts w:ascii="Times New Roman" w:eastAsia="Times New Roman" w:hAnsi="Times New Roman" w:cs="Times New Roman"/>
                <w:kern w:val="0"/>
                <w:sz w:val="18"/>
                <w:szCs w:val="18"/>
                <w:lang w:eastAsia="en-IN"/>
                <w14:ligatures w14:val="none"/>
              </w:rPr>
              <w:t>Croize</w:t>
            </w:r>
            <w:proofErr w:type="spellEnd"/>
            <w:r w:rsidRPr="00173249">
              <w:rPr>
                <w:rFonts w:ascii="Times New Roman" w:eastAsia="Times New Roman" w:hAnsi="Times New Roman" w:cs="Times New Roman"/>
                <w:kern w:val="0"/>
                <w:sz w:val="18"/>
                <w:szCs w:val="18"/>
                <w:lang w:eastAsia="en-IN"/>
                <w14:ligatures w14:val="none"/>
              </w:rPr>
              <w:t>-Pourcelet et al.</w:t>
            </w:r>
          </w:p>
        </w:tc>
        <w:tc>
          <w:tcPr>
            <w:tcW w:w="676" w:type="dxa"/>
            <w:hideMark/>
          </w:tcPr>
          <w:p w14:paraId="57D6832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Aging Clin Exp Res</w:t>
            </w:r>
          </w:p>
        </w:tc>
        <w:tc>
          <w:tcPr>
            <w:tcW w:w="636" w:type="dxa"/>
            <w:hideMark/>
          </w:tcPr>
          <w:p w14:paraId="5B7324B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2022</w:t>
            </w:r>
          </w:p>
        </w:tc>
        <w:tc>
          <w:tcPr>
            <w:tcW w:w="851" w:type="dxa"/>
            <w:hideMark/>
          </w:tcPr>
          <w:p w14:paraId="6B53A83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France (Marseille)</w:t>
            </w:r>
          </w:p>
        </w:tc>
        <w:tc>
          <w:tcPr>
            <w:tcW w:w="718" w:type="dxa"/>
            <w:hideMark/>
          </w:tcPr>
          <w:p w14:paraId="036920D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Oct 2020 – Jan 2021</w:t>
            </w:r>
          </w:p>
        </w:tc>
        <w:tc>
          <w:tcPr>
            <w:tcW w:w="521" w:type="dxa"/>
            <w:hideMark/>
          </w:tcPr>
          <w:p w14:paraId="731ECB3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22</w:t>
            </w:r>
          </w:p>
        </w:tc>
        <w:tc>
          <w:tcPr>
            <w:tcW w:w="709" w:type="dxa"/>
            <w:hideMark/>
          </w:tcPr>
          <w:p w14:paraId="7F673D1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Centenarians, ≥100 years</w:t>
            </w:r>
          </w:p>
        </w:tc>
        <w:tc>
          <w:tcPr>
            <w:tcW w:w="708" w:type="dxa"/>
            <w:hideMark/>
          </w:tcPr>
          <w:p w14:paraId="369FB76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Observational</w:t>
            </w:r>
          </w:p>
        </w:tc>
        <w:tc>
          <w:tcPr>
            <w:tcW w:w="1843" w:type="dxa"/>
            <w:hideMark/>
          </w:tcPr>
          <w:p w14:paraId="284CDE9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Polypharmacy (86.4%), Cognitive impairment (45.5%), Malnutrition (40.9%)</w:t>
            </w:r>
          </w:p>
        </w:tc>
        <w:tc>
          <w:tcPr>
            <w:tcW w:w="1020" w:type="dxa"/>
            <w:hideMark/>
          </w:tcPr>
          <w:p w14:paraId="2804025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MMSE, ADL, GDS</w:t>
            </w:r>
          </w:p>
        </w:tc>
        <w:tc>
          <w:tcPr>
            <w:tcW w:w="1842" w:type="dxa"/>
          </w:tcPr>
          <w:p w14:paraId="3CDAF2B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HCU- Healthcare: Hospitalizations were lower in nursing homes; ER visit rates were similar.</w:t>
            </w:r>
          </w:p>
        </w:tc>
      </w:tr>
      <w:tr w:rsidR="00173249" w:rsidRPr="00173249" w14:paraId="01457BB8"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6AC80CF4"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w:t>
            </w:r>
          </w:p>
        </w:tc>
        <w:tc>
          <w:tcPr>
            <w:tcW w:w="1148" w:type="dxa"/>
            <w:hideMark/>
          </w:tcPr>
          <w:p w14:paraId="17A5E594" w14:textId="2EB7F6B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Chiu et al</w:t>
            </w:r>
            <w:r w:rsidRPr="00173249">
              <w:rPr>
                <w:rFonts w:ascii="Times New Roman" w:eastAsia="Times New Roman" w:hAnsi="Times New Roman" w:cs="Times New Roman"/>
                <w:kern w:val="0"/>
                <w:sz w:val="18"/>
                <w:szCs w:val="18"/>
                <w:lang w:eastAsia="en-IN"/>
                <w14:ligatures w14:val="none"/>
              </w:rPr>
              <w:fldChar w:fldCharType="begin"/>
            </w:r>
            <w:r w:rsidR="003C6C5C">
              <w:rPr>
                <w:rFonts w:ascii="Times New Roman" w:eastAsia="Times New Roman" w:hAnsi="Times New Roman" w:cs="Times New Roman"/>
                <w:kern w:val="0"/>
                <w:sz w:val="18"/>
                <w:szCs w:val="18"/>
                <w:lang w:eastAsia="en-IN"/>
                <w14:ligatures w14:val="none"/>
              </w:rPr>
              <w:instrText xml:space="preserve"> ADDIN ZOTERO_ITEM CSL_CITATION {"citationID":"I9tX0C49","properties":{"formattedCitation":"(20)","plainCitation":"(20)","noteIndex":0},"citationItems":[{"id":2840,"uris":["http://zotero.org/users/12232949/items/ZDS5B2HA"],"itemData":{"id":2840,"type":"article-journal","abstract":"Background: The predictive utility of both individual and combined indicators of geriatric syndromes on subsequent emergency use and hospitalization is not clear. Methods: Nationally representative data on adults aged 65+ (N = 2345) (with 1148 male, 1197 female) in Taiwan were analyzed. The receiver operating characteristic (ROC) curve examined the diagnostic accuracy of the combined effects of geriatric syndromes on predicting health care utilization in three years. Negative binomial regressions identified the individual effect of each indicator with the control of sociodemographic and baseline health status. Results: The combined indicators of geriatric syndromes predicted future hospitalization of old-old (75+ yrs) diabetes patients, with area under the curve (AUC) = 0.709, 95% confidence interval (CI) = 0.635–0.782, and young-old patients (65–74 yrs) with mild cognitive impairment (AUC = 0.727, 95% CI = 0.610–0.845 for hospitalization and AUC = 0.770, 95% CI = 0.664–0.877 for emergency visits). As for individual indicators, while incontinence was the indicator having the most influence on hospitalization (incidence rate ratio (IRR) = 1.81, 95% CI = 1.21–2.72) and emergency visits (IRR = 1.78, 95% CI = 1.23–2.59) for general older adults (65+), and for old-old emergency visits, especially (IRR = 2.21, 95% CI = 1.39–3.49), falls was the most prominent indicator of hospitalization for young-old (65-74) adults (IRR = 1.61, 95% CI = 1.13–2.28). In addition, pain was another significant indicator for predicting future hospitalization of old-old diabetes patients (IRR = 1.61, 95% CI= 1.07–2.44). Conclusions: Combined indicators of geriatric syndromes effectively predict hospitalization in old-old (75+ yrs) diabetes patients and hospitalization and emergency visits in young-old (65–74 yrs) patients with cognitive impairment. Incontinence, falls, and pain were the most predictive independent geriatric assessment indicators.","container-title":"International Journal of Environmental Research and Public Health","DOI":"10.3390/ijerph16030456","ISSN":"1661-7827","issue":"3","journalAbbreviation":"Int J Environ Res Public Health","page":"456","PMID":"30720771","PMCID":"PMC6388116","source":"PubMed Central","title":"Utility of Geriatric Syndrome Indicators for Predicting Subsequent Health Care Utilization in Older Adults in Taiwan","URL":"https://pmc.ncbi.nlm.nih.gov/articles/PMC6388116/","volume":"16","author":[{"family":"Chiu","given":"Ching-Ju"},{"family":"Cheng","given":"Ya-Yun"}],"accessed":{"date-parts":[["2026",1,10]]},"issued":{"date-parts":[["2019"]]}}}],"schema":"https://github.com/citation-style-language/schema/raw/master/csl-citation.json"} </w:instrText>
            </w:r>
            <w:r w:rsidRPr="00173249">
              <w:rPr>
                <w:rFonts w:ascii="Times New Roman" w:eastAsia="Times New Roman" w:hAnsi="Times New Roman" w:cs="Times New Roman"/>
                <w:kern w:val="0"/>
                <w:sz w:val="18"/>
                <w:szCs w:val="18"/>
                <w:lang w:eastAsia="en-IN"/>
                <w14:ligatures w14:val="none"/>
              </w:rPr>
              <w:fldChar w:fldCharType="separate"/>
            </w:r>
            <w:r w:rsidR="003C6C5C" w:rsidRPr="003C6C5C">
              <w:rPr>
                <w:rFonts w:ascii="Times New Roman" w:hAnsi="Times New Roman" w:cs="Times New Roman"/>
                <w:sz w:val="18"/>
              </w:rPr>
              <w:t>)</w:t>
            </w:r>
            <w:r w:rsidRPr="00173249">
              <w:rPr>
                <w:rFonts w:ascii="Times New Roman" w:eastAsia="Times New Roman" w:hAnsi="Times New Roman" w:cs="Times New Roman"/>
                <w:kern w:val="0"/>
                <w:sz w:val="18"/>
                <w:szCs w:val="18"/>
                <w:lang w:eastAsia="en-IN"/>
                <w14:ligatures w14:val="none"/>
              </w:rPr>
              <w:fldChar w:fldCharType="end"/>
            </w:r>
            <w:r w:rsidRPr="00173249">
              <w:rPr>
                <w:rFonts w:ascii="Times New Roman" w:eastAsia="Times New Roman" w:hAnsi="Times New Roman" w:cs="Times New Roman"/>
                <w:kern w:val="0"/>
                <w:sz w:val="18"/>
                <w:szCs w:val="18"/>
                <w:lang w:eastAsia="en-IN"/>
                <w14:ligatures w14:val="none"/>
              </w:rPr>
              <w:t>.</w:t>
            </w:r>
          </w:p>
        </w:tc>
        <w:tc>
          <w:tcPr>
            <w:tcW w:w="676" w:type="dxa"/>
            <w:hideMark/>
          </w:tcPr>
          <w:p w14:paraId="526518D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Int J Environ Res</w:t>
            </w:r>
          </w:p>
        </w:tc>
        <w:tc>
          <w:tcPr>
            <w:tcW w:w="636" w:type="dxa"/>
            <w:hideMark/>
          </w:tcPr>
          <w:p w14:paraId="0B769AD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2019</w:t>
            </w:r>
          </w:p>
        </w:tc>
        <w:tc>
          <w:tcPr>
            <w:tcW w:w="851" w:type="dxa"/>
            <w:hideMark/>
          </w:tcPr>
          <w:p w14:paraId="601E0BE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Taiwan</w:t>
            </w:r>
          </w:p>
        </w:tc>
        <w:tc>
          <w:tcPr>
            <w:tcW w:w="718" w:type="dxa"/>
            <w:hideMark/>
          </w:tcPr>
          <w:p w14:paraId="7BBC98A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2011 – 2012</w:t>
            </w:r>
          </w:p>
        </w:tc>
        <w:tc>
          <w:tcPr>
            <w:tcW w:w="521" w:type="dxa"/>
            <w:hideMark/>
          </w:tcPr>
          <w:p w14:paraId="0D392DC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2,345</w:t>
            </w:r>
          </w:p>
        </w:tc>
        <w:tc>
          <w:tcPr>
            <w:tcW w:w="709" w:type="dxa"/>
            <w:hideMark/>
          </w:tcPr>
          <w:p w14:paraId="659E603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Community-dwelling, ≥65 years</w:t>
            </w:r>
          </w:p>
        </w:tc>
        <w:tc>
          <w:tcPr>
            <w:tcW w:w="708" w:type="dxa"/>
            <w:hideMark/>
          </w:tcPr>
          <w:p w14:paraId="07DF1DC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Longitudinal Cohort</w:t>
            </w:r>
          </w:p>
        </w:tc>
        <w:tc>
          <w:tcPr>
            <w:tcW w:w="1843" w:type="dxa"/>
            <w:hideMark/>
          </w:tcPr>
          <w:p w14:paraId="1585A99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Incontinence, falls, pain, and frailty (Predictive of hospitalization/ER visits)</w:t>
            </w:r>
          </w:p>
        </w:tc>
        <w:tc>
          <w:tcPr>
            <w:tcW w:w="1020" w:type="dxa"/>
            <w:hideMark/>
          </w:tcPr>
          <w:p w14:paraId="43C8DBD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TLSA Questionnaire, ADL/IADL</w:t>
            </w:r>
          </w:p>
        </w:tc>
        <w:tc>
          <w:tcPr>
            <w:tcW w:w="1842" w:type="dxa"/>
          </w:tcPr>
          <w:p w14:paraId="0BA62E2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The presence of GS significantly predicted future hospital and ER visits with good accuracy (AUC 0.70–0.77).</w:t>
            </w:r>
          </w:p>
        </w:tc>
      </w:tr>
      <w:tr w:rsidR="00173249" w:rsidRPr="00173249" w14:paraId="2DFE01D0"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61A7E462"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21</w:t>
            </w:r>
          </w:p>
        </w:tc>
        <w:tc>
          <w:tcPr>
            <w:tcW w:w="1148" w:type="dxa"/>
            <w:hideMark/>
          </w:tcPr>
          <w:p w14:paraId="00F179B2" w14:textId="5BD690DB"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Couture et al.</w:t>
            </w:r>
          </w:p>
        </w:tc>
        <w:tc>
          <w:tcPr>
            <w:tcW w:w="676" w:type="dxa"/>
            <w:hideMark/>
          </w:tcPr>
          <w:p w14:paraId="4AD6446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Can </w:t>
            </w:r>
            <w:proofErr w:type="spellStart"/>
            <w:r w:rsidRPr="00173249">
              <w:rPr>
                <w:rFonts w:ascii="Times New Roman" w:eastAsia="Times New Roman" w:hAnsi="Times New Roman" w:cs="Times New Roman"/>
                <w:kern w:val="0"/>
                <w:sz w:val="18"/>
                <w:szCs w:val="18"/>
                <w:lang w:eastAsia="en-IN"/>
                <w14:ligatures w14:val="none"/>
              </w:rPr>
              <w:t>Geriatr</w:t>
            </w:r>
            <w:proofErr w:type="spellEnd"/>
            <w:r w:rsidRPr="00173249">
              <w:rPr>
                <w:rFonts w:ascii="Times New Roman" w:eastAsia="Times New Roman" w:hAnsi="Times New Roman" w:cs="Times New Roman"/>
                <w:kern w:val="0"/>
                <w:sz w:val="18"/>
                <w:szCs w:val="18"/>
                <w:lang w:eastAsia="en-IN"/>
                <w14:ligatures w14:val="none"/>
              </w:rPr>
              <w:t xml:space="preserve"> J</w:t>
            </w:r>
          </w:p>
        </w:tc>
        <w:tc>
          <w:tcPr>
            <w:tcW w:w="636" w:type="dxa"/>
            <w:hideMark/>
          </w:tcPr>
          <w:p w14:paraId="190C149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2022</w:t>
            </w:r>
          </w:p>
        </w:tc>
        <w:tc>
          <w:tcPr>
            <w:tcW w:w="851" w:type="dxa"/>
            <w:hideMark/>
          </w:tcPr>
          <w:p w14:paraId="7F7EC7F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Canada (Montreal)</w:t>
            </w:r>
          </w:p>
        </w:tc>
        <w:tc>
          <w:tcPr>
            <w:tcW w:w="718" w:type="dxa"/>
            <w:hideMark/>
          </w:tcPr>
          <w:p w14:paraId="3DCAF44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Mar – Jul 2020</w:t>
            </w:r>
          </w:p>
        </w:tc>
        <w:tc>
          <w:tcPr>
            <w:tcW w:w="521" w:type="dxa"/>
            <w:hideMark/>
          </w:tcPr>
          <w:p w14:paraId="2E0AFB3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429</w:t>
            </w:r>
          </w:p>
        </w:tc>
        <w:tc>
          <w:tcPr>
            <w:tcW w:w="709" w:type="dxa"/>
            <w:hideMark/>
          </w:tcPr>
          <w:p w14:paraId="76549DF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hospitalized (COVID-19), ≥70 years</w:t>
            </w:r>
          </w:p>
        </w:tc>
        <w:tc>
          <w:tcPr>
            <w:tcW w:w="708" w:type="dxa"/>
            <w:hideMark/>
          </w:tcPr>
          <w:p w14:paraId="273CC18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Retrospective</w:t>
            </w:r>
          </w:p>
        </w:tc>
        <w:tc>
          <w:tcPr>
            <w:tcW w:w="1843" w:type="dxa"/>
            <w:hideMark/>
          </w:tcPr>
          <w:p w14:paraId="60DA40A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Delirium (29%), Falls (15%), Functional decline (14%) [at presentation]</w:t>
            </w:r>
          </w:p>
        </w:tc>
        <w:tc>
          <w:tcPr>
            <w:tcW w:w="1020" w:type="dxa"/>
            <w:hideMark/>
          </w:tcPr>
          <w:p w14:paraId="2FEFE96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Clinical Classification, CCI</w:t>
            </w:r>
          </w:p>
        </w:tc>
        <w:tc>
          <w:tcPr>
            <w:tcW w:w="1842" w:type="dxa"/>
          </w:tcPr>
          <w:p w14:paraId="21D9722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HCU: Mean hospital length of stay was 21 days (aged ≥70); in-hospital mortality 32%.</w:t>
            </w:r>
          </w:p>
        </w:tc>
      </w:tr>
      <w:tr w:rsidR="00173249" w:rsidRPr="00173249" w14:paraId="266B0B1D"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04985DC3"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22</w:t>
            </w:r>
          </w:p>
        </w:tc>
        <w:tc>
          <w:tcPr>
            <w:tcW w:w="1148" w:type="dxa"/>
            <w:hideMark/>
          </w:tcPr>
          <w:p w14:paraId="6451A31B" w14:textId="35245201" w:rsidR="00173249" w:rsidRPr="00173249" w:rsidRDefault="00C3554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C3554A">
              <w:rPr>
                <w:rFonts w:ascii="Times New Roman" w:eastAsia="Times New Roman" w:hAnsi="Times New Roman" w:cs="Times New Roman"/>
                <w:kern w:val="0"/>
                <w:sz w:val="18"/>
                <w:szCs w:val="18"/>
                <w:lang w:eastAsia="en-IN"/>
                <w14:ligatures w14:val="none"/>
              </w:rPr>
              <w:t>Badrkhahan</w:t>
            </w:r>
            <w:proofErr w:type="spellEnd"/>
            <w:r w:rsidRPr="00C3554A">
              <w:rPr>
                <w:rFonts w:ascii="Times New Roman" w:eastAsia="Times New Roman" w:hAnsi="Times New Roman" w:cs="Times New Roman"/>
                <w:kern w:val="0"/>
                <w:sz w:val="18"/>
                <w:szCs w:val="18"/>
                <w:lang w:eastAsia="en-IN"/>
                <w14:ligatures w14:val="none"/>
              </w:rPr>
              <w:t xml:space="preserve"> et al</w:t>
            </w:r>
            <w:r w:rsidR="00173249" w:rsidRPr="00173249">
              <w:rPr>
                <w:rFonts w:ascii="Times New Roman" w:eastAsia="Times New Roman" w:hAnsi="Times New Roman" w:cs="Times New Roman"/>
                <w:kern w:val="0"/>
                <w:sz w:val="18"/>
                <w:szCs w:val="18"/>
                <w:lang w:eastAsia="en-IN"/>
                <w14:ligatures w14:val="none"/>
              </w:rPr>
              <w:t>.</w:t>
            </w:r>
          </w:p>
        </w:tc>
        <w:tc>
          <w:tcPr>
            <w:tcW w:w="676" w:type="dxa"/>
            <w:hideMark/>
          </w:tcPr>
          <w:p w14:paraId="2AEB3587" w14:textId="0537DA5B" w:rsidR="00173249" w:rsidRPr="00173249" w:rsidRDefault="00C3554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C3554A">
              <w:rPr>
                <w:rFonts w:ascii="Times New Roman" w:eastAsia="Times New Roman" w:hAnsi="Times New Roman" w:cs="Times New Roman"/>
                <w:kern w:val="0"/>
                <w:sz w:val="18"/>
                <w:szCs w:val="18"/>
                <w:lang w:eastAsia="en-IN"/>
                <w14:ligatures w14:val="none"/>
              </w:rPr>
              <w:t>Scientific Reports</w:t>
            </w:r>
          </w:p>
        </w:tc>
        <w:tc>
          <w:tcPr>
            <w:tcW w:w="636" w:type="dxa"/>
            <w:hideMark/>
          </w:tcPr>
          <w:p w14:paraId="1C71330B" w14:textId="66E9C699"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w:t>
            </w:r>
            <w:r w:rsidR="00C3554A">
              <w:rPr>
                <w:rFonts w:ascii="Times New Roman" w:eastAsia="Times New Roman" w:hAnsi="Times New Roman" w:cs="Times New Roman"/>
                <w:kern w:val="0"/>
                <w:sz w:val="18"/>
                <w:szCs w:val="18"/>
                <w:lang w:eastAsia="en-IN"/>
                <w14:ligatures w14:val="none"/>
              </w:rPr>
              <w:t>23</w:t>
            </w:r>
          </w:p>
        </w:tc>
        <w:tc>
          <w:tcPr>
            <w:tcW w:w="851" w:type="dxa"/>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C3554A" w:rsidRPr="00C3554A" w14:paraId="28C4F9D5" w14:textId="77777777">
              <w:trPr>
                <w:tblCellSpacing w:w="15" w:type="dxa"/>
              </w:trPr>
              <w:tc>
                <w:tcPr>
                  <w:tcW w:w="36" w:type="dxa"/>
                  <w:vAlign w:val="center"/>
                  <w:hideMark/>
                </w:tcPr>
                <w:p w14:paraId="0BB7E47B" w14:textId="77777777" w:rsidR="00C3554A" w:rsidRPr="00C3554A" w:rsidRDefault="00C3554A" w:rsidP="00C3554A">
                  <w:pPr>
                    <w:spacing w:after="0" w:line="240" w:lineRule="auto"/>
                    <w:rPr>
                      <w:rFonts w:ascii="Times New Roman" w:eastAsia="Times New Roman" w:hAnsi="Times New Roman" w:cs="Times New Roman"/>
                      <w:kern w:val="0"/>
                      <w:sz w:val="18"/>
                      <w:szCs w:val="18"/>
                      <w:lang w:eastAsia="en-IN"/>
                      <w14:ligatures w14:val="none"/>
                    </w:rPr>
                  </w:pPr>
                </w:p>
              </w:tc>
            </w:tr>
          </w:tbl>
          <w:p w14:paraId="27B12E3B" w14:textId="77777777" w:rsidR="00C3554A" w:rsidRPr="00C3554A" w:rsidRDefault="00C3554A" w:rsidP="00C35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vanish/>
                <w:kern w:val="0"/>
                <w:sz w:val="18"/>
                <w:szCs w:val="18"/>
                <w:lang w:eastAsia="en-IN"/>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30"/>
            </w:tblGrid>
            <w:tr w:rsidR="00C3554A" w:rsidRPr="00C3554A" w14:paraId="73BC6C55" w14:textId="77777777">
              <w:trPr>
                <w:tblCellSpacing w:w="15" w:type="dxa"/>
              </w:trPr>
              <w:tc>
                <w:tcPr>
                  <w:tcW w:w="4670" w:type="dxa"/>
                  <w:vAlign w:val="center"/>
                  <w:hideMark/>
                </w:tcPr>
                <w:p w14:paraId="01233702" w14:textId="77777777" w:rsidR="00C3554A" w:rsidRDefault="00C3554A" w:rsidP="00C3554A">
                  <w:pPr>
                    <w:spacing w:after="0" w:line="240" w:lineRule="auto"/>
                    <w:rPr>
                      <w:rFonts w:ascii="Times New Roman" w:eastAsia="Times New Roman" w:hAnsi="Times New Roman" w:cs="Times New Roman"/>
                      <w:kern w:val="0"/>
                      <w:sz w:val="18"/>
                      <w:szCs w:val="18"/>
                      <w:lang w:eastAsia="en-IN"/>
                      <w14:ligatures w14:val="none"/>
                    </w:rPr>
                  </w:pPr>
                  <w:r w:rsidRPr="00C3554A">
                    <w:rPr>
                      <w:rFonts w:ascii="Times New Roman" w:eastAsia="Times New Roman" w:hAnsi="Times New Roman" w:cs="Times New Roman"/>
                      <w:kern w:val="0"/>
                      <w:sz w:val="18"/>
                      <w:szCs w:val="18"/>
                      <w:lang w:eastAsia="en-IN"/>
                      <w14:ligatures w14:val="none"/>
                    </w:rPr>
                    <w:t xml:space="preserve">Iran; </w:t>
                  </w:r>
                </w:p>
                <w:p w14:paraId="49FD8C57" w14:textId="77777777" w:rsidR="00C3554A" w:rsidRDefault="00C3554A" w:rsidP="00C3554A">
                  <w:pPr>
                    <w:spacing w:after="0" w:line="240" w:lineRule="auto"/>
                    <w:rPr>
                      <w:rFonts w:ascii="Times New Roman" w:eastAsia="Times New Roman" w:hAnsi="Times New Roman" w:cs="Times New Roman"/>
                      <w:kern w:val="0"/>
                      <w:sz w:val="18"/>
                      <w:szCs w:val="18"/>
                      <w:lang w:eastAsia="en-IN"/>
                      <w14:ligatures w14:val="none"/>
                    </w:rPr>
                  </w:pPr>
                  <w:r w:rsidRPr="00C3554A">
                    <w:rPr>
                      <w:rFonts w:ascii="Times New Roman" w:eastAsia="Times New Roman" w:hAnsi="Times New Roman" w:cs="Times New Roman"/>
                      <w:kern w:val="0"/>
                      <w:sz w:val="18"/>
                      <w:szCs w:val="18"/>
                      <w:lang w:eastAsia="en-IN"/>
                      <w14:ligatures w14:val="none"/>
                    </w:rPr>
                    <w:t>Bushehr;</w:t>
                  </w:r>
                </w:p>
                <w:p w14:paraId="53475CB5" w14:textId="3F01FAC1" w:rsidR="00C3554A" w:rsidRPr="00C3554A" w:rsidRDefault="00C3554A" w:rsidP="00C3554A">
                  <w:pPr>
                    <w:spacing w:after="0" w:line="240" w:lineRule="auto"/>
                    <w:rPr>
                      <w:rFonts w:ascii="Times New Roman" w:eastAsia="Times New Roman" w:hAnsi="Times New Roman" w:cs="Times New Roman"/>
                      <w:kern w:val="0"/>
                      <w:sz w:val="18"/>
                      <w:szCs w:val="18"/>
                      <w:lang w:eastAsia="en-IN"/>
                      <w14:ligatures w14:val="none"/>
                    </w:rPr>
                  </w:pPr>
                  <w:r w:rsidRPr="00C3554A">
                    <w:rPr>
                      <w:rFonts w:ascii="Times New Roman" w:eastAsia="Times New Roman" w:hAnsi="Times New Roman" w:cs="Times New Roman"/>
                      <w:kern w:val="0"/>
                      <w:sz w:val="18"/>
                      <w:szCs w:val="18"/>
                      <w:lang w:eastAsia="en-IN"/>
                      <w14:ligatures w14:val="none"/>
                    </w:rPr>
                    <w:t xml:space="preserve"> community-dwelling older adults</w:t>
                  </w:r>
                </w:p>
              </w:tc>
            </w:tr>
          </w:tbl>
          <w:p w14:paraId="3DBFECE9" w14:textId="6205987D"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
        </w:tc>
        <w:tc>
          <w:tcPr>
            <w:tcW w:w="718" w:type="dxa"/>
            <w:hideMark/>
          </w:tcPr>
          <w:p w14:paraId="06F07E2A" w14:textId="0307F5D9" w:rsidR="00173249" w:rsidRPr="00173249" w:rsidRDefault="00C3554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C3554A">
              <w:rPr>
                <w:rFonts w:ascii="Times New Roman" w:eastAsia="Times New Roman" w:hAnsi="Times New Roman" w:cs="Times New Roman"/>
                <w:kern w:val="0"/>
                <w:sz w:val="18"/>
                <w:szCs w:val="18"/>
                <w:lang w:eastAsia="en-IN"/>
                <w14:ligatures w14:val="none"/>
              </w:rPr>
              <w:t>BEHP second wave/phase II; data from second phase, reported elsewhere as Sept 2015–Feb 2018</w:t>
            </w:r>
          </w:p>
        </w:tc>
        <w:tc>
          <w:tcPr>
            <w:tcW w:w="521" w:type="dxa"/>
            <w:hideMark/>
          </w:tcPr>
          <w:p w14:paraId="5324CABA" w14:textId="3F6626EB" w:rsidR="00173249" w:rsidRPr="00173249" w:rsidRDefault="00C3554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C3554A">
              <w:rPr>
                <w:rFonts w:ascii="Times New Roman" w:eastAsia="Times New Roman" w:hAnsi="Times New Roman" w:cs="Times New Roman"/>
                <w:kern w:val="0"/>
                <w:sz w:val="18"/>
                <w:szCs w:val="18"/>
                <w:lang w:eastAsia="en-IN"/>
                <w14:ligatures w14:val="none"/>
              </w:rPr>
              <w:t>2,392</w:t>
            </w:r>
          </w:p>
        </w:tc>
        <w:tc>
          <w:tcPr>
            <w:tcW w:w="709" w:type="dxa"/>
            <w:hideMark/>
          </w:tcPr>
          <w:p w14:paraId="4582279F" w14:textId="149A5131" w:rsidR="00173249" w:rsidRPr="00173249" w:rsidRDefault="00C3554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C3554A">
              <w:rPr>
                <w:rFonts w:ascii="Times New Roman" w:eastAsia="Times New Roman" w:hAnsi="Times New Roman" w:cs="Times New Roman"/>
                <w:kern w:val="0"/>
                <w:sz w:val="18"/>
                <w:szCs w:val="18"/>
                <w:lang w:eastAsia="en-IN"/>
                <w14:ligatures w14:val="none"/>
              </w:rPr>
              <w:t>Community-dwelling adults aged &gt;60 years; mean age 70.13 years; 51.37% female</w:t>
            </w:r>
          </w:p>
        </w:tc>
        <w:tc>
          <w:tcPr>
            <w:tcW w:w="708" w:type="dxa"/>
            <w:hideMark/>
          </w:tcPr>
          <w:p w14:paraId="2D36E7BD" w14:textId="439E078F" w:rsidR="00173249" w:rsidRPr="00173249" w:rsidRDefault="007B6E1D"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7B6E1D">
              <w:rPr>
                <w:rFonts w:ascii="Times New Roman" w:eastAsia="Times New Roman" w:hAnsi="Times New Roman" w:cs="Times New Roman"/>
                <w:kern w:val="0"/>
                <w:sz w:val="18"/>
                <w:szCs w:val="18"/>
                <w:lang w:eastAsia="en-IN"/>
                <w14:ligatures w14:val="none"/>
              </w:rPr>
              <w:t>Cross-sectional analysis of a prospective population-based cohort</w:t>
            </w:r>
          </w:p>
        </w:tc>
        <w:tc>
          <w:tcPr>
            <w:tcW w:w="1843" w:type="dxa"/>
            <w:hideMark/>
          </w:tcPr>
          <w:p w14:paraId="2E65037F" w14:textId="5134FC10" w:rsidR="00173249" w:rsidRPr="00173249" w:rsidRDefault="00C3554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C3554A">
              <w:rPr>
                <w:rFonts w:ascii="Times New Roman" w:eastAsia="Times New Roman" w:hAnsi="Times New Roman" w:cs="Times New Roman"/>
                <w:kern w:val="0"/>
                <w:sz w:val="18"/>
                <w:szCs w:val="18"/>
                <w:lang w:eastAsia="en-IN"/>
                <w14:ligatures w14:val="none"/>
              </w:rPr>
              <w:t xml:space="preserve">Frailty: </w:t>
            </w:r>
            <w:r w:rsidR="00BD09E3">
              <w:rPr>
                <w:rFonts w:ascii="Times New Roman" w:eastAsia="Times New Roman" w:hAnsi="Times New Roman" w:cs="Times New Roman"/>
                <w:kern w:val="0"/>
                <w:sz w:val="18"/>
                <w:szCs w:val="18"/>
                <w:lang w:eastAsia="en-IN"/>
                <w14:ligatures w14:val="none"/>
              </w:rPr>
              <w:t>8</w:t>
            </w:r>
            <w:r w:rsidRPr="00C3554A">
              <w:rPr>
                <w:rFonts w:ascii="Times New Roman" w:eastAsia="Times New Roman" w:hAnsi="Times New Roman" w:cs="Times New Roman"/>
                <w:kern w:val="0"/>
                <w:sz w:val="18"/>
                <w:szCs w:val="18"/>
                <w:lang w:eastAsia="en-IN"/>
                <w14:ligatures w14:val="none"/>
              </w:rPr>
              <w:t>.07%; pre-frailty: 46.76%; cognitive dysfunction: 53.74%; urinary incontinence: 27.40%; immobility: 5.32%; mild/moderate/severe depression: 16.48%, 5.61%, 4.17%; mild malnutrition: 1.62%</w:t>
            </w:r>
          </w:p>
        </w:tc>
        <w:tc>
          <w:tcPr>
            <w:tcW w:w="1020" w:type="dxa"/>
            <w:hideMark/>
          </w:tcPr>
          <w:p w14:paraId="7443DDB3" w14:textId="54C6AA01" w:rsidR="007B6E1D" w:rsidRPr="00173249" w:rsidRDefault="00C3554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C3554A">
              <w:rPr>
                <w:rFonts w:ascii="Times New Roman" w:eastAsia="Times New Roman" w:hAnsi="Times New Roman" w:cs="Times New Roman"/>
                <w:kern w:val="0"/>
                <w:sz w:val="18"/>
                <w:szCs w:val="18"/>
                <w:lang w:eastAsia="en-IN"/>
                <w14:ligatures w14:val="none"/>
              </w:rPr>
              <w:t>Fried phenotype, Frailty Index, Mini-Cog, PHQ-9, MNA, Katz ADL, Lawton IADL, TUG/SPPB, incontinence assessment</w:t>
            </w:r>
          </w:p>
        </w:tc>
        <w:tc>
          <w:tcPr>
            <w:tcW w:w="1842" w:type="dxa"/>
          </w:tcPr>
          <w:p w14:paraId="6A9D0F91" w14:textId="3EFE7E4E" w:rsidR="00173249" w:rsidRPr="00173249" w:rsidRDefault="00C3554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C3554A">
              <w:rPr>
                <w:rFonts w:ascii="Times New Roman" w:eastAsia="Times New Roman" w:hAnsi="Times New Roman" w:cs="Times New Roman"/>
                <w:kern w:val="0"/>
                <w:sz w:val="18"/>
                <w:szCs w:val="18"/>
                <w:lang w:eastAsia="en-IN"/>
                <w14:ligatures w14:val="none"/>
              </w:rPr>
              <w:t>QoL/HCU not directly reported; predictors of frailty reported</w:t>
            </w:r>
          </w:p>
        </w:tc>
      </w:tr>
      <w:tr w:rsidR="00173249" w:rsidRPr="00173249" w14:paraId="5CDF7F60"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73961E6A"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23</w:t>
            </w:r>
          </w:p>
        </w:tc>
        <w:tc>
          <w:tcPr>
            <w:tcW w:w="1148" w:type="dxa"/>
            <w:hideMark/>
          </w:tcPr>
          <w:p w14:paraId="6119C244" w14:textId="4D6AC4F5" w:rsidR="00173249" w:rsidRPr="00173249" w:rsidRDefault="003C6C5C"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3C6C5C">
              <w:rPr>
                <w:rFonts w:ascii="Times New Roman" w:eastAsia="Times New Roman" w:hAnsi="Times New Roman" w:cs="Times New Roman"/>
                <w:kern w:val="0"/>
                <w:sz w:val="18"/>
                <w:szCs w:val="18"/>
                <w:lang w:eastAsia="en-IN"/>
                <w14:ligatures w14:val="none"/>
              </w:rPr>
              <w:t>Cigolle</w:t>
            </w:r>
            <w:proofErr w:type="spellEnd"/>
            <w:r w:rsidRPr="003C6C5C">
              <w:rPr>
                <w:rFonts w:ascii="Times New Roman" w:eastAsia="Times New Roman" w:hAnsi="Times New Roman" w:cs="Times New Roman"/>
                <w:kern w:val="0"/>
                <w:sz w:val="18"/>
                <w:szCs w:val="18"/>
                <w:lang w:eastAsia="en-IN"/>
                <w14:ligatures w14:val="none"/>
              </w:rPr>
              <w:t xml:space="preserve"> et al</w:t>
            </w:r>
          </w:p>
        </w:tc>
        <w:tc>
          <w:tcPr>
            <w:tcW w:w="676" w:type="dxa"/>
            <w:hideMark/>
          </w:tcPr>
          <w:p w14:paraId="343E8AFD" w14:textId="1671DD8D" w:rsidR="00173249" w:rsidRPr="00173249" w:rsidRDefault="003C6C5C"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3C6C5C">
              <w:rPr>
                <w:rFonts w:ascii="Times New Roman" w:eastAsia="Times New Roman" w:hAnsi="Times New Roman" w:cs="Times New Roman"/>
                <w:kern w:val="0"/>
                <w:sz w:val="18"/>
                <w:szCs w:val="18"/>
                <w:lang w:eastAsia="en-IN"/>
                <w14:ligatures w14:val="none"/>
              </w:rPr>
              <w:t>Annals of Internal Medicine</w:t>
            </w:r>
          </w:p>
        </w:tc>
        <w:tc>
          <w:tcPr>
            <w:tcW w:w="636" w:type="dxa"/>
            <w:hideMark/>
          </w:tcPr>
          <w:p w14:paraId="5E66CF0B" w14:textId="551455BE" w:rsidR="00173249" w:rsidRPr="00173249" w:rsidRDefault="003C6C5C"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3C6C5C">
              <w:rPr>
                <w:rFonts w:ascii="Times New Roman" w:eastAsia="Times New Roman" w:hAnsi="Times New Roman" w:cs="Times New Roman"/>
                <w:kern w:val="0"/>
                <w:sz w:val="18"/>
                <w:szCs w:val="18"/>
                <w:lang w:eastAsia="en-IN"/>
                <w14:ligatures w14:val="none"/>
              </w:rPr>
              <w:t>2007</w:t>
            </w:r>
          </w:p>
        </w:tc>
        <w:tc>
          <w:tcPr>
            <w:tcW w:w="851" w:type="dxa"/>
            <w:hideMark/>
          </w:tcPr>
          <w:p w14:paraId="2921CF9C" w14:textId="3F4F8057" w:rsidR="00173249" w:rsidRPr="00173249" w:rsidRDefault="003C6C5C"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3C6C5C">
              <w:rPr>
                <w:rFonts w:ascii="Times New Roman" w:eastAsia="Times New Roman" w:hAnsi="Times New Roman" w:cs="Times New Roman"/>
                <w:kern w:val="0"/>
                <w:sz w:val="18"/>
                <w:szCs w:val="18"/>
                <w:lang w:eastAsia="en-IN"/>
                <w14:ligatures w14:val="none"/>
              </w:rPr>
              <w:t>USA; Health and Retirement Study</w:t>
            </w:r>
          </w:p>
        </w:tc>
        <w:tc>
          <w:tcPr>
            <w:tcW w:w="718" w:type="dxa"/>
            <w:hideMark/>
          </w:tcPr>
          <w:p w14:paraId="11265BC2" w14:textId="642234D5" w:rsidR="00173249" w:rsidRPr="00173249" w:rsidRDefault="003C6C5C"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3C6C5C">
              <w:rPr>
                <w:rFonts w:ascii="Times New Roman" w:eastAsia="Times New Roman" w:hAnsi="Times New Roman" w:cs="Times New Roman"/>
                <w:kern w:val="0"/>
                <w:sz w:val="18"/>
                <w:szCs w:val="18"/>
                <w:lang w:eastAsia="en-IN"/>
                <w14:ligatures w14:val="none"/>
              </w:rPr>
              <w:t>HRS 2000 wave</w:t>
            </w:r>
          </w:p>
        </w:tc>
        <w:tc>
          <w:tcPr>
            <w:tcW w:w="521" w:type="dxa"/>
            <w:hideMark/>
          </w:tcPr>
          <w:p w14:paraId="079ACAEA" w14:textId="4DE1FA4B" w:rsidR="00173249" w:rsidRPr="00173249" w:rsidRDefault="003C6C5C"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3C6C5C">
              <w:rPr>
                <w:rFonts w:ascii="Times New Roman" w:eastAsia="Times New Roman" w:hAnsi="Times New Roman" w:cs="Times New Roman"/>
                <w:kern w:val="0"/>
                <w:sz w:val="18"/>
                <w:szCs w:val="18"/>
                <w:lang w:eastAsia="en-IN"/>
                <w14:ligatures w14:val="none"/>
              </w:rPr>
              <w:t>11,093</w:t>
            </w:r>
          </w:p>
        </w:tc>
        <w:tc>
          <w:tcPr>
            <w:tcW w:w="709" w:type="dxa"/>
            <w:hideMark/>
          </w:tcPr>
          <w:p w14:paraId="586737A4" w14:textId="7701EAA5" w:rsidR="00173249" w:rsidRPr="00173249" w:rsidRDefault="003C6C5C"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3C6C5C">
              <w:rPr>
                <w:rFonts w:ascii="Times New Roman" w:eastAsia="Times New Roman" w:hAnsi="Times New Roman" w:cs="Times New Roman"/>
                <w:kern w:val="0"/>
                <w:sz w:val="18"/>
                <w:szCs w:val="18"/>
                <w:lang w:eastAsia="en-IN"/>
                <w14:ligatures w14:val="none"/>
              </w:rPr>
              <w:t>Adults aged ≥65 years</w:t>
            </w:r>
          </w:p>
        </w:tc>
        <w:tc>
          <w:tcPr>
            <w:tcW w:w="708" w:type="dxa"/>
            <w:hideMark/>
          </w:tcPr>
          <w:p w14:paraId="0ACE771B" w14:textId="71C5A790" w:rsidR="00173249" w:rsidRPr="00173249" w:rsidRDefault="003C6C5C"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3C6C5C">
              <w:rPr>
                <w:rFonts w:ascii="Times New Roman" w:eastAsia="Times New Roman" w:hAnsi="Times New Roman" w:cs="Times New Roman"/>
                <w:kern w:val="0"/>
                <w:sz w:val="18"/>
                <w:szCs w:val="18"/>
                <w:lang w:eastAsia="en-IN"/>
                <w14:ligatures w14:val="none"/>
              </w:rPr>
              <w:t>Cross-sectional analysis of nationally representative survey data</w:t>
            </w:r>
          </w:p>
        </w:tc>
        <w:tc>
          <w:tcPr>
            <w:tcW w:w="1843" w:type="dxa"/>
            <w:hideMark/>
          </w:tcPr>
          <w:p w14:paraId="2DBC0932" w14:textId="39C7FD46" w:rsidR="00173249" w:rsidRPr="00173249" w:rsidRDefault="003C6C5C"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3C6C5C">
              <w:rPr>
                <w:rFonts w:ascii="Times New Roman" w:eastAsia="Times New Roman" w:hAnsi="Times New Roman" w:cs="Times New Roman"/>
                <w:kern w:val="0"/>
                <w:sz w:val="18"/>
                <w:szCs w:val="18"/>
                <w:lang w:eastAsia="en-IN"/>
                <w14:ligatures w14:val="none"/>
              </w:rPr>
              <w:t>≥1 geriatric condition: 49.9%; one condition: 30.4%; two conditions: 12.4%; ≥3 conditions: 7.1%; cognitive impairment: 7.3%; injurious falls: 9.6%; incontinence requiring pads: 12.7%; low BMI: 2.9%; dizziness: 13.4%; vision impairment: 8.0%; hearing impairment: 25.7%</w:t>
            </w:r>
          </w:p>
        </w:tc>
        <w:tc>
          <w:tcPr>
            <w:tcW w:w="1020" w:type="dxa"/>
            <w:hideMark/>
          </w:tcPr>
          <w:p w14:paraId="21B99A75" w14:textId="2CAD961D" w:rsidR="00173249" w:rsidRPr="00173249" w:rsidRDefault="003C6C5C"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3C6C5C">
              <w:rPr>
                <w:rFonts w:ascii="Times New Roman" w:eastAsia="Times New Roman" w:hAnsi="Times New Roman" w:cs="Times New Roman"/>
                <w:kern w:val="0"/>
                <w:sz w:val="18"/>
                <w:szCs w:val="18"/>
                <w:lang w:eastAsia="en-IN"/>
                <w14:ligatures w14:val="none"/>
              </w:rPr>
              <w:t xml:space="preserve">HRS survey; modified Telephone Interview for Cognitive Status/proxy memory assessment; self-reported falls, incontinence, BMI, dizziness, vision and </w:t>
            </w:r>
            <w:r w:rsidRPr="003C6C5C">
              <w:rPr>
                <w:rFonts w:ascii="Times New Roman" w:eastAsia="Times New Roman" w:hAnsi="Times New Roman" w:cs="Times New Roman"/>
                <w:kern w:val="0"/>
                <w:sz w:val="18"/>
                <w:szCs w:val="18"/>
                <w:lang w:eastAsia="en-IN"/>
                <w14:ligatures w14:val="none"/>
              </w:rPr>
              <w:lastRenderedPageBreak/>
              <w:t>hearing impairment</w:t>
            </w:r>
          </w:p>
        </w:tc>
        <w:tc>
          <w:tcPr>
            <w:tcW w:w="1842" w:type="dxa"/>
          </w:tcPr>
          <w:p w14:paraId="6867456E" w14:textId="33233260" w:rsidR="00173249" w:rsidRPr="00173249" w:rsidRDefault="003C6C5C"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3C6C5C">
              <w:rPr>
                <w:rFonts w:ascii="Times New Roman" w:eastAsia="Times New Roman" w:hAnsi="Times New Roman" w:cs="Times New Roman"/>
                <w:kern w:val="0"/>
                <w:sz w:val="18"/>
                <w:szCs w:val="18"/>
                <w:lang w:eastAsia="en-IN"/>
                <w14:ligatures w14:val="none"/>
              </w:rPr>
              <w:lastRenderedPageBreak/>
              <w:t>Strong association with ADL dependency; adjusted RR 2.1 for one condition, 3.6 for two conditions, and 6.6 for ≥3 conditions</w:t>
            </w:r>
          </w:p>
        </w:tc>
      </w:tr>
      <w:tr w:rsidR="00173249" w:rsidRPr="00173249" w14:paraId="036E718E"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05266DBB"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24</w:t>
            </w:r>
          </w:p>
        </w:tc>
        <w:tc>
          <w:tcPr>
            <w:tcW w:w="1148" w:type="dxa"/>
            <w:hideMark/>
          </w:tcPr>
          <w:p w14:paraId="2E4C48F8" w14:textId="7939E06B"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Rausch et al</w:t>
            </w:r>
            <w:r w:rsidRPr="00173249">
              <w:rPr>
                <w:rFonts w:ascii="Times New Roman" w:eastAsia="Times New Roman" w:hAnsi="Times New Roman" w:cs="Times New Roman"/>
                <w:kern w:val="0"/>
                <w:sz w:val="18"/>
                <w:szCs w:val="18"/>
                <w:lang w:eastAsia="en-IN"/>
                <w14:ligatures w14:val="none"/>
              </w:rPr>
              <w:fldChar w:fldCharType="begin"/>
            </w:r>
            <w:r w:rsidR="003C6C5C">
              <w:rPr>
                <w:rFonts w:ascii="Times New Roman" w:eastAsia="Times New Roman" w:hAnsi="Times New Roman" w:cs="Times New Roman"/>
                <w:kern w:val="0"/>
                <w:sz w:val="18"/>
                <w:szCs w:val="18"/>
                <w:lang w:eastAsia="en-IN"/>
                <w14:ligatures w14:val="none"/>
              </w:rPr>
              <w:instrText xml:space="preserve"> ADDIN ZOTERO_ITEM CSL_CITATION {"citationID":"G37y7EOU","properties":{"formattedCitation":"(24)","plainCitation":"(24)","noteIndex":0},"citationItems":[{"id":2857,"uris":["http://zotero.org/users/12232949/items/MYZ3QCFR"],"itemData":{"id":2857,"type":"article-journal","abstract":"OBJECTIVES: To determine the association between geriatric syndromes and any specific incident chronic health conditions among older community-dwellers.\nDESIGN: Population-based cohort study over a median follow-up period of 43 months.\nSETTING AND PARTICIPANTS: Participants from the Lifelines Cohort Study aged 60 years and older without presence of the studied chronic health conditions at baseline (n = 9094).\nMETHODS: Baseline assessment took place between November 2006 and December 2013 and included information on socioeconomic (age, sex, level of education and income), social contact, and health-related factors [eg, self-rated health, body mass index, chronic health conditions, and health behavior (alcohol consumption and smoking)]. Participants also reported the presence of geriatric syndromes (ie, included falls, incontinence, vision impairment, hearing impairment, depressive symptoms, and frailty at baseline). Three follow-up questionnaires were used to examine the incidence of any and specific chronic health conditions (ie, pulmonary and cardiovascular diseases, diabetes, cancer, and neurological diseases). Cox regression was used to analyze the longitudinal associations between geriatric syndromes and incident chronic health conditions.\nRESULTS: Older community-dwelling individuals with at least one geriatric syndrome (44.7%, n = 4038) had an increased risk of developing any new chronic health condition [hazard ratio (HR) 1.35; 95% confidence interval (CI) 1.21-1.51]. The association was attenuated but remained significant after adjustment for socioeconomic factors, social contact, health status, and health behavior (HR 1.27; 95% CI 1.12-1.43). Analyses for specific chronic health conditions showed that compared with older community-dwellers without geriatric syndromes, those with geriatric syndromes had an increased risk to develop a cardiovascular health condition (HR 1.42; 95% CI 1.13-1.79) or diabetes (HR 1.53; 95% CI 1.11-2.11). They had no increased risk to develop pulmonary conditions, cancer, or neurological conditions.\nCONCLUSION AND IMPLICATIONS: The presence of geriatric syndromes is associated with incident chronic health conditions, specifically cardiovascular conditions and diabetes. Increased awareness is needed among older people with geriatric syndromes and their physicians. Comprehensive assessments of geriatric syndromes may help to prevent or at least delay the development of chronic health conditions.","container-title":"Journal of the American Medical Directors Association","DOI":"10.1016/j.jamda.2021.02.030","ISSN":"1538-9375","issue":"1","journalAbbreviation":"J Am Med Dir Assoc","language":"eng","page":"54-59.e2","PMID":"33798484","source":"PubMed","title":"Geriatric Syndromes and Incident Chronic Health Conditions Among 9094 Older Community-Dwellers: Findings from the Lifelines Cohort Study","title-short":"Geriatric Syndromes and Incident Chronic Health Conditions Among 9094 Older Community-Dwellers","volume":"23","author":[{"family":"Rausch","given":"Christian"},{"family":"Zon","given":"Sander K. R.","non-dropping-particle":"van"},{"family":"Liang","given":"Yajun"},{"family":"Laflamme","given":"Lucie"},{"family":"Möller","given":"Jette"},{"family":"Rooij","given":"Sophia E.","non-dropping-particle":"de"},{"family":"Bültmann","given":"Ute"}],"issued":{"date-parts":[["2022",1]]}}}],"schema":"https://github.com/citation-style-language/schema/raw/master/csl-citation.json"} </w:instrText>
            </w:r>
            <w:r w:rsidRPr="00173249">
              <w:rPr>
                <w:rFonts w:ascii="Times New Roman" w:eastAsia="Times New Roman" w:hAnsi="Times New Roman" w:cs="Times New Roman"/>
                <w:kern w:val="0"/>
                <w:sz w:val="18"/>
                <w:szCs w:val="18"/>
                <w:lang w:eastAsia="en-IN"/>
                <w14:ligatures w14:val="none"/>
              </w:rPr>
              <w:fldChar w:fldCharType="separate"/>
            </w:r>
            <w:r w:rsidR="003C6C5C" w:rsidRPr="003C6C5C">
              <w:rPr>
                <w:rFonts w:ascii="Times New Roman" w:hAnsi="Times New Roman" w:cs="Times New Roman"/>
                <w:sz w:val="18"/>
              </w:rPr>
              <w:t>)</w:t>
            </w:r>
            <w:r w:rsidRPr="00173249">
              <w:rPr>
                <w:rFonts w:ascii="Times New Roman" w:eastAsia="Times New Roman" w:hAnsi="Times New Roman" w:cs="Times New Roman"/>
                <w:kern w:val="0"/>
                <w:sz w:val="18"/>
                <w:szCs w:val="18"/>
                <w:lang w:eastAsia="en-IN"/>
                <w14:ligatures w14:val="none"/>
              </w:rPr>
              <w:fldChar w:fldCharType="end"/>
            </w:r>
            <w:r w:rsidRPr="00173249">
              <w:rPr>
                <w:rFonts w:ascii="Times New Roman" w:eastAsia="Times New Roman" w:hAnsi="Times New Roman" w:cs="Times New Roman"/>
                <w:kern w:val="0"/>
                <w:sz w:val="18"/>
                <w:szCs w:val="18"/>
                <w:lang w:eastAsia="en-IN"/>
                <w14:ligatures w14:val="none"/>
              </w:rPr>
              <w:t>.</w:t>
            </w:r>
          </w:p>
        </w:tc>
        <w:tc>
          <w:tcPr>
            <w:tcW w:w="676" w:type="dxa"/>
            <w:hideMark/>
          </w:tcPr>
          <w:p w14:paraId="3F98281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JAMDA</w:t>
            </w:r>
          </w:p>
        </w:tc>
        <w:tc>
          <w:tcPr>
            <w:tcW w:w="636" w:type="dxa"/>
            <w:hideMark/>
          </w:tcPr>
          <w:p w14:paraId="4B47A81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2022</w:t>
            </w:r>
          </w:p>
        </w:tc>
        <w:tc>
          <w:tcPr>
            <w:tcW w:w="851" w:type="dxa"/>
            <w:hideMark/>
          </w:tcPr>
          <w:p w14:paraId="1708661B" w14:textId="28DA202B" w:rsidR="00173249" w:rsidRPr="00173249" w:rsidRDefault="003C6C5C"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proofErr w:type="gramStart"/>
            <w:r>
              <w:rPr>
                <w:rFonts w:ascii="Times New Roman" w:eastAsia="Times New Roman" w:hAnsi="Times New Roman" w:cs="Times New Roman"/>
                <w:kern w:val="0"/>
                <w:sz w:val="16"/>
                <w:szCs w:val="16"/>
                <w:lang w:eastAsia="en-IN"/>
                <w14:ligatures w14:val="none"/>
              </w:rPr>
              <w:t>Netherlands,Community</w:t>
            </w:r>
            <w:proofErr w:type="spellEnd"/>
            <w:proofErr w:type="gramEnd"/>
            <w:r>
              <w:rPr>
                <w:rFonts w:ascii="Times New Roman" w:eastAsia="Times New Roman" w:hAnsi="Times New Roman" w:cs="Times New Roman"/>
                <w:kern w:val="0"/>
                <w:sz w:val="16"/>
                <w:szCs w:val="16"/>
                <w:lang w:eastAsia="en-IN"/>
                <w14:ligatures w14:val="none"/>
              </w:rPr>
              <w:t xml:space="preserve"> pooling</w:t>
            </w:r>
          </w:p>
        </w:tc>
        <w:tc>
          <w:tcPr>
            <w:tcW w:w="718" w:type="dxa"/>
            <w:hideMark/>
          </w:tcPr>
          <w:p w14:paraId="3841D4E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2006 – 2013</w:t>
            </w:r>
          </w:p>
        </w:tc>
        <w:tc>
          <w:tcPr>
            <w:tcW w:w="521" w:type="dxa"/>
            <w:hideMark/>
          </w:tcPr>
          <w:p w14:paraId="50926E00" w14:textId="1AED6DD2" w:rsidR="00173249" w:rsidRPr="00173249" w:rsidRDefault="00964A38"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Pr>
                <w:rFonts w:ascii="Times New Roman" w:eastAsia="Times New Roman" w:hAnsi="Times New Roman" w:cs="Times New Roman"/>
                <w:kern w:val="0"/>
                <w:sz w:val="18"/>
                <w:szCs w:val="18"/>
                <w:lang w:eastAsia="en-IN"/>
                <w14:ligatures w14:val="none"/>
              </w:rPr>
              <w:t>9</w:t>
            </w:r>
            <w:r w:rsidR="00BD09E3">
              <w:rPr>
                <w:rFonts w:ascii="Times New Roman" w:eastAsia="Times New Roman" w:hAnsi="Times New Roman" w:cs="Times New Roman"/>
                <w:kern w:val="0"/>
                <w:sz w:val="18"/>
                <w:szCs w:val="18"/>
                <w:lang w:eastAsia="en-IN"/>
                <w14:ligatures w14:val="none"/>
              </w:rPr>
              <w:t>094</w:t>
            </w:r>
          </w:p>
        </w:tc>
        <w:tc>
          <w:tcPr>
            <w:tcW w:w="709" w:type="dxa"/>
            <w:hideMark/>
          </w:tcPr>
          <w:p w14:paraId="1C92D10A" w14:textId="1F5350C0" w:rsidR="00173249" w:rsidRPr="00173249" w:rsidRDefault="00964A38"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Pr>
                <w:rFonts w:ascii="Times New Roman" w:eastAsia="Times New Roman" w:hAnsi="Times New Roman" w:cs="Times New Roman"/>
                <w:kern w:val="0"/>
                <w:sz w:val="18"/>
                <w:szCs w:val="18"/>
                <w:lang w:eastAsia="en-IN"/>
                <w14:ligatures w14:val="none"/>
              </w:rPr>
              <w:t>Community-based</w:t>
            </w:r>
            <w:r w:rsidR="00173249" w:rsidRPr="00173249">
              <w:rPr>
                <w:rFonts w:ascii="Times New Roman" w:eastAsia="Times New Roman" w:hAnsi="Times New Roman" w:cs="Times New Roman"/>
                <w:kern w:val="0"/>
                <w:sz w:val="18"/>
                <w:szCs w:val="18"/>
                <w:lang w:eastAsia="en-IN"/>
                <w14:ligatures w14:val="none"/>
              </w:rPr>
              <w:t>, ≥65 years</w:t>
            </w:r>
          </w:p>
        </w:tc>
        <w:tc>
          <w:tcPr>
            <w:tcW w:w="708" w:type="dxa"/>
            <w:hideMark/>
          </w:tcPr>
          <w:p w14:paraId="476A3AB5" w14:textId="08ECAED8" w:rsidR="00173249" w:rsidRPr="00173249" w:rsidRDefault="00964A38"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Longitudinal Cohort</w:t>
            </w:r>
          </w:p>
        </w:tc>
        <w:tc>
          <w:tcPr>
            <w:tcW w:w="1843" w:type="dxa"/>
            <w:hideMark/>
          </w:tcPr>
          <w:p w14:paraId="515B15EF" w14:textId="0EC17519" w:rsidR="00173249" w:rsidRPr="00173249" w:rsidRDefault="00964A38"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964A38">
              <w:rPr>
                <w:rFonts w:ascii="Times New Roman" w:eastAsia="Times New Roman" w:hAnsi="Times New Roman" w:cs="Times New Roman"/>
                <w:kern w:val="0"/>
                <w:sz w:val="18"/>
                <w:szCs w:val="18"/>
                <w:lang w:eastAsia="en-IN"/>
                <w14:ligatures w14:val="none"/>
              </w:rPr>
              <w:t>≥1 GS: 44.7%; hearing impairment: 26.7%; vision impairment: 19.2%; frailty: 4.7%; incontinence: 2.9%; depressive symptoms: 2.5%; falls: 0.5%</w:t>
            </w:r>
          </w:p>
        </w:tc>
        <w:tc>
          <w:tcPr>
            <w:tcW w:w="1020" w:type="dxa"/>
            <w:hideMark/>
          </w:tcPr>
          <w:p w14:paraId="2E65460C" w14:textId="7FC90CE8" w:rsidR="00173249" w:rsidRPr="00173249" w:rsidRDefault="00964A38"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964A38">
              <w:rPr>
                <w:rFonts w:ascii="Times New Roman" w:eastAsia="Times New Roman" w:hAnsi="Times New Roman" w:cs="Times New Roman"/>
                <w:kern w:val="0"/>
                <w:sz w:val="18"/>
                <w:szCs w:val="18"/>
                <w:lang w:eastAsia="en-IN"/>
                <w14:ligatures w14:val="none"/>
              </w:rPr>
              <w:t>Lifelines questionnaire; M.I.N.I. depression items; modified Fried frailty criteria; self-reported falls, incontinence, vision and hearing impairment</w:t>
            </w:r>
          </w:p>
        </w:tc>
        <w:tc>
          <w:tcPr>
            <w:tcW w:w="1842" w:type="dxa"/>
          </w:tcPr>
          <w:p w14:paraId="7E3CF420" w14:textId="2C749CDD" w:rsidR="00173249" w:rsidRPr="00173249" w:rsidRDefault="00964A38"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964A38">
              <w:rPr>
                <w:rFonts w:ascii="Times New Roman" w:eastAsia="Times New Roman" w:hAnsi="Times New Roman" w:cs="Times New Roman"/>
                <w:kern w:val="0"/>
                <w:sz w:val="18"/>
                <w:szCs w:val="18"/>
                <w:lang w:eastAsia="en-IN"/>
                <w14:ligatures w14:val="none"/>
              </w:rPr>
              <w:t>HCU/impact: ≥1 GS predicted incident chronic health conditions; adjusted HR 1.27; cardiovascular disease HR 1.42; diabetes HR 1.53</w:t>
            </w:r>
          </w:p>
        </w:tc>
      </w:tr>
      <w:tr w:rsidR="00173249" w:rsidRPr="00173249" w14:paraId="2C6215A0"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3F0706DD"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25</w:t>
            </w:r>
          </w:p>
        </w:tc>
        <w:tc>
          <w:tcPr>
            <w:tcW w:w="1148" w:type="dxa"/>
            <w:hideMark/>
          </w:tcPr>
          <w:p w14:paraId="0B9F218F" w14:textId="4D190BC5"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Rosso et al.</w:t>
            </w:r>
          </w:p>
        </w:tc>
        <w:tc>
          <w:tcPr>
            <w:tcW w:w="676" w:type="dxa"/>
            <w:hideMark/>
          </w:tcPr>
          <w:p w14:paraId="72D7132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J Am </w:t>
            </w:r>
            <w:proofErr w:type="spellStart"/>
            <w:r w:rsidRPr="00173249">
              <w:rPr>
                <w:rFonts w:ascii="Times New Roman" w:eastAsia="Times New Roman" w:hAnsi="Times New Roman" w:cs="Times New Roman"/>
                <w:kern w:val="0"/>
                <w:sz w:val="18"/>
                <w:szCs w:val="18"/>
                <w:lang w:eastAsia="en-IN"/>
                <w14:ligatures w14:val="none"/>
              </w:rPr>
              <w:t>Geriatr</w:t>
            </w:r>
            <w:proofErr w:type="spellEnd"/>
            <w:r w:rsidRPr="00173249">
              <w:rPr>
                <w:rFonts w:ascii="Times New Roman" w:eastAsia="Times New Roman" w:hAnsi="Times New Roman" w:cs="Times New Roman"/>
                <w:kern w:val="0"/>
                <w:sz w:val="18"/>
                <w:szCs w:val="18"/>
                <w:lang w:eastAsia="en-IN"/>
                <w14:ligatures w14:val="none"/>
              </w:rPr>
              <w:t xml:space="preserve"> Soc</w:t>
            </w:r>
          </w:p>
        </w:tc>
        <w:tc>
          <w:tcPr>
            <w:tcW w:w="636" w:type="dxa"/>
            <w:hideMark/>
          </w:tcPr>
          <w:p w14:paraId="4007E0A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2013</w:t>
            </w:r>
          </w:p>
        </w:tc>
        <w:tc>
          <w:tcPr>
            <w:tcW w:w="851" w:type="dxa"/>
            <w:hideMark/>
          </w:tcPr>
          <w:p w14:paraId="0942DDD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USA (</w:t>
            </w:r>
            <w:proofErr w:type="gramStart"/>
            <w:r w:rsidRPr="00173249">
              <w:rPr>
                <w:rFonts w:ascii="Times New Roman" w:eastAsia="Times New Roman" w:hAnsi="Times New Roman" w:cs="Times New Roman"/>
                <w:kern w:val="0"/>
                <w:sz w:val="18"/>
                <w:szCs w:val="18"/>
                <w:lang w:eastAsia="en-IN"/>
                <w14:ligatures w14:val="none"/>
              </w:rPr>
              <w:t>Multi-</w:t>
            </w:r>
            <w:proofErr w:type="spellStart"/>
            <w:r w:rsidRPr="00173249">
              <w:rPr>
                <w:rFonts w:ascii="Times New Roman" w:eastAsia="Times New Roman" w:hAnsi="Times New Roman" w:cs="Times New Roman"/>
                <w:kern w:val="0"/>
                <w:sz w:val="18"/>
                <w:szCs w:val="18"/>
                <w:lang w:eastAsia="en-IN"/>
                <w14:ligatures w14:val="none"/>
              </w:rPr>
              <w:t>center</w:t>
            </w:r>
            <w:proofErr w:type="spellEnd"/>
            <w:proofErr w:type="gramEnd"/>
            <w:r w:rsidRPr="00173249">
              <w:rPr>
                <w:rFonts w:ascii="Times New Roman" w:eastAsia="Times New Roman" w:hAnsi="Times New Roman" w:cs="Times New Roman"/>
                <w:kern w:val="0"/>
                <w:sz w:val="18"/>
                <w:szCs w:val="18"/>
                <w:lang w:eastAsia="en-IN"/>
                <w14:ligatures w14:val="none"/>
              </w:rPr>
              <w:t>)</w:t>
            </w:r>
          </w:p>
        </w:tc>
        <w:tc>
          <w:tcPr>
            <w:tcW w:w="718" w:type="dxa"/>
            <w:hideMark/>
          </w:tcPr>
          <w:p w14:paraId="6545FD5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1994 – 1998</w:t>
            </w:r>
          </w:p>
        </w:tc>
        <w:tc>
          <w:tcPr>
            <w:tcW w:w="521" w:type="dxa"/>
            <w:hideMark/>
          </w:tcPr>
          <w:p w14:paraId="4913CF5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29,544</w:t>
            </w:r>
          </w:p>
        </w:tc>
        <w:tc>
          <w:tcPr>
            <w:tcW w:w="709" w:type="dxa"/>
            <w:hideMark/>
          </w:tcPr>
          <w:p w14:paraId="1805F7F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 women, ≥65 years</w:t>
            </w:r>
          </w:p>
        </w:tc>
        <w:tc>
          <w:tcPr>
            <w:tcW w:w="708" w:type="dxa"/>
            <w:hideMark/>
          </w:tcPr>
          <w:p w14:paraId="3805F9B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Longitudinal Cohort</w:t>
            </w:r>
          </w:p>
        </w:tc>
        <w:tc>
          <w:tcPr>
            <w:tcW w:w="1843" w:type="dxa"/>
            <w:hideMark/>
          </w:tcPr>
          <w:p w14:paraId="5849FCE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Urinary incontinence (29.3%), Hearing impairment (29.2%), Polypharmacy (22.0%), Falls (11.3%)</w:t>
            </w:r>
          </w:p>
        </w:tc>
        <w:tc>
          <w:tcPr>
            <w:tcW w:w="1020" w:type="dxa"/>
            <w:hideMark/>
          </w:tcPr>
          <w:p w14:paraId="2977394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Self-report (WHI instruments)</w:t>
            </w:r>
          </w:p>
        </w:tc>
        <w:tc>
          <w:tcPr>
            <w:tcW w:w="1842" w:type="dxa"/>
          </w:tcPr>
          <w:p w14:paraId="5DDE189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5955D3D1"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49E45A84"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26</w:t>
            </w:r>
          </w:p>
        </w:tc>
        <w:tc>
          <w:tcPr>
            <w:tcW w:w="1148" w:type="dxa"/>
            <w:hideMark/>
          </w:tcPr>
          <w:p w14:paraId="5871470E" w14:textId="049E1CEF"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Mueller et al.</w:t>
            </w:r>
          </w:p>
        </w:tc>
        <w:tc>
          <w:tcPr>
            <w:tcW w:w="676" w:type="dxa"/>
            <w:hideMark/>
          </w:tcPr>
          <w:p w14:paraId="0CBFBA6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BMC </w:t>
            </w:r>
            <w:proofErr w:type="spellStart"/>
            <w:r w:rsidRPr="00173249">
              <w:rPr>
                <w:rFonts w:ascii="Times New Roman" w:eastAsia="Times New Roman" w:hAnsi="Times New Roman" w:cs="Times New Roman"/>
                <w:kern w:val="0"/>
                <w:sz w:val="18"/>
                <w:szCs w:val="18"/>
                <w:lang w:eastAsia="en-IN"/>
                <w14:ligatures w14:val="none"/>
              </w:rPr>
              <w:t>Geriatr</w:t>
            </w:r>
            <w:proofErr w:type="spellEnd"/>
          </w:p>
        </w:tc>
        <w:tc>
          <w:tcPr>
            <w:tcW w:w="636" w:type="dxa"/>
            <w:hideMark/>
          </w:tcPr>
          <w:p w14:paraId="325EE4D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2018</w:t>
            </w:r>
          </w:p>
        </w:tc>
        <w:tc>
          <w:tcPr>
            <w:tcW w:w="851" w:type="dxa"/>
            <w:hideMark/>
          </w:tcPr>
          <w:p w14:paraId="7D7E341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Switzerland</w:t>
            </w:r>
          </w:p>
        </w:tc>
        <w:tc>
          <w:tcPr>
            <w:tcW w:w="718" w:type="dxa"/>
            <w:hideMark/>
          </w:tcPr>
          <w:p w14:paraId="6DA15FB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2013 – 2014</w:t>
            </w:r>
          </w:p>
        </w:tc>
        <w:tc>
          <w:tcPr>
            <w:tcW w:w="521" w:type="dxa"/>
            <w:hideMark/>
          </w:tcPr>
          <w:p w14:paraId="62E12DE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85</w:t>
            </w:r>
          </w:p>
        </w:tc>
        <w:tc>
          <w:tcPr>
            <w:tcW w:w="709" w:type="dxa"/>
            <w:hideMark/>
          </w:tcPr>
          <w:p w14:paraId="73AB6CC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173249">
              <w:rPr>
                <w:rFonts w:ascii="Times New Roman" w:eastAsia="Times New Roman" w:hAnsi="Times New Roman" w:cs="Times New Roman"/>
                <w:kern w:val="0"/>
                <w:sz w:val="18"/>
                <w:szCs w:val="18"/>
                <w:lang w:eastAsia="en-IN"/>
                <w14:ligatures w14:val="none"/>
              </w:rPr>
              <w:t>Urbanprimary</w:t>
            </w:r>
            <w:proofErr w:type="spellEnd"/>
            <w:r w:rsidRPr="00173249">
              <w:rPr>
                <w:rFonts w:ascii="Times New Roman" w:eastAsia="Times New Roman" w:hAnsi="Times New Roman" w:cs="Times New Roman"/>
                <w:kern w:val="0"/>
                <w:sz w:val="18"/>
                <w:szCs w:val="18"/>
                <w:lang w:eastAsia="en-IN"/>
                <w14:ligatures w14:val="none"/>
              </w:rPr>
              <w:t xml:space="preserve"> care, ≥70 years</w:t>
            </w:r>
          </w:p>
        </w:tc>
        <w:tc>
          <w:tcPr>
            <w:tcW w:w="708" w:type="dxa"/>
            <w:hideMark/>
          </w:tcPr>
          <w:p w14:paraId="127826E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Prospective Diagnostic</w:t>
            </w:r>
          </w:p>
        </w:tc>
        <w:tc>
          <w:tcPr>
            <w:tcW w:w="1843" w:type="dxa"/>
            <w:hideMark/>
          </w:tcPr>
          <w:p w14:paraId="2678DF8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Hearing impairment (~50%), Cognitive impairment, Mood impairment</w:t>
            </w:r>
          </w:p>
        </w:tc>
        <w:tc>
          <w:tcPr>
            <w:tcW w:w="1020" w:type="dxa"/>
            <w:hideMark/>
          </w:tcPr>
          <w:p w14:paraId="0625258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BAT, CGA</w:t>
            </w:r>
          </w:p>
        </w:tc>
        <w:tc>
          <w:tcPr>
            <w:tcW w:w="1842" w:type="dxa"/>
          </w:tcPr>
          <w:p w14:paraId="5A1E595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1E253ED4"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4CABCCC5"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27</w:t>
            </w:r>
          </w:p>
        </w:tc>
        <w:tc>
          <w:tcPr>
            <w:tcW w:w="1148" w:type="dxa"/>
            <w:hideMark/>
          </w:tcPr>
          <w:p w14:paraId="75DB8538" w14:textId="2CE32999"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173249">
              <w:rPr>
                <w:rFonts w:ascii="Times New Roman" w:eastAsia="Times New Roman" w:hAnsi="Times New Roman" w:cs="Times New Roman"/>
                <w:kern w:val="0"/>
                <w:sz w:val="18"/>
                <w:szCs w:val="18"/>
                <w:lang w:eastAsia="en-IN"/>
                <w14:ligatures w14:val="none"/>
              </w:rPr>
              <w:t>Dartigueset</w:t>
            </w:r>
            <w:proofErr w:type="spellEnd"/>
            <w:r w:rsidRPr="00173249">
              <w:rPr>
                <w:rFonts w:ascii="Times New Roman" w:eastAsia="Times New Roman" w:hAnsi="Times New Roman" w:cs="Times New Roman"/>
                <w:kern w:val="0"/>
                <w:sz w:val="18"/>
                <w:szCs w:val="18"/>
                <w:lang w:eastAsia="en-IN"/>
                <w14:ligatures w14:val="none"/>
              </w:rPr>
              <w:t xml:space="preserve"> al.</w:t>
            </w:r>
          </w:p>
        </w:tc>
        <w:tc>
          <w:tcPr>
            <w:tcW w:w="676" w:type="dxa"/>
            <w:hideMark/>
          </w:tcPr>
          <w:p w14:paraId="0192A58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J </w:t>
            </w:r>
            <w:proofErr w:type="spellStart"/>
            <w:r w:rsidRPr="00173249">
              <w:rPr>
                <w:rFonts w:ascii="Times New Roman" w:eastAsia="Times New Roman" w:hAnsi="Times New Roman" w:cs="Times New Roman"/>
                <w:kern w:val="0"/>
                <w:sz w:val="18"/>
                <w:szCs w:val="18"/>
                <w:lang w:eastAsia="en-IN"/>
                <w14:ligatures w14:val="none"/>
              </w:rPr>
              <w:t>Nutr</w:t>
            </w:r>
            <w:proofErr w:type="spellEnd"/>
            <w:r w:rsidRPr="00173249">
              <w:rPr>
                <w:rFonts w:ascii="Times New Roman" w:eastAsia="Times New Roman" w:hAnsi="Times New Roman" w:cs="Times New Roman"/>
                <w:kern w:val="0"/>
                <w:sz w:val="18"/>
                <w:szCs w:val="18"/>
                <w:lang w:eastAsia="en-IN"/>
                <w14:ligatures w14:val="none"/>
              </w:rPr>
              <w:t xml:space="preserve"> Health Aging</w:t>
            </w:r>
          </w:p>
        </w:tc>
        <w:tc>
          <w:tcPr>
            <w:tcW w:w="636" w:type="dxa"/>
            <w:hideMark/>
          </w:tcPr>
          <w:p w14:paraId="71E4694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2021</w:t>
            </w:r>
          </w:p>
        </w:tc>
        <w:tc>
          <w:tcPr>
            <w:tcW w:w="851" w:type="dxa"/>
            <w:hideMark/>
          </w:tcPr>
          <w:p w14:paraId="62A7CF1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France (Bordeaux)</w:t>
            </w:r>
          </w:p>
        </w:tc>
        <w:tc>
          <w:tcPr>
            <w:tcW w:w="718" w:type="dxa"/>
            <w:hideMark/>
          </w:tcPr>
          <w:p w14:paraId="5ABF915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2009 – 2018</w:t>
            </w:r>
          </w:p>
        </w:tc>
        <w:tc>
          <w:tcPr>
            <w:tcW w:w="521" w:type="dxa"/>
            <w:hideMark/>
          </w:tcPr>
          <w:p w14:paraId="0238CD5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630</w:t>
            </w:r>
          </w:p>
        </w:tc>
        <w:tc>
          <w:tcPr>
            <w:tcW w:w="709" w:type="dxa"/>
            <w:hideMark/>
          </w:tcPr>
          <w:p w14:paraId="5829742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 ≥75 years</w:t>
            </w:r>
          </w:p>
        </w:tc>
        <w:tc>
          <w:tcPr>
            <w:tcW w:w="708" w:type="dxa"/>
            <w:hideMark/>
          </w:tcPr>
          <w:p w14:paraId="495A640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Longitudinal Cohort</w:t>
            </w:r>
          </w:p>
        </w:tc>
        <w:tc>
          <w:tcPr>
            <w:tcW w:w="1843" w:type="dxa"/>
            <w:hideMark/>
          </w:tcPr>
          <w:p w14:paraId="2BBB1E5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82% had ≥2 syndromes/diseases (Frailty, dementia, dependency, depression commonly co-occur)</w:t>
            </w:r>
          </w:p>
        </w:tc>
        <w:tc>
          <w:tcPr>
            <w:tcW w:w="1020" w:type="dxa"/>
            <w:hideMark/>
          </w:tcPr>
          <w:p w14:paraId="44875D8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Fried, DSM-IV, CES-D, ADL</w:t>
            </w:r>
          </w:p>
        </w:tc>
        <w:tc>
          <w:tcPr>
            <w:tcW w:w="1842" w:type="dxa"/>
          </w:tcPr>
          <w:p w14:paraId="181CA65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More Hospitalization and Institutionalization</w:t>
            </w:r>
          </w:p>
        </w:tc>
      </w:tr>
      <w:tr w:rsidR="00173249" w:rsidRPr="00173249" w14:paraId="2B586C15"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15E816D9"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28</w:t>
            </w:r>
          </w:p>
        </w:tc>
        <w:tc>
          <w:tcPr>
            <w:tcW w:w="1148" w:type="dxa"/>
            <w:hideMark/>
          </w:tcPr>
          <w:p w14:paraId="03C12F6B" w14:textId="087F14BC"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Moon et al.</w:t>
            </w:r>
          </w:p>
        </w:tc>
        <w:tc>
          <w:tcPr>
            <w:tcW w:w="676" w:type="dxa"/>
            <w:hideMark/>
          </w:tcPr>
          <w:p w14:paraId="2544D24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Ann Geriatr Med Res</w:t>
            </w:r>
          </w:p>
        </w:tc>
        <w:tc>
          <w:tcPr>
            <w:tcW w:w="636" w:type="dxa"/>
            <w:hideMark/>
          </w:tcPr>
          <w:p w14:paraId="5C4375F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2019</w:t>
            </w:r>
          </w:p>
        </w:tc>
        <w:tc>
          <w:tcPr>
            <w:tcW w:w="851" w:type="dxa"/>
            <w:hideMark/>
          </w:tcPr>
          <w:p w14:paraId="2311307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South Korea</w:t>
            </w:r>
          </w:p>
        </w:tc>
        <w:tc>
          <w:tcPr>
            <w:tcW w:w="718" w:type="dxa"/>
            <w:hideMark/>
          </w:tcPr>
          <w:p w14:paraId="657E083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2017</w:t>
            </w:r>
          </w:p>
        </w:tc>
        <w:tc>
          <w:tcPr>
            <w:tcW w:w="521" w:type="dxa"/>
            <w:hideMark/>
          </w:tcPr>
          <w:p w14:paraId="2F0F34C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10,299</w:t>
            </w:r>
          </w:p>
        </w:tc>
        <w:tc>
          <w:tcPr>
            <w:tcW w:w="709" w:type="dxa"/>
            <w:hideMark/>
          </w:tcPr>
          <w:p w14:paraId="756777B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National sample, ≥65 years</w:t>
            </w:r>
          </w:p>
        </w:tc>
        <w:tc>
          <w:tcPr>
            <w:tcW w:w="708" w:type="dxa"/>
            <w:hideMark/>
          </w:tcPr>
          <w:p w14:paraId="1D69DDF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0174FEB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Polypharmacy, falls, visual/hearing impairment (Higher in Diabetes Mellitus group)</w:t>
            </w:r>
          </w:p>
        </w:tc>
        <w:tc>
          <w:tcPr>
            <w:tcW w:w="1020" w:type="dxa"/>
            <w:hideMark/>
          </w:tcPr>
          <w:p w14:paraId="005C458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MMSE-DS, ADL/IADL, SGDS</w:t>
            </w:r>
          </w:p>
        </w:tc>
        <w:tc>
          <w:tcPr>
            <w:tcW w:w="1842" w:type="dxa"/>
          </w:tcPr>
          <w:p w14:paraId="6EE391A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No validated tool but increase hospital interaction and more CKD and CVD highlighted</w:t>
            </w:r>
          </w:p>
        </w:tc>
      </w:tr>
      <w:tr w:rsidR="00173249" w:rsidRPr="00173249" w14:paraId="531C439D"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7A3721B0"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29</w:t>
            </w:r>
          </w:p>
        </w:tc>
        <w:tc>
          <w:tcPr>
            <w:tcW w:w="1148" w:type="dxa"/>
            <w:hideMark/>
          </w:tcPr>
          <w:p w14:paraId="301468C1" w14:textId="7617F889"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Baré et al.</w:t>
            </w:r>
          </w:p>
        </w:tc>
        <w:tc>
          <w:tcPr>
            <w:tcW w:w="676" w:type="dxa"/>
            <w:hideMark/>
          </w:tcPr>
          <w:p w14:paraId="1A038BD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BMJ Open</w:t>
            </w:r>
          </w:p>
        </w:tc>
        <w:tc>
          <w:tcPr>
            <w:tcW w:w="636" w:type="dxa"/>
            <w:hideMark/>
          </w:tcPr>
          <w:p w14:paraId="15191EF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2021</w:t>
            </w:r>
          </w:p>
        </w:tc>
        <w:tc>
          <w:tcPr>
            <w:tcW w:w="851" w:type="dxa"/>
            <w:hideMark/>
          </w:tcPr>
          <w:p w14:paraId="7FC4908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Spain</w:t>
            </w:r>
          </w:p>
        </w:tc>
        <w:tc>
          <w:tcPr>
            <w:tcW w:w="718" w:type="dxa"/>
            <w:hideMark/>
          </w:tcPr>
          <w:p w14:paraId="32E8DBB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2016 – 2018</w:t>
            </w:r>
          </w:p>
        </w:tc>
        <w:tc>
          <w:tcPr>
            <w:tcW w:w="521" w:type="dxa"/>
            <w:hideMark/>
          </w:tcPr>
          <w:p w14:paraId="2A40D09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740</w:t>
            </w:r>
          </w:p>
        </w:tc>
        <w:tc>
          <w:tcPr>
            <w:tcW w:w="709" w:type="dxa"/>
            <w:hideMark/>
          </w:tcPr>
          <w:p w14:paraId="138E3E8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hospital inpatients, ≥65 years</w:t>
            </w:r>
          </w:p>
        </w:tc>
        <w:tc>
          <w:tcPr>
            <w:tcW w:w="708" w:type="dxa"/>
            <w:hideMark/>
          </w:tcPr>
          <w:p w14:paraId="530120C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Prospective Cohort</w:t>
            </w:r>
          </w:p>
        </w:tc>
        <w:tc>
          <w:tcPr>
            <w:tcW w:w="1843" w:type="dxa"/>
            <w:hideMark/>
          </w:tcPr>
          <w:p w14:paraId="6D52349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Polypharmacy (79.9%), Frailty (61.8%), Chronic pain, Immobility</w:t>
            </w:r>
          </w:p>
        </w:tc>
        <w:tc>
          <w:tcPr>
            <w:tcW w:w="1020" w:type="dxa"/>
            <w:hideMark/>
          </w:tcPr>
          <w:p w14:paraId="05B7C88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CGA, Charlson Index</w:t>
            </w:r>
          </w:p>
        </w:tc>
        <w:tc>
          <w:tcPr>
            <w:tcW w:w="1842" w:type="dxa"/>
          </w:tcPr>
          <w:p w14:paraId="7695279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HCU:</w:t>
            </w:r>
            <w:r w:rsidRPr="00173249">
              <w:t xml:space="preserve"> </w:t>
            </w:r>
            <w:r w:rsidRPr="00173249">
              <w:rPr>
                <w:rFonts w:ascii="Times New Roman" w:eastAsia="Times New Roman" w:hAnsi="Times New Roman" w:cs="Times New Roman"/>
                <w:kern w:val="0"/>
                <w:sz w:val="18"/>
                <w:szCs w:val="18"/>
                <w:lang w:eastAsia="en-IN"/>
                <w14:ligatures w14:val="none"/>
              </w:rPr>
              <w:t>High utilization observed; 69.6% of participants reported healthcare contact in the previous 3 months.</w:t>
            </w:r>
          </w:p>
        </w:tc>
      </w:tr>
      <w:tr w:rsidR="00173249" w:rsidRPr="00173249" w14:paraId="533287FE"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7E5AB8C5"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30</w:t>
            </w:r>
          </w:p>
        </w:tc>
        <w:tc>
          <w:tcPr>
            <w:tcW w:w="1148" w:type="dxa"/>
            <w:hideMark/>
          </w:tcPr>
          <w:p w14:paraId="796F5C7E" w14:textId="61799A9E"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Brown et al.</w:t>
            </w:r>
          </w:p>
        </w:tc>
        <w:tc>
          <w:tcPr>
            <w:tcW w:w="676" w:type="dxa"/>
            <w:hideMark/>
          </w:tcPr>
          <w:p w14:paraId="403C429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 Health Care Poor</w:t>
            </w:r>
          </w:p>
        </w:tc>
        <w:tc>
          <w:tcPr>
            <w:tcW w:w="636" w:type="dxa"/>
            <w:hideMark/>
          </w:tcPr>
          <w:p w14:paraId="62D3553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2013</w:t>
            </w:r>
          </w:p>
        </w:tc>
        <w:tc>
          <w:tcPr>
            <w:tcW w:w="851" w:type="dxa"/>
            <w:hideMark/>
          </w:tcPr>
          <w:p w14:paraId="607958A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USA (Boston)</w:t>
            </w:r>
          </w:p>
        </w:tc>
        <w:tc>
          <w:tcPr>
            <w:tcW w:w="718" w:type="dxa"/>
            <w:hideMark/>
          </w:tcPr>
          <w:p w14:paraId="2A4ADC8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2008 – 2010</w:t>
            </w:r>
          </w:p>
        </w:tc>
        <w:tc>
          <w:tcPr>
            <w:tcW w:w="521" w:type="dxa"/>
            <w:hideMark/>
          </w:tcPr>
          <w:p w14:paraId="14FBFDE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250</w:t>
            </w:r>
          </w:p>
        </w:tc>
        <w:tc>
          <w:tcPr>
            <w:tcW w:w="709" w:type="dxa"/>
            <w:hideMark/>
          </w:tcPr>
          <w:p w14:paraId="2248DB0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Older homeless, ≥50 years</w:t>
            </w:r>
          </w:p>
        </w:tc>
        <w:tc>
          <w:tcPr>
            <w:tcW w:w="708" w:type="dxa"/>
            <w:hideMark/>
          </w:tcPr>
          <w:p w14:paraId="6007F11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2BB8CCC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Falls (53.4%), Sensory impairment (49.1%), Incontinence (49.6%), Depression (39.8%)</w:t>
            </w:r>
          </w:p>
        </w:tc>
        <w:tc>
          <w:tcPr>
            <w:tcW w:w="1020" w:type="dxa"/>
            <w:hideMark/>
          </w:tcPr>
          <w:p w14:paraId="6B93FA4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MMSE, PHQ-9, Fried Phenotype</w:t>
            </w:r>
          </w:p>
        </w:tc>
        <w:tc>
          <w:tcPr>
            <w:tcW w:w="1842" w:type="dxa"/>
          </w:tcPr>
          <w:p w14:paraId="26F6554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HCU Indirectly assessed via high clinic visits and insurance coverage; no explicit utilization rates reported.</w:t>
            </w:r>
          </w:p>
        </w:tc>
      </w:tr>
      <w:tr w:rsidR="00173249" w:rsidRPr="00173249" w14:paraId="55F47ABF"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5497F722"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31</w:t>
            </w:r>
          </w:p>
        </w:tc>
        <w:tc>
          <w:tcPr>
            <w:tcW w:w="1148" w:type="dxa"/>
            <w:hideMark/>
          </w:tcPr>
          <w:p w14:paraId="64F0C7B7" w14:textId="190105CA"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Huisingh-Scheetz et al</w:t>
            </w:r>
          </w:p>
        </w:tc>
        <w:tc>
          <w:tcPr>
            <w:tcW w:w="676" w:type="dxa"/>
            <w:hideMark/>
          </w:tcPr>
          <w:p w14:paraId="042A94B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J </w:t>
            </w:r>
            <w:proofErr w:type="spellStart"/>
            <w:r w:rsidRPr="00173249">
              <w:rPr>
                <w:rFonts w:ascii="Times New Roman" w:eastAsia="Times New Roman" w:hAnsi="Times New Roman" w:cs="Times New Roman"/>
                <w:kern w:val="0"/>
                <w:sz w:val="18"/>
                <w:szCs w:val="18"/>
                <w:lang w:eastAsia="en-IN"/>
                <w14:ligatures w14:val="none"/>
              </w:rPr>
              <w:t>Gerontol</w:t>
            </w:r>
            <w:proofErr w:type="spellEnd"/>
            <w:r w:rsidRPr="00173249">
              <w:rPr>
                <w:rFonts w:ascii="Times New Roman" w:eastAsia="Times New Roman" w:hAnsi="Times New Roman" w:cs="Times New Roman"/>
                <w:kern w:val="0"/>
                <w:sz w:val="18"/>
                <w:szCs w:val="18"/>
                <w:lang w:eastAsia="en-IN"/>
                <w14:ligatures w14:val="none"/>
              </w:rPr>
              <w:t xml:space="preserve"> B</w:t>
            </w:r>
          </w:p>
        </w:tc>
        <w:tc>
          <w:tcPr>
            <w:tcW w:w="636" w:type="dxa"/>
            <w:hideMark/>
          </w:tcPr>
          <w:p w14:paraId="709722A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2014</w:t>
            </w:r>
          </w:p>
        </w:tc>
        <w:tc>
          <w:tcPr>
            <w:tcW w:w="851" w:type="dxa"/>
            <w:hideMark/>
          </w:tcPr>
          <w:p w14:paraId="7118CD5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USA (National)</w:t>
            </w:r>
          </w:p>
        </w:tc>
        <w:tc>
          <w:tcPr>
            <w:tcW w:w="718" w:type="dxa"/>
            <w:hideMark/>
          </w:tcPr>
          <w:p w14:paraId="5F8A3B7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2005 – 2011</w:t>
            </w:r>
          </w:p>
        </w:tc>
        <w:tc>
          <w:tcPr>
            <w:tcW w:w="521" w:type="dxa"/>
            <w:hideMark/>
          </w:tcPr>
          <w:p w14:paraId="55188C1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3,005</w:t>
            </w:r>
          </w:p>
        </w:tc>
        <w:tc>
          <w:tcPr>
            <w:tcW w:w="709" w:type="dxa"/>
            <w:hideMark/>
          </w:tcPr>
          <w:p w14:paraId="29C22C5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Community-dwelling, 57-85 years</w:t>
            </w:r>
          </w:p>
        </w:tc>
        <w:tc>
          <w:tcPr>
            <w:tcW w:w="708" w:type="dxa"/>
            <w:hideMark/>
          </w:tcPr>
          <w:p w14:paraId="192CAA8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Longitudinal</w:t>
            </w:r>
          </w:p>
        </w:tc>
        <w:tc>
          <w:tcPr>
            <w:tcW w:w="1843" w:type="dxa"/>
            <w:hideMark/>
          </w:tcPr>
          <w:p w14:paraId="6195CB9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Fractures (23.1%), Frailty (11.4%), Falls (9.4%)</w:t>
            </w:r>
          </w:p>
        </w:tc>
        <w:tc>
          <w:tcPr>
            <w:tcW w:w="1020" w:type="dxa"/>
            <w:hideMark/>
          </w:tcPr>
          <w:p w14:paraId="4AB11B1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NSHAP (Modified Fried), ADL</w:t>
            </w:r>
          </w:p>
        </w:tc>
        <w:tc>
          <w:tcPr>
            <w:tcW w:w="1842" w:type="dxa"/>
          </w:tcPr>
          <w:p w14:paraId="0768AE5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30AB2B50"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1F15CE00"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lastRenderedPageBreak/>
              <w:t>32</w:t>
            </w:r>
          </w:p>
        </w:tc>
        <w:tc>
          <w:tcPr>
            <w:tcW w:w="1148" w:type="dxa"/>
            <w:hideMark/>
          </w:tcPr>
          <w:p w14:paraId="228C9CF6" w14:textId="5747E881"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Li et al.</w:t>
            </w:r>
          </w:p>
        </w:tc>
        <w:tc>
          <w:tcPr>
            <w:tcW w:w="676" w:type="dxa"/>
            <w:hideMark/>
          </w:tcPr>
          <w:p w14:paraId="076E3D5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Geriatric Nursing</w:t>
            </w:r>
          </w:p>
        </w:tc>
        <w:tc>
          <w:tcPr>
            <w:tcW w:w="636" w:type="dxa"/>
            <w:hideMark/>
          </w:tcPr>
          <w:p w14:paraId="2B351B3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2025</w:t>
            </w:r>
          </w:p>
        </w:tc>
        <w:tc>
          <w:tcPr>
            <w:tcW w:w="851" w:type="dxa"/>
            <w:hideMark/>
          </w:tcPr>
          <w:p w14:paraId="2F62AFB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Taiwan</w:t>
            </w:r>
          </w:p>
        </w:tc>
        <w:tc>
          <w:tcPr>
            <w:tcW w:w="718" w:type="dxa"/>
            <w:hideMark/>
          </w:tcPr>
          <w:p w14:paraId="77FB5D3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Not reported</w:t>
            </w:r>
          </w:p>
        </w:tc>
        <w:tc>
          <w:tcPr>
            <w:tcW w:w="521" w:type="dxa"/>
            <w:hideMark/>
          </w:tcPr>
          <w:p w14:paraId="0134C6A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386</w:t>
            </w:r>
          </w:p>
        </w:tc>
        <w:tc>
          <w:tcPr>
            <w:tcW w:w="709" w:type="dxa"/>
            <w:hideMark/>
          </w:tcPr>
          <w:p w14:paraId="60B4BD7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 (Daycare), ≥60 years</w:t>
            </w:r>
          </w:p>
        </w:tc>
        <w:tc>
          <w:tcPr>
            <w:tcW w:w="708" w:type="dxa"/>
            <w:hideMark/>
          </w:tcPr>
          <w:p w14:paraId="10D57A2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68BC6CD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Cognitive impairment (43.1%), Malnutrition (35.7%), Frailty (30.4%), Incontinence (29.6%)</w:t>
            </w:r>
          </w:p>
        </w:tc>
        <w:tc>
          <w:tcPr>
            <w:tcW w:w="1020" w:type="dxa"/>
            <w:hideMark/>
          </w:tcPr>
          <w:p w14:paraId="1FA7FD7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MNA, GDS-SF, MMSE, ICIQ-UI SF</w:t>
            </w:r>
          </w:p>
        </w:tc>
        <w:tc>
          <w:tcPr>
            <w:tcW w:w="1842" w:type="dxa"/>
          </w:tcPr>
          <w:p w14:paraId="0AB3D97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Meaning in life" was </w:t>
            </w:r>
            <w:proofErr w:type="spellStart"/>
            <w:r w:rsidRPr="00173249">
              <w:rPr>
                <w:rFonts w:ascii="Times New Roman" w:eastAsia="Times New Roman" w:hAnsi="Times New Roman" w:cs="Times New Roman"/>
                <w:kern w:val="0"/>
                <w:sz w:val="18"/>
                <w:szCs w:val="18"/>
                <w:lang w:eastAsia="en-IN"/>
                <w14:ligatures w14:val="none"/>
              </w:rPr>
              <w:t>analyzed</w:t>
            </w:r>
            <w:proofErr w:type="spellEnd"/>
            <w:r w:rsidRPr="00173249">
              <w:rPr>
                <w:rFonts w:ascii="Times New Roman" w:eastAsia="Times New Roman" w:hAnsi="Times New Roman" w:cs="Times New Roman"/>
                <w:kern w:val="0"/>
                <w:sz w:val="18"/>
                <w:szCs w:val="18"/>
                <w:lang w:eastAsia="en-IN"/>
                <w14:ligatures w14:val="none"/>
              </w:rPr>
              <w:t xml:space="preserve"> as a vital QoL component; syndromes significantly reduced this sense of purpose.</w:t>
            </w:r>
          </w:p>
        </w:tc>
      </w:tr>
      <w:tr w:rsidR="00173249" w:rsidRPr="00173249" w14:paraId="5E7C9F11"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31A9578F"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33</w:t>
            </w:r>
          </w:p>
        </w:tc>
        <w:tc>
          <w:tcPr>
            <w:tcW w:w="1148" w:type="dxa"/>
            <w:hideMark/>
          </w:tcPr>
          <w:p w14:paraId="4890C4F7" w14:textId="72DCA3E3"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Hu et al.</w:t>
            </w:r>
          </w:p>
        </w:tc>
        <w:tc>
          <w:tcPr>
            <w:tcW w:w="676" w:type="dxa"/>
            <w:hideMark/>
          </w:tcPr>
          <w:p w14:paraId="74E1248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Geriatric Nursing</w:t>
            </w:r>
          </w:p>
        </w:tc>
        <w:tc>
          <w:tcPr>
            <w:tcW w:w="636" w:type="dxa"/>
            <w:hideMark/>
          </w:tcPr>
          <w:p w14:paraId="7C431EF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2025</w:t>
            </w:r>
          </w:p>
        </w:tc>
        <w:tc>
          <w:tcPr>
            <w:tcW w:w="851" w:type="dxa"/>
            <w:hideMark/>
          </w:tcPr>
          <w:p w14:paraId="3608C8E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China (Zhejiang)</w:t>
            </w:r>
          </w:p>
        </w:tc>
        <w:tc>
          <w:tcPr>
            <w:tcW w:w="718" w:type="dxa"/>
            <w:hideMark/>
          </w:tcPr>
          <w:p w14:paraId="0A10C6B3" w14:textId="7F02638B" w:rsidR="00173249" w:rsidRPr="00173249" w:rsidRDefault="00D4023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D40239">
              <w:rPr>
                <w:rFonts w:ascii="Times New Roman" w:eastAsia="Times New Roman" w:hAnsi="Times New Roman" w:cs="Times New Roman"/>
                <w:kern w:val="0"/>
                <w:sz w:val="18"/>
                <w:szCs w:val="18"/>
                <w:lang w:eastAsia="en-IN"/>
                <w14:ligatures w14:val="none"/>
              </w:rPr>
              <w:t>1 Sept–31 Dec 2018</w:t>
            </w:r>
          </w:p>
        </w:tc>
        <w:tc>
          <w:tcPr>
            <w:tcW w:w="521" w:type="dxa"/>
            <w:hideMark/>
          </w:tcPr>
          <w:p w14:paraId="40A3870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2,575</w:t>
            </w:r>
          </w:p>
        </w:tc>
        <w:tc>
          <w:tcPr>
            <w:tcW w:w="709" w:type="dxa"/>
            <w:hideMark/>
          </w:tcPr>
          <w:p w14:paraId="5C7F4A9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Community/Institution (Disabled), ≥60 years</w:t>
            </w:r>
          </w:p>
        </w:tc>
        <w:tc>
          <w:tcPr>
            <w:tcW w:w="708" w:type="dxa"/>
            <w:hideMark/>
          </w:tcPr>
          <w:p w14:paraId="1A5D6E2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Network Analysis</w:t>
            </w:r>
          </w:p>
        </w:tc>
        <w:tc>
          <w:tcPr>
            <w:tcW w:w="1843" w:type="dxa"/>
            <w:hideMark/>
          </w:tcPr>
          <w:p w14:paraId="0D57AC3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Chronic pain (Common), Polypharmacy (26-44%)</w:t>
            </w:r>
          </w:p>
        </w:tc>
        <w:tc>
          <w:tcPr>
            <w:tcW w:w="1020" w:type="dxa"/>
            <w:hideMark/>
          </w:tcPr>
          <w:p w14:paraId="77761F2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Self-report, Professional survey</w:t>
            </w:r>
          </w:p>
        </w:tc>
        <w:tc>
          <w:tcPr>
            <w:tcW w:w="1842" w:type="dxa"/>
          </w:tcPr>
          <w:p w14:paraId="09961A5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269DA57C"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6DEF42DD"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34</w:t>
            </w:r>
          </w:p>
        </w:tc>
        <w:tc>
          <w:tcPr>
            <w:tcW w:w="1148" w:type="dxa"/>
            <w:hideMark/>
          </w:tcPr>
          <w:p w14:paraId="0EE50383" w14:textId="24A5750B"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Huang et al.</w:t>
            </w:r>
          </w:p>
        </w:tc>
        <w:tc>
          <w:tcPr>
            <w:tcW w:w="676" w:type="dxa"/>
            <w:hideMark/>
          </w:tcPr>
          <w:p w14:paraId="02C4695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JAMDA</w:t>
            </w:r>
          </w:p>
        </w:tc>
        <w:tc>
          <w:tcPr>
            <w:tcW w:w="636" w:type="dxa"/>
            <w:hideMark/>
          </w:tcPr>
          <w:p w14:paraId="440B1E8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2017</w:t>
            </w:r>
          </w:p>
        </w:tc>
        <w:tc>
          <w:tcPr>
            <w:tcW w:w="851" w:type="dxa"/>
            <w:hideMark/>
          </w:tcPr>
          <w:p w14:paraId="799E0F2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Taiwan</w:t>
            </w:r>
          </w:p>
        </w:tc>
        <w:tc>
          <w:tcPr>
            <w:tcW w:w="718" w:type="dxa"/>
            <w:hideMark/>
          </w:tcPr>
          <w:p w14:paraId="3FB86FA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2003 – 2007</w:t>
            </w:r>
          </w:p>
        </w:tc>
        <w:tc>
          <w:tcPr>
            <w:tcW w:w="521" w:type="dxa"/>
            <w:hideMark/>
          </w:tcPr>
          <w:p w14:paraId="219F8EA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2,744</w:t>
            </w:r>
          </w:p>
        </w:tc>
        <w:tc>
          <w:tcPr>
            <w:tcW w:w="709" w:type="dxa"/>
            <w:hideMark/>
          </w:tcPr>
          <w:p w14:paraId="0130F06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Community-dwelling, ≥65 years</w:t>
            </w:r>
          </w:p>
        </w:tc>
        <w:tc>
          <w:tcPr>
            <w:tcW w:w="708" w:type="dxa"/>
            <w:hideMark/>
          </w:tcPr>
          <w:p w14:paraId="4D83F87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Retrospective Cohort</w:t>
            </w:r>
          </w:p>
        </w:tc>
        <w:tc>
          <w:tcPr>
            <w:tcW w:w="1843" w:type="dxa"/>
            <w:hideMark/>
          </w:tcPr>
          <w:p w14:paraId="5AE08F0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Any syndrome (44.9%), Pain (52.8%), Cognitive impairment (26.3%), Depression (24.8%)</w:t>
            </w:r>
          </w:p>
        </w:tc>
        <w:tc>
          <w:tcPr>
            <w:tcW w:w="1020" w:type="dxa"/>
            <w:hideMark/>
          </w:tcPr>
          <w:p w14:paraId="73DCE18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TLSA Survey, CES-D, SPMSQ</w:t>
            </w:r>
          </w:p>
        </w:tc>
        <w:tc>
          <w:tcPr>
            <w:tcW w:w="1842" w:type="dxa"/>
          </w:tcPr>
          <w:p w14:paraId="7BC3EE6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
        </w:tc>
      </w:tr>
      <w:tr w:rsidR="00173249" w:rsidRPr="00173249" w14:paraId="68B1DCE0"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08E24537"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35</w:t>
            </w:r>
          </w:p>
        </w:tc>
        <w:tc>
          <w:tcPr>
            <w:tcW w:w="1148" w:type="dxa"/>
            <w:hideMark/>
          </w:tcPr>
          <w:p w14:paraId="6B86072D" w14:textId="4E2A8833"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Shyu et al.</w:t>
            </w:r>
          </w:p>
        </w:tc>
        <w:tc>
          <w:tcPr>
            <w:tcW w:w="676" w:type="dxa"/>
            <w:hideMark/>
          </w:tcPr>
          <w:p w14:paraId="0FCE2C0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J </w:t>
            </w:r>
            <w:proofErr w:type="spellStart"/>
            <w:r w:rsidRPr="00173249">
              <w:rPr>
                <w:rFonts w:ascii="Times New Roman" w:eastAsia="Times New Roman" w:hAnsi="Times New Roman" w:cs="Times New Roman"/>
                <w:kern w:val="0"/>
                <w:sz w:val="18"/>
                <w:szCs w:val="18"/>
                <w:lang w:eastAsia="en-IN"/>
                <w14:ligatures w14:val="none"/>
              </w:rPr>
              <w:t>Nutr</w:t>
            </w:r>
            <w:proofErr w:type="spellEnd"/>
            <w:r w:rsidRPr="00173249">
              <w:rPr>
                <w:rFonts w:ascii="Times New Roman" w:eastAsia="Times New Roman" w:hAnsi="Times New Roman" w:cs="Times New Roman"/>
                <w:kern w:val="0"/>
                <w:sz w:val="18"/>
                <w:szCs w:val="18"/>
                <w:lang w:eastAsia="en-IN"/>
                <w14:ligatures w14:val="none"/>
              </w:rPr>
              <w:t xml:space="preserve"> Health Aging</w:t>
            </w:r>
          </w:p>
        </w:tc>
        <w:tc>
          <w:tcPr>
            <w:tcW w:w="636" w:type="dxa"/>
            <w:hideMark/>
          </w:tcPr>
          <w:p w14:paraId="737BEAE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2024</w:t>
            </w:r>
          </w:p>
        </w:tc>
        <w:tc>
          <w:tcPr>
            <w:tcW w:w="851" w:type="dxa"/>
            <w:hideMark/>
          </w:tcPr>
          <w:p w14:paraId="73F04C8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Taiwan</w:t>
            </w:r>
          </w:p>
        </w:tc>
        <w:tc>
          <w:tcPr>
            <w:tcW w:w="718" w:type="dxa"/>
            <w:hideMark/>
          </w:tcPr>
          <w:p w14:paraId="64B4CD5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2018 – 2023</w:t>
            </w:r>
          </w:p>
        </w:tc>
        <w:tc>
          <w:tcPr>
            <w:tcW w:w="521" w:type="dxa"/>
            <w:hideMark/>
          </w:tcPr>
          <w:p w14:paraId="0736EEB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1,141</w:t>
            </w:r>
          </w:p>
        </w:tc>
        <w:tc>
          <w:tcPr>
            <w:tcW w:w="709" w:type="dxa"/>
            <w:hideMark/>
          </w:tcPr>
          <w:p w14:paraId="617056A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Hospitalized older adults, ≥65 years</w:t>
            </w:r>
          </w:p>
        </w:tc>
        <w:tc>
          <w:tcPr>
            <w:tcW w:w="708" w:type="dxa"/>
            <w:hideMark/>
          </w:tcPr>
          <w:p w14:paraId="2DB8B6F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Retrospective</w:t>
            </w:r>
          </w:p>
        </w:tc>
        <w:tc>
          <w:tcPr>
            <w:tcW w:w="1843" w:type="dxa"/>
            <w:hideMark/>
          </w:tcPr>
          <w:p w14:paraId="224FA5A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Frailty (85.2%), Malnutrition risk (78.8%), Low handgrip (69.4%), Cognitive impairment (40.5%)</w:t>
            </w:r>
          </w:p>
        </w:tc>
        <w:tc>
          <w:tcPr>
            <w:tcW w:w="1020" w:type="dxa"/>
            <w:hideMark/>
          </w:tcPr>
          <w:p w14:paraId="6491D60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CGA, EQ-5D, Bedside Oral Exam</w:t>
            </w:r>
          </w:p>
        </w:tc>
        <w:tc>
          <w:tcPr>
            <w:tcW w:w="1842" w:type="dxa"/>
          </w:tcPr>
          <w:p w14:paraId="49CD6BE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QoL: Decreased Quality of Life (lower EQ-5D index and VAS scores</w:t>
            </w:r>
            <w:proofErr w:type="gramStart"/>
            <w:r w:rsidRPr="00173249">
              <w:rPr>
                <w:rFonts w:ascii="Times New Roman" w:eastAsia="Times New Roman" w:hAnsi="Times New Roman" w:cs="Times New Roman"/>
                <w:kern w:val="0"/>
                <w:sz w:val="18"/>
                <w:szCs w:val="18"/>
                <w:lang w:eastAsia="en-IN"/>
                <w14:ligatures w14:val="none"/>
              </w:rPr>
              <w:t>).HCU</w:t>
            </w:r>
            <w:proofErr w:type="gramEnd"/>
            <w:r w:rsidRPr="00173249">
              <w:rPr>
                <w:rFonts w:ascii="Times New Roman" w:eastAsia="Times New Roman" w:hAnsi="Times New Roman" w:cs="Times New Roman"/>
                <w:kern w:val="0"/>
                <w:sz w:val="18"/>
                <w:szCs w:val="18"/>
                <w:lang w:eastAsia="en-IN"/>
                <w14:ligatures w14:val="none"/>
              </w:rPr>
              <w:t xml:space="preserve"> Increased healthcare utilization (prolonged length of stay and higher in-hospital mortality).</w:t>
            </w:r>
          </w:p>
        </w:tc>
      </w:tr>
      <w:tr w:rsidR="00173249" w:rsidRPr="00173249" w14:paraId="48144F1F"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0A737AA9"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36</w:t>
            </w:r>
          </w:p>
        </w:tc>
        <w:tc>
          <w:tcPr>
            <w:tcW w:w="1148" w:type="dxa"/>
            <w:hideMark/>
          </w:tcPr>
          <w:p w14:paraId="0B354D7C" w14:textId="39D9B826"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Cheng et al.</w:t>
            </w:r>
          </w:p>
        </w:tc>
        <w:tc>
          <w:tcPr>
            <w:tcW w:w="676" w:type="dxa"/>
            <w:hideMark/>
          </w:tcPr>
          <w:p w14:paraId="16EA485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Geriatric Nursing</w:t>
            </w:r>
          </w:p>
        </w:tc>
        <w:tc>
          <w:tcPr>
            <w:tcW w:w="636" w:type="dxa"/>
            <w:hideMark/>
          </w:tcPr>
          <w:p w14:paraId="34E6179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2025</w:t>
            </w:r>
          </w:p>
        </w:tc>
        <w:tc>
          <w:tcPr>
            <w:tcW w:w="851" w:type="dxa"/>
            <w:hideMark/>
          </w:tcPr>
          <w:p w14:paraId="7A23912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Australia (Sydney)</w:t>
            </w:r>
          </w:p>
        </w:tc>
        <w:tc>
          <w:tcPr>
            <w:tcW w:w="718" w:type="dxa"/>
            <w:hideMark/>
          </w:tcPr>
          <w:p w14:paraId="4183B5A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Jun – Sep 2023</w:t>
            </w:r>
          </w:p>
        </w:tc>
        <w:tc>
          <w:tcPr>
            <w:tcW w:w="521" w:type="dxa"/>
            <w:hideMark/>
          </w:tcPr>
          <w:p w14:paraId="74DD45B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408</w:t>
            </w:r>
          </w:p>
        </w:tc>
        <w:tc>
          <w:tcPr>
            <w:tcW w:w="709" w:type="dxa"/>
            <w:hideMark/>
          </w:tcPr>
          <w:p w14:paraId="67C9AE6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 ≥60 years</w:t>
            </w:r>
          </w:p>
        </w:tc>
        <w:tc>
          <w:tcPr>
            <w:tcW w:w="708" w:type="dxa"/>
            <w:hideMark/>
          </w:tcPr>
          <w:p w14:paraId="3F35066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70446F5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Depression (34.3%), Cognitive impairment (23.5%), Frailty (16.2%)</w:t>
            </w:r>
          </w:p>
        </w:tc>
        <w:tc>
          <w:tcPr>
            <w:tcW w:w="1020" w:type="dxa"/>
            <w:hideMark/>
          </w:tcPr>
          <w:p w14:paraId="0C70647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AD8, FRAIL Scale, GDS-5</w:t>
            </w:r>
          </w:p>
        </w:tc>
        <w:tc>
          <w:tcPr>
            <w:tcW w:w="1842" w:type="dxa"/>
          </w:tcPr>
          <w:p w14:paraId="4ECA75C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310BB996"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4E2C2237"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37</w:t>
            </w:r>
          </w:p>
        </w:tc>
        <w:tc>
          <w:tcPr>
            <w:tcW w:w="1148" w:type="dxa"/>
            <w:hideMark/>
          </w:tcPr>
          <w:p w14:paraId="0E297C8A" w14:textId="21DA87CA"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She et al.</w:t>
            </w:r>
          </w:p>
        </w:tc>
        <w:tc>
          <w:tcPr>
            <w:tcW w:w="676" w:type="dxa"/>
            <w:hideMark/>
          </w:tcPr>
          <w:p w14:paraId="689B647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JAMDA</w:t>
            </w:r>
          </w:p>
        </w:tc>
        <w:tc>
          <w:tcPr>
            <w:tcW w:w="636" w:type="dxa"/>
            <w:hideMark/>
          </w:tcPr>
          <w:p w14:paraId="2C6A1B1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2019</w:t>
            </w:r>
          </w:p>
        </w:tc>
        <w:tc>
          <w:tcPr>
            <w:tcW w:w="851" w:type="dxa"/>
            <w:hideMark/>
          </w:tcPr>
          <w:p w14:paraId="7D9F51B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China (Shandong)</w:t>
            </w:r>
          </w:p>
        </w:tc>
        <w:tc>
          <w:tcPr>
            <w:tcW w:w="718" w:type="dxa"/>
            <w:hideMark/>
          </w:tcPr>
          <w:p w14:paraId="640E06E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2014 – 2016</w:t>
            </w:r>
          </w:p>
        </w:tc>
        <w:tc>
          <w:tcPr>
            <w:tcW w:w="521" w:type="dxa"/>
            <w:hideMark/>
          </w:tcPr>
          <w:p w14:paraId="092BEC3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1,497</w:t>
            </w:r>
          </w:p>
        </w:tc>
        <w:tc>
          <w:tcPr>
            <w:tcW w:w="709" w:type="dxa"/>
            <w:hideMark/>
          </w:tcPr>
          <w:p w14:paraId="7510DB9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Mixed setting (Urban and </w:t>
            </w:r>
            <w:proofErr w:type="gramStart"/>
            <w:r w:rsidRPr="00173249">
              <w:rPr>
                <w:rFonts w:ascii="Times New Roman" w:eastAsia="Times New Roman" w:hAnsi="Times New Roman" w:cs="Times New Roman"/>
                <w:kern w:val="0"/>
                <w:sz w:val="18"/>
                <w:szCs w:val="18"/>
                <w:lang w:eastAsia="en-IN"/>
                <w14:ligatures w14:val="none"/>
              </w:rPr>
              <w:t>Rural)community</w:t>
            </w:r>
            <w:proofErr w:type="gramEnd"/>
            <w:r w:rsidRPr="00173249">
              <w:rPr>
                <w:rFonts w:ascii="Times New Roman" w:eastAsia="Times New Roman" w:hAnsi="Times New Roman" w:cs="Times New Roman"/>
                <w:kern w:val="0"/>
                <w:sz w:val="18"/>
                <w:szCs w:val="18"/>
                <w:lang w:eastAsia="en-IN"/>
                <w14:ligatures w14:val="none"/>
              </w:rPr>
              <w:t>, ≥60 years</w:t>
            </w:r>
          </w:p>
        </w:tc>
        <w:tc>
          <w:tcPr>
            <w:tcW w:w="708" w:type="dxa"/>
            <w:hideMark/>
          </w:tcPr>
          <w:p w14:paraId="22C4BD6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70A3871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Multimorbidity (68.9%), Functional dependence (22.5%), Depressive symptoms (17.8%)</w:t>
            </w:r>
          </w:p>
        </w:tc>
        <w:tc>
          <w:tcPr>
            <w:tcW w:w="1020" w:type="dxa"/>
            <w:hideMark/>
          </w:tcPr>
          <w:p w14:paraId="4C815EC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GDS-15, EQ-5D-3L</w:t>
            </w:r>
          </w:p>
        </w:tc>
        <w:tc>
          <w:tcPr>
            <w:tcW w:w="1842" w:type="dxa"/>
          </w:tcPr>
          <w:p w14:paraId="1A1EF78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QoL: Decreased Quality of Life (lower SF-12 scores). Functional dependence and depression were identified as key mediators worsening QoL</w:t>
            </w:r>
          </w:p>
        </w:tc>
      </w:tr>
      <w:tr w:rsidR="00627509" w:rsidRPr="00173249" w14:paraId="0724B2BA"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tcPr>
          <w:p w14:paraId="604FCD1D" w14:textId="7E175B34" w:rsidR="00627509" w:rsidRPr="00173249" w:rsidRDefault="00627509" w:rsidP="00173249">
            <w:pPr>
              <w:rPr>
                <w:rFonts w:ascii="Times New Roman" w:eastAsia="Times New Roman" w:hAnsi="Times New Roman" w:cs="Times New Roman"/>
                <w:kern w:val="0"/>
                <w:sz w:val="18"/>
                <w:szCs w:val="18"/>
                <w:lang w:eastAsia="en-IN"/>
                <w14:ligatures w14:val="none"/>
              </w:rPr>
            </w:pPr>
            <w:r>
              <w:rPr>
                <w:rFonts w:ascii="Times New Roman" w:eastAsia="Times New Roman" w:hAnsi="Times New Roman" w:cs="Times New Roman"/>
                <w:kern w:val="0"/>
                <w:sz w:val="18"/>
                <w:szCs w:val="18"/>
                <w:lang w:eastAsia="en-IN"/>
                <w14:ligatures w14:val="none"/>
              </w:rPr>
              <w:t>38</w:t>
            </w:r>
          </w:p>
        </w:tc>
        <w:tc>
          <w:tcPr>
            <w:tcW w:w="1148" w:type="dxa"/>
          </w:tcPr>
          <w:p w14:paraId="707CC54C" w14:textId="5282E796" w:rsidR="00627509" w:rsidRPr="00173249" w:rsidRDefault="0062750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627509">
              <w:rPr>
                <w:rFonts w:ascii="Times New Roman" w:eastAsia="Times New Roman" w:hAnsi="Times New Roman" w:cs="Times New Roman"/>
                <w:kern w:val="0"/>
                <w:sz w:val="18"/>
                <w:szCs w:val="18"/>
                <w:lang w:eastAsia="en-IN"/>
                <w14:ligatures w14:val="none"/>
              </w:rPr>
              <w:t>Chen et al. (2021)</w:t>
            </w:r>
          </w:p>
        </w:tc>
        <w:tc>
          <w:tcPr>
            <w:tcW w:w="676" w:type="dxa"/>
          </w:tcPr>
          <w:p w14:paraId="7DA9E6CC" w14:textId="7A04C196" w:rsidR="00627509" w:rsidRPr="00173249" w:rsidRDefault="0062750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627509">
              <w:rPr>
                <w:rFonts w:ascii="Times New Roman" w:eastAsia="Times New Roman" w:hAnsi="Times New Roman" w:cs="Times New Roman"/>
                <w:kern w:val="0"/>
                <w:sz w:val="18"/>
                <w:szCs w:val="18"/>
                <w:lang w:eastAsia="en-IN"/>
                <w14:ligatures w14:val="none"/>
              </w:rPr>
              <w:t>The Journal of Nutrition, Health &amp; Aging</w:t>
            </w:r>
          </w:p>
        </w:tc>
        <w:tc>
          <w:tcPr>
            <w:tcW w:w="636" w:type="dxa"/>
          </w:tcPr>
          <w:p w14:paraId="7A08196A" w14:textId="74F392DD" w:rsidR="00627509" w:rsidRPr="00173249" w:rsidRDefault="0062750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627509">
              <w:rPr>
                <w:rFonts w:ascii="Times New Roman" w:eastAsia="Times New Roman" w:hAnsi="Times New Roman" w:cs="Times New Roman"/>
                <w:kern w:val="0"/>
                <w:sz w:val="18"/>
                <w:szCs w:val="18"/>
                <w:lang w:eastAsia="en-IN"/>
                <w14:ligatures w14:val="none"/>
              </w:rPr>
              <w:t>2021</w:t>
            </w:r>
          </w:p>
        </w:tc>
        <w:tc>
          <w:tcPr>
            <w:tcW w:w="851" w:type="dxa"/>
          </w:tcPr>
          <w:p w14:paraId="23C3FAB6" w14:textId="51A015A9" w:rsidR="00627509" w:rsidRPr="00173249" w:rsidRDefault="0062750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627509">
              <w:rPr>
                <w:rFonts w:ascii="Times New Roman" w:eastAsia="Times New Roman" w:hAnsi="Times New Roman" w:cs="Times New Roman"/>
                <w:kern w:val="0"/>
                <w:sz w:val="18"/>
                <w:szCs w:val="18"/>
                <w:lang w:eastAsia="en-IN"/>
                <w14:ligatures w14:val="none"/>
              </w:rPr>
              <w:t>Singapore; community-based HOPE cohort</w:t>
            </w:r>
          </w:p>
        </w:tc>
        <w:tc>
          <w:tcPr>
            <w:tcW w:w="718" w:type="dxa"/>
          </w:tcPr>
          <w:p w14:paraId="3075CDB1" w14:textId="77777777" w:rsidR="00627509" w:rsidRPr="00173249" w:rsidRDefault="0062750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
        </w:tc>
        <w:tc>
          <w:tcPr>
            <w:tcW w:w="521" w:type="dxa"/>
          </w:tcPr>
          <w:p w14:paraId="3260D445" w14:textId="2D2F66F8" w:rsidR="00627509" w:rsidRPr="00173249" w:rsidRDefault="0062750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627509">
              <w:rPr>
                <w:rFonts w:ascii="Times New Roman" w:eastAsia="Times New Roman" w:hAnsi="Times New Roman" w:cs="Times New Roman"/>
                <w:kern w:val="0"/>
                <w:sz w:val="18"/>
                <w:szCs w:val="18"/>
                <w:lang w:eastAsia="en-IN"/>
                <w14:ligatures w14:val="none"/>
              </w:rPr>
              <w:t>292</w:t>
            </w:r>
          </w:p>
        </w:tc>
        <w:tc>
          <w:tcPr>
            <w:tcW w:w="709" w:type="dxa"/>
          </w:tcPr>
          <w:p w14:paraId="78956F0C" w14:textId="77777777" w:rsidR="00627509" w:rsidRDefault="0062750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
          <w:p w14:paraId="47BC3428" w14:textId="460FF8B9" w:rsidR="00627509" w:rsidRPr="00627509" w:rsidRDefault="00627509" w:rsidP="006275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IN"/>
              </w:rPr>
            </w:pPr>
            <w:r w:rsidRPr="00627509">
              <w:rPr>
                <w:rFonts w:ascii="Times New Roman" w:eastAsia="Times New Roman" w:hAnsi="Times New Roman" w:cs="Times New Roman"/>
                <w:sz w:val="18"/>
                <w:szCs w:val="18"/>
                <w:lang w:eastAsia="en-IN"/>
              </w:rPr>
              <w:t>Community-dwelling older adults with metabolic syndrome, aged ≥65 years</w:t>
            </w:r>
          </w:p>
        </w:tc>
        <w:tc>
          <w:tcPr>
            <w:tcW w:w="708" w:type="dxa"/>
          </w:tcPr>
          <w:p w14:paraId="1A29BB40" w14:textId="35A46415" w:rsidR="00627509" w:rsidRPr="00173249" w:rsidRDefault="0062750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627509">
              <w:rPr>
                <w:rFonts w:ascii="Times New Roman" w:eastAsia="Times New Roman" w:hAnsi="Times New Roman" w:cs="Times New Roman"/>
                <w:kern w:val="0"/>
                <w:sz w:val="18"/>
                <w:szCs w:val="18"/>
                <w:lang w:eastAsia="en-IN"/>
                <w14:ligatures w14:val="none"/>
              </w:rPr>
              <w:t>Cross-sectional population study</w:t>
            </w:r>
          </w:p>
        </w:tc>
        <w:tc>
          <w:tcPr>
            <w:tcW w:w="1843" w:type="dxa"/>
          </w:tcPr>
          <w:p w14:paraId="4E013C1F" w14:textId="4F996F7E" w:rsidR="00627509" w:rsidRPr="00173249" w:rsidRDefault="0062750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627509">
              <w:rPr>
                <w:rFonts w:ascii="Times New Roman" w:eastAsia="Times New Roman" w:hAnsi="Times New Roman" w:cs="Times New Roman"/>
                <w:kern w:val="0"/>
                <w:sz w:val="18"/>
                <w:szCs w:val="18"/>
                <w:lang w:eastAsia="en-IN"/>
                <w14:ligatures w14:val="none"/>
              </w:rPr>
              <w:t>Pre-frailty: 40.4%; frailty: 7.2%; depressive symptoms: 4.1%</w:t>
            </w:r>
          </w:p>
        </w:tc>
        <w:tc>
          <w:tcPr>
            <w:tcW w:w="1020" w:type="dxa"/>
          </w:tcPr>
          <w:p w14:paraId="206C621B" w14:textId="6A2A1F2F" w:rsidR="00627509" w:rsidRPr="00173249" w:rsidRDefault="0062750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627509">
              <w:rPr>
                <w:rFonts w:ascii="Times New Roman" w:eastAsia="Times New Roman" w:hAnsi="Times New Roman" w:cs="Times New Roman"/>
                <w:kern w:val="0"/>
                <w:sz w:val="18"/>
                <w:szCs w:val="18"/>
                <w:lang w:eastAsia="en-IN"/>
                <w14:ligatures w14:val="none"/>
              </w:rPr>
              <w:t>FRAIL scale, EQ-5D, functional assessment, Timed Up and Go, and hand-grip strength</w:t>
            </w:r>
          </w:p>
        </w:tc>
        <w:tc>
          <w:tcPr>
            <w:tcW w:w="1842" w:type="dxa"/>
          </w:tcPr>
          <w:p w14:paraId="78FC6E69" w14:textId="6BB7ED1F" w:rsidR="00627509" w:rsidRPr="00173249" w:rsidRDefault="0062750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627509">
              <w:rPr>
                <w:rFonts w:ascii="Times New Roman" w:eastAsia="Times New Roman" w:hAnsi="Times New Roman" w:cs="Times New Roman"/>
                <w:kern w:val="0"/>
                <w:sz w:val="18"/>
                <w:szCs w:val="18"/>
                <w:lang w:eastAsia="en-IN"/>
                <w14:ligatures w14:val="none"/>
              </w:rPr>
              <w:t>Frailty was associated with poorer EQ-5D mobility, usual activities and pain scores, as well as poorer perceived health. HCU was not reported.</w:t>
            </w:r>
          </w:p>
        </w:tc>
      </w:tr>
      <w:tr w:rsidR="00173249" w:rsidRPr="00173249" w14:paraId="3D071668"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5BB9376D"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39</w:t>
            </w:r>
          </w:p>
        </w:tc>
        <w:tc>
          <w:tcPr>
            <w:tcW w:w="1148" w:type="dxa"/>
            <w:hideMark/>
          </w:tcPr>
          <w:p w14:paraId="6B9041E3" w14:textId="7F824D73" w:rsidR="00173249" w:rsidRPr="00173249" w:rsidRDefault="0056505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56505A">
              <w:rPr>
                <w:rFonts w:ascii="Times New Roman" w:eastAsia="Times New Roman" w:hAnsi="Times New Roman" w:cs="Times New Roman"/>
                <w:kern w:val="0"/>
                <w:sz w:val="18"/>
                <w:szCs w:val="18"/>
                <w:lang w:eastAsia="en-IN"/>
                <w14:ligatures w14:val="none"/>
              </w:rPr>
              <w:t>Noguchi N</w:t>
            </w:r>
            <w:r>
              <w:rPr>
                <w:rFonts w:ascii="Times New Roman" w:eastAsia="Times New Roman" w:hAnsi="Times New Roman" w:cs="Times New Roman"/>
                <w:kern w:val="0"/>
                <w:sz w:val="18"/>
                <w:szCs w:val="18"/>
                <w:lang w:eastAsia="en-IN"/>
                <w14:ligatures w14:val="none"/>
              </w:rPr>
              <w:t xml:space="preserve"> </w:t>
            </w:r>
            <w:r w:rsidR="00173249" w:rsidRPr="00173249">
              <w:rPr>
                <w:rFonts w:ascii="Times New Roman" w:eastAsia="Times New Roman" w:hAnsi="Times New Roman" w:cs="Times New Roman"/>
                <w:kern w:val="0"/>
                <w:sz w:val="18"/>
                <w:szCs w:val="18"/>
                <w:lang w:eastAsia="en-IN"/>
                <w14:ligatures w14:val="none"/>
              </w:rPr>
              <w:t>et al.</w:t>
            </w:r>
          </w:p>
        </w:tc>
        <w:tc>
          <w:tcPr>
            <w:tcW w:w="676" w:type="dxa"/>
            <w:hideMark/>
          </w:tcPr>
          <w:p w14:paraId="183C93E2" w14:textId="2382D189" w:rsidR="00173249" w:rsidRPr="00173249" w:rsidRDefault="0056505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56505A">
              <w:rPr>
                <w:rFonts w:ascii="Times New Roman" w:eastAsia="Times New Roman" w:hAnsi="Times New Roman" w:cs="Times New Roman"/>
                <w:kern w:val="0"/>
                <w:sz w:val="18"/>
                <w:szCs w:val="18"/>
                <w:lang w:eastAsia="en-IN"/>
                <w14:ligatures w14:val="none"/>
              </w:rPr>
              <w:t>Australasian Journal on Ageing</w:t>
            </w:r>
          </w:p>
        </w:tc>
        <w:tc>
          <w:tcPr>
            <w:tcW w:w="636" w:type="dxa"/>
            <w:hideMark/>
          </w:tcPr>
          <w:p w14:paraId="670206A9" w14:textId="3E2507ED"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w:t>
            </w:r>
            <w:r w:rsidR="0056505A">
              <w:rPr>
                <w:rFonts w:ascii="Times New Roman" w:eastAsia="Times New Roman" w:hAnsi="Times New Roman" w:cs="Times New Roman"/>
                <w:kern w:val="0"/>
                <w:sz w:val="18"/>
                <w:szCs w:val="18"/>
                <w:lang w:eastAsia="en-IN"/>
                <w14:ligatures w14:val="none"/>
              </w:rPr>
              <w:t>16</w:t>
            </w:r>
          </w:p>
        </w:tc>
        <w:tc>
          <w:tcPr>
            <w:tcW w:w="851" w:type="dxa"/>
            <w:hideMark/>
          </w:tcPr>
          <w:p w14:paraId="53C67F20" w14:textId="2BE32FD8" w:rsidR="00173249" w:rsidRPr="00173249" w:rsidRDefault="0056505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56505A">
              <w:rPr>
                <w:rFonts w:ascii="Times New Roman" w:eastAsia="Times New Roman" w:hAnsi="Times New Roman" w:cs="Times New Roman"/>
                <w:kern w:val="0"/>
                <w:sz w:val="18"/>
                <w:szCs w:val="18"/>
                <w:lang w:eastAsia="en-IN"/>
                <w14:ligatures w14:val="none"/>
              </w:rPr>
              <w:t>Sydney, Australia)</w:t>
            </w:r>
          </w:p>
        </w:tc>
        <w:tc>
          <w:tcPr>
            <w:tcW w:w="718" w:type="dxa"/>
            <w:hideMark/>
          </w:tcPr>
          <w:p w14:paraId="0107C087" w14:textId="218CDB32"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w:t>
            </w:r>
            <w:r w:rsidR="0056505A">
              <w:rPr>
                <w:rFonts w:ascii="Times New Roman" w:eastAsia="Times New Roman" w:hAnsi="Times New Roman" w:cs="Times New Roman"/>
                <w:kern w:val="0"/>
                <w:sz w:val="18"/>
                <w:szCs w:val="18"/>
                <w:lang w:eastAsia="en-IN"/>
                <w14:ligatures w14:val="none"/>
              </w:rPr>
              <w:t>05-07</w:t>
            </w:r>
          </w:p>
        </w:tc>
        <w:tc>
          <w:tcPr>
            <w:tcW w:w="521" w:type="dxa"/>
            <w:hideMark/>
          </w:tcPr>
          <w:p w14:paraId="21719C9D" w14:textId="18D55404" w:rsidR="00173249" w:rsidRPr="00173249" w:rsidRDefault="0056505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Pr>
                <w:rFonts w:ascii="Times New Roman" w:eastAsia="Times New Roman" w:hAnsi="Times New Roman" w:cs="Times New Roman"/>
                <w:kern w:val="0"/>
                <w:sz w:val="18"/>
                <w:szCs w:val="18"/>
                <w:lang w:eastAsia="en-IN"/>
                <w14:ligatures w14:val="none"/>
              </w:rPr>
              <w:t>1705</w:t>
            </w:r>
          </w:p>
        </w:tc>
        <w:tc>
          <w:tcPr>
            <w:tcW w:w="709" w:type="dxa"/>
            <w:hideMark/>
          </w:tcPr>
          <w:p w14:paraId="1E91F4E7" w14:textId="11FCCBF9" w:rsidR="00173249" w:rsidRPr="00173249" w:rsidRDefault="0056505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56505A">
              <w:rPr>
                <w:rFonts w:ascii="Times New Roman" w:eastAsia="Times New Roman" w:hAnsi="Times New Roman" w:cs="Times New Roman"/>
                <w:kern w:val="0"/>
                <w:sz w:val="18"/>
                <w:szCs w:val="18"/>
                <w:lang w:eastAsia="en-IN"/>
                <w14:ligatures w14:val="none"/>
              </w:rPr>
              <w:t xml:space="preserve">Community-dwelling </w:t>
            </w:r>
            <w:r w:rsidRPr="0056505A">
              <w:rPr>
                <w:rFonts w:ascii="Times New Roman" w:eastAsia="Times New Roman" w:hAnsi="Times New Roman" w:cs="Times New Roman"/>
                <w:b/>
                <w:bCs/>
                <w:kern w:val="0"/>
                <w:sz w:val="18"/>
                <w:szCs w:val="18"/>
                <w:lang w:eastAsia="en-IN"/>
                <w14:ligatures w14:val="none"/>
              </w:rPr>
              <w:t>men</w:t>
            </w:r>
            <w:r w:rsidRPr="0056505A">
              <w:rPr>
                <w:rFonts w:ascii="Times New Roman" w:eastAsia="Times New Roman" w:hAnsi="Times New Roman" w:cs="Times New Roman"/>
                <w:kern w:val="0"/>
                <w:sz w:val="18"/>
                <w:szCs w:val="18"/>
                <w:lang w:eastAsia="en-IN"/>
                <w14:ligatures w14:val="none"/>
              </w:rPr>
              <w:t xml:space="preserve">, aged </w:t>
            </w:r>
            <w:r w:rsidRPr="0056505A">
              <w:rPr>
                <w:rFonts w:ascii="Times New Roman" w:eastAsia="Times New Roman" w:hAnsi="Times New Roman" w:cs="Times New Roman"/>
                <w:b/>
                <w:bCs/>
                <w:kern w:val="0"/>
                <w:sz w:val="18"/>
                <w:szCs w:val="18"/>
                <w:lang w:eastAsia="en-IN"/>
                <w14:ligatures w14:val="none"/>
              </w:rPr>
              <w:t>≥70 years</w:t>
            </w:r>
          </w:p>
        </w:tc>
        <w:tc>
          <w:tcPr>
            <w:tcW w:w="708" w:type="dxa"/>
            <w:hideMark/>
          </w:tcPr>
          <w:p w14:paraId="606CF3EE" w14:textId="2B58443E" w:rsidR="00173249" w:rsidRPr="00173249" w:rsidRDefault="0056505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56505A">
              <w:rPr>
                <w:rFonts w:ascii="Times New Roman" w:eastAsia="Times New Roman" w:hAnsi="Times New Roman" w:cs="Times New Roman"/>
                <w:kern w:val="0"/>
                <w:sz w:val="18"/>
                <w:szCs w:val="18"/>
                <w:lang w:eastAsia="en-IN"/>
                <w14:ligatures w14:val="none"/>
              </w:rPr>
              <w:t xml:space="preserve">Cross-sectional analysis of the CHAMP cohort </w:t>
            </w:r>
            <w:r w:rsidRPr="0056505A">
              <w:rPr>
                <w:rFonts w:ascii="Times New Roman" w:eastAsia="Times New Roman" w:hAnsi="Times New Roman" w:cs="Times New Roman"/>
                <w:kern w:val="0"/>
                <w:sz w:val="18"/>
                <w:szCs w:val="18"/>
                <w:lang w:eastAsia="en-IN"/>
                <w14:ligatures w14:val="none"/>
              </w:rPr>
              <w:lastRenderedPageBreak/>
              <w:t>(baseline)</w:t>
            </w:r>
          </w:p>
        </w:tc>
        <w:tc>
          <w:tcPr>
            <w:tcW w:w="1843" w:type="dxa"/>
            <w:hideMark/>
          </w:tcPr>
          <w:p w14:paraId="4ED6E7E2" w14:textId="52F3C9FA" w:rsidR="00173249" w:rsidRPr="00173249" w:rsidRDefault="0056505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56505A">
              <w:rPr>
                <w:rFonts w:ascii="Times New Roman" w:eastAsia="Times New Roman" w:hAnsi="Times New Roman" w:cs="Times New Roman"/>
                <w:kern w:val="0"/>
                <w:sz w:val="18"/>
                <w:szCs w:val="18"/>
                <w:lang w:eastAsia="en-IN"/>
                <w14:ligatures w14:val="none"/>
              </w:rPr>
              <w:lastRenderedPageBreak/>
              <w:t xml:space="preserve">Frailty (CHS/Fried phenotype) 9.5%; pre-frailty 40.7%; Frailty Index-defined frailty (≥0.25) 23.1%; multimorbidity 69.3%; polypharmacy 37.7%; IADL dependence 23.7%; recurrent falls 8.5%; </w:t>
            </w:r>
            <w:r w:rsidRPr="0056505A">
              <w:rPr>
                <w:rFonts w:ascii="Times New Roman" w:eastAsia="Times New Roman" w:hAnsi="Times New Roman" w:cs="Times New Roman"/>
                <w:kern w:val="0"/>
                <w:sz w:val="18"/>
                <w:szCs w:val="18"/>
                <w:lang w:eastAsia="en-IN"/>
                <w14:ligatures w14:val="none"/>
              </w:rPr>
              <w:lastRenderedPageBreak/>
              <w:t>urinary incontinence 7.2%; dementia 5.5%; poor mobility 5.8%.</w:t>
            </w:r>
          </w:p>
        </w:tc>
        <w:tc>
          <w:tcPr>
            <w:tcW w:w="1020" w:type="dxa"/>
            <w:hideMark/>
          </w:tcPr>
          <w:p w14:paraId="258AB959" w14:textId="5114865C" w:rsidR="00173249" w:rsidRPr="00173249" w:rsidRDefault="0056505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56505A">
              <w:rPr>
                <w:rFonts w:ascii="Times New Roman" w:eastAsia="Times New Roman" w:hAnsi="Times New Roman" w:cs="Times New Roman"/>
                <w:kern w:val="0"/>
                <w:sz w:val="18"/>
                <w:szCs w:val="18"/>
                <w:lang w:eastAsia="en-IN"/>
                <w14:ligatures w14:val="none"/>
              </w:rPr>
              <w:lastRenderedPageBreak/>
              <w:t>CHS/Fried phenotype and Frailty Index (Rockwood); Falls</w:t>
            </w:r>
            <w:r w:rsidR="0062479D">
              <w:rPr>
                <w:rFonts w:ascii="Times New Roman" w:eastAsia="Times New Roman" w:hAnsi="Times New Roman" w:cs="Times New Roman"/>
                <w:kern w:val="0"/>
                <w:sz w:val="18"/>
                <w:szCs w:val="18"/>
                <w:lang w:eastAsia="en-IN"/>
                <w14:ligatures w14:val="none"/>
              </w:rPr>
              <w:t>-</w:t>
            </w:r>
            <w:r w:rsidRPr="0056505A">
              <w:rPr>
                <w:rFonts w:ascii="Times New Roman" w:eastAsia="Times New Roman" w:hAnsi="Times New Roman" w:cs="Times New Roman"/>
                <w:kern w:val="0"/>
                <w:sz w:val="18"/>
                <w:szCs w:val="18"/>
                <w:lang w:eastAsia="en-IN"/>
                <w14:ligatures w14:val="none"/>
              </w:rPr>
              <w:t xml:space="preserve"> self-report (≥2 falls/year); Incontinen</w:t>
            </w:r>
            <w:r w:rsidRPr="0056505A">
              <w:rPr>
                <w:rFonts w:ascii="Times New Roman" w:eastAsia="Times New Roman" w:hAnsi="Times New Roman" w:cs="Times New Roman"/>
                <w:kern w:val="0"/>
                <w:sz w:val="18"/>
                <w:szCs w:val="18"/>
                <w:lang w:eastAsia="en-IN"/>
                <w14:ligatures w14:val="none"/>
              </w:rPr>
              <w:lastRenderedPageBreak/>
              <w:t xml:space="preserve">ce </w:t>
            </w:r>
            <w:r w:rsidR="0062479D">
              <w:rPr>
                <w:rFonts w:ascii="Times New Roman" w:eastAsia="Times New Roman" w:hAnsi="Times New Roman" w:cs="Times New Roman"/>
                <w:kern w:val="0"/>
                <w:sz w:val="18"/>
                <w:szCs w:val="18"/>
                <w:lang w:eastAsia="en-IN"/>
                <w14:ligatures w14:val="none"/>
              </w:rPr>
              <w:t>-</w:t>
            </w:r>
            <w:r w:rsidRPr="0056505A">
              <w:rPr>
                <w:rFonts w:ascii="Times New Roman" w:eastAsia="Times New Roman" w:hAnsi="Times New Roman" w:cs="Times New Roman"/>
                <w:kern w:val="0"/>
                <w:sz w:val="18"/>
                <w:szCs w:val="18"/>
                <w:lang w:eastAsia="en-IN"/>
                <w14:ligatures w14:val="none"/>
              </w:rPr>
              <w:t>ICIQ; Dementia</w:t>
            </w:r>
            <w:r w:rsidR="0062479D">
              <w:rPr>
                <w:rFonts w:ascii="Times New Roman" w:eastAsia="Times New Roman" w:hAnsi="Times New Roman" w:cs="Times New Roman"/>
                <w:kern w:val="0"/>
                <w:sz w:val="18"/>
                <w:szCs w:val="18"/>
                <w:lang w:eastAsia="en-IN"/>
                <w14:ligatures w14:val="none"/>
              </w:rPr>
              <w:t>-</w:t>
            </w:r>
            <w:r w:rsidRPr="0056505A">
              <w:rPr>
                <w:rFonts w:ascii="Times New Roman" w:eastAsia="Times New Roman" w:hAnsi="Times New Roman" w:cs="Times New Roman"/>
                <w:kern w:val="0"/>
                <w:sz w:val="18"/>
                <w:szCs w:val="18"/>
                <w:lang w:eastAsia="en-IN"/>
                <w14:ligatures w14:val="none"/>
              </w:rPr>
              <w:t>clinical/standardised diagnosis; Mobility</w:t>
            </w:r>
            <w:r w:rsidR="0062479D">
              <w:rPr>
                <w:rFonts w:ascii="Times New Roman" w:eastAsia="Times New Roman" w:hAnsi="Times New Roman" w:cs="Times New Roman"/>
                <w:kern w:val="0"/>
                <w:sz w:val="18"/>
                <w:szCs w:val="18"/>
                <w:lang w:eastAsia="en-IN"/>
                <w14:ligatures w14:val="none"/>
              </w:rPr>
              <w:t>-</w:t>
            </w:r>
            <w:r w:rsidRPr="0056505A">
              <w:rPr>
                <w:rFonts w:ascii="Times New Roman" w:eastAsia="Times New Roman" w:hAnsi="Times New Roman" w:cs="Times New Roman"/>
                <w:kern w:val="0"/>
                <w:sz w:val="18"/>
                <w:szCs w:val="18"/>
                <w:lang w:eastAsia="en-IN"/>
                <w14:ligatures w14:val="none"/>
              </w:rPr>
              <w:t xml:space="preserve"> needing help walking; Polypharmacy </w:t>
            </w:r>
            <w:r w:rsidR="0062479D">
              <w:rPr>
                <w:rFonts w:ascii="Times New Roman" w:eastAsia="Times New Roman" w:hAnsi="Times New Roman" w:cs="Times New Roman"/>
                <w:kern w:val="0"/>
                <w:sz w:val="18"/>
                <w:szCs w:val="18"/>
                <w:lang w:eastAsia="en-IN"/>
                <w14:ligatures w14:val="none"/>
              </w:rPr>
              <w:t>-</w:t>
            </w:r>
            <w:r w:rsidRPr="0056505A">
              <w:rPr>
                <w:rFonts w:ascii="Times New Roman" w:eastAsia="Times New Roman" w:hAnsi="Times New Roman" w:cs="Times New Roman"/>
                <w:kern w:val="0"/>
                <w:sz w:val="18"/>
                <w:szCs w:val="18"/>
                <w:lang w:eastAsia="en-IN"/>
                <w14:ligatures w14:val="none"/>
              </w:rPr>
              <w:t xml:space="preserve">≥5 medications; </w:t>
            </w:r>
            <w:proofErr w:type="spellStart"/>
            <w:r w:rsidRPr="0056505A">
              <w:rPr>
                <w:rFonts w:ascii="Times New Roman" w:eastAsia="Times New Roman" w:hAnsi="Times New Roman" w:cs="Times New Roman"/>
                <w:kern w:val="0"/>
                <w:sz w:val="18"/>
                <w:szCs w:val="18"/>
                <w:lang w:eastAsia="en-IN"/>
                <w14:ligatures w14:val="none"/>
              </w:rPr>
              <w:t>FunctionIADL</w:t>
            </w:r>
            <w:proofErr w:type="spellEnd"/>
            <w:r w:rsidRPr="0056505A">
              <w:rPr>
                <w:rFonts w:ascii="Times New Roman" w:eastAsia="Times New Roman" w:hAnsi="Times New Roman" w:cs="Times New Roman"/>
                <w:kern w:val="0"/>
                <w:sz w:val="18"/>
                <w:szCs w:val="18"/>
                <w:lang w:eastAsia="en-IN"/>
                <w14:ligatures w14:val="none"/>
              </w:rPr>
              <w:t xml:space="preserve"> scale; Physical activity</w:t>
            </w:r>
            <w:r w:rsidR="0062479D">
              <w:rPr>
                <w:rFonts w:ascii="Times New Roman" w:eastAsia="Times New Roman" w:hAnsi="Times New Roman" w:cs="Times New Roman"/>
                <w:kern w:val="0"/>
                <w:sz w:val="18"/>
                <w:szCs w:val="18"/>
                <w:lang w:eastAsia="en-IN"/>
                <w14:ligatures w14:val="none"/>
              </w:rPr>
              <w:t>-</w:t>
            </w:r>
            <w:r w:rsidRPr="0056505A">
              <w:rPr>
                <w:rFonts w:ascii="Times New Roman" w:eastAsia="Times New Roman" w:hAnsi="Times New Roman" w:cs="Times New Roman"/>
                <w:kern w:val="0"/>
                <w:sz w:val="18"/>
                <w:szCs w:val="18"/>
                <w:lang w:eastAsia="en-IN"/>
                <w14:ligatures w14:val="none"/>
              </w:rPr>
              <w:t xml:space="preserve"> PASE</w:t>
            </w:r>
          </w:p>
        </w:tc>
        <w:tc>
          <w:tcPr>
            <w:tcW w:w="1842" w:type="dxa"/>
          </w:tcPr>
          <w:p w14:paraId="55F5428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lastRenderedPageBreak/>
              <w:t>NR</w:t>
            </w:r>
          </w:p>
        </w:tc>
      </w:tr>
      <w:tr w:rsidR="00173249" w:rsidRPr="00173249" w14:paraId="2DFD5424"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53F35EEF"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40</w:t>
            </w:r>
          </w:p>
        </w:tc>
        <w:tc>
          <w:tcPr>
            <w:tcW w:w="1148" w:type="dxa"/>
            <w:hideMark/>
          </w:tcPr>
          <w:p w14:paraId="3A8DD7C8" w14:textId="2B7C5BCA"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Sankar et al.</w:t>
            </w:r>
          </w:p>
        </w:tc>
        <w:tc>
          <w:tcPr>
            <w:tcW w:w="676" w:type="dxa"/>
            <w:hideMark/>
          </w:tcPr>
          <w:p w14:paraId="6E9BEF2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Indian J Comm Med</w:t>
            </w:r>
          </w:p>
        </w:tc>
        <w:tc>
          <w:tcPr>
            <w:tcW w:w="636" w:type="dxa"/>
            <w:hideMark/>
          </w:tcPr>
          <w:p w14:paraId="6F322FF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2025</w:t>
            </w:r>
          </w:p>
        </w:tc>
        <w:tc>
          <w:tcPr>
            <w:tcW w:w="851" w:type="dxa"/>
            <w:hideMark/>
          </w:tcPr>
          <w:p w14:paraId="7366E22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India (Puducherry)</w:t>
            </w:r>
          </w:p>
        </w:tc>
        <w:tc>
          <w:tcPr>
            <w:tcW w:w="718" w:type="dxa"/>
            <w:hideMark/>
          </w:tcPr>
          <w:p w14:paraId="4CFFFB9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2019</w:t>
            </w:r>
          </w:p>
        </w:tc>
        <w:tc>
          <w:tcPr>
            <w:tcW w:w="521" w:type="dxa"/>
            <w:hideMark/>
          </w:tcPr>
          <w:p w14:paraId="1364AE7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404</w:t>
            </w:r>
          </w:p>
        </w:tc>
        <w:tc>
          <w:tcPr>
            <w:tcW w:w="709" w:type="dxa"/>
            <w:hideMark/>
          </w:tcPr>
          <w:p w14:paraId="1885214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Urban &amp; Rural, ≥60 years</w:t>
            </w:r>
          </w:p>
        </w:tc>
        <w:tc>
          <w:tcPr>
            <w:tcW w:w="708" w:type="dxa"/>
            <w:hideMark/>
          </w:tcPr>
          <w:p w14:paraId="465AA72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1ECADDB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Incontinence (: 91.9%), Pain (: 85.1%), Depression (: 29.7%)</w:t>
            </w:r>
          </w:p>
        </w:tc>
        <w:tc>
          <w:tcPr>
            <w:tcW w:w="1020" w:type="dxa"/>
            <w:hideMark/>
          </w:tcPr>
          <w:p w14:paraId="67A8231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MNA, GDS-15, Barthel Index</w:t>
            </w:r>
          </w:p>
        </w:tc>
        <w:tc>
          <w:tcPr>
            <w:tcW w:w="1842" w:type="dxa"/>
          </w:tcPr>
          <w:p w14:paraId="3858493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QoL: Decreased Quality of Life. Functional limitations (Barthel/IADL) significantly reduced overall geriatric well-being (WHOQOL-BREF).</w:t>
            </w:r>
          </w:p>
        </w:tc>
      </w:tr>
      <w:tr w:rsidR="00173249" w:rsidRPr="00173249" w14:paraId="1E7DC337"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6A91B368"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41</w:t>
            </w:r>
          </w:p>
        </w:tc>
        <w:tc>
          <w:tcPr>
            <w:tcW w:w="1148" w:type="dxa"/>
            <w:hideMark/>
          </w:tcPr>
          <w:p w14:paraId="729C7DD0" w14:textId="39658FCB" w:rsidR="00173249" w:rsidRPr="00173249" w:rsidRDefault="009E72EC"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9E72EC">
              <w:rPr>
                <w:rFonts w:ascii="Times New Roman" w:eastAsia="Times New Roman" w:hAnsi="Times New Roman" w:cs="Times New Roman"/>
                <w:kern w:val="0"/>
                <w:sz w:val="18"/>
                <w:szCs w:val="18"/>
                <w:lang w:eastAsia="en-IN"/>
                <w14:ligatures w14:val="none"/>
              </w:rPr>
              <w:t>Pengpid</w:t>
            </w:r>
            <w:proofErr w:type="spellEnd"/>
            <w:r w:rsidRPr="009E72EC">
              <w:rPr>
                <w:rFonts w:ascii="Times New Roman" w:eastAsia="Times New Roman" w:hAnsi="Times New Roman" w:cs="Times New Roman"/>
                <w:kern w:val="0"/>
                <w:sz w:val="18"/>
                <w:szCs w:val="18"/>
                <w:lang w:eastAsia="en-IN"/>
                <w14:ligatures w14:val="none"/>
              </w:rPr>
              <w:t xml:space="preserve"> &amp; Peltzer</w:t>
            </w:r>
          </w:p>
        </w:tc>
        <w:tc>
          <w:tcPr>
            <w:tcW w:w="676" w:type="dxa"/>
            <w:hideMark/>
          </w:tcPr>
          <w:p w14:paraId="78937704" w14:textId="678DEDBF" w:rsidR="00173249" w:rsidRPr="00173249" w:rsidRDefault="00063306"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063306">
              <w:rPr>
                <w:rFonts w:ascii="Times New Roman" w:eastAsia="Times New Roman" w:hAnsi="Times New Roman" w:cs="Times New Roman"/>
                <w:kern w:val="0"/>
                <w:sz w:val="18"/>
                <w:szCs w:val="18"/>
                <w:lang w:eastAsia="en-IN"/>
                <w14:ligatures w14:val="none"/>
              </w:rPr>
              <w:t>Geriatrics</w:t>
            </w:r>
          </w:p>
        </w:tc>
        <w:tc>
          <w:tcPr>
            <w:tcW w:w="636" w:type="dxa"/>
            <w:hideMark/>
          </w:tcPr>
          <w:p w14:paraId="4C49C85E" w14:textId="0CAC73EA"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w:t>
            </w:r>
            <w:r w:rsidR="00063306">
              <w:rPr>
                <w:rFonts w:ascii="Times New Roman" w:eastAsia="Times New Roman" w:hAnsi="Times New Roman" w:cs="Times New Roman"/>
                <w:kern w:val="0"/>
                <w:sz w:val="18"/>
                <w:szCs w:val="18"/>
                <w:lang w:eastAsia="en-IN"/>
                <w14:ligatures w14:val="none"/>
              </w:rPr>
              <w:t>1</w:t>
            </w:r>
          </w:p>
        </w:tc>
        <w:tc>
          <w:tcPr>
            <w:tcW w:w="851" w:type="dxa"/>
            <w:hideMark/>
          </w:tcPr>
          <w:p w14:paraId="459897FD" w14:textId="342569AE" w:rsidR="00173249" w:rsidRPr="00173249" w:rsidRDefault="00B2671E"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B2671E">
              <w:rPr>
                <w:rFonts w:ascii="Times New Roman" w:eastAsia="Times New Roman" w:hAnsi="Times New Roman" w:cs="Times New Roman"/>
                <w:kern w:val="0"/>
                <w:sz w:val="18"/>
                <w:szCs w:val="18"/>
                <w:lang w:eastAsia="en-IN"/>
                <w14:ligatures w14:val="none"/>
              </w:rPr>
              <w:t>India; national community-dwelling sample; LASI Wave 1</w:t>
            </w:r>
          </w:p>
        </w:tc>
        <w:tc>
          <w:tcPr>
            <w:tcW w:w="718" w:type="dxa"/>
            <w:hideMark/>
          </w:tcPr>
          <w:p w14:paraId="0A0B969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2017 – 2018</w:t>
            </w:r>
          </w:p>
        </w:tc>
        <w:tc>
          <w:tcPr>
            <w:tcW w:w="521" w:type="dxa"/>
            <w:hideMark/>
          </w:tcPr>
          <w:p w14:paraId="799CAB84" w14:textId="0A34BCBA" w:rsidR="00173249" w:rsidRPr="00173249" w:rsidRDefault="009E72EC"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9E72EC">
              <w:rPr>
                <w:rFonts w:ascii="Times New Roman" w:eastAsia="Times New Roman" w:hAnsi="Times New Roman" w:cs="Times New Roman"/>
                <w:kern w:val="0"/>
                <w:sz w:val="18"/>
                <w:szCs w:val="18"/>
                <w:lang w:eastAsia="en-IN"/>
                <w14:ligatures w14:val="none"/>
              </w:rPr>
              <w:t>31,477</w:t>
            </w:r>
          </w:p>
        </w:tc>
        <w:tc>
          <w:tcPr>
            <w:tcW w:w="709" w:type="dxa"/>
            <w:hideMark/>
          </w:tcPr>
          <w:p w14:paraId="0A6CDB8C" w14:textId="3E98426A" w:rsidR="00173249" w:rsidRPr="00173249" w:rsidRDefault="00B2671E"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B2671E">
              <w:rPr>
                <w:rFonts w:ascii="Times New Roman" w:eastAsia="Times New Roman" w:hAnsi="Times New Roman" w:cs="Times New Roman"/>
                <w:kern w:val="0"/>
                <w:sz w:val="18"/>
                <w:szCs w:val="18"/>
                <w:lang w:eastAsia="en-IN"/>
                <w14:ligatures w14:val="none"/>
              </w:rPr>
              <w:t>Community-dwelling adults aged ≥60 years</w:t>
            </w:r>
          </w:p>
        </w:tc>
        <w:tc>
          <w:tcPr>
            <w:tcW w:w="708" w:type="dxa"/>
            <w:hideMark/>
          </w:tcPr>
          <w:p w14:paraId="0D2F2F4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6634763A" w14:textId="16D1294A" w:rsidR="00173249" w:rsidRPr="00173249" w:rsidRDefault="00B2671E"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B2671E">
              <w:rPr>
                <w:rFonts w:ascii="Times New Roman" w:eastAsia="Times New Roman" w:hAnsi="Times New Roman" w:cs="Times New Roman"/>
                <w:kern w:val="0"/>
                <w:sz w:val="18"/>
                <w:szCs w:val="18"/>
                <w:lang w:eastAsia="en-IN"/>
                <w14:ligatures w14:val="none"/>
              </w:rPr>
              <w:t>No geriatric condition: 44.3%; one condition: 32.7%; two: 15.9%; ≥3: 7.1%; underweight: 26.9%; dizziness: 14.5%; impaired vision: 13.7%; impaired hearing: 9.6%; impaired cognition: 9.3%; major depressive disorder: 8.2%; injurious falls: 5.7%; incontinence: 4.0%; ADL dependency: 7.4%</w:t>
            </w:r>
          </w:p>
        </w:tc>
        <w:tc>
          <w:tcPr>
            <w:tcW w:w="1020" w:type="dxa"/>
            <w:hideMark/>
          </w:tcPr>
          <w:p w14:paraId="05A86FF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LASI Survey Instruments</w:t>
            </w:r>
          </w:p>
        </w:tc>
        <w:tc>
          <w:tcPr>
            <w:tcW w:w="1842" w:type="dxa"/>
          </w:tcPr>
          <w:p w14:paraId="29DBB82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QoL: Decreased Life satisfaction (LASI scale) was strongly negatively impacted by GS and multimorbidity.</w:t>
            </w:r>
          </w:p>
          <w:p w14:paraId="6D34D28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HCU Significant association multimorbidity and higher healthcare usage patterns.</w:t>
            </w:r>
          </w:p>
        </w:tc>
      </w:tr>
      <w:tr w:rsidR="00173249" w:rsidRPr="00173249" w14:paraId="015CDE10"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59B6C8C1"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42</w:t>
            </w:r>
          </w:p>
        </w:tc>
        <w:tc>
          <w:tcPr>
            <w:tcW w:w="1148" w:type="dxa"/>
            <w:hideMark/>
          </w:tcPr>
          <w:p w14:paraId="544081A8" w14:textId="217DEEC5"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Kumar et al.</w:t>
            </w:r>
          </w:p>
        </w:tc>
        <w:tc>
          <w:tcPr>
            <w:tcW w:w="676" w:type="dxa"/>
            <w:hideMark/>
          </w:tcPr>
          <w:p w14:paraId="49BAF94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WHO SE Asia JPH</w:t>
            </w:r>
          </w:p>
        </w:tc>
        <w:tc>
          <w:tcPr>
            <w:tcW w:w="636" w:type="dxa"/>
            <w:hideMark/>
          </w:tcPr>
          <w:p w14:paraId="24FACEB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2021</w:t>
            </w:r>
          </w:p>
        </w:tc>
        <w:tc>
          <w:tcPr>
            <w:tcW w:w="851" w:type="dxa"/>
            <w:hideMark/>
          </w:tcPr>
          <w:p w14:paraId="44D866B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India (Delhi-NCR)</w:t>
            </w:r>
          </w:p>
        </w:tc>
        <w:tc>
          <w:tcPr>
            <w:tcW w:w="718" w:type="dxa"/>
            <w:hideMark/>
          </w:tcPr>
          <w:p w14:paraId="3CE880F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Jul – Dec 2021</w:t>
            </w:r>
          </w:p>
        </w:tc>
        <w:tc>
          <w:tcPr>
            <w:tcW w:w="521" w:type="dxa"/>
            <w:hideMark/>
          </w:tcPr>
          <w:p w14:paraId="3EA7AC4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131</w:t>
            </w:r>
          </w:p>
        </w:tc>
        <w:tc>
          <w:tcPr>
            <w:tcW w:w="709" w:type="dxa"/>
            <w:hideMark/>
          </w:tcPr>
          <w:p w14:paraId="41896DB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Urban Old-Age Homes, ≥60 years</w:t>
            </w:r>
          </w:p>
        </w:tc>
        <w:tc>
          <w:tcPr>
            <w:tcW w:w="708" w:type="dxa"/>
            <w:hideMark/>
          </w:tcPr>
          <w:p w14:paraId="5042253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1499DFB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Low vision (69.5%), Depression (62.6%), Cognitive impairment (46.6%), Hearing loss (20.6%)</w:t>
            </w:r>
          </w:p>
        </w:tc>
        <w:tc>
          <w:tcPr>
            <w:tcW w:w="1020" w:type="dxa"/>
            <w:hideMark/>
          </w:tcPr>
          <w:p w14:paraId="6E27F5D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ICT-BRIEF 30, GDS-5, Mini-Cog</w:t>
            </w:r>
          </w:p>
        </w:tc>
        <w:tc>
          <w:tcPr>
            <w:tcW w:w="1842" w:type="dxa"/>
          </w:tcPr>
          <w:p w14:paraId="0E0F708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Reduced QOL</w:t>
            </w:r>
          </w:p>
        </w:tc>
      </w:tr>
      <w:tr w:rsidR="00173249" w:rsidRPr="00173249" w14:paraId="055C92C8"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62BFB851"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43</w:t>
            </w:r>
          </w:p>
        </w:tc>
        <w:tc>
          <w:tcPr>
            <w:tcW w:w="1148" w:type="dxa"/>
            <w:hideMark/>
          </w:tcPr>
          <w:p w14:paraId="700EF795" w14:textId="1905D5E8"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Bulut et al.</w:t>
            </w:r>
          </w:p>
        </w:tc>
        <w:tc>
          <w:tcPr>
            <w:tcW w:w="676" w:type="dxa"/>
            <w:hideMark/>
          </w:tcPr>
          <w:p w14:paraId="093CF39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Clinical Interventions in Aging</w:t>
            </w:r>
          </w:p>
        </w:tc>
        <w:tc>
          <w:tcPr>
            <w:tcW w:w="636" w:type="dxa"/>
            <w:hideMark/>
          </w:tcPr>
          <w:p w14:paraId="025A717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2018</w:t>
            </w:r>
          </w:p>
        </w:tc>
        <w:tc>
          <w:tcPr>
            <w:tcW w:w="851" w:type="dxa"/>
            <w:hideMark/>
          </w:tcPr>
          <w:p w14:paraId="62C02BF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Turkey</w:t>
            </w:r>
          </w:p>
        </w:tc>
        <w:tc>
          <w:tcPr>
            <w:tcW w:w="718" w:type="dxa"/>
            <w:hideMark/>
          </w:tcPr>
          <w:p w14:paraId="01626F2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2013 – 2017</w:t>
            </w:r>
          </w:p>
        </w:tc>
        <w:tc>
          <w:tcPr>
            <w:tcW w:w="521" w:type="dxa"/>
            <w:hideMark/>
          </w:tcPr>
          <w:p w14:paraId="384E26C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2,816</w:t>
            </w:r>
          </w:p>
        </w:tc>
        <w:tc>
          <w:tcPr>
            <w:tcW w:w="709" w:type="dxa"/>
            <w:hideMark/>
          </w:tcPr>
          <w:p w14:paraId="29322EF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Urban outpatient clinic, ≥60 years</w:t>
            </w:r>
          </w:p>
        </w:tc>
        <w:tc>
          <w:tcPr>
            <w:tcW w:w="708" w:type="dxa"/>
            <w:hideMark/>
          </w:tcPr>
          <w:p w14:paraId="0541293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Retrospective</w:t>
            </w:r>
          </w:p>
        </w:tc>
        <w:tc>
          <w:tcPr>
            <w:tcW w:w="1843" w:type="dxa"/>
            <w:hideMark/>
          </w:tcPr>
          <w:p w14:paraId="2FD6777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Polypharmacy (54.5%), Incontinence (47.6%), Depression (35.1%), Falls (33.6%)</w:t>
            </w:r>
          </w:p>
        </w:tc>
        <w:tc>
          <w:tcPr>
            <w:tcW w:w="1020" w:type="dxa"/>
            <w:hideMark/>
          </w:tcPr>
          <w:p w14:paraId="51B13C2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CGA, GDS, MMSE</w:t>
            </w:r>
          </w:p>
        </w:tc>
        <w:tc>
          <w:tcPr>
            <w:tcW w:w="1842" w:type="dxa"/>
          </w:tcPr>
          <w:p w14:paraId="175DD26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3EA56C22"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4B77B755"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44</w:t>
            </w:r>
          </w:p>
        </w:tc>
        <w:tc>
          <w:tcPr>
            <w:tcW w:w="1148" w:type="dxa"/>
            <w:hideMark/>
          </w:tcPr>
          <w:p w14:paraId="4AC105F4" w14:textId="0FEBDF0E"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R et al.</w:t>
            </w:r>
          </w:p>
        </w:tc>
        <w:tc>
          <w:tcPr>
            <w:tcW w:w="676" w:type="dxa"/>
            <w:hideMark/>
          </w:tcPr>
          <w:p w14:paraId="6A0E45D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WJARR</w:t>
            </w:r>
          </w:p>
        </w:tc>
        <w:tc>
          <w:tcPr>
            <w:tcW w:w="636" w:type="dxa"/>
            <w:hideMark/>
          </w:tcPr>
          <w:p w14:paraId="40995D8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2023</w:t>
            </w:r>
          </w:p>
        </w:tc>
        <w:tc>
          <w:tcPr>
            <w:tcW w:w="851" w:type="dxa"/>
            <w:hideMark/>
          </w:tcPr>
          <w:p w14:paraId="56A5245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India (Vellore)</w:t>
            </w:r>
          </w:p>
        </w:tc>
        <w:tc>
          <w:tcPr>
            <w:tcW w:w="718" w:type="dxa"/>
            <w:hideMark/>
          </w:tcPr>
          <w:p w14:paraId="1870B8F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2023</w:t>
            </w:r>
          </w:p>
        </w:tc>
        <w:tc>
          <w:tcPr>
            <w:tcW w:w="521" w:type="dxa"/>
            <w:hideMark/>
          </w:tcPr>
          <w:p w14:paraId="3775740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200</w:t>
            </w:r>
          </w:p>
        </w:tc>
        <w:tc>
          <w:tcPr>
            <w:tcW w:w="709" w:type="dxa"/>
            <w:hideMark/>
          </w:tcPr>
          <w:p w14:paraId="2FF16AF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hospital wards, ≥60 years</w:t>
            </w:r>
          </w:p>
        </w:tc>
        <w:tc>
          <w:tcPr>
            <w:tcW w:w="708" w:type="dxa"/>
            <w:hideMark/>
          </w:tcPr>
          <w:p w14:paraId="5BA15C9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58693AE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Sleep disturbance (74.5%), Urinary symptoms (70%), Mobility impairment (61.5%), Depression (55%)</w:t>
            </w:r>
          </w:p>
        </w:tc>
        <w:tc>
          <w:tcPr>
            <w:tcW w:w="1020" w:type="dxa"/>
            <w:hideMark/>
          </w:tcPr>
          <w:p w14:paraId="5804D4E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CGA, MNA</w:t>
            </w:r>
          </w:p>
        </w:tc>
        <w:tc>
          <w:tcPr>
            <w:tcW w:w="1842" w:type="dxa"/>
          </w:tcPr>
          <w:p w14:paraId="4C67A15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432D2A07"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6B3232E9"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45</w:t>
            </w:r>
          </w:p>
        </w:tc>
        <w:tc>
          <w:tcPr>
            <w:tcW w:w="1148" w:type="dxa"/>
            <w:hideMark/>
          </w:tcPr>
          <w:p w14:paraId="7FD7F752" w14:textId="482F2D73"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Soundararajan</w:t>
            </w:r>
            <w:r w:rsidR="00DF0DE9">
              <w:rPr>
                <w:rFonts w:ascii="Times New Roman" w:eastAsia="Times New Roman" w:hAnsi="Times New Roman" w:cs="Times New Roman"/>
                <w:kern w:val="0"/>
                <w:sz w:val="18"/>
                <w:szCs w:val="18"/>
                <w:lang w:eastAsia="en-IN"/>
                <w14:ligatures w14:val="none"/>
              </w:rPr>
              <w:t xml:space="preserve"> et al.</w:t>
            </w:r>
          </w:p>
        </w:tc>
        <w:tc>
          <w:tcPr>
            <w:tcW w:w="676" w:type="dxa"/>
            <w:hideMark/>
          </w:tcPr>
          <w:p w14:paraId="1B380D8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Int J Med Res</w:t>
            </w:r>
          </w:p>
        </w:tc>
        <w:tc>
          <w:tcPr>
            <w:tcW w:w="636" w:type="dxa"/>
            <w:hideMark/>
          </w:tcPr>
          <w:p w14:paraId="506C074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2017</w:t>
            </w:r>
          </w:p>
        </w:tc>
        <w:tc>
          <w:tcPr>
            <w:tcW w:w="851" w:type="dxa"/>
            <w:hideMark/>
          </w:tcPr>
          <w:p w14:paraId="5B6005B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India (Coimbatore)</w:t>
            </w:r>
          </w:p>
        </w:tc>
        <w:tc>
          <w:tcPr>
            <w:tcW w:w="718" w:type="dxa"/>
            <w:hideMark/>
          </w:tcPr>
          <w:p w14:paraId="0DC7E59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Jun – Aug 2016</w:t>
            </w:r>
          </w:p>
        </w:tc>
        <w:tc>
          <w:tcPr>
            <w:tcW w:w="521" w:type="dxa"/>
            <w:hideMark/>
          </w:tcPr>
          <w:p w14:paraId="48BECC5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60</w:t>
            </w:r>
          </w:p>
        </w:tc>
        <w:tc>
          <w:tcPr>
            <w:tcW w:w="709" w:type="dxa"/>
            <w:hideMark/>
          </w:tcPr>
          <w:p w14:paraId="5AB1BED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field practice, ≥60 years</w:t>
            </w:r>
          </w:p>
        </w:tc>
        <w:tc>
          <w:tcPr>
            <w:tcW w:w="708" w:type="dxa"/>
            <w:hideMark/>
          </w:tcPr>
          <w:p w14:paraId="6FF3B99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7422B9A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Visual </w:t>
            </w:r>
            <w:proofErr w:type="spellStart"/>
            <w:r w:rsidRPr="00173249">
              <w:rPr>
                <w:rFonts w:ascii="Times New Roman" w:eastAsia="Times New Roman" w:hAnsi="Times New Roman" w:cs="Times New Roman"/>
                <w:kern w:val="0"/>
                <w:sz w:val="18"/>
                <w:szCs w:val="18"/>
                <w:lang w:eastAsia="en-IN"/>
                <w14:ligatures w14:val="none"/>
              </w:rPr>
              <w:t>distolderce</w:t>
            </w:r>
            <w:proofErr w:type="spellEnd"/>
            <w:r w:rsidRPr="00173249">
              <w:rPr>
                <w:rFonts w:ascii="Times New Roman" w:eastAsia="Times New Roman" w:hAnsi="Times New Roman" w:cs="Times New Roman"/>
                <w:kern w:val="0"/>
                <w:sz w:val="18"/>
                <w:szCs w:val="18"/>
                <w:lang w:eastAsia="en-IN"/>
                <w14:ligatures w14:val="none"/>
              </w:rPr>
              <w:t xml:space="preserve"> (86.7% in malnourished), Depression (60% in malnourished)</w:t>
            </w:r>
          </w:p>
        </w:tc>
        <w:tc>
          <w:tcPr>
            <w:tcW w:w="1020" w:type="dxa"/>
            <w:hideMark/>
          </w:tcPr>
          <w:p w14:paraId="73383A1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MNA, Mini-Cog, GDS, Barthel</w:t>
            </w:r>
          </w:p>
        </w:tc>
        <w:tc>
          <w:tcPr>
            <w:tcW w:w="1842" w:type="dxa"/>
          </w:tcPr>
          <w:p w14:paraId="4F1A68A4" w14:textId="6EC13A39"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QoL: </w:t>
            </w:r>
            <w:proofErr w:type="spellStart"/>
            <w:r w:rsidRPr="00173249">
              <w:rPr>
                <w:rFonts w:ascii="Times New Roman" w:eastAsia="Times New Roman" w:hAnsi="Times New Roman" w:cs="Times New Roman"/>
                <w:kern w:val="0"/>
                <w:sz w:val="18"/>
                <w:szCs w:val="18"/>
                <w:lang w:eastAsia="en-IN"/>
                <w14:ligatures w14:val="none"/>
              </w:rPr>
              <w:t>Decreased.</w:t>
            </w:r>
            <w:r w:rsidR="00182B4C" w:rsidRPr="00182B4C">
              <w:rPr>
                <w:rFonts w:ascii="Times New Roman" w:eastAsia="Times New Roman" w:hAnsi="Times New Roman" w:cs="Times New Roman"/>
                <w:kern w:val="0"/>
                <w:sz w:val="18"/>
                <w:szCs w:val="18"/>
                <w:lang w:eastAsia="en-IN"/>
                <w14:ligatures w14:val="none"/>
              </w:rPr>
              <w:t>Malnutrition</w:t>
            </w:r>
            <w:proofErr w:type="spellEnd"/>
            <w:r w:rsidR="00182B4C" w:rsidRPr="00182B4C">
              <w:rPr>
                <w:rFonts w:ascii="Times New Roman" w:eastAsia="Times New Roman" w:hAnsi="Times New Roman" w:cs="Times New Roman"/>
                <w:kern w:val="0"/>
                <w:sz w:val="18"/>
                <w:szCs w:val="18"/>
                <w:lang w:eastAsia="en-IN"/>
                <w14:ligatures w14:val="none"/>
              </w:rPr>
              <w:t xml:space="preserve"> was associated with poorer functional status and mobility</w:t>
            </w:r>
            <w:r w:rsidRPr="00173249">
              <w:rPr>
                <w:rFonts w:ascii="Times New Roman" w:eastAsia="Times New Roman" w:hAnsi="Times New Roman" w:cs="Times New Roman"/>
                <w:kern w:val="0"/>
                <w:sz w:val="18"/>
                <w:szCs w:val="18"/>
                <w:lang w:eastAsia="en-IN"/>
                <w14:ligatures w14:val="none"/>
              </w:rPr>
              <w:t xml:space="preserve"> </w:t>
            </w:r>
            <w:r w:rsidRPr="00173249">
              <w:rPr>
                <w:rFonts w:ascii="Times New Roman" w:eastAsia="Times New Roman" w:hAnsi="Times New Roman" w:cs="Times New Roman"/>
                <w:kern w:val="0"/>
                <w:sz w:val="18"/>
                <w:szCs w:val="18"/>
                <w:lang w:eastAsia="en-IN"/>
                <w14:ligatures w14:val="none"/>
              </w:rPr>
              <w:lastRenderedPageBreak/>
              <w:t>(Barthel Index: 83.5 vs 90.7, P&lt;0.01) and mobility (GUGT: 2.16 vs 1.36, P&lt;0.001).</w:t>
            </w:r>
          </w:p>
        </w:tc>
      </w:tr>
      <w:tr w:rsidR="00173249" w:rsidRPr="00173249" w14:paraId="60E2E555"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36B22F34"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lastRenderedPageBreak/>
              <w:t>46</w:t>
            </w:r>
          </w:p>
        </w:tc>
        <w:tc>
          <w:tcPr>
            <w:tcW w:w="1148" w:type="dxa"/>
            <w:hideMark/>
          </w:tcPr>
          <w:p w14:paraId="6CC99D81" w14:textId="54EF7356"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Möller et al.</w:t>
            </w:r>
          </w:p>
        </w:tc>
        <w:tc>
          <w:tcPr>
            <w:tcW w:w="676" w:type="dxa"/>
            <w:hideMark/>
          </w:tcPr>
          <w:p w14:paraId="0DAC3FD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173249">
              <w:rPr>
                <w:rFonts w:ascii="Times New Roman" w:eastAsia="Times New Roman" w:hAnsi="Times New Roman" w:cs="Times New Roman"/>
                <w:kern w:val="0"/>
                <w:sz w:val="18"/>
                <w:szCs w:val="18"/>
                <w:lang w:eastAsia="en-IN"/>
                <w14:ligatures w14:val="none"/>
              </w:rPr>
              <w:t>Eur</w:t>
            </w:r>
            <w:proofErr w:type="spellEnd"/>
            <w:r w:rsidRPr="00173249">
              <w:rPr>
                <w:rFonts w:ascii="Times New Roman" w:eastAsia="Times New Roman" w:hAnsi="Times New Roman" w:cs="Times New Roman"/>
                <w:kern w:val="0"/>
                <w:sz w:val="18"/>
                <w:szCs w:val="18"/>
                <w:lang w:eastAsia="en-IN"/>
                <w14:ligatures w14:val="none"/>
              </w:rPr>
              <w:t xml:space="preserve"> J Ageing</w:t>
            </w:r>
          </w:p>
        </w:tc>
        <w:tc>
          <w:tcPr>
            <w:tcW w:w="636" w:type="dxa"/>
            <w:hideMark/>
          </w:tcPr>
          <w:p w14:paraId="241B17F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2022</w:t>
            </w:r>
          </w:p>
        </w:tc>
        <w:tc>
          <w:tcPr>
            <w:tcW w:w="851" w:type="dxa"/>
            <w:hideMark/>
          </w:tcPr>
          <w:p w14:paraId="3E73434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Sweden (Stockholm)</w:t>
            </w:r>
          </w:p>
        </w:tc>
        <w:tc>
          <w:tcPr>
            <w:tcW w:w="718" w:type="dxa"/>
            <w:hideMark/>
          </w:tcPr>
          <w:p w14:paraId="66E9183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2006 – 2010</w:t>
            </w:r>
          </w:p>
        </w:tc>
        <w:tc>
          <w:tcPr>
            <w:tcW w:w="521" w:type="dxa"/>
            <w:hideMark/>
          </w:tcPr>
          <w:p w14:paraId="1752E7E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6,700</w:t>
            </w:r>
          </w:p>
        </w:tc>
        <w:tc>
          <w:tcPr>
            <w:tcW w:w="709" w:type="dxa"/>
            <w:hideMark/>
          </w:tcPr>
          <w:p w14:paraId="6296337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 ≥65 years</w:t>
            </w:r>
          </w:p>
        </w:tc>
        <w:tc>
          <w:tcPr>
            <w:tcW w:w="708" w:type="dxa"/>
            <w:hideMark/>
          </w:tcPr>
          <w:p w14:paraId="374089A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Longitudinal</w:t>
            </w:r>
          </w:p>
        </w:tc>
        <w:tc>
          <w:tcPr>
            <w:tcW w:w="1843" w:type="dxa"/>
            <w:hideMark/>
          </w:tcPr>
          <w:p w14:paraId="41EDEBC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Insomnia (59.9%), Functional dependence (37.2%), Incontinence (28.1%)</w:t>
            </w:r>
          </w:p>
        </w:tc>
        <w:tc>
          <w:tcPr>
            <w:tcW w:w="1020" w:type="dxa"/>
            <w:hideMark/>
          </w:tcPr>
          <w:p w14:paraId="5F7B849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Self-report postal questionnaire</w:t>
            </w:r>
          </w:p>
        </w:tc>
        <w:tc>
          <w:tcPr>
            <w:tcW w:w="1842" w:type="dxa"/>
          </w:tcPr>
          <w:p w14:paraId="209A776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Increased HCU GS associated with 1.53x higher hospitalization rates, 1.33x more outpatient visits, and 1.66x longer hospital length of stay.</w:t>
            </w:r>
          </w:p>
        </w:tc>
      </w:tr>
      <w:tr w:rsidR="00173249" w:rsidRPr="00173249" w14:paraId="747C9E49"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7B84DBF2"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47</w:t>
            </w:r>
          </w:p>
        </w:tc>
        <w:tc>
          <w:tcPr>
            <w:tcW w:w="1148" w:type="dxa"/>
            <w:hideMark/>
          </w:tcPr>
          <w:p w14:paraId="32F6CC99" w14:textId="01288CED"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173249">
              <w:rPr>
                <w:rFonts w:ascii="Times New Roman" w:eastAsia="Times New Roman" w:hAnsi="Times New Roman" w:cs="Times New Roman"/>
                <w:kern w:val="0"/>
                <w:sz w:val="18"/>
                <w:szCs w:val="18"/>
                <w:lang w:eastAsia="en-IN"/>
                <w14:ligatures w14:val="none"/>
              </w:rPr>
              <w:t>Katipoglu</w:t>
            </w:r>
            <w:proofErr w:type="spellEnd"/>
            <w:r w:rsidRPr="00173249">
              <w:rPr>
                <w:rFonts w:ascii="Times New Roman" w:eastAsia="Times New Roman" w:hAnsi="Times New Roman" w:cs="Times New Roman"/>
                <w:kern w:val="0"/>
                <w:sz w:val="18"/>
                <w:szCs w:val="18"/>
                <w:lang w:eastAsia="en-IN"/>
                <w14:ligatures w14:val="none"/>
              </w:rPr>
              <w:t xml:space="preserve"> et al.</w:t>
            </w:r>
          </w:p>
        </w:tc>
        <w:tc>
          <w:tcPr>
            <w:tcW w:w="676" w:type="dxa"/>
            <w:hideMark/>
          </w:tcPr>
          <w:p w14:paraId="4113E2D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173249">
              <w:rPr>
                <w:rFonts w:ascii="Times New Roman" w:eastAsia="Times New Roman" w:hAnsi="Times New Roman" w:cs="Times New Roman"/>
                <w:kern w:val="0"/>
                <w:sz w:val="18"/>
                <w:szCs w:val="18"/>
                <w:lang w:eastAsia="en-IN"/>
                <w14:ligatures w14:val="none"/>
              </w:rPr>
              <w:t>Eur</w:t>
            </w:r>
            <w:proofErr w:type="spellEnd"/>
            <w:r w:rsidRPr="00173249">
              <w:rPr>
                <w:rFonts w:ascii="Times New Roman" w:eastAsia="Times New Roman" w:hAnsi="Times New Roman" w:cs="Times New Roman"/>
                <w:kern w:val="0"/>
                <w:sz w:val="18"/>
                <w:szCs w:val="18"/>
                <w:lang w:eastAsia="en-IN"/>
                <w14:ligatures w14:val="none"/>
              </w:rPr>
              <w:t xml:space="preserve"> </w:t>
            </w:r>
            <w:proofErr w:type="spellStart"/>
            <w:r w:rsidRPr="00173249">
              <w:rPr>
                <w:rFonts w:ascii="Times New Roman" w:eastAsia="Times New Roman" w:hAnsi="Times New Roman" w:cs="Times New Roman"/>
                <w:kern w:val="0"/>
                <w:sz w:val="18"/>
                <w:szCs w:val="18"/>
                <w:lang w:eastAsia="en-IN"/>
                <w14:ligatures w14:val="none"/>
              </w:rPr>
              <w:t>Geriatr</w:t>
            </w:r>
            <w:proofErr w:type="spellEnd"/>
            <w:r w:rsidRPr="00173249">
              <w:rPr>
                <w:rFonts w:ascii="Times New Roman" w:eastAsia="Times New Roman" w:hAnsi="Times New Roman" w:cs="Times New Roman"/>
                <w:kern w:val="0"/>
                <w:sz w:val="18"/>
                <w:szCs w:val="18"/>
                <w:lang w:eastAsia="en-IN"/>
                <w14:ligatures w14:val="none"/>
              </w:rPr>
              <w:t xml:space="preserve"> Med</w:t>
            </w:r>
          </w:p>
        </w:tc>
        <w:tc>
          <w:tcPr>
            <w:tcW w:w="636" w:type="dxa"/>
            <w:hideMark/>
          </w:tcPr>
          <w:p w14:paraId="32F178F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2025</w:t>
            </w:r>
          </w:p>
        </w:tc>
        <w:tc>
          <w:tcPr>
            <w:tcW w:w="851" w:type="dxa"/>
            <w:hideMark/>
          </w:tcPr>
          <w:p w14:paraId="74B9898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Türkiye (</w:t>
            </w:r>
            <w:proofErr w:type="spellStart"/>
            <w:r w:rsidRPr="00173249">
              <w:rPr>
                <w:rFonts w:ascii="Times New Roman" w:eastAsia="Times New Roman" w:hAnsi="Times New Roman" w:cs="Times New Roman"/>
                <w:kern w:val="0"/>
                <w:sz w:val="18"/>
                <w:szCs w:val="18"/>
                <w:lang w:eastAsia="en-IN"/>
                <w14:ligatures w14:val="none"/>
              </w:rPr>
              <w:t>Balıkesir</w:t>
            </w:r>
            <w:proofErr w:type="spellEnd"/>
            <w:r w:rsidRPr="00173249">
              <w:rPr>
                <w:rFonts w:ascii="Times New Roman" w:eastAsia="Times New Roman" w:hAnsi="Times New Roman" w:cs="Times New Roman"/>
                <w:kern w:val="0"/>
                <w:sz w:val="18"/>
                <w:szCs w:val="18"/>
                <w:lang w:eastAsia="en-IN"/>
                <w14:ligatures w14:val="none"/>
              </w:rPr>
              <w:t>)</w:t>
            </w:r>
          </w:p>
        </w:tc>
        <w:tc>
          <w:tcPr>
            <w:tcW w:w="718" w:type="dxa"/>
            <w:hideMark/>
          </w:tcPr>
          <w:p w14:paraId="0CDE8B1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2023 – 2024</w:t>
            </w:r>
          </w:p>
        </w:tc>
        <w:tc>
          <w:tcPr>
            <w:tcW w:w="521" w:type="dxa"/>
            <w:hideMark/>
          </w:tcPr>
          <w:p w14:paraId="508AB2E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5,018</w:t>
            </w:r>
          </w:p>
        </w:tc>
        <w:tc>
          <w:tcPr>
            <w:tcW w:w="709" w:type="dxa"/>
            <w:hideMark/>
          </w:tcPr>
          <w:p w14:paraId="73FEB8B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Community-dwelling, ≥80 years</w:t>
            </w:r>
          </w:p>
        </w:tc>
        <w:tc>
          <w:tcPr>
            <w:tcW w:w="708" w:type="dxa"/>
            <w:hideMark/>
          </w:tcPr>
          <w:p w14:paraId="0E01FC8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Prospective Cohort</w:t>
            </w:r>
          </w:p>
        </w:tc>
        <w:tc>
          <w:tcPr>
            <w:tcW w:w="1843" w:type="dxa"/>
            <w:hideMark/>
          </w:tcPr>
          <w:p w14:paraId="7D42C1F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High burden of geriatric syndromes linked to HCU </w:t>
            </w:r>
          </w:p>
        </w:tc>
        <w:tc>
          <w:tcPr>
            <w:tcW w:w="1020" w:type="dxa"/>
            <w:hideMark/>
          </w:tcPr>
          <w:p w14:paraId="05179CD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CGA, MNA-SF, Mini-Cog, GDS-15</w:t>
            </w:r>
          </w:p>
        </w:tc>
        <w:tc>
          <w:tcPr>
            <w:tcW w:w="1842" w:type="dxa"/>
          </w:tcPr>
          <w:p w14:paraId="75E8867F" w14:textId="5A82A4FD"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Increased </w:t>
            </w:r>
            <w:proofErr w:type="gramStart"/>
            <w:r w:rsidRPr="00173249">
              <w:rPr>
                <w:rFonts w:ascii="Times New Roman" w:eastAsia="Times New Roman" w:hAnsi="Times New Roman" w:cs="Times New Roman"/>
                <w:kern w:val="0"/>
                <w:sz w:val="18"/>
                <w:szCs w:val="18"/>
                <w:lang w:eastAsia="en-IN"/>
                <w14:ligatures w14:val="none"/>
              </w:rPr>
              <w:t xml:space="preserve">HCU  </w:t>
            </w:r>
            <w:r w:rsidR="00182B4C" w:rsidRPr="00182B4C">
              <w:rPr>
                <w:rFonts w:ascii="Times New Roman" w:eastAsia="Times New Roman" w:hAnsi="Times New Roman" w:cs="Times New Roman"/>
                <w:kern w:val="0"/>
                <w:sz w:val="18"/>
                <w:szCs w:val="18"/>
                <w:lang w:eastAsia="en-IN"/>
                <w14:ligatures w14:val="none"/>
              </w:rPr>
              <w:t>Higher</w:t>
            </w:r>
            <w:proofErr w:type="gramEnd"/>
            <w:r w:rsidR="00182B4C" w:rsidRPr="00182B4C">
              <w:rPr>
                <w:rFonts w:ascii="Times New Roman" w:eastAsia="Times New Roman" w:hAnsi="Times New Roman" w:cs="Times New Roman"/>
                <w:kern w:val="0"/>
                <w:sz w:val="18"/>
                <w:szCs w:val="18"/>
                <w:lang w:eastAsia="en-IN"/>
                <w14:ligatures w14:val="none"/>
              </w:rPr>
              <w:t xml:space="preserve"> multimorbidity was associated with greater acute-care utilization, including inpatient and emergency admissions.</w:t>
            </w:r>
          </w:p>
        </w:tc>
      </w:tr>
      <w:tr w:rsidR="00173249" w:rsidRPr="00173249" w14:paraId="51A16D08"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6BD142F0"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48</w:t>
            </w:r>
          </w:p>
        </w:tc>
        <w:tc>
          <w:tcPr>
            <w:tcW w:w="1148" w:type="dxa"/>
            <w:hideMark/>
          </w:tcPr>
          <w:p w14:paraId="5601EB18" w14:textId="0BB31C0B"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Anzaldi et al.</w:t>
            </w:r>
          </w:p>
        </w:tc>
        <w:tc>
          <w:tcPr>
            <w:tcW w:w="676" w:type="dxa"/>
            <w:hideMark/>
          </w:tcPr>
          <w:p w14:paraId="22A4E5F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BMC </w:t>
            </w:r>
            <w:proofErr w:type="spellStart"/>
            <w:r w:rsidRPr="00173249">
              <w:rPr>
                <w:rFonts w:ascii="Times New Roman" w:eastAsia="Times New Roman" w:hAnsi="Times New Roman" w:cs="Times New Roman"/>
                <w:kern w:val="0"/>
                <w:sz w:val="18"/>
                <w:szCs w:val="18"/>
                <w:lang w:eastAsia="en-IN"/>
                <w14:ligatures w14:val="none"/>
              </w:rPr>
              <w:t>Geriatr</w:t>
            </w:r>
            <w:proofErr w:type="spellEnd"/>
          </w:p>
        </w:tc>
        <w:tc>
          <w:tcPr>
            <w:tcW w:w="636" w:type="dxa"/>
            <w:hideMark/>
          </w:tcPr>
          <w:p w14:paraId="2B16097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2017</w:t>
            </w:r>
          </w:p>
        </w:tc>
        <w:tc>
          <w:tcPr>
            <w:tcW w:w="851" w:type="dxa"/>
            <w:hideMark/>
          </w:tcPr>
          <w:p w14:paraId="07752B6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USA (Massachusetts)</w:t>
            </w:r>
          </w:p>
        </w:tc>
        <w:tc>
          <w:tcPr>
            <w:tcW w:w="718" w:type="dxa"/>
            <w:hideMark/>
          </w:tcPr>
          <w:p w14:paraId="350F428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2011 – 2013</w:t>
            </w:r>
          </w:p>
        </w:tc>
        <w:tc>
          <w:tcPr>
            <w:tcW w:w="521" w:type="dxa"/>
            <w:hideMark/>
          </w:tcPr>
          <w:p w14:paraId="2578C1D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18,341</w:t>
            </w:r>
          </w:p>
        </w:tc>
        <w:tc>
          <w:tcPr>
            <w:tcW w:w="709" w:type="dxa"/>
            <w:hideMark/>
          </w:tcPr>
          <w:p w14:paraId="24B010F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 (Medicare), ≥65 years</w:t>
            </w:r>
          </w:p>
        </w:tc>
        <w:tc>
          <w:tcPr>
            <w:tcW w:w="708" w:type="dxa"/>
            <w:hideMark/>
          </w:tcPr>
          <w:p w14:paraId="1186D93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Retrospective Cohort</w:t>
            </w:r>
          </w:p>
        </w:tc>
        <w:tc>
          <w:tcPr>
            <w:tcW w:w="1843" w:type="dxa"/>
            <w:hideMark/>
          </w:tcPr>
          <w:p w14:paraId="7D483A3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Falls, Walking difficulty, Weight loss (Higher in frail patients)</w:t>
            </w:r>
          </w:p>
        </w:tc>
        <w:tc>
          <w:tcPr>
            <w:tcW w:w="1020" w:type="dxa"/>
            <w:hideMark/>
          </w:tcPr>
          <w:p w14:paraId="56EE605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NLP of EHR, Claims data</w:t>
            </w:r>
          </w:p>
        </w:tc>
        <w:tc>
          <w:tcPr>
            <w:tcW w:w="1842" w:type="dxa"/>
          </w:tcPr>
          <w:p w14:paraId="11F3D0E4" w14:textId="31CF0E43"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Increased HCU </w:t>
            </w:r>
            <w:r w:rsidR="009F4640" w:rsidRPr="009F4640">
              <w:rPr>
                <w:rFonts w:ascii="Times New Roman" w:eastAsia="Times New Roman" w:hAnsi="Times New Roman" w:cs="Times New Roman"/>
                <w:kern w:val="0"/>
                <w:sz w:val="18"/>
                <w:szCs w:val="18"/>
                <w:lang w:eastAsia="en-IN"/>
                <w14:ligatures w14:val="none"/>
              </w:rPr>
              <w:t>Frailty was associated with greater healthcare utilization, including higher hospitalization, emergency-visit, and readmission rates</w:t>
            </w:r>
            <w:r w:rsidRPr="00173249">
              <w:rPr>
                <w:rFonts w:ascii="Times New Roman" w:eastAsia="Times New Roman" w:hAnsi="Times New Roman" w:cs="Times New Roman"/>
                <w:kern w:val="0"/>
                <w:sz w:val="18"/>
                <w:szCs w:val="18"/>
                <w:lang w:eastAsia="en-IN"/>
                <w14:ligatures w14:val="none"/>
              </w:rPr>
              <w:t>.</w:t>
            </w:r>
          </w:p>
        </w:tc>
      </w:tr>
      <w:tr w:rsidR="00173249" w:rsidRPr="00173249" w14:paraId="28EC82AE"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38E09A35"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49</w:t>
            </w:r>
          </w:p>
        </w:tc>
        <w:tc>
          <w:tcPr>
            <w:tcW w:w="1148" w:type="dxa"/>
            <w:hideMark/>
          </w:tcPr>
          <w:p w14:paraId="1B88B5FA" w14:textId="71479175" w:rsidR="00173249" w:rsidRPr="00173249" w:rsidRDefault="00626054"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626054">
              <w:rPr>
                <w:rFonts w:ascii="Times New Roman" w:eastAsia="Times New Roman" w:hAnsi="Times New Roman" w:cs="Times New Roman"/>
                <w:kern w:val="0"/>
                <w:sz w:val="18"/>
                <w:szCs w:val="18"/>
                <w:lang w:eastAsia="en-IN"/>
                <w14:ligatures w14:val="none"/>
              </w:rPr>
              <w:t>Piotrowicz K</w:t>
            </w:r>
            <w:r w:rsidR="00173249" w:rsidRPr="00173249">
              <w:rPr>
                <w:rFonts w:ascii="Times New Roman" w:eastAsia="Times New Roman" w:hAnsi="Times New Roman" w:cs="Times New Roman"/>
                <w:kern w:val="0"/>
                <w:sz w:val="18"/>
                <w:szCs w:val="18"/>
                <w:lang w:eastAsia="en-IN"/>
                <w14:ligatures w14:val="none"/>
              </w:rPr>
              <w:t xml:space="preserve"> et al.</w:t>
            </w:r>
          </w:p>
        </w:tc>
        <w:tc>
          <w:tcPr>
            <w:tcW w:w="676" w:type="dxa"/>
            <w:hideMark/>
          </w:tcPr>
          <w:p w14:paraId="66B9FFAD" w14:textId="727C6AF3" w:rsidR="00173249" w:rsidRPr="00173249" w:rsidRDefault="00626054"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626054">
              <w:rPr>
                <w:rFonts w:ascii="Times New Roman" w:eastAsia="Times New Roman" w:hAnsi="Times New Roman" w:cs="Times New Roman"/>
                <w:kern w:val="0"/>
                <w:sz w:val="18"/>
                <w:szCs w:val="18"/>
                <w:lang w:eastAsia="en-IN"/>
                <w14:ligatures w14:val="none"/>
              </w:rPr>
              <w:t>Aging</w:t>
            </w:r>
          </w:p>
        </w:tc>
        <w:tc>
          <w:tcPr>
            <w:tcW w:w="636" w:type="dxa"/>
            <w:hideMark/>
          </w:tcPr>
          <w:p w14:paraId="0892711C" w14:textId="25BD1CA3"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w:t>
            </w:r>
            <w:r w:rsidR="00626054">
              <w:rPr>
                <w:rFonts w:ascii="Times New Roman" w:eastAsia="Times New Roman" w:hAnsi="Times New Roman" w:cs="Times New Roman"/>
                <w:kern w:val="0"/>
                <w:sz w:val="18"/>
                <w:szCs w:val="18"/>
                <w:lang w:eastAsia="en-IN"/>
                <w14:ligatures w14:val="none"/>
              </w:rPr>
              <w:t>6</w:t>
            </w:r>
          </w:p>
        </w:tc>
        <w:tc>
          <w:tcPr>
            <w:tcW w:w="851" w:type="dxa"/>
            <w:hideMark/>
          </w:tcPr>
          <w:p w14:paraId="7509E9CE" w14:textId="7E605F70" w:rsidR="00173249" w:rsidRPr="00173249" w:rsidRDefault="000C1EC2"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0C1EC2">
              <w:rPr>
                <w:rFonts w:ascii="Times New Roman" w:eastAsia="Times New Roman" w:hAnsi="Times New Roman" w:cs="Times New Roman"/>
                <w:kern w:val="0"/>
                <w:sz w:val="18"/>
                <w:szCs w:val="18"/>
                <w:lang w:eastAsia="en-IN"/>
                <w14:ligatures w14:val="none"/>
              </w:rPr>
              <w:t>Poland; nationwide community-dwelling population</w:t>
            </w:r>
          </w:p>
        </w:tc>
        <w:tc>
          <w:tcPr>
            <w:tcW w:w="718" w:type="dxa"/>
            <w:hideMark/>
          </w:tcPr>
          <w:p w14:paraId="185B6B3D" w14:textId="2EB3D5EB"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200</w:t>
            </w:r>
            <w:r w:rsidR="00626054">
              <w:rPr>
                <w:rFonts w:ascii="Times New Roman" w:eastAsia="Times New Roman" w:hAnsi="Times New Roman" w:cs="Times New Roman"/>
                <w:kern w:val="0"/>
                <w:sz w:val="18"/>
                <w:szCs w:val="18"/>
                <w:lang w:eastAsia="en-IN"/>
                <w14:ligatures w14:val="none"/>
              </w:rPr>
              <w:t>7</w:t>
            </w:r>
            <w:r w:rsidRPr="00173249">
              <w:rPr>
                <w:rFonts w:ascii="Times New Roman" w:eastAsia="Times New Roman" w:hAnsi="Times New Roman" w:cs="Times New Roman"/>
                <w:kern w:val="0"/>
                <w:sz w:val="18"/>
                <w:szCs w:val="18"/>
                <w:lang w:eastAsia="en-IN"/>
                <w14:ligatures w14:val="none"/>
              </w:rPr>
              <w:t xml:space="preserve"> – 20</w:t>
            </w:r>
            <w:r w:rsidR="00626054">
              <w:rPr>
                <w:rFonts w:ascii="Times New Roman" w:eastAsia="Times New Roman" w:hAnsi="Times New Roman" w:cs="Times New Roman"/>
                <w:kern w:val="0"/>
                <w:sz w:val="18"/>
                <w:szCs w:val="18"/>
                <w:lang w:eastAsia="en-IN"/>
                <w14:ligatures w14:val="none"/>
              </w:rPr>
              <w:t>11</w:t>
            </w:r>
          </w:p>
        </w:tc>
        <w:tc>
          <w:tcPr>
            <w:tcW w:w="521" w:type="dxa"/>
            <w:hideMark/>
          </w:tcPr>
          <w:p w14:paraId="062DD01E" w14:textId="56EF72B1" w:rsidR="00173249" w:rsidRPr="00173249" w:rsidRDefault="00626054"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Pr>
                <w:rFonts w:ascii="Times New Roman" w:eastAsia="Times New Roman" w:hAnsi="Times New Roman" w:cs="Times New Roman"/>
                <w:kern w:val="0"/>
                <w:sz w:val="18"/>
                <w:szCs w:val="18"/>
                <w:lang w:eastAsia="en-IN"/>
                <w14:ligatures w14:val="none"/>
              </w:rPr>
              <w:t>3471</w:t>
            </w:r>
          </w:p>
        </w:tc>
        <w:tc>
          <w:tcPr>
            <w:tcW w:w="709" w:type="dxa"/>
            <w:hideMark/>
          </w:tcPr>
          <w:p w14:paraId="2695B0EB" w14:textId="1A0D72CB" w:rsidR="00173249" w:rsidRPr="00173249" w:rsidRDefault="00626054"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626054">
              <w:rPr>
                <w:rFonts w:ascii="Times New Roman" w:eastAsia="Times New Roman" w:hAnsi="Times New Roman" w:cs="Times New Roman"/>
                <w:kern w:val="0"/>
                <w:sz w:val="18"/>
                <w:szCs w:val="18"/>
                <w:lang w:eastAsia="en-IN"/>
                <w14:ligatures w14:val="none"/>
              </w:rPr>
              <w:t>Community-dwelling older adults, aged 65–104</w:t>
            </w:r>
          </w:p>
        </w:tc>
        <w:tc>
          <w:tcPr>
            <w:tcW w:w="708" w:type="dxa"/>
            <w:hideMark/>
          </w:tcPr>
          <w:p w14:paraId="57B0ECA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3974A9BA" w14:textId="1C05835E" w:rsidR="00173249" w:rsidRPr="00173249" w:rsidRDefault="00626054"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626054">
              <w:rPr>
                <w:rFonts w:ascii="Times New Roman" w:eastAsia="Times New Roman" w:hAnsi="Times New Roman" w:cs="Times New Roman"/>
                <w:kern w:val="0"/>
                <w:sz w:val="18"/>
                <w:szCs w:val="18"/>
                <w:lang w:eastAsia="en-IN"/>
                <w14:ligatures w14:val="none"/>
              </w:rPr>
              <w:t>Vision impairment 41.6%; mood disorders (depression) 27.2%; hearing impairment 21.9%; cognitive impairment 20.7%; falls 17.3%; functional dependence 17.1%; incontinence 5.9%; malnutrition 1.5%</w:t>
            </w:r>
          </w:p>
        </w:tc>
        <w:tc>
          <w:tcPr>
            <w:tcW w:w="1020" w:type="dxa"/>
            <w:hideMark/>
          </w:tcPr>
          <w:p w14:paraId="4BA0083B" w14:textId="59778EBD" w:rsidR="00173249" w:rsidRPr="00173249" w:rsidRDefault="00626054"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626054">
              <w:rPr>
                <w:rFonts w:ascii="Times New Roman" w:eastAsia="Times New Roman" w:hAnsi="Times New Roman" w:cs="Times New Roman"/>
                <w:kern w:val="0"/>
                <w:sz w:val="18"/>
                <w:szCs w:val="18"/>
                <w:lang w:eastAsia="en-IN"/>
                <w14:ligatures w14:val="none"/>
              </w:rPr>
              <w:t>Cognitive — MMSE (≤23/30); Depression/mood — assessment tool per protocol; Falls — self-report; Incontinence — ADL bowel/bladder item; Functional dependence — IADL (&lt;21/24); Malnutrition — albumin; Vision &amp; hearing — functional screening</w:t>
            </w:r>
          </w:p>
        </w:tc>
        <w:tc>
          <w:tcPr>
            <w:tcW w:w="1842" w:type="dxa"/>
          </w:tcPr>
          <w:p w14:paraId="55689A19" w14:textId="52026815" w:rsidR="00173249" w:rsidRPr="00173249" w:rsidRDefault="00C11321"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Pr>
                <w:rFonts w:ascii="Times New Roman" w:eastAsia="Times New Roman" w:hAnsi="Times New Roman" w:cs="Times New Roman"/>
                <w:kern w:val="0"/>
                <w:sz w:val="18"/>
                <w:szCs w:val="18"/>
                <w:lang w:eastAsia="en-IN"/>
                <w14:ligatures w14:val="none"/>
              </w:rPr>
              <w:t>NR</w:t>
            </w:r>
          </w:p>
        </w:tc>
      </w:tr>
      <w:tr w:rsidR="00173249" w:rsidRPr="00173249" w14:paraId="36EA6DFE"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145E1FA3"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50</w:t>
            </w:r>
          </w:p>
        </w:tc>
        <w:tc>
          <w:tcPr>
            <w:tcW w:w="1148" w:type="dxa"/>
            <w:hideMark/>
          </w:tcPr>
          <w:p w14:paraId="79F05C32" w14:textId="61A43B70"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Kim et al.</w:t>
            </w:r>
          </w:p>
        </w:tc>
        <w:tc>
          <w:tcPr>
            <w:tcW w:w="676" w:type="dxa"/>
            <w:hideMark/>
          </w:tcPr>
          <w:p w14:paraId="150DDBE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Arch </w:t>
            </w:r>
            <w:proofErr w:type="spellStart"/>
            <w:r w:rsidRPr="00173249">
              <w:rPr>
                <w:rFonts w:ascii="Times New Roman" w:eastAsia="Times New Roman" w:hAnsi="Times New Roman" w:cs="Times New Roman"/>
                <w:kern w:val="0"/>
                <w:sz w:val="18"/>
                <w:szCs w:val="18"/>
                <w:lang w:eastAsia="en-IN"/>
                <w14:ligatures w14:val="none"/>
              </w:rPr>
              <w:t>Gerontol</w:t>
            </w:r>
            <w:proofErr w:type="spellEnd"/>
          </w:p>
        </w:tc>
        <w:tc>
          <w:tcPr>
            <w:tcW w:w="636" w:type="dxa"/>
            <w:hideMark/>
          </w:tcPr>
          <w:p w14:paraId="4FBA22E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2011</w:t>
            </w:r>
          </w:p>
        </w:tc>
        <w:tc>
          <w:tcPr>
            <w:tcW w:w="851" w:type="dxa"/>
            <w:hideMark/>
          </w:tcPr>
          <w:p w14:paraId="32DAE18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Japan</w:t>
            </w:r>
          </w:p>
        </w:tc>
        <w:tc>
          <w:tcPr>
            <w:tcW w:w="718" w:type="dxa"/>
            <w:hideMark/>
          </w:tcPr>
          <w:p w14:paraId="120A9C1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2007 – 2008</w:t>
            </w:r>
          </w:p>
        </w:tc>
        <w:tc>
          <w:tcPr>
            <w:tcW w:w="521" w:type="dxa"/>
            <w:hideMark/>
          </w:tcPr>
          <w:p w14:paraId="3C12B9A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61</w:t>
            </w:r>
          </w:p>
        </w:tc>
        <w:tc>
          <w:tcPr>
            <w:tcW w:w="709" w:type="dxa"/>
            <w:hideMark/>
          </w:tcPr>
          <w:p w14:paraId="356833D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 ≥70 years</w:t>
            </w:r>
          </w:p>
        </w:tc>
        <w:tc>
          <w:tcPr>
            <w:tcW w:w="708" w:type="dxa"/>
            <w:hideMark/>
          </w:tcPr>
          <w:p w14:paraId="7998F36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Randomized Trial</w:t>
            </w:r>
          </w:p>
        </w:tc>
        <w:tc>
          <w:tcPr>
            <w:tcW w:w="1843" w:type="dxa"/>
            <w:hideMark/>
          </w:tcPr>
          <w:p w14:paraId="7BBF8B4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Baseline: Incontinence (45%), Fear of falling (55%) (Reduced after exercise)</w:t>
            </w:r>
          </w:p>
        </w:tc>
        <w:tc>
          <w:tcPr>
            <w:tcW w:w="1020" w:type="dxa"/>
            <w:hideMark/>
          </w:tcPr>
          <w:p w14:paraId="7E4E947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TMIG Index, Tinetti POMA</w:t>
            </w:r>
          </w:p>
        </w:tc>
        <w:tc>
          <w:tcPr>
            <w:tcW w:w="1842" w:type="dxa"/>
          </w:tcPr>
          <w:p w14:paraId="27A3185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proofErr w:type="gramStart"/>
            <w:r w:rsidRPr="00173249">
              <w:rPr>
                <w:rFonts w:ascii="Times New Roman" w:eastAsia="Times New Roman" w:hAnsi="Times New Roman" w:cs="Times New Roman"/>
                <w:kern w:val="0"/>
                <w:sz w:val="18"/>
                <w:szCs w:val="18"/>
                <w:lang w:eastAsia="en-IN"/>
                <w14:ligatures w14:val="none"/>
              </w:rPr>
              <w:t>QOL:The</w:t>
            </w:r>
            <w:proofErr w:type="spellEnd"/>
            <w:proofErr w:type="gramEnd"/>
            <w:r w:rsidRPr="00173249">
              <w:rPr>
                <w:rFonts w:ascii="Times New Roman" w:eastAsia="Times New Roman" w:hAnsi="Times New Roman" w:cs="Times New Roman"/>
                <w:kern w:val="0"/>
                <w:sz w:val="18"/>
                <w:szCs w:val="18"/>
                <w:lang w:eastAsia="en-IN"/>
                <w14:ligatures w14:val="none"/>
              </w:rPr>
              <w:t xml:space="preserve"> 6-month management program significantly improved physical function scores (10.3 → 11.6, p&lt;0.05) and reduced fear of falling (55% → 32%).</w:t>
            </w:r>
          </w:p>
        </w:tc>
      </w:tr>
      <w:tr w:rsidR="00173249" w:rsidRPr="00173249" w14:paraId="0254B083"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5A8A8AAE"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51</w:t>
            </w:r>
          </w:p>
        </w:tc>
        <w:tc>
          <w:tcPr>
            <w:tcW w:w="1148" w:type="dxa"/>
            <w:hideMark/>
          </w:tcPr>
          <w:p w14:paraId="0FF71426" w14:textId="3BF7DC98"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Yang et al.</w:t>
            </w:r>
          </w:p>
        </w:tc>
        <w:tc>
          <w:tcPr>
            <w:tcW w:w="676" w:type="dxa"/>
            <w:hideMark/>
          </w:tcPr>
          <w:p w14:paraId="14CCAE9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Arch </w:t>
            </w:r>
            <w:proofErr w:type="spellStart"/>
            <w:r w:rsidRPr="00173249">
              <w:rPr>
                <w:rFonts w:ascii="Times New Roman" w:eastAsia="Times New Roman" w:hAnsi="Times New Roman" w:cs="Times New Roman"/>
                <w:kern w:val="0"/>
                <w:sz w:val="18"/>
                <w:szCs w:val="18"/>
                <w:lang w:eastAsia="en-IN"/>
                <w14:ligatures w14:val="none"/>
              </w:rPr>
              <w:t>Gerontol</w:t>
            </w:r>
            <w:proofErr w:type="spellEnd"/>
          </w:p>
        </w:tc>
        <w:tc>
          <w:tcPr>
            <w:tcW w:w="636" w:type="dxa"/>
            <w:hideMark/>
          </w:tcPr>
          <w:p w14:paraId="0B5317A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2015</w:t>
            </w:r>
          </w:p>
        </w:tc>
        <w:tc>
          <w:tcPr>
            <w:tcW w:w="851" w:type="dxa"/>
            <w:hideMark/>
          </w:tcPr>
          <w:p w14:paraId="0DBEFCA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Taiwan</w:t>
            </w:r>
          </w:p>
        </w:tc>
        <w:tc>
          <w:tcPr>
            <w:tcW w:w="718" w:type="dxa"/>
            <w:hideMark/>
          </w:tcPr>
          <w:p w14:paraId="72EF086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2003 – 2011</w:t>
            </w:r>
          </w:p>
        </w:tc>
        <w:tc>
          <w:tcPr>
            <w:tcW w:w="521" w:type="dxa"/>
            <w:hideMark/>
          </w:tcPr>
          <w:p w14:paraId="572235A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2,415</w:t>
            </w:r>
          </w:p>
        </w:tc>
        <w:tc>
          <w:tcPr>
            <w:tcW w:w="709" w:type="dxa"/>
            <w:hideMark/>
          </w:tcPr>
          <w:p w14:paraId="56721B2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Community-dwelling, </w:t>
            </w:r>
            <w:r w:rsidRPr="00173249">
              <w:rPr>
                <w:rFonts w:ascii="Times New Roman" w:eastAsia="Times New Roman" w:hAnsi="Times New Roman" w:cs="Times New Roman"/>
                <w:kern w:val="0"/>
                <w:sz w:val="18"/>
                <w:szCs w:val="18"/>
                <w:lang w:eastAsia="en-IN"/>
                <w14:ligatures w14:val="none"/>
              </w:rPr>
              <w:lastRenderedPageBreak/>
              <w:t>≥65 years</w:t>
            </w:r>
          </w:p>
        </w:tc>
        <w:tc>
          <w:tcPr>
            <w:tcW w:w="708" w:type="dxa"/>
            <w:hideMark/>
          </w:tcPr>
          <w:p w14:paraId="72891AF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lastRenderedPageBreak/>
              <w:t>Cross-sectional</w:t>
            </w:r>
          </w:p>
        </w:tc>
        <w:tc>
          <w:tcPr>
            <w:tcW w:w="1843" w:type="dxa"/>
            <w:hideMark/>
          </w:tcPr>
          <w:p w14:paraId="10DD11A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Pain (52.8%), Cognitive impairment (26.3%), Depression (24.8%), Incontinence (14.5%)</w:t>
            </w:r>
          </w:p>
        </w:tc>
        <w:tc>
          <w:tcPr>
            <w:tcW w:w="1020" w:type="dxa"/>
            <w:hideMark/>
          </w:tcPr>
          <w:p w14:paraId="0BFA56D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TLSA Survey, CES-D, SPMSQ</w:t>
            </w:r>
          </w:p>
        </w:tc>
        <w:tc>
          <w:tcPr>
            <w:tcW w:w="1842" w:type="dxa"/>
          </w:tcPr>
          <w:p w14:paraId="1DE20133" w14:textId="3C97420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QoL: </w:t>
            </w:r>
            <w:proofErr w:type="spellStart"/>
            <w:r w:rsidRPr="00173249">
              <w:rPr>
                <w:rFonts w:ascii="Times New Roman" w:eastAsia="Times New Roman" w:hAnsi="Times New Roman" w:cs="Times New Roman"/>
                <w:kern w:val="0"/>
                <w:sz w:val="18"/>
                <w:szCs w:val="18"/>
                <w:lang w:eastAsia="en-IN"/>
                <w14:ligatures w14:val="none"/>
              </w:rPr>
              <w:t>Decreased.Life</w:t>
            </w:r>
            <w:proofErr w:type="spellEnd"/>
            <w:r w:rsidRPr="00173249">
              <w:rPr>
                <w:rFonts w:ascii="Times New Roman" w:eastAsia="Times New Roman" w:hAnsi="Times New Roman" w:cs="Times New Roman"/>
                <w:kern w:val="0"/>
                <w:sz w:val="18"/>
                <w:szCs w:val="18"/>
                <w:lang w:eastAsia="en-IN"/>
                <w14:ligatures w14:val="none"/>
              </w:rPr>
              <w:t xml:space="preserve"> Satisfaction Index (LSI) scores dropped significantly as syndrome burden </w:t>
            </w:r>
            <w:r w:rsidRPr="00173249">
              <w:rPr>
                <w:rFonts w:ascii="Times New Roman" w:eastAsia="Times New Roman" w:hAnsi="Times New Roman" w:cs="Times New Roman"/>
                <w:kern w:val="0"/>
                <w:sz w:val="18"/>
                <w:szCs w:val="18"/>
                <w:lang w:eastAsia="en-IN"/>
                <w14:ligatures w14:val="none"/>
              </w:rPr>
              <w:lastRenderedPageBreak/>
              <w:t xml:space="preserve">increased (7.47 for 0 syndromes vs 6.57 for ≥4 syndromes). </w:t>
            </w:r>
            <w:r w:rsidR="009F4640" w:rsidRPr="009F4640">
              <w:rPr>
                <w:rFonts w:ascii="Times New Roman" w:eastAsia="Times New Roman" w:hAnsi="Times New Roman" w:cs="Times New Roman"/>
                <w:kern w:val="0"/>
                <w:sz w:val="18"/>
                <w:szCs w:val="18"/>
                <w:lang w:eastAsia="en-IN"/>
                <w14:ligatures w14:val="none"/>
              </w:rPr>
              <w:t>Depression showed the strongest reported association with lower life satisfaction</w:t>
            </w:r>
            <w:r w:rsidRPr="00173249">
              <w:rPr>
                <w:rFonts w:ascii="Times New Roman" w:eastAsia="Times New Roman" w:hAnsi="Times New Roman" w:cs="Times New Roman"/>
                <w:kern w:val="0"/>
                <w:sz w:val="18"/>
                <w:szCs w:val="18"/>
                <w:lang w:eastAsia="en-IN"/>
                <w14:ligatures w14:val="none"/>
              </w:rPr>
              <w:t>.</w:t>
            </w:r>
          </w:p>
        </w:tc>
      </w:tr>
      <w:tr w:rsidR="00173249" w:rsidRPr="00173249" w14:paraId="19739A06"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060440CC"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lastRenderedPageBreak/>
              <w:t>52</w:t>
            </w:r>
          </w:p>
        </w:tc>
        <w:tc>
          <w:tcPr>
            <w:tcW w:w="1148" w:type="dxa"/>
            <w:hideMark/>
          </w:tcPr>
          <w:p w14:paraId="6C369638" w14:textId="75B80398"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Doležalová et al.</w:t>
            </w:r>
          </w:p>
        </w:tc>
        <w:tc>
          <w:tcPr>
            <w:tcW w:w="676" w:type="dxa"/>
            <w:hideMark/>
          </w:tcPr>
          <w:p w14:paraId="052DD77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Healthcare</w:t>
            </w:r>
          </w:p>
        </w:tc>
        <w:tc>
          <w:tcPr>
            <w:tcW w:w="636" w:type="dxa"/>
            <w:hideMark/>
          </w:tcPr>
          <w:p w14:paraId="4AAF1DB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2021</w:t>
            </w:r>
          </w:p>
        </w:tc>
        <w:tc>
          <w:tcPr>
            <w:tcW w:w="851" w:type="dxa"/>
            <w:hideMark/>
          </w:tcPr>
          <w:p w14:paraId="3B148FA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Czech Republic</w:t>
            </w:r>
          </w:p>
        </w:tc>
        <w:tc>
          <w:tcPr>
            <w:tcW w:w="718" w:type="dxa"/>
            <w:hideMark/>
          </w:tcPr>
          <w:p w14:paraId="1ED8227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2019 – 2020</w:t>
            </w:r>
          </w:p>
        </w:tc>
        <w:tc>
          <w:tcPr>
            <w:tcW w:w="521" w:type="dxa"/>
            <w:hideMark/>
          </w:tcPr>
          <w:p w14:paraId="64AFAB9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498</w:t>
            </w:r>
          </w:p>
        </w:tc>
        <w:tc>
          <w:tcPr>
            <w:tcW w:w="709" w:type="dxa"/>
            <w:hideMark/>
          </w:tcPr>
          <w:p w14:paraId="425690B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Mixed settings, ≥60 years</w:t>
            </w:r>
          </w:p>
        </w:tc>
        <w:tc>
          <w:tcPr>
            <w:tcW w:w="708" w:type="dxa"/>
            <w:hideMark/>
          </w:tcPr>
          <w:p w14:paraId="0DFA22D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501800C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Frailty (50.4%), Poor nutrition (30.1%), Sarcopenia risk (26.5%)</w:t>
            </w:r>
          </w:p>
        </w:tc>
        <w:tc>
          <w:tcPr>
            <w:tcW w:w="1020" w:type="dxa"/>
            <w:hideMark/>
          </w:tcPr>
          <w:p w14:paraId="43E1B3B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Tilburg Frailty, SARC-F, MNA</w:t>
            </w:r>
          </w:p>
        </w:tc>
        <w:tc>
          <w:tcPr>
            <w:tcW w:w="1842" w:type="dxa"/>
          </w:tcPr>
          <w:p w14:paraId="44B972BD" w14:textId="3808F1F9"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QoL: Decreased Frailty and sarcopenia </w:t>
            </w:r>
            <w:r w:rsidR="009F4640" w:rsidRPr="009F4640">
              <w:rPr>
                <w:rFonts w:ascii="Times New Roman" w:eastAsia="Times New Roman" w:hAnsi="Times New Roman" w:cs="Times New Roman"/>
                <w:kern w:val="0"/>
                <w:sz w:val="18"/>
                <w:szCs w:val="18"/>
                <w:lang w:eastAsia="en-IN"/>
                <w14:ligatures w14:val="none"/>
              </w:rPr>
              <w:t>were associated with lower</w:t>
            </w:r>
            <w:r w:rsidR="009F4640">
              <w:rPr>
                <w:rFonts w:ascii="Times New Roman" w:eastAsia="Times New Roman" w:hAnsi="Times New Roman" w:cs="Times New Roman"/>
                <w:kern w:val="0"/>
                <w:sz w:val="18"/>
                <w:szCs w:val="18"/>
                <w:lang w:eastAsia="en-IN"/>
                <w14:ligatures w14:val="none"/>
              </w:rPr>
              <w:t xml:space="preserve"> </w:t>
            </w:r>
            <w:r w:rsidRPr="00173249">
              <w:rPr>
                <w:rFonts w:ascii="Times New Roman" w:eastAsia="Times New Roman" w:hAnsi="Times New Roman" w:cs="Times New Roman"/>
                <w:kern w:val="0"/>
                <w:sz w:val="18"/>
                <w:szCs w:val="18"/>
                <w:lang w:eastAsia="en-IN"/>
                <w14:ligatures w14:val="none"/>
              </w:rPr>
              <w:t>Physical (score 62.1) and Psychological (score 70.8) domain scores, while social/environmental domains were less affected.</w:t>
            </w:r>
          </w:p>
        </w:tc>
      </w:tr>
      <w:tr w:rsidR="00173249" w:rsidRPr="00173249" w14:paraId="14842E07"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02E89819"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53</w:t>
            </w:r>
          </w:p>
        </w:tc>
        <w:tc>
          <w:tcPr>
            <w:tcW w:w="1148" w:type="dxa"/>
            <w:hideMark/>
          </w:tcPr>
          <w:p w14:paraId="301FA83C" w14:textId="2F6EE431"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Tshitenge et al.</w:t>
            </w:r>
          </w:p>
        </w:tc>
        <w:tc>
          <w:tcPr>
            <w:tcW w:w="676" w:type="dxa"/>
            <w:hideMark/>
          </w:tcPr>
          <w:p w14:paraId="4985E5A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173249">
              <w:rPr>
                <w:rFonts w:ascii="Times New Roman" w:eastAsia="Times New Roman" w:hAnsi="Times New Roman" w:cs="Times New Roman"/>
                <w:kern w:val="0"/>
                <w:sz w:val="18"/>
                <w:szCs w:val="18"/>
                <w:lang w:eastAsia="en-IN"/>
                <w14:ligatures w14:val="none"/>
              </w:rPr>
              <w:t>Texila</w:t>
            </w:r>
            <w:proofErr w:type="spellEnd"/>
            <w:r w:rsidRPr="00173249">
              <w:rPr>
                <w:rFonts w:ascii="Times New Roman" w:eastAsia="Times New Roman" w:hAnsi="Times New Roman" w:cs="Times New Roman"/>
                <w:kern w:val="0"/>
                <w:sz w:val="18"/>
                <w:szCs w:val="18"/>
                <w:lang w:eastAsia="en-IN"/>
                <w14:ligatures w14:val="none"/>
              </w:rPr>
              <w:t xml:space="preserve"> Int J PH</w:t>
            </w:r>
          </w:p>
        </w:tc>
        <w:tc>
          <w:tcPr>
            <w:tcW w:w="636" w:type="dxa"/>
            <w:hideMark/>
          </w:tcPr>
          <w:p w14:paraId="30C74E8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2024</w:t>
            </w:r>
          </w:p>
        </w:tc>
        <w:tc>
          <w:tcPr>
            <w:tcW w:w="851" w:type="dxa"/>
            <w:hideMark/>
          </w:tcPr>
          <w:p w14:paraId="691D0A67"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Botswana</w:t>
            </w:r>
          </w:p>
        </w:tc>
        <w:tc>
          <w:tcPr>
            <w:tcW w:w="718" w:type="dxa"/>
            <w:hideMark/>
          </w:tcPr>
          <w:p w14:paraId="1A24FE7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2021</w:t>
            </w:r>
          </w:p>
        </w:tc>
        <w:tc>
          <w:tcPr>
            <w:tcW w:w="521" w:type="dxa"/>
            <w:hideMark/>
          </w:tcPr>
          <w:p w14:paraId="1841F38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414</w:t>
            </w:r>
          </w:p>
        </w:tc>
        <w:tc>
          <w:tcPr>
            <w:tcW w:w="709" w:type="dxa"/>
            <w:hideMark/>
          </w:tcPr>
          <w:p w14:paraId="3528E1B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Community-dwelling, ≥65 years</w:t>
            </w:r>
          </w:p>
        </w:tc>
        <w:tc>
          <w:tcPr>
            <w:tcW w:w="708" w:type="dxa"/>
            <w:hideMark/>
          </w:tcPr>
          <w:p w14:paraId="7C6797C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2D374C0C"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IADL impairment (79.2%), Nutrition risk (63.0%), Depression (57.2%), Frailty (47.1%)</w:t>
            </w:r>
          </w:p>
        </w:tc>
        <w:tc>
          <w:tcPr>
            <w:tcW w:w="1020" w:type="dxa"/>
            <w:hideMark/>
          </w:tcPr>
          <w:p w14:paraId="3D6D213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BAT for CGA, WHOQOL-BREF</w:t>
            </w:r>
          </w:p>
        </w:tc>
        <w:tc>
          <w:tcPr>
            <w:tcW w:w="1842" w:type="dxa"/>
          </w:tcPr>
          <w:p w14:paraId="1EA0A91B" w14:textId="3B026A8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 xml:space="preserve">QoL: Decreased </w:t>
            </w:r>
            <w:proofErr w:type="spellStart"/>
            <w:r w:rsidRPr="00173249">
              <w:rPr>
                <w:rFonts w:ascii="Times New Roman" w:eastAsia="Times New Roman" w:hAnsi="Times New Roman" w:cs="Times New Roman"/>
                <w:kern w:val="0"/>
                <w:sz w:val="18"/>
                <w:szCs w:val="18"/>
                <w:lang w:eastAsia="en-IN"/>
                <w14:ligatures w14:val="none"/>
              </w:rPr>
              <w:t>PQLI.Physical</w:t>
            </w:r>
            <w:proofErr w:type="spellEnd"/>
            <w:r w:rsidRPr="00173249">
              <w:rPr>
                <w:rFonts w:ascii="Times New Roman" w:eastAsia="Times New Roman" w:hAnsi="Times New Roman" w:cs="Times New Roman"/>
                <w:kern w:val="0"/>
                <w:sz w:val="18"/>
                <w:szCs w:val="18"/>
                <w:lang w:eastAsia="en-IN"/>
                <w14:ligatures w14:val="none"/>
              </w:rPr>
              <w:t xml:space="preserve"> health scores were significantly lower (44%) compared to psychological (55%) and social (57%) domains, </w:t>
            </w:r>
            <w:r w:rsidR="00170906" w:rsidRPr="00170906">
              <w:rPr>
                <w:rFonts w:ascii="Times New Roman" w:eastAsia="Times New Roman" w:hAnsi="Times New Roman" w:cs="Times New Roman"/>
                <w:kern w:val="0"/>
                <w:sz w:val="18"/>
                <w:szCs w:val="18"/>
                <w:lang w:eastAsia="en-IN"/>
                <w14:ligatures w14:val="none"/>
              </w:rPr>
              <w:t>indicating a stronger association of geriatric-syndrome burden with the physical-health domain</w:t>
            </w:r>
            <w:r w:rsidRPr="00173249">
              <w:rPr>
                <w:rFonts w:ascii="Times New Roman" w:eastAsia="Times New Roman" w:hAnsi="Times New Roman" w:cs="Times New Roman"/>
                <w:kern w:val="0"/>
                <w:sz w:val="18"/>
                <w:szCs w:val="18"/>
                <w:lang w:eastAsia="en-IN"/>
                <w14:ligatures w14:val="none"/>
              </w:rPr>
              <w:t>.</w:t>
            </w:r>
          </w:p>
        </w:tc>
      </w:tr>
      <w:tr w:rsidR="00173249" w:rsidRPr="00173249" w14:paraId="6A08E14B" w14:textId="77777777" w:rsidTr="0062479D">
        <w:trPr>
          <w:trHeight w:val="864"/>
        </w:trPr>
        <w:tc>
          <w:tcPr>
            <w:cnfStyle w:val="001000000000" w:firstRow="0" w:lastRow="0" w:firstColumn="1" w:lastColumn="0" w:oddVBand="0" w:evenVBand="0" w:oddHBand="0" w:evenHBand="0" w:firstRowFirstColumn="0" w:firstRowLastColumn="0" w:lastRowFirstColumn="0" w:lastRowLastColumn="0"/>
            <w:tcW w:w="412" w:type="dxa"/>
            <w:hideMark/>
          </w:tcPr>
          <w:p w14:paraId="2DE68561"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54</w:t>
            </w:r>
          </w:p>
        </w:tc>
        <w:tc>
          <w:tcPr>
            <w:tcW w:w="1148" w:type="dxa"/>
            <w:hideMark/>
          </w:tcPr>
          <w:p w14:paraId="7F97B4F9" w14:textId="27D8C541"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173249">
              <w:rPr>
                <w:rFonts w:ascii="Times New Roman" w:eastAsia="Times New Roman" w:hAnsi="Times New Roman" w:cs="Times New Roman"/>
                <w:kern w:val="0"/>
                <w:sz w:val="18"/>
                <w:szCs w:val="18"/>
                <w:lang w:eastAsia="en-IN"/>
                <w14:ligatures w14:val="none"/>
              </w:rPr>
              <w:t>Schönenberg</w:t>
            </w:r>
            <w:proofErr w:type="spellEnd"/>
            <w:r w:rsidRPr="00173249">
              <w:rPr>
                <w:rFonts w:ascii="Times New Roman" w:eastAsia="Times New Roman" w:hAnsi="Times New Roman" w:cs="Times New Roman"/>
                <w:kern w:val="0"/>
                <w:sz w:val="18"/>
                <w:szCs w:val="18"/>
                <w:lang w:eastAsia="en-IN"/>
                <w14:ligatures w14:val="none"/>
              </w:rPr>
              <w:t xml:space="preserve"> et al.</w:t>
            </w:r>
          </w:p>
        </w:tc>
        <w:tc>
          <w:tcPr>
            <w:tcW w:w="676" w:type="dxa"/>
            <w:hideMark/>
          </w:tcPr>
          <w:p w14:paraId="7A06B362"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173249">
              <w:rPr>
                <w:rFonts w:ascii="Times New Roman" w:eastAsia="Times New Roman" w:hAnsi="Times New Roman" w:cs="Times New Roman"/>
                <w:kern w:val="0"/>
                <w:sz w:val="18"/>
                <w:szCs w:val="18"/>
                <w:lang w:eastAsia="en-IN"/>
                <w14:ligatures w14:val="none"/>
              </w:rPr>
              <w:t>Eur</w:t>
            </w:r>
            <w:proofErr w:type="spellEnd"/>
            <w:r w:rsidRPr="00173249">
              <w:rPr>
                <w:rFonts w:ascii="Times New Roman" w:eastAsia="Times New Roman" w:hAnsi="Times New Roman" w:cs="Times New Roman"/>
                <w:kern w:val="0"/>
                <w:sz w:val="18"/>
                <w:szCs w:val="18"/>
                <w:lang w:eastAsia="en-IN"/>
                <w14:ligatures w14:val="none"/>
              </w:rPr>
              <w:t xml:space="preserve"> </w:t>
            </w:r>
            <w:proofErr w:type="spellStart"/>
            <w:r w:rsidRPr="00173249">
              <w:rPr>
                <w:rFonts w:ascii="Times New Roman" w:eastAsia="Times New Roman" w:hAnsi="Times New Roman" w:cs="Times New Roman"/>
                <w:kern w:val="0"/>
                <w:sz w:val="18"/>
                <w:szCs w:val="18"/>
                <w:lang w:eastAsia="en-IN"/>
                <w14:ligatures w14:val="none"/>
              </w:rPr>
              <w:t>Geriatr</w:t>
            </w:r>
            <w:proofErr w:type="spellEnd"/>
            <w:r w:rsidRPr="00173249">
              <w:rPr>
                <w:rFonts w:ascii="Times New Roman" w:eastAsia="Times New Roman" w:hAnsi="Times New Roman" w:cs="Times New Roman"/>
                <w:kern w:val="0"/>
                <w:sz w:val="18"/>
                <w:szCs w:val="18"/>
                <w:lang w:eastAsia="en-IN"/>
                <w14:ligatures w14:val="none"/>
              </w:rPr>
              <w:t xml:space="preserve"> Med</w:t>
            </w:r>
          </w:p>
        </w:tc>
        <w:tc>
          <w:tcPr>
            <w:tcW w:w="636" w:type="dxa"/>
            <w:hideMark/>
          </w:tcPr>
          <w:p w14:paraId="6E1CAB6A"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2025</w:t>
            </w:r>
          </w:p>
        </w:tc>
        <w:tc>
          <w:tcPr>
            <w:tcW w:w="851" w:type="dxa"/>
            <w:hideMark/>
          </w:tcPr>
          <w:p w14:paraId="5CE8E23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Germany</w:t>
            </w:r>
          </w:p>
        </w:tc>
        <w:tc>
          <w:tcPr>
            <w:tcW w:w="718" w:type="dxa"/>
            <w:hideMark/>
          </w:tcPr>
          <w:p w14:paraId="6D3C2B2E"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Feb 2023 – Aug 2024</w:t>
            </w:r>
          </w:p>
        </w:tc>
        <w:tc>
          <w:tcPr>
            <w:tcW w:w="521" w:type="dxa"/>
            <w:hideMark/>
          </w:tcPr>
          <w:p w14:paraId="3851689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666</w:t>
            </w:r>
          </w:p>
        </w:tc>
        <w:tc>
          <w:tcPr>
            <w:tcW w:w="709" w:type="dxa"/>
            <w:hideMark/>
          </w:tcPr>
          <w:p w14:paraId="2625490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Inpatients/Outpatients</w:t>
            </w:r>
          </w:p>
        </w:tc>
        <w:tc>
          <w:tcPr>
            <w:tcW w:w="708" w:type="dxa"/>
            <w:hideMark/>
          </w:tcPr>
          <w:p w14:paraId="7F6FA73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797018F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Mobility problems, Falls, and Pain (Most frequent syndromes)</w:t>
            </w:r>
          </w:p>
        </w:tc>
        <w:tc>
          <w:tcPr>
            <w:tcW w:w="1020" w:type="dxa"/>
            <w:hideMark/>
          </w:tcPr>
          <w:p w14:paraId="5C79B58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Patient Questionnaire, WHOQOL-BREF</w:t>
            </w:r>
          </w:p>
        </w:tc>
        <w:tc>
          <w:tcPr>
            <w:tcW w:w="1842" w:type="dxa"/>
          </w:tcPr>
          <w:p w14:paraId="44361678" w14:textId="259BFDF1" w:rsidR="00173249" w:rsidRPr="00173249" w:rsidRDefault="00170906"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0906">
              <w:rPr>
                <w:rFonts w:ascii="Times New Roman" w:eastAsia="Times New Roman" w:hAnsi="Times New Roman" w:cs="Times New Roman"/>
                <w:kern w:val="0"/>
                <w:sz w:val="18"/>
                <w:szCs w:val="18"/>
                <w:lang w:eastAsia="en-IN"/>
                <w14:ligatures w14:val="none"/>
              </w:rPr>
              <w:t>Higher syndrome burden was associated with lower physical and mental Qo</w:t>
            </w:r>
            <w:r w:rsidR="00173249" w:rsidRPr="00173249">
              <w:rPr>
                <w:rFonts w:ascii="Times New Roman" w:eastAsia="Times New Roman" w:hAnsi="Times New Roman" w:cs="Times New Roman"/>
                <w:kern w:val="0"/>
                <w:sz w:val="18"/>
                <w:szCs w:val="18"/>
                <w:lang w:eastAsia="en-IN"/>
                <w14:ligatures w14:val="none"/>
              </w:rPr>
              <w:t>.</w:t>
            </w:r>
          </w:p>
        </w:tc>
      </w:tr>
      <w:tr w:rsidR="00173249" w:rsidRPr="00173249" w14:paraId="7AC92FD7" w14:textId="77777777" w:rsidTr="0062479D">
        <w:trPr>
          <w:trHeight w:val="480"/>
        </w:trPr>
        <w:tc>
          <w:tcPr>
            <w:cnfStyle w:val="001000000000" w:firstRow="0" w:lastRow="0" w:firstColumn="1" w:lastColumn="0" w:oddVBand="0" w:evenVBand="0" w:oddHBand="0" w:evenHBand="0" w:firstRowFirstColumn="0" w:firstRowLastColumn="0" w:lastRowFirstColumn="0" w:lastRowLastColumn="0"/>
            <w:tcW w:w="412" w:type="dxa"/>
            <w:hideMark/>
          </w:tcPr>
          <w:p w14:paraId="71B7E311"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55</w:t>
            </w:r>
          </w:p>
        </w:tc>
        <w:tc>
          <w:tcPr>
            <w:tcW w:w="1148" w:type="dxa"/>
            <w:hideMark/>
          </w:tcPr>
          <w:p w14:paraId="368F07CD" w14:textId="42141353" w:rsidR="00173249" w:rsidRPr="00173249" w:rsidRDefault="007C0F8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7C0F8A">
              <w:rPr>
                <w:rFonts w:ascii="Times New Roman" w:eastAsia="Times New Roman" w:hAnsi="Times New Roman" w:cs="Times New Roman"/>
                <w:kern w:val="0"/>
                <w:sz w:val="18"/>
                <w:szCs w:val="18"/>
                <w:lang w:eastAsia="en-IN"/>
                <w14:ligatures w14:val="none"/>
              </w:rPr>
              <w:t xml:space="preserve">van </w:t>
            </w:r>
            <w:proofErr w:type="spellStart"/>
            <w:r w:rsidRPr="007C0F8A">
              <w:rPr>
                <w:rFonts w:ascii="Times New Roman" w:eastAsia="Times New Roman" w:hAnsi="Times New Roman" w:cs="Times New Roman"/>
                <w:kern w:val="0"/>
                <w:sz w:val="18"/>
                <w:szCs w:val="18"/>
                <w:lang w:eastAsia="en-IN"/>
                <w14:ligatures w14:val="none"/>
              </w:rPr>
              <w:t>Seben</w:t>
            </w:r>
            <w:proofErr w:type="spellEnd"/>
            <w:r w:rsidRPr="007C0F8A">
              <w:rPr>
                <w:rFonts w:ascii="Times New Roman" w:eastAsia="Times New Roman" w:hAnsi="Times New Roman" w:cs="Times New Roman"/>
                <w:kern w:val="0"/>
                <w:sz w:val="18"/>
                <w:szCs w:val="18"/>
                <w:lang w:eastAsia="en-IN"/>
                <w14:ligatures w14:val="none"/>
              </w:rPr>
              <w:t xml:space="preserve"> et al</w:t>
            </w:r>
            <w:r w:rsidR="00173249" w:rsidRPr="00173249">
              <w:rPr>
                <w:rFonts w:ascii="Times New Roman" w:eastAsia="Times New Roman" w:hAnsi="Times New Roman" w:cs="Times New Roman"/>
                <w:kern w:val="0"/>
                <w:sz w:val="18"/>
                <w:szCs w:val="18"/>
                <w:lang w:eastAsia="en-IN"/>
                <w14:ligatures w14:val="none"/>
              </w:rPr>
              <w:t>.</w:t>
            </w:r>
          </w:p>
        </w:tc>
        <w:tc>
          <w:tcPr>
            <w:tcW w:w="676" w:type="dxa"/>
            <w:hideMark/>
          </w:tcPr>
          <w:p w14:paraId="282B0A6E" w14:textId="0D781BB3" w:rsidR="00173249" w:rsidRPr="00173249" w:rsidRDefault="007C0F8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7C0F8A">
              <w:rPr>
                <w:rFonts w:ascii="Times New Roman" w:eastAsia="Times New Roman" w:hAnsi="Times New Roman" w:cs="Times New Roman"/>
                <w:kern w:val="0"/>
                <w:sz w:val="18"/>
                <w:szCs w:val="18"/>
                <w:lang w:eastAsia="en-IN"/>
                <w14:ligatures w14:val="none"/>
              </w:rPr>
              <w:t>Journal of the American Medical Directors Association</w:t>
            </w:r>
          </w:p>
        </w:tc>
        <w:tc>
          <w:tcPr>
            <w:tcW w:w="636" w:type="dxa"/>
            <w:hideMark/>
          </w:tcPr>
          <w:p w14:paraId="163BF854" w14:textId="43A9572B"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w:t>
            </w:r>
            <w:r w:rsidR="007C0F8A">
              <w:rPr>
                <w:rFonts w:ascii="Times New Roman" w:eastAsia="Times New Roman" w:hAnsi="Times New Roman" w:cs="Times New Roman"/>
                <w:kern w:val="0"/>
                <w:sz w:val="18"/>
                <w:szCs w:val="18"/>
                <w:lang w:eastAsia="en-IN"/>
                <w14:ligatures w14:val="none"/>
              </w:rPr>
              <w:t>19</w:t>
            </w:r>
          </w:p>
        </w:tc>
        <w:tc>
          <w:tcPr>
            <w:tcW w:w="851" w:type="dxa"/>
            <w:hideMark/>
          </w:tcPr>
          <w:p w14:paraId="15B2643E" w14:textId="210B604B" w:rsidR="00173249" w:rsidRPr="00173249" w:rsidRDefault="007C0F8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7C0F8A">
              <w:rPr>
                <w:rFonts w:ascii="Times New Roman" w:eastAsia="Times New Roman" w:hAnsi="Times New Roman" w:cs="Times New Roman"/>
                <w:kern w:val="0"/>
                <w:sz w:val="18"/>
                <w:szCs w:val="18"/>
                <w:lang w:eastAsia="en-IN"/>
                <w14:ligatures w14:val="none"/>
              </w:rPr>
              <w:t>Netherland</w:t>
            </w:r>
          </w:p>
        </w:tc>
        <w:tc>
          <w:tcPr>
            <w:tcW w:w="718" w:type="dxa"/>
            <w:hideMark/>
          </w:tcPr>
          <w:p w14:paraId="77BC5B10" w14:textId="687BFFF4" w:rsidR="00173249" w:rsidRPr="00173249" w:rsidRDefault="007C0F8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7C0F8A">
              <w:rPr>
                <w:rFonts w:ascii="Times New Roman" w:eastAsia="Times New Roman" w:hAnsi="Times New Roman" w:cs="Times New Roman"/>
                <w:kern w:val="0"/>
                <w:sz w:val="18"/>
                <w:szCs w:val="18"/>
                <w:lang w:eastAsia="en-IN"/>
                <w14:ligatures w14:val="none"/>
              </w:rPr>
              <w:t>October 2015–June 2017</w:t>
            </w:r>
          </w:p>
        </w:tc>
        <w:tc>
          <w:tcPr>
            <w:tcW w:w="521" w:type="dxa"/>
            <w:hideMark/>
          </w:tcPr>
          <w:p w14:paraId="0FFE6C07" w14:textId="2B91A9A3"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40</w:t>
            </w:r>
            <w:r w:rsidR="007C0F8A">
              <w:rPr>
                <w:rFonts w:ascii="Times New Roman" w:eastAsia="Times New Roman" w:hAnsi="Times New Roman" w:cs="Times New Roman"/>
                <w:kern w:val="0"/>
                <w:sz w:val="18"/>
                <w:szCs w:val="18"/>
                <w:lang w:eastAsia="en-IN"/>
                <w14:ligatures w14:val="none"/>
              </w:rPr>
              <w:t>1</w:t>
            </w:r>
          </w:p>
        </w:tc>
        <w:tc>
          <w:tcPr>
            <w:tcW w:w="709" w:type="dxa"/>
            <w:hideMark/>
          </w:tcPr>
          <w:p w14:paraId="2E82FBB8" w14:textId="0156723D" w:rsidR="00173249" w:rsidRPr="00173249" w:rsidRDefault="007C0F8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7C0F8A">
              <w:rPr>
                <w:rFonts w:ascii="Times New Roman" w:eastAsia="Times New Roman" w:hAnsi="Times New Roman" w:cs="Times New Roman"/>
                <w:kern w:val="0"/>
                <w:sz w:val="18"/>
                <w:szCs w:val="18"/>
                <w:lang w:eastAsia="en-IN"/>
                <w14:ligatures w14:val="none"/>
              </w:rPr>
              <w:t>Acutely hospitalized older adults; mean age 79.7±6.7 years</w:t>
            </w:r>
          </w:p>
        </w:tc>
        <w:tc>
          <w:tcPr>
            <w:tcW w:w="708" w:type="dxa"/>
            <w:hideMark/>
          </w:tcPr>
          <w:p w14:paraId="71FF9E01" w14:textId="3914BD7A" w:rsidR="00173249" w:rsidRPr="00173249" w:rsidRDefault="007C0F8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7C0F8A">
              <w:rPr>
                <w:rFonts w:ascii="Times New Roman" w:eastAsia="Times New Roman" w:hAnsi="Times New Roman" w:cs="Times New Roman"/>
                <w:kern w:val="0"/>
                <w:sz w:val="18"/>
                <w:szCs w:val="18"/>
                <w:lang w:eastAsia="en-IN"/>
                <w14:ligatures w14:val="none"/>
              </w:rPr>
              <w:t>Prospective multicentre cohort</w:t>
            </w:r>
          </w:p>
        </w:tc>
        <w:tc>
          <w:tcPr>
            <w:tcW w:w="1843" w:type="dxa"/>
            <w:hideMark/>
          </w:tcPr>
          <w:p w14:paraId="765D763C" w14:textId="59E970BC" w:rsidR="00173249" w:rsidRPr="00173249" w:rsidRDefault="007C0F8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7C0F8A">
              <w:rPr>
                <w:rFonts w:ascii="Times New Roman" w:eastAsia="Times New Roman" w:hAnsi="Times New Roman" w:cs="Times New Roman"/>
                <w:kern w:val="0"/>
                <w:sz w:val="18"/>
                <w:szCs w:val="18"/>
                <w:lang w:eastAsia="en-IN"/>
                <w14:ligatures w14:val="none"/>
              </w:rPr>
              <w:t>Fatigue 77.2%; functional impairment 62.3%; apathy 57.5%; mobility impairment 54.6%; fear of falling 40.6%; median of five geriatric syndromes per participant</w:t>
            </w:r>
          </w:p>
        </w:tc>
        <w:tc>
          <w:tcPr>
            <w:tcW w:w="1020" w:type="dxa"/>
            <w:hideMark/>
          </w:tcPr>
          <w:p w14:paraId="7A8DCEF5" w14:textId="2DCC6707" w:rsidR="00173249" w:rsidRPr="00173249" w:rsidRDefault="007C0F8A"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7C0F8A">
              <w:rPr>
                <w:rFonts w:ascii="Times New Roman" w:eastAsia="Times New Roman" w:hAnsi="Times New Roman" w:cs="Times New Roman"/>
                <w:kern w:val="0"/>
                <w:sz w:val="18"/>
                <w:szCs w:val="18"/>
                <w:lang w:eastAsia="en-IN"/>
                <w14:ligatures w14:val="none"/>
              </w:rPr>
              <w:t>MMSE, GDS-15, SNAQ, Katz ADL Index, numeric rating scales, walking-aid assessment and self-reported falls/incontinence.</w:t>
            </w:r>
          </w:p>
        </w:tc>
        <w:tc>
          <w:tcPr>
            <w:tcW w:w="1842" w:type="dxa"/>
          </w:tcPr>
          <w:p w14:paraId="2D49944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NR</w:t>
            </w:r>
          </w:p>
        </w:tc>
      </w:tr>
      <w:tr w:rsidR="00173249" w:rsidRPr="00173249" w14:paraId="3233E3DD" w14:textId="77777777" w:rsidTr="0062479D">
        <w:trPr>
          <w:trHeight w:val="252"/>
        </w:trPr>
        <w:tc>
          <w:tcPr>
            <w:cnfStyle w:val="001000000000" w:firstRow="0" w:lastRow="0" w:firstColumn="1" w:lastColumn="0" w:oddVBand="0" w:evenVBand="0" w:oddHBand="0" w:evenHBand="0" w:firstRowFirstColumn="0" w:firstRowLastColumn="0" w:lastRowFirstColumn="0" w:lastRowLastColumn="0"/>
            <w:tcW w:w="412" w:type="dxa"/>
            <w:hideMark/>
          </w:tcPr>
          <w:p w14:paraId="133D4E15"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56</w:t>
            </w:r>
          </w:p>
        </w:tc>
        <w:tc>
          <w:tcPr>
            <w:tcW w:w="1148" w:type="dxa"/>
            <w:hideMark/>
          </w:tcPr>
          <w:p w14:paraId="31E94296" w14:textId="17362049"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Lee et al.</w:t>
            </w:r>
          </w:p>
        </w:tc>
        <w:tc>
          <w:tcPr>
            <w:tcW w:w="676" w:type="dxa"/>
            <w:hideMark/>
          </w:tcPr>
          <w:p w14:paraId="5CAC4EDB"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proofErr w:type="spellStart"/>
            <w:r w:rsidRPr="00173249">
              <w:rPr>
                <w:rFonts w:ascii="Times New Roman" w:eastAsia="Times New Roman" w:hAnsi="Times New Roman" w:cs="Times New Roman"/>
                <w:kern w:val="0"/>
                <w:sz w:val="18"/>
                <w:szCs w:val="18"/>
                <w:lang w:eastAsia="en-IN"/>
                <w14:ligatures w14:val="none"/>
              </w:rPr>
              <w:t>Heliyon</w:t>
            </w:r>
            <w:proofErr w:type="spellEnd"/>
          </w:p>
        </w:tc>
        <w:tc>
          <w:tcPr>
            <w:tcW w:w="636" w:type="dxa"/>
            <w:hideMark/>
          </w:tcPr>
          <w:p w14:paraId="595A03A5" w14:textId="66E36C1C"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w:t>
            </w:r>
            <w:r w:rsidR="007B58F7">
              <w:rPr>
                <w:rFonts w:ascii="Times New Roman" w:eastAsia="Times New Roman" w:hAnsi="Times New Roman" w:cs="Times New Roman"/>
                <w:kern w:val="0"/>
                <w:sz w:val="18"/>
                <w:szCs w:val="18"/>
                <w:lang w:eastAsia="en-IN"/>
                <w14:ligatures w14:val="none"/>
              </w:rPr>
              <w:t>3</w:t>
            </w:r>
          </w:p>
        </w:tc>
        <w:tc>
          <w:tcPr>
            <w:tcW w:w="851" w:type="dxa"/>
            <w:hideMark/>
          </w:tcPr>
          <w:p w14:paraId="6D4AB3D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Taiwan</w:t>
            </w:r>
          </w:p>
        </w:tc>
        <w:tc>
          <w:tcPr>
            <w:tcW w:w="718" w:type="dxa"/>
            <w:hideMark/>
          </w:tcPr>
          <w:p w14:paraId="65E25CA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2010 – 2018</w:t>
            </w:r>
          </w:p>
        </w:tc>
        <w:tc>
          <w:tcPr>
            <w:tcW w:w="521" w:type="dxa"/>
            <w:hideMark/>
          </w:tcPr>
          <w:p w14:paraId="380A58C0"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699</w:t>
            </w:r>
          </w:p>
        </w:tc>
        <w:tc>
          <w:tcPr>
            <w:tcW w:w="709" w:type="dxa"/>
            <w:hideMark/>
          </w:tcPr>
          <w:p w14:paraId="7FFB99E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Community-dwelling, 75.5 (mean)</w:t>
            </w:r>
          </w:p>
        </w:tc>
        <w:tc>
          <w:tcPr>
            <w:tcW w:w="708" w:type="dxa"/>
            <w:hideMark/>
          </w:tcPr>
          <w:p w14:paraId="724C6984"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Prospective Cohort</w:t>
            </w:r>
          </w:p>
        </w:tc>
        <w:tc>
          <w:tcPr>
            <w:tcW w:w="1843" w:type="dxa"/>
            <w:hideMark/>
          </w:tcPr>
          <w:p w14:paraId="7878E01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Polypharmacy, Falls, Frailty (Associated with QoL)</w:t>
            </w:r>
          </w:p>
        </w:tc>
        <w:tc>
          <w:tcPr>
            <w:tcW w:w="1020" w:type="dxa"/>
            <w:hideMark/>
          </w:tcPr>
          <w:p w14:paraId="503ABFC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CASP-12, Fried Phenotype</w:t>
            </w:r>
          </w:p>
        </w:tc>
        <w:tc>
          <w:tcPr>
            <w:tcW w:w="1842" w:type="dxa"/>
          </w:tcPr>
          <w:p w14:paraId="78DC303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Higher QoL (CASP-12 score) was associated with a significantly lower likelihood of developing syndromes and HCU</w:t>
            </w:r>
          </w:p>
        </w:tc>
      </w:tr>
      <w:tr w:rsidR="00173249" w:rsidRPr="00173249" w14:paraId="3DE0A0F6" w14:textId="77777777" w:rsidTr="0062479D">
        <w:trPr>
          <w:trHeight w:val="576"/>
        </w:trPr>
        <w:tc>
          <w:tcPr>
            <w:cnfStyle w:val="001000000000" w:firstRow="0" w:lastRow="0" w:firstColumn="1" w:lastColumn="0" w:oddVBand="0" w:evenVBand="0" w:oddHBand="0" w:evenHBand="0" w:firstRowFirstColumn="0" w:firstRowLastColumn="0" w:lastRowFirstColumn="0" w:lastRowLastColumn="0"/>
            <w:tcW w:w="412" w:type="dxa"/>
            <w:hideMark/>
          </w:tcPr>
          <w:p w14:paraId="0BB95C3F" w14:textId="77777777" w:rsidR="00173249" w:rsidRPr="00173249" w:rsidRDefault="00173249" w:rsidP="00173249">
            <w:pPr>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57</w:t>
            </w:r>
          </w:p>
        </w:tc>
        <w:tc>
          <w:tcPr>
            <w:tcW w:w="1148" w:type="dxa"/>
            <w:hideMark/>
          </w:tcPr>
          <w:p w14:paraId="611490E3" w14:textId="31DADFC9"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Pr>
                <w:rFonts w:ascii="Times New Roman" w:eastAsia="Times New Roman" w:hAnsi="Times New Roman" w:cs="Times New Roman"/>
                <w:kern w:val="0"/>
                <w:sz w:val="16"/>
                <w:szCs w:val="16"/>
                <w:lang w:eastAsia="en-IN"/>
                <w14:ligatures w14:val="none"/>
              </w:rPr>
              <w:t>Christos</w:t>
            </w:r>
            <w:r w:rsidRPr="00890505">
              <w:rPr>
                <w:rFonts w:ascii="Times New Roman" w:eastAsia="Times New Roman" w:hAnsi="Times New Roman" w:cs="Times New Roman"/>
                <w:kern w:val="0"/>
                <w:sz w:val="16"/>
                <w:szCs w:val="16"/>
                <w:lang w:eastAsia="en-IN"/>
                <w14:ligatures w14:val="none"/>
              </w:rPr>
              <w:t xml:space="preserve"> </w:t>
            </w:r>
            <w:proofErr w:type="gramStart"/>
            <w:r w:rsidRPr="00890505">
              <w:rPr>
                <w:rFonts w:ascii="Times New Roman" w:eastAsia="Times New Roman" w:hAnsi="Times New Roman" w:cs="Times New Roman"/>
                <w:kern w:val="0"/>
                <w:sz w:val="16"/>
                <w:szCs w:val="16"/>
                <w:lang w:eastAsia="en-IN"/>
                <w14:ligatures w14:val="none"/>
              </w:rPr>
              <w:t>et al</w:t>
            </w:r>
            <w:r>
              <w:rPr>
                <w:rFonts w:ascii="Times New Roman" w:eastAsia="Times New Roman" w:hAnsi="Times New Roman" w:cs="Times New Roman"/>
                <w:kern w:val="0"/>
                <w:sz w:val="18"/>
                <w:szCs w:val="18"/>
                <w:lang w:eastAsia="en-IN"/>
                <w14:ligatures w14:val="none"/>
              </w:rPr>
              <w:t>.</w:t>
            </w:r>
            <w:r w:rsidRPr="00173249">
              <w:rPr>
                <w:rFonts w:ascii="Times New Roman" w:eastAsia="Times New Roman" w:hAnsi="Times New Roman" w:cs="Times New Roman"/>
                <w:kern w:val="0"/>
                <w:sz w:val="18"/>
                <w:szCs w:val="18"/>
                <w:lang w:eastAsia="en-IN"/>
                <w14:ligatures w14:val="none"/>
              </w:rPr>
              <w:t xml:space="preserve"> .</w:t>
            </w:r>
            <w:proofErr w:type="gramEnd"/>
          </w:p>
        </w:tc>
        <w:tc>
          <w:tcPr>
            <w:tcW w:w="676" w:type="dxa"/>
            <w:hideMark/>
          </w:tcPr>
          <w:p w14:paraId="6D07308D"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Healthcare</w:t>
            </w:r>
          </w:p>
        </w:tc>
        <w:tc>
          <w:tcPr>
            <w:tcW w:w="636" w:type="dxa"/>
            <w:hideMark/>
          </w:tcPr>
          <w:p w14:paraId="47DE7421"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2023</w:t>
            </w:r>
          </w:p>
        </w:tc>
        <w:tc>
          <w:tcPr>
            <w:tcW w:w="851" w:type="dxa"/>
            <w:hideMark/>
          </w:tcPr>
          <w:p w14:paraId="3C19E6D6"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Greece</w:t>
            </w:r>
          </w:p>
        </w:tc>
        <w:tc>
          <w:tcPr>
            <w:tcW w:w="718" w:type="dxa"/>
            <w:hideMark/>
          </w:tcPr>
          <w:p w14:paraId="48B97935"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Mar – May 2019</w:t>
            </w:r>
          </w:p>
        </w:tc>
        <w:tc>
          <w:tcPr>
            <w:tcW w:w="521" w:type="dxa"/>
            <w:hideMark/>
          </w:tcPr>
          <w:p w14:paraId="0E6BBB73"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301</w:t>
            </w:r>
          </w:p>
        </w:tc>
        <w:tc>
          <w:tcPr>
            <w:tcW w:w="709" w:type="dxa"/>
            <w:hideMark/>
          </w:tcPr>
          <w:p w14:paraId="5602F268"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home-based care, ≥65 years</w:t>
            </w:r>
          </w:p>
        </w:tc>
        <w:tc>
          <w:tcPr>
            <w:tcW w:w="708" w:type="dxa"/>
            <w:hideMark/>
          </w:tcPr>
          <w:p w14:paraId="4A1A727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Cross-sectional</w:t>
            </w:r>
          </w:p>
        </w:tc>
        <w:tc>
          <w:tcPr>
            <w:tcW w:w="1843" w:type="dxa"/>
            <w:hideMark/>
          </w:tcPr>
          <w:p w14:paraId="73A74F7F"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Frailty, Cognitive dysfunction, Depression (Prevalence not specified in abstract)</w:t>
            </w:r>
          </w:p>
        </w:tc>
        <w:tc>
          <w:tcPr>
            <w:tcW w:w="1020" w:type="dxa"/>
            <w:hideMark/>
          </w:tcPr>
          <w:p w14:paraId="74A1A169" w14:textId="77777777" w:rsidR="00173249" w:rsidRPr="00173249" w:rsidRDefault="0017324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sidRPr="00173249">
              <w:rPr>
                <w:rFonts w:ascii="Times New Roman" w:eastAsia="Times New Roman" w:hAnsi="Times New Roman" w:cs="Times New Roman"/>
                <w:kern w:val="0"/>
                <w:sz w:val="18"/>
                <w:szCs w:val="18"/>
                <w:lang w:eastAsia="en-IN"/>
                <w14:ligatures w14:val="none"/>
              </w:rPr>
              <w:t>SHARE-Fi, MoCA, GDS, WHOQOL-BREF</w:t>
            </w:r>
          </w:p>
        </w:tc>
        <w:tc>
          <w:tcPr>
            <w:tcW w:w="1842" w:type="dxa"/>
          </w:tcPr>
          <w:p w14:paraId="77BA3719" w14:textId="5F47DF08" w:rsidR="00173249" w:rsidRPr="00173249" w:rsidRDefault="00BA0289" w:rsidP="001732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en-IN"/>
                <w14:ligatures w14:val="none"/>
              </w:rPr>
            </w:pPr>
            <w:r>
              <w:rPr>
                <w:rFonts w:ascii="Times New Roman" w:eastAsia="Times New Roman" w:hAnsi="Times New Roman" w:cs="Times New Roman"/>
                <w:kern w:val="0"/>
                <w:sz w:val="18"/>
                <w:szCs w:val="18"/>
                <w:lang w:eastAsia="en-IN"/>
                <w14:ligatures w14:val="none"/>
              </w:rPr>
              <w:t>Decrease in QoL</w:t>
            </w:r>
          </w:p>
        </w:tc>
      </w:tr>
      <w:bookmarkEnd w:id="0"/>
    </w:tbl>
    <w:p w14:paraId="6D8BBFFA" w14:textId="77777777" w:rsidR="00173249" w:rsidRPr="00173249" w:rsidRDefault="00173249" w:rsidP="00173249">
      <w:pPr>
        <w:rPr>
          <w:rFonts w:ascii="Times New Roman" w:hAnsi="Times New Roman" w:cs="Times New Roman"/>
          <w:i/>
          <w:iCs/>
          <w:lang w:eastAsia="en-IN"/>
        </w:rPr>
      </w:pPr>
    </w:p>
    <w:p w14:paraId="2550C605" w14:textId="77777777" w:rsidR="00173249" w:rsidRPr="00173249" w:rsidRDefault="00173249" w:rsidP="00173249">
      <w:pPr>
        <w:rPr>
          <w:rFonts w:ascii="Times New Roman" w:hAnsi="Times New Roman" w:cs="Times New Roman"/>
          <w:sz w:val="18"/>
          <w:szCs w:val="18"/>
          <w:lang w:eastAsia="en-IN"/>
        </w:rPr>
      </w:pPr>
      <w:r w:rsidRPr="00173249">
        <w:rPr>
          <w:rFonts w:ascii="Times New Roman" w:hAnsi="Times New Roman" w:cs="Times New Roman"/>
          <w:sz w:val="18"/>
          <w:szCs w:val="18"/>
          <w:lang w:eastAsia="en-IN"/>
        </w:rPr>
        <w:lastRenderedPageBreak/>
        <w:t xml:space="preserve">Abbreviations: </w:t>
      </w:r>
      <w:proofErr w:type="spellStart"/>
      <w:r w:rsidRPr="00173249">
        <w:rPr>
          <w:rFonts w:ascii="Times New Roman" w:hAnsi="Times New Roman" w:cs="Times New Roman"/>
          <w:sz w:val="18"/>
          <w:szCs w:val="18"/>
          <w:lang w:eastAsia="en-IN"/>
        </w:rPr>
        <w:t>NR:Not</w:t>
      </w:r>
      <w:proofErr w:type="spellEnd"/>
      <w:r w:rsidRPr="00173249">
        <w:rPr>
          <w:rFonts w:ascii="Times New Roman" w:hAnsi="Times New Roman" w:cs="Times New Roman"/>
          <w:sz w:val="18"/>
          <w:szCs w:val="18"/>
          <w:lang w:eastAsia="en-IN"/>
        </w:rPr>
        <w:t xml:space="preserve"> Reported ADL(Activities of Daily Living); AMT, Abbreviated Mental Test; AWGS, Asian Working Group for Sarcopenia; CES-D, </w:t>
      </w:r>
      <w:proofErr w:type="spellStart"/>
      <w:r w:rsidRPr="00173249">
        <w:rPr>
          <w:rFonts w:ascii="Times New Roman" w:hAnsi="Times New Roman" w:cs="Times New Roman"/>
          <w:sz w:val="18"/>
          <w:szCs w:val="18"/>
          <w:lang w:eastAsia="en-IN"/>
        </w:rPr>
        <w:t>Center</w:t>
      </w:r>
      <w:proofErr w:type="spellEnd"/>
      <w:r w:rsidRPr="00173249">
        <w:rPr>
          <w:rFonts w:ascii="Times New Roman" w:hAnsi="Times New Roman" w:cs="Times New Roman"/>
          <w:sz w:val="18"/>
          <w:szCs w:val="18"/>
          <w:lang w:eastAsia="en-IN"/>
        </w:rPr>
        <w:t xml:space="preserve"> for Epidemiologic Studies Depression Scale; CGA, Comprehensive Geriatric Assessment; GDS, Geriatric Depression Scale; IADL, Instrumental Activities of Daily Living; MMSE, Mini-Mental State Examination; MNA-SF, Mini Nutritional Assessment-Short Form; MoCA, Montreal Cognitive Assessment; PHQ-9, Patient Health Questionnaire-9; SARC-F, Sarcopenia Screening Tool; TUG, Timed Up and Go test; WHOQOL-BREF, World Health Organization Quality of Life (Brief Version). </w:t>
      </w:r>
    </w:p>
    <w:p w14:paraId="23FACE75" w14:textId="77777777" w:rsidR="00173249" w:rsidRDefault="00173249" w:rsidP="00173249">
      <w:pPr>
        <w:rPr>
          <w:rFonts w:ascii="Times New Roman" w:hAnsi="Times New Roman" w:cs="Times New Roman"/>
          <w:sz w:val="18"/>
          <w:szCs w:val="18"/>
          <w:lang w:eastAsia="en-IN"/>
        </w:rPr>
      </w:pPr>
      <w:r w:rsidRPr="00173249">
        <w:rPr>
          <w:rFonts w:ascii="Times New Roman" w:hAnsi="Times New Roman" w:cs="Times New Roman"/>
          <w:sz w:val="18"/>
          <w:szCs w:val="18"/>
          <w:lang w:eastAsia="en-IN"/>
        </w:rPr>
        <w:t>Note: Sample sizes reflect the number of participants specifically analysed for geriatric syndromes.</w:t>
      </w:r>
    </w:p>
    <w:p w14:paraId="386B77F0" w14:textId="32236421" w:rsidR="00CF0142" w:rsidRPr="00173249" w:rsidRDefault="00CF0142" w:rsidP="00173249">
      <w:pPr>
        <w:rPr>
          <w:rFonts w:ascii="Times New Roman" w:hAnsi="Times New Roman" w:cs="Times New Roman"/>
          <w:sz w:val="18"/>
          <w:szCs w:val="18"/>
          <w:lang w:eastAsia="en-IN"/>
        </w:rPr>
      </w:pPr>
      <w:r w:rsidRPr="006C7594">
        <w:rPr>
          <w:rFonts w:ascii="Times New Roman" w:hAnsi="Times New Roman" w:cs="Times New Roman"/>
          <w:b/>
          <w:bCs/>
          <w:lang w:eastAsia="en-IN"/>
        </w:rPr>
        <w:br/>
      </w:r>
      <w:r w:rsidR="00D87943">
        <w:rPr>
          <w:rFonts w:ascii="Times New Roman" w:hAnsi="Times New Roman" w:cs="Times New Roman"/>
          <w:b/>
          <w:bCs/>
          <w:lang w:eastAsia="en-IN"/>
        </w:rPr>
        <w:t xml:space="preserve">3. </w:t>
      </w:r>
      <w:r w:rsidRPr="00C62F29">
        <w:rPr>
          <w:rFonts w:ascii="Times New Roman" w:hAnsi="Times New Roman" w:cs="Times New Roman"/>
          <w:b/>
          <w:bCs/>
          <w:lang w:eastAsia="en-IN"/>
        </w:rPr>
        <w:t>Supplementary Table S</w:t>
      </w:r>
      <w:r w:rsidR="00D87943">
        <w:rPr>
          <w:rFonts w:ascii="Times New Roman" w:hAnsi="Times New Roman" w:cs="Times New Roman"/>
          <w:b/>
          <w:bCs/>
          <w:lang w:eastAsia="en-IN"/>
        </w:rPr>
        <w:t>3</w:t>
      </w:r>
      <w:r w:rsidRPr="00C62F29">
        <w:rPr>
          <w:rFonts w:ascii="Times New Roman" w:hAnsi="Times New Roman" w:cs="Times New Roman"/>
          <w:b/>
          <w:bCs/>
          <w:lang w:eastAsia="en-IN"/>
        </w:rPr>
        <w:t xml:space="preserve">: </w:t>
      </w:r>
      <w:r w:rsidR="000F7DCF" w:rsidRPr="000F7DCF">
        <w:rPr>
          <w:rFonts w:ascii="Times New Roman" w:hAnsi="Times New Roman" w:cs="Times New Roman"/>
          <w:b/>
          <w:bCs/>
          <w:lang w:eastAsia="en-IN"/>
        </w:rPr>
        <w:t>Risk-of-bias assessment</w:t>
      </w:r>
    </w:p>
    <w:tbl>
      <w:tblPr>
        <w:tblStyle w:val="TableGrid2"/>
        <w:tblW w:w="11414" w:type="dxa"/>
        <w:jc w:val="center"/>
        <w:tblLayout w:type="fixed"/>
        <w:tblLook w:val="04A0" w:firstRow="1" w:lastRow="0" w:firstColumn="1" w:lastColumn="0" w:noHBand="0" w:noVBand="1"/>
      </w:tblPr>
      <w:tblGrid>
        <w:gridCol w:w="454"/>
        <w:gridCol w:w="2093"/>
        <w:gridCol w:w="1119"/>
        <w:gridCol w:w="652"/>
        <w:gridCol w:w="652"/>
        <w:gridCol w:w="652"/>
        <w:gridCol w:w="652"/>
        <w:gridCol w:w="652"/>
        <w:gridCol w:w="652"/>
        <w:gridCol w:w="652"/>
        <w:gridCol w:w="652"/>
        <w:gridCol w:w="652"/>
        <w:gridCol w:w="746"/>
        <w:gridCol w:w="1134"/>
      </w:tblGrid>
      <w:tr w:rsidR="003D57E1" w:rsidRPr="003D57E1" w14:paraId="39E4F845" w14:textId="77777777" w:rsidTr="003D57E1">
        <w:trPr>
          <w:jc w:val="center"/>
        </w:trPr>
        <w:tc>
          <w:tcPr>
            <w:tcW w:w="454" w:type="dxa"/>
            <w:shd w:val="clear" w:color="auto" w:fill="4472C4"/>
            <w:vAlign w:val="center"/>
          </w:tcPr>
          <w:p w14:paraId="0CC78531" w14:textId="77777777" w:rsidR="003D57E1" w:rsidRPr="003D57E1" w:rsidRDefault="003D57E1" w:rsidP="003D57E1">
            <w:pPr>
              <w:jc w:val="center"/>
              <w:rPr>
                <w:rFonts w:ascii="Calibri" w:hAnsi="Calibri" w:cs="Times New Roman"/>
                <w:sz w:val="18"/>
              </w:rPr>
            </w:pPr>
            <w:r w:rsidRPr="003D57E1">
              <w:rPr>
                <w:rFonts w:ascii="Calibri" w:hAnsi="Calibri" w:cs="Times New Roman"/>
                <w:b/>
                <w:color w:val="FFFFFF"/>
                <w:sz w:val="18"/>
              </w:rPr>
              <w:t>#</w:t>
            </w:r>
          </w:p>
        </w:tc>
        <w:tc>
          <w:tcPr>
            <w:tcW w:w="2093" w:type="dxa"/>
            <w:shd w:val="clear" w:color="auto" w:fill="4472C4"/>
            <w:vAlign w:val="center"/>
          </w:tcPr>
          <w:p w14:paraId="5D4D5FF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FFFFFF"/>
                <w:sz w:val="16"/>
                <w:szCs w:val="20"/>
              </w:rPr>
              <w:t>Author (Year)</w:t>
            </w:r>
          </w:p>
        </w:tc>
        <w:tc>
          <w:tcPr>
            <w:tcW w:w="1119" w:type="dxa"/>
            <w:shd w:val="clear" w:color="auto" w:fill="4472C4"/>
            <w:vAlign w:val="center"/>
          </w:tcPr>
          <w:p w14:paraId="7C66BB2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FFFFFF"/>
                <w:sz w:val="16"/>
                <w:szCs w:val="20"/>
              </w:rPr>
              <w:t>Country</w:t>
            </w:r>
          </w:p>
        </w:tc>
        <w:tc>
          <w:tcPr>
            <w:tcW w:w="652" w:type="dxa"/>
            <w:shd w:val="clear" w:color="auto" w:fill="4472C4"/>
            <w:vAlign w:val="center"/>
          </w:tcPr>
          <w:p w14:paraId="0C25B044" w14:textId="475B6A00" w:rsidR="003D57E1" w:rsidRPr="003D57E1" w:rsidRDefault="00BF0408" w:rsidP="003D57E1">
            <w:pPr>
              <w:jc w:val="center"/>
              <w:rPr>
                <w:rFonts w:ascii="Calibri" w:hAnsi="Calibri" w:cs="Times New Roman"/>
                <w:sz w:val="16"/>
                <w:szCs w:val="20"/>
              </w:rPr>
            </w:pPr>
            <w:r>
              <w:rPr>
                <w:rFonts w:ascii="Calibri" w:hAnsi="Calibri" w:cs="Times New Roman"/>
                <w:b/>
                <w:color w:val="FFFFFF"/>
                <w:sz w:val="16"/>
                <w:szCs w:val="20"/>
              </w:rPr>
              <w:t>D</w:t>
            </w:r>
            <w:r w:rsidR="003D57E1" w:rsidRPr="003D57E1">
              <w:rPr>
                <w:rFonts w:ascii="Calibri" w:hAnsi="Calibri" w:cs="Times New Roman"/>
                <w:b/>
                <w:color w:val="FFFFFF"/>
                <w:sz w:val="16"/>
                <w:szCs w:val="20"/>
              </w:rPr>
              <w:t>1</w:t>
            </w:r>
          </w:p>
        </w:tc>
        <w:tc>
          <w:tcPr>
            <w:tcW w:w="652" w:type="dxa"/>
            <w:shd w:val="clear" w:color="auto" w:fill="4472C4"/>
            <w:vAlign w:val="center"/>
          </w:tcPr>
          <w:p w14:paraId="1CE7DB13" w14:textId="6FFC6573" w:rsidR="003D57E1" w:rsidRPr="003D57E1" w:rsidRDefault="00BF0408" w:rsidP="003D57E1">
            <w:pPr>
              <w:jc w:val="center"/>
              <w:rPr>
                <w:rFonts w:ascii="Calibri" w:hAnsi="Calibri" w:cs="Times New Roman"/>
                <w:sz w:val="16"/>
                <w:szCs w:val="20"/>
              </w:rPr>
            </w:pPr>
            <w:r>
              <w:rPr>
                <w:rFonts w:ascii="Calibri" w:hAnsi="Calibri" w:cs="Times New Roman"/>
                <w:b/>
                <w:color w:val="FFFFFF"/>
                <w:sz w:val="16"/>
                <w:szCs w:val="20"/>
              </w:rPr>
              <w:t>D</w:t>
            </w:r>
            <w:r w:rsidR="003D57E1" w:rsidRPr="003D57E1">
              <w:rPr>
                <w:rFonts w:ascii="Calibri" w:hAnsi="Calibri" w:cs="Times New Roman"/>
                <w:b/>
                <w:color w:val="FFFFFF"/>
                <w:sz w:val="16"/>
                <w:szCs w:val="20"/>
              </w:rPr>
              <w:t>2</w:t>
            </w:r>
          </w:p>
        </w:tc>
        <w:tc>
          <w:tcPr>
            <w:tcW w:w="652" w:type="dxa"/>
            <w:shd w:val="clear" w:color="auto" w:fill="4472C4"/>
            <w:vAlign w:val="center"/>
          </w:tcPr>
          <w:p w14:paraId="05CC2E7D" w14:textId="0DE34B02" w:rsidR="003D57E1" w:rsidRPr="003D57E1" w:rsidRDefault="00BF0408" w:rsidP="003D57E1">
            <w:pPr>
              <w:jc w:val="center"/>
              <w:rPr>
                <w:rFonts w:ascii="Calibri" w:hAnsi="Calibri" w:cs="Times New Roman"/>
                <w:sz w:val="16"/>
                <w:szCs w:val="20"/>
              </w:rPr>
            </w:pPr>
            <w:r>
              <w:rPr>
                <w:rFonts w:ascii="Calibri" w:hAnsi="Calibri" w:cs="Times New Roman"/>
                <w:b/>
                <w:color w:val="FFFFFF"/>
                <w:sz w:val="16"/>
                <w:szCs w:val="20"/>
              </w:rPr>
              <w:t>D</w:t>
            </w:r>
            <w:r w:rsidR="003D57E1" w:rsidRPr="003D57E1">
              <w:rPr>
                <w:rFonts w:ascii="Calibri" w:hAnsi="Calibri" w:cs="Times New Roman"/>
                <w:b/>
                <w:color w:val="FFFFFF"/>
                <w:sz w:val="16"/>
                <w:szCs w:val="20"/>
              </w:rPr>
              <w:t>3</w:t>
            </w:r>
          </w:p>
        </w:tc>
        <w:tc>
          <w:tcPr>
            <w:tcW w:w="652" w:type="dxa"/>
            <w:shd w:val="clear" w:color="auto" w:fill="4472C4"/>
            <w:vAlign w:val="center"/>
          </w:tcPr>
          <w:p w14:paraId="052028F0" w14:textId="068BAC1C" w:rsidR="003D57E1" w:rsidRPr="003D57E1" w:rsidRDefault="00BF0408" w:rsidP="003D57E1">
            <w:pPr>
              <w:jc w:val="center"/>
              <w:rPr>
                <w:rFonts w:ascii="Calibri" w:hAnsi="Calibri" w:cs="Times New Roman"/>
                <w:sz w:val="16"/>
                <w:szCs w:val="20"/>
              </w:rPr>
            </w:pPr>
            <w:r>
              <w:rPr>
                <w:rFonts w:ascii="Calibri" w:hAnsi="Calibri" w:cs="Times New Roman"/>
                <w:b/>
                <w:color w:val="FFFFFF"/>
                <w:sz w:val="16"/>
                <w:szCs w:val="20"/>
              </w:rPr>
              <w:t>D</w:t>
            </w:r>
            <w:r w:rsidR="003D57E1" w:rsidRPr="003D57E1">
              <w:rPr>
                <w:rFonts w:ascii="Calibri" w:hAnsi="Calibri" w:cs="Times New Roman"/>
                <w:b/>
                <w:color w:val="FFFFFF"/>
                <w:sz w:val="16"/>
                <w:szCs w:val="20"/>
              </w:rPr>
              <w:t>4</w:t>
            </w:r>
          </w:p>
        </w:tc>
        <w:tc>
          <w:tcPr>
            <w:tcW w:w="652" w:type="dxa"/>
            <w:shd w:val="clear" w:color="auto" w:fill="4472C4"/>
            <w:vAlign w:val="center"/>
          </w:tcPr>
          <w:p w14:paraId="3DCF2327" w14:textId="0A45B3F3" w:rsidR="003D57E1" w:rsidRPr="003D57E1" w:rsidRDefault="00BF0408" w:rsidP="003D57E1">
            <w:pPr>
              <w:jc w:val="center"/>
              <w:rPr>
                <w:rFonts w:ascii="Calibri" w:hAnsi="Calibri" w:cs="Times New Roman"/>
                <w:sz w:val="16"/>
                <w:szCs w:val="20"/>
              </w:rPr>
            </w:pPr>
            <w:r>
              <w:rPr>
                <w:rFonts w:ascii="Calibri" w:hAnsi="Calibri" w:cs="Times New Roman"/>
                <w:b/>
                <w:color w:val="FFFFFF"/>
                <w:sz w:val="16"/>
                <w:szCs w:val="20"/>
              </w:rPr>
              <w:t>D</w:t>
            </w:r>
            <w:r w:rsidR="003D57E1" w:rsidRPr="003D57E1">
              <w:rPr>
                <w:rFonts w:ascii="Calibri" w:hAnsi="Calibri" w:cs="Times New Roman"/>
                <w:b/>
                <w:color w:val="FFFFFF"/>
                <w:sz w:val="16"/>
                <w:szCs w:val="20"/>
              </w:rPr>
              <w:t>5</w:t>
            </w:r>
          </w:p>
        </w:tc>
        <w:tc>
          <w:tcPr>
            <w:tcW w:w="652" w:type="dxa"/>
            <w:shd w:val="clear" w:color="auto" w:fill="4472C4"/>
            <w:vAlign w:val="center"/>
          </w:tcPr>
          <w:p w14:paraId="4E847033" w14:textId="23178B9C" w:rsidR="003D57E1" w:rsidRPr="003D57E1" w:rsidRDefault="00584508" w:rsidP="003D57E1">
            <w:pPr>
              <w:jc w:val="center"/>
              <w:rPr>
                <w:rFonts w:ascii="Calibri" w:hAnsi="Calibri" w:cs="Times New Roman"/>
                <w:sz w:val="16"/>
                <w:szCs w:val="20"/>
              </w:rPr>
            </w:pPr>
            <w:r>
              <w:rPr>
                <w:rFonts w:ascii="Calibri" w:hAnsi="Calibri" w:cs="Times New Roman"/>
                <w:b/>
                <w:color w:val="FFFFFF"/>
                <w:sz w:val="16"/>
                <w:szCs w:val="20"/>
              </w:rPr>
              <w:t>D</w:t>
            </w:r>
            <w:r w:rsidR="003D57E1" w:rsidRPr="003D57E1">
              <w:rPr>
                <w:rFonts w:ascii="Calibri" w:hAnsi="Calibri" w:cs="Times New Roman"/>
                <w:b/>
                <w:color w:val="FFFFFF"/>
                <w:sz w:val="16"/>
                <w:szCs w:val="20"/>
              </w:rPr>
              <w:t>6</w:t>
            </w:r>
          </w:p>
        </w:tc>
        <w:tc>
          <w:tcPr>
            <w:tcW w:w="652" w:type="dxa"/>
            <w:shd w:val="clear" w:color="auto" w:fill="4472C4"/>
            <w:vAlign w:val="center"/>
          </w:tcPr>
          <w:p w14:paraId="49D136FC" w14:textId="69C7F1AA" w:rsidR="003D57E1" w:rsidRPr="003D57E1" w:rsidRDefault="00584508" w:rsidP="003D57E1">
            <w:pPr>
              <w:jc w:val="center"/>
              <w:rPr>
                <w:rFonts w:ascii="Calibri" w:hAnsi="Calibri" w:cs="Times New Roman"/>
                <w:sz w:val="16"/>
                <w:szCs w:val="20"/>
              </w:rPr>
            </w:pPr>
            <w:r>
              <w:rPr>
                <w:rFonts w:ascii="Calibri" w:hAnsi="Calibri" w:cs="Times New Roman"/>
                <w:b/>
                <w:color w:val="FFFFFF"/>
                <w:sz w:val="16"/>
                <w:szCs w:val="20"/>
              </w:rPr>
              <w:t>D</w:t>
            </w:r>
            <w:r w:rsidR="003D57E1" w:rsidRPr="003D57E1">
              <w:rPr>
                <w:rFonts w:ascii="Calibri" w:hAnsi="Calibri" w:cs="Times New Roman"/>
                <w:b/>
                <w:color w:val="FFFFFF"/>
                <w:sz w:val="16"/>
                <w:szCs w:val="20"/>
              </w:rPr>
              <w:t>7</w:t>
            </w:r>
          </w:p>
        </w:tc>
        <w:tc>
          <w:tcPr>
            <w:tcW w:w="652" w:type="dxa"/>
            <w:shd w:val="clear" w:color="auto" w:fill="4472C4"/>
            <w:vAlign w:val="center"/>
          </w:tcPr>
          <w:p w14:paraId="7A372EF2" w14:textId="27F0FE34" w:rsidR="003D57E1" w:rsidRPr="003D57E1" w:rsidRDefault="00584508" w:rsidP="003D57E1">
            <w:pPr>
              <w:jc w:val="center"/>
              <w:rPr>
                <w:rFonts w:ascii="Calibri" w:hAnsi="Calibri" w:cs="Times New Roman"/>
                <w:sz w:val="16"/>
                <w:szCs w:val="20"/>
              </w:rPr>
            </w:pPr>
            <w:r>
              <w:rPr>
                <w:rFonts w:ascii="Calibri" w:hAnsi="Calibri" w:cs="Times New Roman"/>
                <w:b/>
                <w:color w:val="FFFFFF"/>
                <w:sz w:val="16"/>
                <w:szCs w:val="20"/>
              </w:rPr>
              <w:t>D</w:t>
            </w:r>
            <w:r w:rsidR="003D57E1" w:rsidRPr="003D57E1">
              <w:rPr>
                <w:rFonts w:ascii="Calibri" w:hAnsi="Calibri" w:cs="Times New Roman"/>
                <w:b/>
                <w:color w:val="FFFFFF"/>
                <w:sz w:val="16"/>
                <w:szCs w:val="20"/>
              </w:rPr>
              <w:t>8</w:t>
            </w:r>
          </w:p>
        </w:tc>
        <w:tc>
          <w:tcPr>
            <w:tcW w:w="652" w:type="dxa"/>
            <w:shd w:val="clear" w:color="auto" w:fill="4472C4"/>
            <w:vAlign w:val="center"/>
          </w:tcPr>
          <w:p w14:paraId="3210EC1B" w14:textId="4B7BBC94" w:rsidR="003D57E1" w:rsidRPr="003D57E1" w:rsidRDefault="00584508" w:rsidP="003D57E1">
            <w:pPr>
              <w:jc w:val="center"/>
              <w:rPr>
                <w:rFonts w:ascii="Calibri" w:hAnsi="Calibri" w:cs="Times New Roman"/>
                <w:sz w:val="16"/>
                <w:szCs w:val="20"/>
              </w:rPr>
            </w:pPr>
            <w:r>
              <w:rPr>
                <w:rFonts w:ascii="Calibri" w:hAnsi="Calibri" w:cs="Times New Roman"/>
                <w:b/>
                <w:color w:val="FFFFFF"/>
                <w:sz w:val="16"/>
                <w:szCs w:val="20"/>
              </w:rPr>
              <w:t>D</w:t>
            </w:r>
            <w:r w:rsidR="003D57E1" w:rsidRPr="003D57E1">
              <w:rPr>
                <w:rFonts w:ascii="Calibri" w:hAnsi="Calibri" w:cs="Times New Roman"/>
                <w:b/>
                <w:color w:val="FFFFFF"/>
                <w:sz w:val="16"/>
                <w:szCs w:val="20"/>
              </w:rPr>
              <w:t>9</w:t>
            </w:r>
          </w:p>
        </w:tc>
        <w:tc>
          <w:tcPr>
            <w:tcW w:w="746" w:type="dxa"/>
            <w:shd w:val="clear" w:color="auto" w:fill="4472C4"/>
            <w:vAlign w:val="center"/>
          </w:tcPr>
          <w:p w14:paraId="4E3E9AC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FFFFFF"/>
                <w:sz w:val="16"/>
                <w:szCs w:val="20"/>
              </w:rPr>
              <w:t>Score (%)</w:t>
            </w:r>
          </w:p>
        </w:tc>
        <w:tc>
          <w:tcPr>
            <w:tcW w:w="1134" w:type="dxa"/>
            <w:shd w:val="clear" w:color="auto" w:fill="4472C4"/>
            <w:vAlign w:val="center"/>
          </w:tcPr>
          <w:p w14:paraId="52C3BAE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FFFFFF"/>
                <w:sz w:val="16"/>
                <w:szCs w:val="20"/>
              </w:rPr>
              <w:t>Quality</w:t>
            </w:r>
          </w:p>
        </w:tc>
      </w:tr>
      <w:tr w:rsidR="003D57E1" w:rsidRPr="003D57E1" w14:paraId="6B7DB366" w14:textId="77777777" w:rsidTr="003D57E1">
        <w:trPr>
          <w:jc w:val="center"/>
        </w:trPr>
        <w:tc>
          <w:tcPr>
            <w:tcW w:w="454" w:type="dxa"/>
            <w:vAlign w:val="center"/>
          </w:tcPr>
          <w:p w14:paraId="20154131"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1</w:t>
            </w:r>
          </w:p>
        </w:tc>
        <w:tc>
          <w:tcPr>
            <w:tcW w:w="2093" w:type="dxa"/>
            <w:vAlign w:val="center"/>
          </w:tcPr>
          <w:p w14:paraId="6A72AB45"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Wang et al. (2024)</w:t>
            </w:r>
          </w:p>
        </w:tc>
        <w:tc>
          <w:tcPr>
            <w:tcW w:w="1119" w:type="dxa"/>
            <w:vAlign w:val="center"/>
          </w:tcPr>
          <w:p w14:paraId="4C21784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China</w:t>
            </w:r>
          </w:p>
        </w:tc>
        <w:tc>
          <w:tcPr>
            <w:tcW w:w="652" w:type="dxa"/>
            <w:shd w:val="clear" w:color="auto" w:fill="5CB85C"/>
            <w:vAlign w:val="center"/>
          </w:tcPr>
          <w:p w14:paraId="3B10A33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853851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725E86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45256F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5E02D5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438E92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65568F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5A99A5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6939D3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0802AF4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100.0%</w:t>
            </w:r>
          </w:p>
        </w:tc>
        <w:tc>
          <w:tcPr>
            <w:tcW w:w="1134" w:type="dxa"/>
            <w:shd w:val="clear" w:color="auto" w:fill="5CB85C"/>
            <w:vAlign w:val="center"/>
          </w:tcPr>
          <w:p w14:paraId="6A0C0DE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0AAB98C7" w14:textId="77777777" w:rsidTr="003D57E1">
        <w:trPr>
          <w:jc w:val="center"/>
        </w:trPr>
        <w:tc>
          <w:tcPr>
            <w:tcW w:w="454" w:type="dxa"/>
            <w:vAlign w:val="center"/>
          </w:tcPr>
          <w:p w14:paraId="50584C83"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2</w:t>
            </w:r>
          </w:p>
        </w:tc>
        <w:tc>
          <w:tcPr>
            <w:tcW w:w="2093" w:type="dxa"/>
            <w:vAlign w:val="center"/>
          </w:tcPr>
          <w:p w14:paraId="667C0C30"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Liberman et al. (2018)</w:t>
            </w:r>
          </w:p>
        </w:tc>
        <w:tc>
          <w:tcPr>
            <w:tcW w:w="1119" w:type="dxa"/>
            <w:vAlign w:val="center"/>
          </w:tcPr>
          <w:p w14:paraId="3FEC7C0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Israel</w:t>
            </w:r>
          </w:p>
        </w:tc>
        <w:tc>
          <w:tcPr>
            <w:tcW w:w="652" w:type="dxa"/>
            <w:shd w:val="clear" w:color="auto" w:fill="5CB85C"/>
            <w:vAlign w:val="center"/>
          </w:tcPr>
          <w:p w14:paraId="6E5F1CA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1DAA25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B92804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E50F99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1384EE9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6DC2595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3EB59A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6DBCBF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92C8A3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7CBF1E6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88.9%</w:t>
            </w:r>
          </w:p>
        </w:tc>
        <w:tc>
          <w:tcPr>
            <w:tcW w:w="1134" w:type="dxa"/>
            <w:shd w:val="clear" w:color="auto" w:fill="5CB85C"/>
            <w:vAlign w:val="center"/>
          </w:tcPr>
          <w:p w14:paraId="4AFDEE4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314155B4" w14:textId="77777777" w:rsidTr="003D57E1">
        <w:trPr>
          <w:jc w:val="center"/>
        </w:trPr>
        <w:tc>
          <w:tcPr>
            <w:tcW w:w="454" w:type="dxa"/>
            <w:vAlign w:val="center"/>
          </w:tcPr>
          <w:p w14:paraId="7410C27D"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3</w:t>
            </w:r>
          </w:p>
        </w:tc>
        <w:tc>
          <w:tcPr>
            <w:tcW w:w="2093" w:type="dxa"/>
            <w:vAlign w:val="center"/>
          </w:tcPr>
          <w:p w14:paraId="42021817"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Cheung et al. (2018)</w:t>
            </w:r>
          </w:p>
        </w:tc>
        <w:tc>
          <w:tcPr>
            <w:tcW w:w="1119" w:type="dxa"/>
            <w:vAlign w:val="center"/>
          </w:tcPr>
          <w:p w14:paraId="65630CB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Hong Kong</w:t>
            </w:r>
          </w:p>
        </w:tc>
        <w:tc>
          <w:tcPr>
            <w:tcW w:w="652" w:type="dxa"/>
            <w:shd w:val="clear" w:color="auto" w:fill="5CB85C"/>
            <w:vAlign w:val="center"/>
          </w:tcPr>
          <w:p w14:paraId="23EC751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154E9A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19517B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FBAC19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3AA15AB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5B2182A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F9F3E8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B2DA6E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16946D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6ED0365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88.9%</w:t>
            </w:r>
          </w:p>
        </w:tc>
        <w:tc>
          <w:tcPr>
            <w:tcW w:w="1134" w:type="dxa"/>
            <w:shd w:val="clear" w:color="auto" w:fill="5CB85C"/>
            <w:vAlign w:val="center"/>
          </w:tcPr>
          <w:p w14:paraId="44C0BDE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791A69D3" w14:textId="77777777" w:rsidTr="003D57E1">
        <w:trPr>
          <w:jc w:val="center"/>
        </w:trPr>
        <w:tc>
          <w:tcPr>
            <w:tcW w:w="454" w:type="dxa"/>
            <w:vAlign w:val="center"/>
          </w:tcPr>
          <w:p w14:paraId="3281A29F"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4</w:t>
            </w:r>
          </w:p>
        </w:tc>
        <w:tc>
          <w:tcPr>
            <w:tcW w:w="2093" w:type="dxa"/>
            <w:vAlign w:val="center"/>
          </w:tcPr>
          <w:p w14:paraId="32488B80" w14:textId="77777777" w:rsidR="003D57E1" w:rsidRPr="003D57E1" w:rsidRDefault="003D57E1" w:rsidP="003D57E1">
            <w:pPr>
              <w:rPr>
                <w:rFonts w:ascii="Calibri" w:hAnsi="Calibri" w:cs="Times New Roman"/>
                <w:sz w:val="16"/>
                <w:szCs w:val="20"/>
              </w:rPr>
            </w:pPr>
            <w:proofErr w:type="spellStart"/>
            <w:r w:rsidRPr="003D57E1">
              <w:rPr>
                <w:rFonts w:ascii="Calibri" w:hAnsi="Calibri" w:cs="Times New Roman"/>
                <w:sz w:val="16"/>
                <w:szCs w:val="20"/>
              </w:rPr>
              <w:t>Topcu</w:t>
            </w:r>
            <w:proofErr w:type="spellEnd"/>
            <w:r w:rsidRPr="003D57E1">
              <w:rPr>
                <w:rFonts w:ascii="Calibri" w:hAnsi="Calibri" w:cs="Times New Roman"/>
                <w:sz w:val="16"/>
                <w:szCs w:val="20"/>
              </w:rPr>
              <w:t xml:space="preserve"> et al. (2024)</w:t>
            </w:r>
          </w:p>
        </w:tc>
        <w:tc>
          <w:tcPr>
            <w:tcW w:w="1119" w:type="dxa"/>
            <w:vAlign w:val="center"/>
          </w:tcPr>
          <w:p w14:paraId="241C69E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Türkiye</w:t>
            </w:r>
          </w:p>
        </w:tc>
        <w:tc>
          <w:tcPr>
            <w:tcW w:w="652" w:type="dxa"/>
            <w:shd w:val="clear" w:color="auto" w:fill="5CB85C"/>
            <w:vAlign w:val="center"/>
          </w:tcPr>
          <w:p w14:paraId="7117391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2F67C2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505B89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7882DB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2E4E6E5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11EAF30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D7AA9C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5CF839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64F82B7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746" w:type="dxa"/>
            <w:vAlign w:val="center"/>
          </w:tcPr>
          <w:p w14:paraId="1FA87ED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77.8%</w:t>
            </w:r>
          </w:p>
        </w:tc>
        <w:tc>
          <w:tcPr>
            <w:tcW w:w="1134" w:type="dxa"/>
            <w:shd w:val="clear" w:color="auto" w:fill="5CB85C"/>
            <w:vAlign w:val="center"/>
          </w:tcPr>
          <w:p w14:paraId="1E17260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60614527" w14:textId="77777777" w:rsidTr="003D57E1">
        <w:trPr>
          <w:jc w:val="center"/>
        </w:trPr>
        <w:tc>
          <w:tcPr>
            <w:tcW w:w="454" w:type="dxa"/>
            <w:vAlign w:val="center"/>
          </w:tcPr>
          <w:p w14:paraId="055AC5F5"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5</w:t>
            </w:r>
          </w:p>
        </w:tc>
        <w:tc>
          <w:tcPr>
            <w:tcW w:w="2093" w:type="dxa"/>
            <w:vAlign w:val="center"/>
          </w:tcPr>
          <w:p w14:paraId="0668F6B0"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Allain et al. (2014)</w:t>
            </w:r>
          </w:p>
        </w:tc>
        <w:tc>
          <w:tcPr>
            <w:tcW w:w="1119" w:type="dxa"/>
            <w:vAlign w:val="center"/>
          </w:tcPr>
          <w:p w14:paraId="03CC77A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Malawi</w:t>
            </w:r>
          </w:p>
        </w:tc>
        <w:tc>
          <w:tcPr>
            <w:tcW w:w="652" w:type="dxa"/>
            <w:shd w:val="clear" w:color="auto" w:fill="5CB85C"/>
            <w:vAlign w:val="center"/>
          </w:tcPr>
          <w:p w14:paraId="5616567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1FF300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25E2438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74445FD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7E1E7D5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72BC887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5CD21A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991532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072F8AD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746" w:type="dxa"/>
            <w:vAlign w:val="center"/>
          </w:tcPr>
          <w:p w14:paraId="45EEDA4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66.7%</w:t>
            </w:r>
          </w:p>
        </w:tc>
        <w:tc>
          <w:tcPr>
            <w:tcW w:w="1134" w:type="dxa"/>
            <w:shd w:val="clear" w:color="auto" w:fill="FFD24C"/>
            <w:vAlign w:val="center"/>
          </w:tcPr>
          <w:p w14:paraId="7738FD7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Moderate</w:t>
            </w:r>
          </w:p>
        </w:tc>
      </w:tr>
      <w:tr w:rsidR="003D57E1" w:rsidRPr="003D57E1" w14:paraId="5A018599" w14:textId="77777777" w:rsidTr="003D57E1">
        <w:trPr>
          <w:jc w:val="center"/>
        </w:trPr>
        <w:tc>
          <w:tcPr>
            <w:tcW w:w="454" w:type="dxa"/>
            <w:vAlign w:val="center"/>
          </w:tcPr>
          <w:p w14:paraId="0EA6D18C"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6</w:t>
            </w:r>
          </w:p>
        </w:tc>
        <w:tc>
          <w:tcPr>
            <w:tcW w:w="2093" w:type="dxa"/>
            <w:vAlign w:val="center"/>
          </w:tcPr>
          <w:p w14:paraId="30C19C4F"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He et al. (2025)</w:t>
            </w:r>
          </w:p>
        </w:tc>
        <w:tc>
          <w:tcPr>
            <w:tcW w:w="1119" w:type="dxa"/>
            <w:vAlign w:val="center"/>
          </w:tcPr>
          <w:p w14:paraId="0E96623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China</w:t>
            </w:r>
          </w:p>
        </w:tc>
        <w:tc>
          <w:tcPr>
            <w:tcW w:w="652" w:type="dxa"/>
            <w:shd w:val="clear" w:color="auto" w:fill="5CB85C"/>
            <w:vAlign w:val="center"/>
          </w:tcPr>
          <w:p w14:paraId="3A4361F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61286E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FCEA9B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651516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38ACD5A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598D3D7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A7BB0E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63D9FD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552A283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746" w:type="dxa"/>
            <w:vAlign w:val="center"/>
          </w:tcPr>
          <w:p w14:paraId="4D54A9E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77.8%</w:t>
            </w:r>
          </w:p>
        </w:tc>
        <w:tc>
          <w:tcPr>
            <w:tcW w:w="1134" w:type="dxa"/>
            <w:shd w:val="clear" w:color="auto" w:fill="5CB85C"/>
            <w:vAlign w:val="center"/>
          </w:tcPr>
          <w:p w14:paraId="4406F56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3910200A" w14:textId="77777777" w:rsidTr="003D57E1">
        <w:trPr>
          <w:jc w:val="center"/>
        </w:trPr>
        <w:tc>
          <w:tcPr>
            <w:tcW w:w="454" w:type="dxa"/>
            <w:vAlign w:val="center"/>
          </w:tcPr>
          <w:p w14:paraId="076F313A"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7</w:t>
            </w:r>
          </w:p>
        </w:tc>
        <w:tc>
          <w:tcPr>
            <w:tcW w:w="2093" w:type="dxa"/>
            <w:vAlign w:val="center"/>
          </w:tcPr>
          <w:p w14:paraId="4FC02E19" w14:textId="77777777" w:rsidR="003D57E1" w:rsidRPr="003D57E1" w:rsidRDefault="003D57E1" w:rsidP="003D57E1">
            <w:pPr>
              <w:rPr>
                <w:rFonts w:ascii="Calibri" w:hAnsi="Calibri" w:cs="Times New Roman"/>
                <w:sz w:val="16"/>
                <w:szCs w:val="20"/>
              </w:rPr>
            </w:pPr>
            <w:proofErr w:type="spellStart"/>
            <w:r w:rsidRPr="003D57E1">
              <w:rPr>
                <w:rFonts w:ascii="Calibri" w:hAnsi="Calibri" w:cs="Times New Roman"/>
                <w:sz w:val="16"/>
                <w:szCs w:val="20"/>
              </w:rPr>
              <w:t>Tkacheva</w:t>
            </w:r>
            <w:proofErr w:type="spellEnd"/>
            <w:r w:rsidRPr="003D57E1">
              <w:rPr>
                <w:rFonts w:ascii="Calibri" w:hAnsi="Calibri" w:cs="Times New Roman"/>
                <w:sz w:val="16"/>
                <w:szCs w:val="20"/>
              </w:rPr>
              <w:t xml:space="preserve"> et al. (2018)</w:t>
            </w:r>
          </w:p>
        </w:tc>
        <w:tc>
          <w:tcPr>
            <w:tcW w:w="1119" w:type="dxa"/>
            <w:vAlign w:val="center"/>
          </w:tcPr>
          <w:p w14:paraId="1AB55F7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Russia</w:t>
            </w:r>
          </w:p>
        </w:tc>
        <w:tc>
          <w:tcPr>
            <w:tcW w:w="652" w:type="dxa"/>
            <w:shd w:val="clear" w:color="auto" w:fill="5CB85C"/>
            <w:vAlign w:val="center"/>
          </w:tcPr>
          <w:p w14:paraId="3B1CC8D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A512A0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6C5630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D749DE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4DDB17D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692D5F6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CB2C2C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0E6E82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756582F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746" w:type="dxa"/>
            <w:vAlign w:val="center"/>
          </w:tcPr>
          <w:p w14:paraId="525E83F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77.8%</w:t>
            </w:r>
          </w:p>
        </w:tc>
        <w:tc>
          <w:tcPr>
            <w:tcW w:w="1134" w:type="dxa"/>
            <w:shd w:val="clear" w:color="auto" w:fill="5CB85C"/>
            <w:vAlign w:val="center"/>
          </w:tcPr>
          <w:p w14:paraId="0EFA72B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01AA79A1" w14:textId="77777777" w:rsidTr="003D57E1">
        <w:trPr>
          <w:jc w:val="center"/>
        </w:trPr>
        <w:tc>
          <w:tcPr>
            <w:tcW w:w="454" w:type="dxa"/>
            <w:vAlign w:val="center"/>
          </w:tcPr>
          <w:p w14:paraId="3AA9EAA3"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8</w:t>
            </w:r>
          </w:p>
        </w:tc>
        <w:tc>
          <w:tcPr>
            <w:tcW w:w="2093" w:type="dxa"/>
            <w:vAlign w:val="center"/>
          </w:tcPr>
          <w:p w14:paraId="239B423D"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Imaoka et al. (2021)</w:t>
            </w:r>
          </w:p>
        </w:tc>
        <w:tc>
          <w:tcPr>
            <w:tcW w:w="1119" w:type="dxa"/>
            <w:vAlign w:val="center"/>
          </w:tcPr>
          <w:p w14:paraId="1648DB8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Japan</w:t>
            </w:r>
          </w:p>
        </w:tc>
        <w:tc>
          <w:tcPr>
            <w:tcW w:w="652" w:type="dxa"/>
            <w:shd w:val="clear" w:color="auto" w:fill="5CB85C"/>
            <w:vAlign w:val="center"/>
          </w:tcPr>
          <w:p w14:paraId="041A9AD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BB2166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4A13068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56EF167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2D3E3C8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47A6058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72FD6A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149A14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50BBE80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746" w:type="dxa"/>
            <w:vAlign w:val="center"/>
          </w:tcPr>
          <w:p w14:paraId="53C0E48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66.7%</w:t>
            </w:r>
          </w:p>
        </w:tc>
        <w:tc>
          <w:tcPr>
            <w:tcW w:w="1134" w:type="dxa"/>
            <w:shd w:val="clear" w:color="auto" w:fill="FFD24C"/>
            <w:vAlign w:val="center"/>
          </w:tcPr>
          <w:p w14:paraId="2A0AF6C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Moderate</w:t>
            </w:r>
          </w:p>
        </w:tc>
      </w:tr>
      <w:tr w:rsidR="003D57E1" w:rsidRPr="003D57E1" w14:paraId="36D9437C" w14:textId="77777777" w:rsidTr="003D57E1">
        <w:trPr>
          <w:jc w:val="center"/>
        </w:trPr>
        <w:tc>
          <w:tcPr>
            <w:tcW w:w="454" w:type="dxa"/>
            <w:vAlign w:val="center"/>
          </w:tcPr>
          <w:p w14:paraId="0408CB97"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9</w:t>
            </w:r>
          </w:p>
        </w:tc>
        <w:tc>
          <w:tcPr>
            <w:tcW w:w="2093" w:type="dxa"/>
            <w:vAlign w:val="center"/>
          </w:tcPr>
          <w:p w14:paraId="607718E0"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Ong et al. (2022)</w:t>
            </w:r>
          </w:p>
        </w:tc>
        <w:tc>
          <w:tcPr>
            <w:tcW w:w="1119" w:type="dxa"/>
            <w:vAlign w:val="center"/>
          </w:tcPr>
          <w:p w14:paraId="540242F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Singapore</w:t>
            </w:r>
          </w:p>
        </w:tc>
        <w:tc>
          <w:tcPr>
            <w:tcW w:w="652" w:type="dxa"/>
            <w:shd w:val="clear" w:color="auto" w:fill="5CB85C"/>
            <w:vAlign w:val="center"/>
          </w:tcPr>
          <w:p w14:paraId="75D033C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F604E8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3CB0C7F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64F50AE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27B1140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4F59C93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2888B0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B49B1A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2530488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746" w:type="dxa"/>
            <w:vAlign w:val="center"/>
          </w:tcPr>
          <w:p w14:paraId="485B311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66.7%</w:t>
            </w:r>
          </w:p>
        </w:tc>
        <w:tc>
          <w:tcPr>
            <w:tcW w:w="1134" w:type="dxa"/>
            <w:shd w:val="clear" w:color="auto" w:fill="FFD24C"/>
            <w:vAlign w:val="center"/>
          </w:tcPr>
          <w:p w14:paraId="6D78301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Moderate</w:t>
            </w:r>
          </w:p>
        </w:tc>
      </w:tr>
      <w:tr w:rsidR="003D57E1" w:rsidRPr="003D57E1" w14:paraId="19D85705" w14:textId="77777777" w:rsidTr="003D57E1">
        <w:trPr>
          <w:jc w:val="center"/>
        </w:trPr>
        <w:tc>
          <w:tcPr>
            <w:tcW w:w="454" w:type="dxa"/>
            <w:vAlign w:val="center"/>
          </w:tcPr>
          <w:p w14:paraId="47FECC2E"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10</w:t>
            </w:r>
          </w:p>
        </w:tc>
        <w:tc>
          <w:tcPr>
            <w:tcW w:w="2093" w:type="dxa"/>
            <w:vAlign w:val="center"/>
          </w:tcPr>
          <w:p w14:paraId="14EBDC47" w14:textId="77777777" w:rsidR="003D57E1" w:rsidRPr="003D57E1" w:rsidRDefault="003D57E1" w:rsidP="003D57E1">
            <w:pPr>
              <w:rPr>
                <w:rFonts w:ascii="Calibri" w:hAnsi="Calibri" w:cs="Times New Roman"/>
                <w:sz w:val="16"/>
                <w:szCs w:val="20"/>
              </w:rPr>
            </w:pPr>
            <w:proofErr w:type="spellStart"/>
            <w:r w:rsidRPr="003D57E1">
              <w:rPr>
                <w:rFonts w:ascii="Calibri" w:hAnsi="Calibri" w:cs="Times New Roman"/>
                <w:sz w:val="16"/>
                <w:szCs w:val="20"/>
              </w:rPr>
              <w:t>Sugie</w:t>
            </w:r>
            <w:proofErr w:type="spellEnd"/>
            <w:r w:rsidRPr="003D57E1">
              <w:rPr>
                <w:rFonts w:ascii="Calibri" w:hAnsi="Calibri" w:cs="Times New Roman"/>
                <w:sz w:val="16"/>
                <w:szCs w:val="20"/>
              </w:rPr>
              <w:t xml:space="preserve"> et al. (2020)</w:t>
            </w:r>
          </w:p>
        </w:tc>
        <w:tc>
          <w:tcPr>
            <w:tcW w:w="1119" w:type="dxa"/>
            <w:vAlign w:val="center"/>
          </w:tcPr>
          <w:p w14:paraId="376E41E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Japan</w:t>
            </w:r>
          </w:p>
        </w:tc>
        <w:tc>
          <w:tcPr>
            <w:tcW w:w="652" w:type="dxa"/>
            <w:shd w:val="clear" w:color="auto" w:fill="5CB85C"/>
            <w:vAlign w:val="center"/>
          </w:tcPr>
          <w:p w14:paraId="1BE3C21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B98DD0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0263D04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4A3AD86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4E8C339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73A33E3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8964CB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90B1EF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5AAFD2E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746" w:type="dxa"/>
            <w:vAlign w:val="center"/>
          </w:tcPr>
          <w:p w14:paraId="263BCF3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66.7%</w:t>
            </w:r>
          </w:p>
        </w:tc>
        <w:tc>
          <w:tcPr>
            <w:tcW w:w="1134" w:type="dxa"/>
            <w:shd w:val="clear" w:color="auto" w:fill="FFD24C"/>
            <w:vAlign w:val="center"/>
          </w:tcPr>
          <w:p w14:paraId="5F88B01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Moderate</w:t>
            </w:r>
          </w:p>
        </w:tc>
      </w:tr>
      <w:tr w:rsidR="003D57E1" w:rsidRPr="003D57E1" w14:paraId="244FEC8D" w14:textId="77777777" w:rsidTr="003D57E1">
        <w:trPr>
          <w:jc w:val="center"/>
        </w:trPr>
        <w:tc>
          <w:tcPr>
            <w:tcW w:w="454" w:type="dxa"/>
            <w:vAlign w:val="center"/>
          </w:tcPr>
          <w:p w14:paraId="1B8F2D8A"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11</w:t>
            </w:r>
          </w:p>
        </w:tc>
        <w:tc>
          <w:tcPr>
            <w:tcW w:w="2093" w:type="dxa"/>
            <w:vAlign w:val="center"/>
          </w:tcPr>
          <w:p w14:paraId="5ED2CEFD"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Essomba et al. (2020)</w:t>
            </w:r>
          </w:p>
        </w:tc>
        <w:tc>
          <w:tcPr>
            <w:tcW w:w="1119" w:type="dxa"/>
            <w:vAlign w:val="center"/>
          </w:tcPr>
          <w:p w14:paraId="585BA12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Cameroon</w:t>
            </w:r>
          </w:p>
        </w:tc>
        <w:tc>
          <w:tcPr>
            <w:tcW w:w="652" w:type="dxa"/>
            <w:shd w:val="clear" w:color="auto" w:fill="5CB85C"/>
            <w:vAlign w:val="center"/>
          </w:tcPr>
          <w:p w14:paraId="4E42BF9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1BDF7C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1FD8406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462C5E0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2F210B5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21BDC52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84239C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FAE2B8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07C8BD6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746" w:type="dxa"/>
            <w:vAlign w:val="center"/>
          </w:tcPr>
          <w:p w14:paraId="3B16C68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66.7%</w:t>
            </w:r>
          </w:p>
        </w:tc>
        <w:tc>
          <w:tcPr>
            <w:tcW w:w="1134" w:type="dxa"/>
            <w:shd w:val="clear" w:color="auto" w:fill="FFD24C"/>
            <w:vAlign w:val="center"/>
          </w:tcPr>
          <w:p w14:paraId="73C9EB2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Moderate</w:t>
            </w:r>
          </w:p>
        </w:tc>
      </w:tr>
      <w:tr w:rsidR="003D57E1" w:rsidRPr="003D57E1" w14:paraId="0EEB5507" w14:textId="77777777" w:rsidTr="003D57E1">
        <w:trPr>
          <w:jc w:val="center"/>
        </w:trPr>
        <w:tc>
          <w:tcPr>
            <w:tcW w:w="454" w:type="dxa"/>
            <w:vAlign w:val="center"/>
          </w:tcPr>
          <w:p w14:paraId="2932908D"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12</w:t>
            </w:r>
          </w:p>
        </w:tc>
        <w:tc>
          <w:tcPr>
            <w:tcW w:w="2093" w:type="dxa"/>
            <w:vAlign w:val="center"/>
          </w:tcPr>
          <w:p w14:paraId="13E034F6"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Bello-Chavolla et al. (2017)</w:t>
            </w:r>
          </w:p>
        </w:tc>
        <w:tc>
          <w:tcPr>
            <w:tcW w:w="1119" w:type="dxa"/>
            <w:vAlign w:val="center"/>
          </w:tcPr>
          <w:p w14:paraId="1B5C7CA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Mexico</w:t>
            </w:r>
          </w:p>
        </w:tc>
        <w:tc>
          <w:tcPr>
            <w:tcW w:w="652" w:type="dxa"/>
            <w:shd w:val="clear" w:color="auto" w:fill="5CB85C"/>
            <w:vAlign w:val="center"/>
          </w:tcPr>
          <w:p w14:paraId="462646B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572C71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5F4CD8E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222A196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441DEF3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4B70016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2F2AB2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29BDB3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4036B39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746" w:type="dxa"/>
            <w:vAlign w:val="center"/>
          </w:tcPr>
          <w:p w14:paraId="0D94681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66.7%</w:t>
            </w:r>
          </w:p>
        </w:tc>
        <w:tc>
          <w:tcPr>
            <w:tcW w:w="1134" w:type="dxa"/>
            <w:shd w:val="clear" w:color="auto" w:fill="FFD24C"/>
            <w:vAlign w:val="center"/>
          </w:tcPr>
          <w:p w14:paraId="1169479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Moderate</w:t>
            </w:r>
          </w:p>
        </w:tc>
      </w:tr>
      <w:tr w:rsidR="003D57E1" w:rsidRPr="003D57E1" w14:paraId="76BE81EF" w14:textId="77777777" w:rsidTr="003D57E1">
        <w:trPr>
          <w:jc w:val="center"/>
        </w:trPr>
        <w:tc>
          <w:tcPr>
            <w:tcW w:w="454" w:type="dxa"/>
            <w:vAlign w:val="center"/>
          </w:tcPr>
          <w:p w14:paraId="7529AEBA"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13</w:t>
            </w:r>
          </w:p>
        </w:tc>
        <w:tc>
          <w:tcPr>
            <w:tcW w:w="2093" w:type="dxa"/>
            <w:vAlign w:val="center"/>
          </w:tcPr>
          <w:p w14:paraId="5B2116D2"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Kwon et al. (2007)</w:t>
            </w:r>
          </w:p>
        </w:tc>
        <w:tc>
          <w:tcPr>
            <w:tcW w:w="1119" w:type="dxa"/>
            <w:vAlign w:val="center"/>
          </w:tcPr>
          <w:p w14:paraId="1F755CD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Japan</w:t>
            </w:r>
          </w:p>
        </w:tc>
        <w:tc>
          <w:tcPr>
            <w:tcW w:w="652" w:type="dxa"/>
            <w:shd w:val="clear" w:color="auto" w:fill="5CB85C"/>
            <w:vAlign w:val="center"/>
          </w:tcPr>
          <w:p w14:paraId="74787DA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D7A253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1F1D6C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15C9E53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E8543E"/>
            <w:vAlign w:val="center"/>
          </w:tcPr>
          <w:p w14:paraId="7D6C378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3B9B95E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AD39B6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2FDDDB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602F95C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746" w:type="dxa"/>
            <w:vAlign w:val="center"/>
          </w:tcPr>
          <w:p w14:paraId="1C91435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66.7%</w:t>
            </w:r>
          </w:p>
        </w:tc>
        <w:tc>
          <w:tcPr>
            <w:tcW w:w="1134" w:type="dxa"/>
            <w:shd w:val="clear" w:color="auto" w:fill="FFD24C"/>
            <w:vAlign w:val="center"/>
          </w:tcPr>
          <w:p w14:paraId="0BD147D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Moderate</w:t>
            </w:r>
          </w:p>
        </w:tc>
      </w:tr>
      <w:tr w:rsidR="003D57E1" w:rsidRPr="003D57E1" w14:paraId="52D77B44" w14:textId="77777777" w:rsidTr="003D57E1">
        <w:trPr>
          <w:jc w:val="center"/>
        </w:trPr>
        <w:tc>
          <w:tcPr>
            <w:tcW w:w="454" w:type="dxa"/>
            <w:vAlign w:val="center"/>
          </w:tcPr>
          <w:p w14:paraId="058BA4D0"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14</w:t>
            </w:r>
          </w:p>
        </w:tc>
        <w:tc>
          <w:tcPr>
            <w:tcW w:w="2093" w:type="dxa"/>
            <w:vAlign w:val="center"/>
          </w:tcPr>
          <w:p w14:paraId="593E841F"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Su et al. (2025)</w:t>
            </w:r>
          </w:p>
        </w:tc>
        <w:tc>
          <w:tcPr>
            <w:tcW w:w="1119" w:type="dxa"/>
            <w:vAlign w:val="center"/>
          </w:tcPr>
          <w:p w14:paraId="4E5F7AD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Taiwan</w:t>
            </w:r>
          </w:p>
        </w:tc>
        <w:tc>
          <w:tcPr>
            <w:tcW w:w="652" w:type="dxa"/>
            <w:shd w:val="clear" w:color="auto" w:fill="5CB85C"/>
            <w:vAlign w:val="center"/>
          </w:tcPr>
          <w:p w14:paraId="3FF790C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77AB90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A190FF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E8763E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B11876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A85B5B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698379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89A8CF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1C1E3D5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746" w:type="dxa"/>
            <w:vAlign w:val="center"/>
          </w:tcPr>
          <w:p w14:paraId="4F23FE2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88.9%</w:t>
            </w:r>
          </w:p>
        </w:tc>
        <w:tc>
          <w:tcPr>
            <w:tcW w:w="1134" w:type="dxa"/>
            <w:shd w:val="clear" w:color="auto" w:fill="5CB85C"/>
            <w:vAlign w:val="center"/>
          </w:tcPr>
          <w:p w14:paraId="32D93BC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71A3CBF0" w14:textId="77777777" w:rsidTr="003D57E1">
        <w:trPr>
          <w:jc w:val="center"/>
        </w:trPr>
        <w:tc>
          <w:tcPr>
            <w:tcW w:w="454" w:type="dxa"/>
            <w:vAlign w:val="center"/>
          </w:tcPr>
          <w:p w14:paraId="2FA0B31A"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15</w:t>
            </w:r>
          </w:p>
        </w:tc>
        <w:tc>
          <w:tcPr>
            <w:tcW w:w="2093" w:type="dxa"/>
            <w:vAlign w:val="center"/>
          </w:tcPr>
          <w:p w14:paraId="4303A64A"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Chao et al. (2016)</w:t>
            </w:r>
          </w:p>
        </w:tc>
        <w:tc>
          <w:tcPr>
            <w:tcW w:w="1119" w:type="dxa"/>
            <w:vAlign w:val="center"/>
          </w:tcPr>
          <w:p w14:paraId="7E0F476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Taiwan</w:t>
            </w:r>
          </w:p>
        </w:tc>
        <w:tc>
          <w:tcPr>
            <w:tcW w:w="652" w:type="dxa"/>
            <w:shd w:val="clear" w:color="auto" w:fill="5CB85C"/>
            <w:vAlign w:val="center"/>
          </w:tcPr>
          <w:p w14:paraId="2B3381E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20A5C9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28F147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6115D7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33B939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F990CC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D8AEAE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5619E5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1D0553E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746" w:type="dxa"/>
            <w:vAlign w:val="center"/>
          </w:tcPr>
          <w:p w14:paraId="7070203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88.9%</w:t>
            </w:r>
          </w:p>
        </w:tc>
        <w:tc>
          <w:tcPr>
            <w:tcW w:w="1134" w:type="dxa"/>
            <w:shd w:val="clear" w:color="auto" w:fill="5CB85C"/>
            <w:vAlign w:val="center"/>
          </w:tcPr>
          <w:p w14:paraId="1890449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4003B64D" w14:textId="77777777" w:rsidTr="003D57E1">
        <w:trPr>
          <w:jc w:val="center"/>
        </w:trPr>
        <w:tc>
          <w:tcPr>
            <w:tcW w:w="454" w:type="dxa"/>
            <w:vAlign w:val="center"/>
          </w:tcPr>
          <w:p w14:paraId="33D39ECA"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16</w:t>
            </w:r>
          </w:p>
        </w:tc>
        <w:tc>
          <w:tcPr>
            <w:tcW w:w="2093" w:type="dxa"/>
            <w:vAlign w:val="center"/>
          </w:tcPr>
          <w:p w14:paraId="587F74BD"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Kim et al. (2008)</w:t>
            </w:r>
          </w:p>
        </w:tc>
        <w:tc>
          <w:tcPr>
            <w:tcW w:w="1119" w:type="dxa"/>
            <w:vAlign w:val="center"/>
          </w:tcPr>
          <w:p w14:paraId="2CAE49D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Japan</w:t>
            </w:r>
          </w:p>
        </w:tc>
        <w:tc>
          <w:tcPr>
            <w:tcW w:w="652" w:type="dxa"/>
            <w:shd w:val="clear" w:color="auto" w:fill="5CB85C"/>
            <w:vAlign w:val="center"/>
          </w:tcPr>
          <w:p w14:paraId="35533BA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525711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870EC0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F1CA75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94D38D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28A170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6A129B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FCB80E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5D1D8D0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746" w:type="dxa"/>
            <w:vAlign w:val="center"/>
          </w:tcPr>
          <w:p w14:paraId="51B79D8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88.9%</w:t>
            </w:r>
          </w:p>
        </w:tc>
        <w:tc>
          <w:tcPr>
            <w:tcW w:w="1134" w:type="dxa"/>
            <w:shd w:val="clear" w:color="auto" w:fill="5CB85C"/>
            <w:vAlign w:val="center"/>
          </w:tcPr>
          <w:p w14:paraId="0C23446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635C52E1" w14:textId="77777777" w:rsidTr="003D57E1">
        <w:trPr>
          <w:jc w:val="center"/>
        </w:trPr>
        <w:tc>
          <w:tcPr>
            <w:tcW w:w="454" w:type="dxa"/>
            <w:vAlign w:val="center"/>
          </w:tcPr>
          <w:p w14:paraId="6975791E"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17</w:t>
            </w:r>
          </w:p>
        </w:tc>
        <w:tc>
          <w:tcPr>
            <w:tcW w:w="2093" w:type="dxa"/>
            <w:vAlign w:val="center"/>
          </w:tcPr>
          <w:p w14:paraId="5AB4693C"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Wu et al. (2024)</w:t>
            </w:r>
          </w:p>
        </w:tc>
        <w:tc>
          <w:tcPr>
            <w:tcW w:w="1119" w:type="dxa"/>
            <w:vAlign w:val="center"/>
          </w:tcPr>
          <w:p w14:paraId="56360DD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China</w:t>
            </w:r>
          </w:p>
        </w:tc>
        <w:tc>
          <w:tcPr>
            <w:tcW w:w="652" w:type="dxa"/>
            <w:shd w:val="clear" w:color="auto" w:fill="5CB85C"/>
            <w:vAlign w:val="center"/>
          </w:tcPr>
          <w:p w14:paraId="72BEED2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19C62B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783918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D71838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6CF124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0FD17E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88A677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0AFE75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274AEDE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746" w:type="dxa"/>
            <w:vAlign w:val="center"/>
          </w:tcPr>
          <w:p w14:paraId="009606D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88.9%</w:t>
            </w:r>
          </w:p>
        </w:tc>
        <w:tc>
          <w:tcPr>
            <w:tcW w:w="1134" w:type="dxa"/>
            <w:shd w:val="clear" w:color="auto" w:fill="5CB85C"/>
            <w:vAlign w:val="center"/>
          </w:tcPr>
          <w:p w14:paraId="1691685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310EA8A4" w14:textId="77777777" w:rsidTr="003D57E1">
        <w:trPr>
          <w:jc w:val="center"/>
        </w:trPr>
        <w:tc>
          <w:tcPr>
            <w:tcW w:w="454" w:type="dxa"/>
            <w:vAlign w:val="center"/>
          </w:tcPr>
          <w:p w14:paraId="67E46A73"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18</w:t>
            </w:r>
          </w:p>
        </w:tc>
        <w:tc>
          <w:tcPr>
            <w:tcW w:w="2093" w:type="dxa"/>
            <w:vAlign w:val="center"/>
          </w:tcPr>
          <w:p w14:paraId="40D4A4BB"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Sanford et al. (2020)</w:t>
            </w:r>
          </w:p>
        </w:tc>
        <w:tc>
          <w:tcPr>
            <w:tcW w:w="1119" w:type="dxa"/>
            <w:vAlign w:val="center"/>
          </w:tcPr>
          <w:p w14:paraId="38C0637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USA</w:t>
            </w:r>
          </w:p>
        </w:tc>
        <w:tc>
          <w:tcPr>
            <w:tcW w:w="652" w:type="dxa"/>
            <w:shd w:val="clear" w:color="auto" w:fill="5CB85C"/>
            <w:vAlign w:val="center"/>
          </w:tcPr>
          <w:p w14:paraId="47B3A0C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12C752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197E24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AD016E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C0B91B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2E194E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31A856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B7CF40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03AA4CB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746" w:type="dxa"/>
            <w:vAlign w:val="center"/>
          </w:tcPr>
          <w:p w14:paraId="374DEDB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88.9%</w:t>
            </w:r>
          </w:p>
        </w:tc>
        <w:tc>
          <w:tcPr>
            <w:tcW w:w="1134" w:type="dxa"/>
            <w:shd w:val="clear" w:color="auto" w:fill="5CB85C"/>
            <w:vAlign w:val="center"/>
          </w:tcPr>
          <w:p w14:paraId="43A521C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031AC34B" w14:textId="77777777" w:rsidTr="003D57E1">
        <w:trPr>
          <w:jc w:val="center"/>
        </w:trPr>
        <w:tc>
          <w:tcPr>
            <w:tcW w:w="454" w:type="dxa"/>
            <w:vAlign w:val="center"/>
          </w:tcPr>
          <w:p w14:paraId="1A685606"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19</w:t>
            </w:r>
          </w:p>
        </w:tc>
        <w:tc>
          <w:tcPr>
            <w:tcW w:w="2093" w:type="dxa"/>
            <w:vAlign w:val="center"/>
          </w:tcPr>
          <w:p w14:paraId="2FB8F1BB" w14:textId="77777777" w:rsidR="003D57E1" w:rsidRPr="003D57E1" w:rsidRDefault="003D57E1" w:rsidP="003D57E1">
            <w:pPr>
              <w:rPr>
                <w:rFonts w:ascii="Calibri" w:hAnsi="Calibri" w:cs="Times New Roman"/>
                <w:sz w:val="16"/>
                <w:szCs w:val="20"/>
              </w:rPr>
            </w:pPr>
            <w:proofErr w:type="spellStart"/>
            <w:r w:rsidRPr="003D57E1">
              <w:rPr>
                <w:rFonts w:ascii="Calibri" w:hAnsi="Calibri" w:cs="Times New Roman"/>
                <w:sz w:val="16"/>
                <w:szCs w:val="20"/>
              </w:rPr>
              <w:t>Croize</w:t>
            </w:r>
            <w:proofErr w:type="spellEnd"/>
            <w:r w:rsidRPr="003D57E1">
              <w:rPr>
                <w:rFonts w:ascii="Calibri" w:hAnsi="Calibri" w:cs="Times New Roman"/>
                <w:sz w:val="16"/>
                <w:szCs w:val="20"/>
              </w:rPr>
              <w:t>-Pourcelet et al. (2022)</w:t>
            </w:r>
          </w:p>
        </w:tc>
        <w:tc>
          <w:tcPr>
            <w:tcW w:w="1119" w:type="dxa"/>
            <w:vAlign w:val="center"/>
          </w:tcPr>
          <w:p w14:paraId="651E6CB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France</w:t>
            </w:r>
          </w:p>
        </w:tc>
        <w:tc>
          <w:tcPr>
            <w:tcW w:w="652" w:type="dxa"/>
            <w:shd w:val="clear" w:color="auto" w:fill="5CB85C"/>
            <w:vAlign w:val="center"/>
          </w:tcPr>
          <w:p w14:paraId="5B3CD9B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879B87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0A5BB4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10DEEF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3E95CD6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13F5D30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8AE12A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90F743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50E9C44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746" w:type="dxa"/>
            <w:vAlign w:val="center"/>
          </w:tcPr>
          <w:p w14:paraId="331CE73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77.8%</w:t>
            </w:r>
          </w:p>
        </w:tc>
        <w:tc>
          <w:tcPr>
            <w:tcW w:w="1134" w:type="dxa"/>
            <w:shd w:val="clear" w:color="auto" w:fill="5CB85C"/>
            <w:vAlign w:val="center"/>
          </w:tcPr>
          <w:p w14:paraId="76DFCF2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3BA25C88" w14:textId="77777777" w:rsidTr="003D57E1">
        <w:trPr>
          <w:jc w:val="center"/>
        </w:trPr>
        <w:tc>
          <w:tcPr>
            <w:tcW w:w="454" w:type="dxa"/>
            <w:vAlign w:val="center"/>
          </w:tcPr>
          <w:p w14:paraId="34C2C9AC"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20</w:t>
            </w:r>
          </w:p>
        </w:tc>
        <w:tc>
          <w:tcPr>
            <w:tcW w:w="2093" w:type="dxa"/>
            <w:vAlign w:val="center"/>
          </w:tcPr>
          <w:p w14:paraId="2FBF9285"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Chiu et al. (2019)</w:t>
            </w:r>
          </w:p>
        </w:tc>
        <w:tc>
          <w:tcPr>
            <w:tcW w:w="1119" w:type="dxa"/>
            <w:vAlign w:val="center"/>
          </w:tcPr>
          <w:p w14:paraId="6364CA4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Taiwan</w:t>
            </w:r>
          </w:p>
        </w:tc>
        <w:tc>
          <w:tcPr>
            <w:tcW w:w="652" w:type="dxa"/>
            <w:shd w:val="clear" w:color="auto" w:fill="5CB85C"/>
            <w:vAlign w:val="center"/>
          </w:tcPr>
          <w:p w14:paraId="2CB147C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81BA7C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47FFB11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3739A39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394672D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5EB13DE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0A1D5C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B926EC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6BB1D44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746" w:type="dxa"/>
            <w:vAlign w:val="center"/>
          </w:tcPr>
          <w:p w14:paraId="2029F3A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66.7%</w:t>
            </w:r>
          </w:p>
        </w:tc>
        <w:tc>
          <w:tcPr>
            <w:tcW w:w="1134" w:type="dxa"/>
            <w:shd w:val="clear" w:color="auto" w:fill="FFD24C"/>
            <w:vAlign w:val="center"/>
          </w:tcPr>
          <w:p w14:paraId="0475F0C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Moderate</w:t>
            </w:r>
          </w:p>
        </w:tc>
      </w:tr>
      <w:tr w:rsidR="003D57E1" w:rsidRPr="003D57E1" w14:paraId="0C95EDAA" w14:textId="77777777" w:rsidTr="003D57E1">
        <w:trPr>
          <w:jc w:val="center"/>
        </w:trPr>
        <w:tc>
          <w:tcPr>
            <w:tcW w:w="454" w:type="dxa"/>
            <w:vAlign w:val="center"/>
          </w:tcPr>
          <w:p w14:paraId="5EC49244"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21</w:t>
            </w:r>
          </w:p>
        </w:tc>
        <w:tc>
          <w:tcPr>
            <w:tcW w:w="2093" w:type="dxa"/>
            <w:vAlign w:val="center"/>
          </w:tcPr>
          <w:p w14:paraId="362C11C5"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Couture et al. (2022)</w:t>
            </w:r>
          </w:p>
        </w:tc>
        <w:tc>
          <w:tcPr>
            <w:tcW w:w="1119" w:type="dxa"/>
            <w:vAlign w:val="center"/>
          </w:tcPr>
          <w:p w14:paraId="53B28EF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Canada</w:t>
            </w:r>
          </w:p>
        </w:tc>
        <w:tc>
          <w:tcPr>
            <w:tcW w:w="652" w:type="dxa"/>
            <w:shd w:val="clear" w:color="auto" w:fill="5CB85C"/>
            <w:vAlign w:val="center"/>
          </w:tcPr>
          <w:p w14:paraId="0422FF0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D9FA2D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0035E08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2DF3622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6D09341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1520D20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726A89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11DA1D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38D65C7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746" w:type="dxa"/>
            <w:vAlign w:val="center"/>
          </w:tcPr>
          <w:p w14:paraId="12A542C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66.7%</w:t>
            </w:r>
          </w:p>
        </w:tc>
        <w:tc>
          <w:tcPr>
            <w:tcW w:w="1134" w:type="dxa"/>
            <w:shd w:val="clear" w:color="auto" w:fill="FFD24C"/>
            <w:vAlign w:val="center"/>
          </w:tcPr>
          <w:p w14:paraId="68FEA89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Moderate</w:t>
            </w:r>
          </w:p>
        </w:tc>
      </w:tr>
      <w:tr w:rsidR="003D57E1" w:rsidRPr="003D57E1" w14:paraId="6793DF59" w14:textId="77777777" w:rsidTr="003D57E1">
        <w:trPr>
          <w:jc w:val="center"/>
        </w:trPr>
        <w:tc>
          <w:tcPr>
            <w:tcW w:w="454" w:type="dxa"/>
            <w:vAlign w:val="center"/>
          </w:tcPr>
          <w:p w14:paraId="6ECB5990"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22</w:t>
            </w:r>
          </w:p>
        </w:tc>
        <w:tc>
          <w:tcPr>
            <w:tcW w:w="2093" w:type="dxa"/>
            <w:vAlign w:val="center"/>
          </w:tcPr>
          <w:p w14:paraId="0A37DC1B" w14:textId="77777777" w:rsidR="003D57E1" w:rsidRPr="003D57E1" w:rsidRDefault="003D57E1" w:rsidP="003D57E1">
            <w:pPr>
              <w:rPr>
                <w:rFonts w:ascii="Calibri" w:hAnsi="Calibri" w:cs="Times New Roman"/>
                <w:sz w:val="16"/>
                <w:szCs w:val="20"/>
              </w:rPr>
            </w:pPr>
            <w:proofErr w:type="spellStart"/>
            <w:r w:rsidRPr="003D57E1">
              <w:rPr>
                <w:rFonts w:ascii="Calibri" w:hAnsi="Calibri" w:cs="Times New Roman"/>
                <w:sz w:val="16"/>
                <w:szCs w:val="20"/>
              </w:rPr>
              <w:t>Badrkhahan</w:t>
            </w:r>
            <w:proofErr w:type="spellEnd"/>
            <w:r w:rsidRPr="003D57E1">
              <w:rPr>
                <w:rFonts w:ascii="Calibri" w:hAnsi="Calibri" w:cs="Times New Roman"/>
                <w:sz w:val="16"/>
                <w:szCs w:val="20"/>
              </w:rPr>
              <w:t xml:space="preserve"> et al. (2023)</w:t>
            </w:r>
          </w:p>
        </w:tc>
        <w:tc>
          <w:tcPr>
            <w:tcW w:w="1119" w:type="dxa"/>
            <w:vAlign w:val="center"/>
          </w:tcPr>
          <w:p w14:paraId="1C03B5C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Iran</w:t>
            </w:r>
          </w:p>
        </w:tc>
        <w:tc>
          <w:tcPr>
            <w:tcW w:w="652" w:type="dxa"/>
            <w:shd w:val="clear" w:color="auto" w:fill="5CB85C"/>
            <w:vAlign w:val="center"/>
          </w:tcPr>
          <w:p w14:paraId="55614F1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123D6E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6F7786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ED34BF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B15BA7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BA0282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A31125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79A94D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404BC24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746" w:type="dxa"/>
            <w:vAlign w:val="center"/>
          </w:tcPr>
          <w:p w14:paraId="3569326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88.9%</w:t>
            </w:r>
          </w:p>
        </w:tc>
        <w:tc>
          <w:tcPr>
            <w:tcW w:w="1134" w:type="dxa"/>
            <w:shd w:val="clear" w:color="auto" w:fill="5CB85C"/>
            <w:vAlign w:val="center"/>
          </w:tcPr>
          <w:p w14:paraId="1FBE6E2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4234EB14" w14:textId="77777777" w:rsidTr="003D57E1">
        <w:trPr>
          <w:jc w:val="center"/>
        </w:trPr>
        <w:tc>
          <w:tcPr>
            <w:tcW w:w="454" w:type="dxa"/>
            <w:vAlign w:val="center"/>
          </w:tcPr>
          <w:p w14:paraId="2EEC40BC"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23</w:t>
            </w:r>
          </w:p>
        </w:tc>
        <w:tc>
          <w:tcPr>
            <w:tcW w:w="2093" w:type="dxa"/>
            <w:vAlign w:val="center"/>
          </w:tcPr>
          <w:p w14:paraId="387C3940" w14:textId="77777777" w:rsidR="003D57E1" w:rsidRPr="003D57E1" w:rsidRDefault="003D57E1" w:rsidP="003D57E1">
            <w:pPr>
              <w:rPr>
                <w:rFonts w:ascii="Calibri" w:hAnsi="Calibri" w:cs="Times New Roman"/>
                <w:sz w:val="16"/>
                <w:szCs w:val="20"/>
              </w:rPr>
            </w:pPr>
            <w:proofErr w:type="spellStart"/>
            <w:r w:rsidRPr="003D57E1">
              <w:rPr>
                <w:rFonts w:ascii="Calibri" w:hAnsi="Calibri" w:cs="Times New Roman"/>
                <w:sz w:val="16"/>
                <w:szCs w:val="20"/>
              </w:rPr>
              <w:t>Cigolle</w:t>
            </w:r>
            <w:proofErr w:type="spellEnd"/>
            <w:r w:rsidRPr="003D57E1">
              <w:rPr>
                <w:rFonts w:ascii="Calibri" w:hAnsi="Calibri" w:cs="Times New Roman"/>
                <w:sz w:val="16"/>
                <w:szCs w:val="20"/>
              </w:rPr>
              <w:t xml:space="preserve"> et al. (2007)</w:t>
            </w:r>
          </w:p>
        </w:tc>
        <w:tc>
          <w:tcPr>
            <w:tcW w:w="1119" w:type="dxa"/>
            <w:vAlign w:val="center"/>
          </w:tcPr>
          <w:p w14:paraId="10AD14A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USA</w:t>
            </w:r>
          </w:p>
        </w:tc>
        <w:tc>
          <w:tcPr>
            <w:tcW w:w="652" w:type="dxa"/>
            <w:shd w:val="clear" w:color="auto" w:fill="5CB85C"/>
            <w:vAlign w:val="center"/>
          </w:tcPr>
          <w:p w14:paraId="5AFD502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2F90F6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7D0F2C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5FFA38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B30371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13BE8C8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1021033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D84F9F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51777B2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746" w:type="dxa"/>
            <w:vAlign w:val="center"/>
          </w:tcPr>
          <w:p w14:paraId="6FBBBCD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77.8%</w:t>
            </w:r>
          </w:p>
        </w:tc>
        <w:tc>
          <w:tcPr>
            <w:tcW w:w="1134" w:type="dxa"/>
            <w:shd w:val="clear" w:color="auto" w:fill="5CB85C"/>
            <w:vAlign w:val="center"/>
          </w:tcPr>
          <w:p w14:paraId="104856C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7C11AE1A" w14:textId="77777777" w:rsidTr="003D57E1">
        <w:trPr>
          <w:jc w:val="center"/>
        </w:trPr>
        <w:tc>
          <w:tcPr>
            <w:tcW w:w="454" w:type="dxa"/>
            <w:vAlign w:val="center"/>
          </w:tcPr>
          <w:p w14:paraId="032B2441"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24</w:t>
            </w:r>
          </w:p>
        </w:tc>
        <w:tc>
          <w:tcPr>
            <w:tcW w:w="2093" w:type="dxa"/>
            <w:vAlign w:val="center"/>
          </w:tcPr>
          <w:p w14:paraId="291A77C1"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Rausch et al. (2022)</w:t>
            </w:r>
          </w:p>
        </w:tc>
        <w:tc>
          <w:tcPr>
            <w:tcW w:w="1119" w:type="dxa"/>
            <w:vAlign w:val="center"/>
          </w:tcPr>
          <w:p w14:paraId="7770EC0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Netherlands</w:t>
            </w:r>
          </w:p>
        </w:tc>
        <w:tc>
          <w:tcPr>
            <w:tcW w:w="652" w:type="dxa"/>
            <w:shd w:val="clear" w:color="auto" w:fill="5CB85C"/>
            <w:vAlign w:val="center"/>
          </w:tcPr>
          <w:p w14:paraId="421C7D6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A03816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538833F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2B3E8BF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198D02B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51ACDFF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01A0D1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275ABF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6753C10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746" w:type="dxa"/>
            <w:vAlign w:val="center"/>
          </w:tcPr>
          <w:p w14:paraId="13212B9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66.7%</w:t>
            </w:r>
          </w:p>
        </w:tc>
        <w:tc>
          <w:tcPr>
            <w:tcW w:w="1134" w:type="dxa"/>
            <w:shd w:val="clear" w:color="auto" w:fill="FFD24C"/>
            <w:vAlign w:val="center"/>
          </w:tcPr>
          <w:p w14:paraId="7A9332D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Moderate</w:t>
            </w:r>
          </w:p>
        </w:tc>
      </w:tr>
      <w:tr w:rsidR="003D57E1" w:rsidRPr="003D57E1" w14:paraId="711DCBF9" w14:textId="77777777" w:rsidTr="003D57E1">
        <w:trPr>
          <w:jc w:val="center"/>
        </w:trPr>
        <w:tc>
          <w:tcPr>
            <w:tcW w:w="454" w:type="dxa"/>
            <w:vAlign w:val="center"/>
          </w:tcPr>
          <w:p w14:paraId="4D51198D"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25</w:t>
            </w:r>
          </w:p>
        </w:tc>
        <w:tc>
          <w:tcPr>
            <w:tcW w:w="2093" w:type="dxa"/>
            <w:vAlign w:val="center"/>
          </w:tcPr>
          <w:p w14:paraId="3B4E04AC"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Rosso et al. (2013)</w:t>
            </w:r>
          </w:p>
        </w:tc>
        <w:tc>
          <w:tcPr>
            <w:tcW w:w="1119" w:type="dxa"/>
            <w:vAlign w:val="center"/>
          </w:tcPr>
          <w:p w14:paraId="3B161B2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USA</w:t>
            </w:r>
          </w:p>
        </w:tc>
        <w:tc>
          <w:tcPr>
            <w:tcW w:w="652" w:type="dxa"/>
            <w:shd w:val="clear" w:color="auto" w:fill="5CB85C"/>
            <w:vAlign w:val="center"/>
          </w:tcPr>
          <w:p w14:paraId="5A1C1A0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3206D1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0E05FBA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1694DA0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677D995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58703AB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488E9A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378727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6ECC7EB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746" w:type="dxa"/>
            <w:vAlign w:val="center"/>
          </w:tcPr>
          <w:p w14:paraId="362749B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66.7%</w:t>
            </w:r>
          </w:p>
        </w:tc>
        <w:tc>
          <w:tcPr>
            <w:tcW w:w="1134" w:type="dxa"/>
            <w:shd w:val="clear" w:color="auto" w:fill="FFD24C"/>
            <w:vAlign w:val="center"/>
          </w:tcPr>
          <w:p w14:paraId="1C43D3B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Moderate</w:t>
            </w:r>
          </w:p>
        </w:tc>
      </w:tr>
      <w:tr w:rsidR="003D57E1" w:rsidRPr="003D57E1" w14:paraId="509F4A59" w14:textId="77777777" w:rsidTr="003D57E1">
        <w:trPr>
          <w:jc w:val="center"/>
        </w:trPr>
        <w:tc>
          <w:tcPr>
            <w:tcW w:w="454" w:type="dxa"/>
            <w:vAlign w:val="center"/>
          </w:tcPr>
          <w:p w14:paraId="1F270E03"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26</w:t>
            </w:r>
          </w:p>
        </w:tc>
        <w:tc>
          <w:tcPr>
            <w:tcW w:w="2093" w:type="dxa"/>
            <w:vAlign w:val="center"/>
          </w:tcPr>
          <w:p w14:paraId="38515AFD"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Mueller et al. (2018)</w:t>
            </w:r>
          </w:p>
        </w:tc>
        <w:tc>
          <w:tcPr>
            <w:tcW w:w="1119" w:type="dxa"/>
            <w:vAlign w:val="center"/>
          </w:tcPr>
          <w:p w14:paraId="241C63D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Switzerland</w:t>
            </w:r>
          </w:p>
        </w:tc>
        <w:tc>
          <w:tcPr>
            <w:tcW w:w="652" w:type="dxa"/>
            <w:shd w:val="clear" w:color="auto" w:fill="5CB85C"/>
            <w:vAlign w:val="center"/>
          </w:tcPr>
          <w:p w14:paraId="702F175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99EE4C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FBAA80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6CD5EF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3FC254E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1D3FC39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23E342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763383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546FBE5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746" w:type="dxa"/>
            <w:vAlign w:val="center"/>
          </w:tcPr>
          <w:p w14:paraId="5DE4EF5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77.8%</w:t>
            </w:r>
          </w:p>
        </w:tc>
        <w:tc>
          <w:tcPr>
            <w:tcW w:w="1134" w:type="dxa"/>
            <w:shd w:val="clear" w:color="auto" w:fill="5CB85C"/>
            <w:vAlign w:val="center"/>
          </w:tcPr>
          <w:p w14:paraId="32BE7BC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6651DC98" w14:textId="77777777" w:rsidTr="003D57E1">
        <w:trPr>
          <w:jc w:val="center"/>
        </w:trPr>
        <w:tc>
          <w:tcPr>
            <w:tcW w:w="454" w:type="dxa"/>
            <w:vAlign w:val="center"/>
          </w:tcPr>
          <w:p w14:paraId="09F415FF"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27</w:t>
            </w:r>
          </w:p>
        </w:tc>
        <w:tc>
          <w:tcPr>
            <w:tcW w:w="2093" w:type="dxa"/>
            <w:vAlign w:val="center"/>
          </w:tcPr>
          <w:p w14:paraId="73FC8D0F" w14:textId="77777777" w:rsidR="003D57E1" w:rsidRPr="003D57E1" w:rsidRDefault="003D57E1" w:rsidP="003D57E1">
            <w:pPr>
              <w:rPr>
                <w:rFonts w:ascii="Calibri" w:hAnsi="Calibri" w:cs="Times New Roman"/>
                <w:sz w:val="16"/>
                <w:szCs w:val="20"/>
              </w:rPr>
            </w:pPr>
            <w:proofErr w:type="spellStart"/>
            <w:r w:rsidRPr="003D57E1">
              <w:rPr>
                <w:rFonts w:ascii="Calibri" w:hAnsi="Calibri" w:cs="Times New Roman"/>
                <w:sz w:val="16"/>
                <w:szCs w:val="20"/>
              </w:rPr>
              <w:t>Dartigues</w:t>
            </w:r>
            <w:proofErr w:type="spellEnd"/>
            <w:r w:rsidRPr="003D57E1">
              <w:rPr>
                <w:rFonts w:ascii="Calibri" w:hAnsi="Calibri" w:cs="Times New Roman"/>
                <w:sz w:val="16"/>
                <w:szCs w:val="20"/>
              </w:rPr>
              <w:t xml:space="preserve"> et al. (2021)</w:t>
            </w:r>
          </w:p>
        </w:tc>
        <w:tc>
          <w:tcPr>
            <w:tcW w:w="1119" w:type="dxa"/>
            <w:vAlign w:val="center"/>
          </w:tcPr>
          <w:p w14:paraId="3ABC65D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France</w:t>
            </w:r>
          </w:p>
        </w:tc>
        <w:tc>
          <w:tcPr>
            <w:tcW w:w="652" w:type="dxa"/>
            <w:shd w:val="clear" w:color="auto" w:fill="5CB85C"/>
            <w:vAlign w:val="center"/>
          </w:tcPr>
          <w:p w14:paraId="689BF0C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171C07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3F06BF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96AD66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2B0B21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FAD19D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EC5F04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A9FA81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A003B1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75E7DF2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100.0%</w:t>
            </w:r>
          </w:p>
        </w:tc>
        <w:tc>
          <w:tcPr>
            <w:tcW w:w="1134" w:type="dxa"/>
            <w:shd w:val="clear" w:color="auto" w:fill="5CB85C"/>
            <w:vAlign w:val="center"/>
          </w:tcPr>
          <w:p w14:paraId="5B6900D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2C5D3232" w14:textId="77777777" w:rsidTr="003D57E1">
        <w:trPr>
          <w:jc w:val="center"/>
        </w:trPr>
        <w:tc>
          <w:tcPr>
            <w:tcW w:w="454" w:type="dxa"/>
            <w:vAlign w:val="center"/>
          </w:tcPr>
          <w:p w14:paraId="6D889EAA"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28</w:t>
            </w:r>
          </w:p>
        </w:tc>
        <w:tc>
          <w:tcPr>
            <w:tcW w:w="2093" w:type="dxa"/>
            <w:vAlign w:val="center"/>
          </w:tcPr>
          <w:p w14:paraId="2D3BCBBB"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Moon et al. (2019)</w:t>
            </w:r>
          </w:p>
        </w:tc>
        <w:tc>
          <w:tcPr>
            <w:tcW w:w="1119" w:type="dxa"/>
            <w:vAlign w:val="center"/>
          </w:tcPr>
          <w:p w14:paraId="6A03950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South Korea</w:t>
            </w:r>
          </w:p>
        </w:tc>
        <w:tc>
          <w:tcPr>
            <w:tcW w:w="652" w:type="dxa"/>
            <w:shd w:val="clear" w:color="auto" w:fill="5CB85C"/>
            <w:vAlign w:val="center"/>
          </w:tcPr>
          <w:p w14:paraId="2679346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2DC9E8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4BB4B1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03D3A6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17F5607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3B82D58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5457DA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5F1FD3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F8C958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2F52294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88.9%</w:t>
            </w:r>
          </w:p>
        </w:tc>
        <w:tc>
          <w:tcPr>
            <w:tcW w:w="1134" w:type="dxa"/>
            <w:shd w:val="clear" w:color="auto" w:fill="5CB85C"/>
            <w:vAlign w:val="center"/>
          </w:tcPr>
          <w:p w14:paraId="7E054CB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231224C0" w14:textId="77777777" w:rsidTr="003D57E1">
        <w:trPr>
          <w:jc w:val="center"/>
        </w:trPr>
        <w:tc>
          <w:tcPr>
            <w:tcW w:w="454" w:type="dxa"/>
            <w:vAlign w:val="center"/>
          </w:tcPr>
          <w:p w14:paraId="0E5B6BAE"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29</w:t>
            </w:r>
          </w:p>
        </w:tc>
        <w:tc>
          <w:tcPr>
            <w:tcW w:w="2093" w:type="dxa"/>
            <w:vAlign w:val="center"/>
          </w:tcPr>
          <w:p w14:paraId="643E9893"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Bare et al. (2021)</w:t>
            </w:r>
          </w:p>
        </w:tc>
        <w:tc>
          <w:tcPr>
            <w:tcW w:w="1119" w:type="dxa"/>
            <w:vAlign w:val="center"/>
          </w:tcPr>
          <w:p w14:paraId="5070193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Spain</w:t>
            </w:r>
          </w:p>
        </w:tc>
        <w:tc>
          <w:tcPr>
            <w:tcW w:w="652" w:type="dxa"/>
            <w:shd w:val="clear" w:color="auto" w:fill="5CB85C"/>
            <w:vAlign w:val="center"/>
          </w:tcPr>
          <w:p w14:paraId="7785313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BBD248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323029E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7CC3BC2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7C17454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23CA2F9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E9018C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914811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2A8F23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666053C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77.8%</w:t>
            </w:r>
          </w:p>
        </w:tc>
        <w:tc>
          <w:tcPr>
            <w:tcW w:w="1134" w:type="dxa"/>
            <w:shd w:val="clear" w:color="auto" w:fill="5CB85C"/>
            <w:vAlign w:val="center"/>
          </w:tcPr>
          <w:p w14:paraId="187A336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6AEEF9FF" w14:textId="77777777" w:rsidTr="003D57E1">
        <w:trPr>
          <w:jc w:val="center"/>
        </w:trPr>
        <w:tc>
          <w:tcPr>
            <w:tcW w:w="454" w:type="dxa"/>
            <w:vAlign w:val="center"/>
          </w:tcPr>
          <w:p w14:paraId="0A188DAE"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30</w:t>
            </w:r>
          </w:p>
        </w:tc>
        <w:tc>
          <w:tcPr>
            <w:tcW w:w="2093" w:type="dxa"/>
            <w:vAlign w:val="center"/>
          </w:tcPr>
          <w:p w14:paraId="6AFFFAF7"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Brown et al. (2013)</w:t>
            </w:r>
          </w:p>
        </w:tc>
        <w:tc>
          <w:tcPr>
            <w:tcW w:w="1119" w:type="dxa"/>
            <w:vAlign w:val="center"/>
          </w:tcPr>
          <w:p w14:paraId="794BBCC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USA</w:t>
            </w:r>
          </w:p>
        </w:tc>
        <w:tc>
          <w:tcPr>
            <w:tcW w:w="652" w:type="dxa"/>
            <w:shd w:val="clear" w:color="auto" w:fill="5CB85C"/>
            <w:vAlign w:val="center"/>
          </w:tcPr>
          <w:p w14:paraId="69952F0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B39DD3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15E826E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06292DE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74D3DE4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7F0302F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19587F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08EA8A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BEA2F1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321E812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77.8%</w:t>
            </w:r>
          </w:p>
        </w:tc>
        <w:tc>
          <w:tcPr>
            <w:tcW w:w="1134" w:type="dxa"/>
            <w:shd w:val="clear" w:color="auto" w:fill="5CB85C"/>
            <w:vAlign w:val="center"/>
          </w:tcPr>
          <w:p w14:paraId="574E1E5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2254261E" w14:textId="77777777" w:rsidTr="003D57E1">
        <w:trPr>
          <w:jc w:val="center"/>
        </w:trPr>
        <w:tc>
          <w:tcPr>
            <w:tcW w:w="454" w:type="dxa"/>
            <w:vAlign w:val="center"/>
          </w:tcPr>
          <w:p w14:paraId="6CF99848"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31</w:t>
            </w:r>
          </w:p>
        </w:tc>
        <w:tc>
          <w:tcPr>
            <w:tcW w:w="2093" w:type="dxa"/>
            <w:vAlign w:val="center"/>
          </w:tcPr>
          <w:p w14:paraId="3E53EAAF"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Huisingh-Scheetz et al. (2014)</w:t>
            </w:r>
          </w:p>
        </w:tc>
        <w:tc>
          <w:tcPr>
            <w:tcW w:w="1119" w:type="dxa"/>
            <w:vAlign w:val="center"/>
          </w:tcPr>
          <w:p w14:paraId="345EFE0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USA</w:t>
            </w:r>
          </w:p>
        </w:tc>
        <w:tc>
          <w:tcPr>
            <w:tcW w:w="652" w:type="dxa"/>
            <w:shd w:val="clear" w:color="auto" w:fill="5CB85C"/>
            <w:vAlign w:val="center"/>
          </w:tcPr>
          <w:p w14:paraId="3B447D8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D90913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3E1FB76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61CBF51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6887155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214A0F6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13DE51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E8A9B2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66F851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4F52376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77.8%</w:t>
            </w:r>
          </w:p>
        </w:tc>
        <w:tc>
          <w:tcPr>
            <w:tcW w:w="1134" w:type="dxa"/>
            <w:shd w:val="clear" w:color="auto" w:fill="5CB85C"/>
            <w:vAlign w:val="center"/>
          </w:tcPr>
          <w:p w14:paraId="20240EA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178526FF" w14:textId="77777777" w:rsidTr="003D57E1">
        <w:trPr>
          <w:jc w:val="center"/>
        </w:trPr>
        <w:tc>
          <w:tcPr>
            <w:tcW w:w="454" w:type="dxa"/>
            <w:vAlign w:val="center"/>
          </w:tcPr>
          <w:p w14:paraId="11471EE0"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32</w:t>
            </w:r>
          </w:p>
        </w:tc>
        <w:tc>
          <w:tcPr>
            <w:tcW w:w="2093" w:type="dxa"/>
            <w:vAlign w:val="center"/>
          </w:tcPr>
          <w:p w14:paraId="70781FE9"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Li et al. (2025)</w:t>
            </w:r>
          </w:p>
        </w:tc>
        <w:tc>
          <w:tcPr>
            <w:tcW w:w="1119" w:type="dxa"/>
            <w:vAlign w:val="center"/>
          </w:tcPr>
          <w:p w14:paraId="4B6D11C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Taiwan</w:t>
            </w:r>
          </w:p>
        </w:tc>
        <w:tc>
          <w:tcPr>
            <w:tcW w:w="652" w:type="dxa"/>
            <w:shd w:val="clear" w:color="auto" w:fill="5CB85C"/>
            <w:vAlign w:val="center"/>
          </w:tcPr>
          <w:p w14:paraId="324EC00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228A44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3C322CC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6BED907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3CCC0F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114589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49778E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2067D9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E0D59A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613469D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88.9%</w:t>
            </w:r>
          </w:p>
        </w:tc>
        <w:tc>
          <w:tcPr>
            <w:tcW w:w="1134" w:type="dxa"/>
            <w:shd w:val="clear" w:color="auto" w:fill="5CB85C"/>
            <w:vAlign w:val="center"/>
          </w:tcPr>
          <w:p w14:paraId="32CDAD7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6BAAE19A" w14:textId="77777777" w:rsidTr="003D57E1">
        <w:trPr>
          <w:jc w:val="center"/>
        </w:trPr>
        <w:tc>
          <w:tcPr>
            <w:tcW w:w="454" w:type="dxa"/>
            <w:vAlign w:val="center"/>
          </w:tcPr>
          <w:p w14:paraId="6A35B9E9"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33</w:t>
            </w:r>
          </w:p>
        </w:tc>
        <w:tc>
          <w:tcPr>
            <w:tcW w:w="2093" w:type="dxa"/>
            <w:vAlign w:val="center"/>
          </w:tcPr>
          <w:p w14:paraId="2A29FF1B"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Hu et al. (2025)</w:t>
            </w:r>
          </w:p>
        </w:tc>
        <w:tc>
          <w:tcPr>
            <w:tcW w:w="1119" w:type="dxa"/>
            <w:vAlign w:val="center"/>
          </w:tcPr>
          <w:p w14:paraId="282C720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China</w:t>
            </w:r>
          </w:p>
        </w:tc>
        <w:tc>
          <w:tcPr>
            <w:tcW w:w="652" w:type="dxa"/>
            <w:shd w:val="clear" w:color="auto" w:fill="5CB85C"/>
            <w:vAlign w:val="center"/>
          </w:tcPr>
          <w:p w14:paraId="4C1F010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C777A3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6E98F99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7DAC96C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121710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AF971C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E8DE80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50A67F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B438DB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79A1035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88.9%</w:t>
            </w:r>
          </w:p>
        </w:tc>
        <w:tc>
          <w:tcPr>
            <w:tcW w:w="1134" w:type="dxa"/>
            <w:shd w:val="clear" w:color="auto" w:fill="5CB85C"/>
            <w:vAlign w:val="center"/>
          </w:tcPr>
          <w:p w14:paraId="310A1A9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61B3940F" w14:textId="77777777" w:rsidTr="003D57E1">
        <w:trPr>
          <w:jc w:val="center"/>
        </w:trPr>
        <w:tc>
          <w:tcPr>
            <w:tcW w:w="454" w:type="dxa"/>
            <w:vAlign w:val="center"/>
          </w:tcPr>
          <w:p w14:paraId="159DCD7B"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34</w:t>
            </w:r>
          </w:p>
        </w:tc>
        <w:tc>
          <w:tcPr>
            <w:tcW w:w="2093" w:type="dxa"/>
            <w:vAlign w:val="center"/>
          </w:tcPr>
          <w:p w14:paraId="61E096F6"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Huang et al. (2017)</w:t>
            </w:r>
          </w:p>
        </w:tc>
        <w:tc>
          <w:tcPr>
            <w:tcW w:w="1119" w:type="dxa"/>
            <w:vAlign w:val="center"/>
          </w:tcPr>
          <w:p w14:paraId="000C4CD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Taiwan</w:t>
            </w:r>
          </w:p>
        </w:tc>
        <w:tc>
          <w:tcPr>
            <w:tcW w:w="652" w:type="dxa"/>
            <w:shd w:val="clear" w:color="auto" w:fill="5CB85C"/>
            <w:vAlign w:val="center"/>
          </w:tcPr>
          <w:p w14:paraId="72EB7B2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EE1C00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45916B4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76CDFB6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732927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A2A607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6C3584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F1F35C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B5DCDE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28B212B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88.9%</w:t>
            </w:r>
          </w:p>
        </w:tc>
        <w:tc>
          <w:tcPr>
            <w:tcW w:w="1134" w:type="dxa"/>
            <w:shd w:val="clear" w:color="auto" w:fill="5CB85C"/>
            <w:vAlign w:val="center"/>
          </w:tcPr>
          <w:p w14:paraId="52855FA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634AE94E" w14:textId="77777777" w:rsidTr="003D57E1">
        <w:trPr>
          <w:jc w:val="center"/>
        </w:trPr>
        <w:tc>
          <w:tcPr>
            <w:tcW w:w="454" w:type="dxa"/>
            <w:vAlign w:val="center"/>
          </w:tcPr>
          <w:p w14:paraId="4143F018"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35</w:t>
            </w:r>
          </w:p>
        </w:tc>
        <w:tc>
          <w:tcPr>
            <w:tcW w:w="2093" w:type="dxa"/>
            <w:vAlign w:val="center"/>
          </w:tcPr>
          <w:p w14:paraId="665EB118"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Shyu et al. (2024)</w:t>
            </w:r>
          </w:p>
        </w:tc>
        <w:tc>
          <w:tcPr>
            <w:tcW w:w="1119" w:type="dxa"/>
            <w:vAlign w:val="center"/>
          </w:tcPr>
          <w:p w14:paraId="59BCC08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Taiwan</w:t>
            </w:r>
          </w:p>
        </w:tc>
        <w:tc>
          <w:tcPr>
            <w:tcW w:w="652" w:type="dxa"/>
            <w:shd w:val="clear" w:color="auto" w:fill="5CB85C"/>
            <w:vAlign w:val="center"/>
          </w:tcPr>
          <w:p w14:paraId="393300F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4B7E7B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4E41C40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4C0A2B5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D2C960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285191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7211D5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C6F684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8FF2A6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200A926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88.9%</w:t>
            </w:r>
          </w:p>
        </w:tc>
        <w:tc>
          <w:tcPr>
            <w:tcW w:w="1134" w:type="dxa"/>
            <w:shd w:val="clear" w:color="auto" w:fill="5CB85C"/>
            <w:vAlign w:val="center"/>
          </w:tcPr>
          <w:p w14:paraId="509E485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73D37855" w14:textId="77777777" w:rsidTr="003D57E1">
        <w:trPr>
          <w:jc w:val="center"/>
        </w:trPr>
        <w:tc>
          <w:tcPr>
            <w:tcW w:w="454" w:type="dxa"/>
            <w:vAlign w:val="center"/>
          </w:tcPr>
          <w:p w14:paraId="4BE54727"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36</w:t>
            </w:r>
          </w:p>
        </w:tc>
        <w:tc>
          <w:tcPr>
            <w:tcW w:w="2093" w:type="dxa"/>
            <w:vAlign w:val="center"/>
          </w:tcPr>
          <w:p w14:paraId="35E779A3"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Cheng et al. (2025)</w:t>
            </w:r>
          </w:p>
        </w:tc>
        <w:tc>
          <w:tcPr>
            <w:tcW w:w="1119" w:type="dxa"/>
            <w:vAlign w:val="center"/>
          </w:tcPr>
          <w:p w14:paraId="0C322D3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Australia</w:t>
            </w:r>
          </w:p>
        </w:tc>
        <w:tc>
          <w:tcPr>
            <w:tcW w:w="652" w:type="dxa"/>
            <w:shd w:val="clear" w:color="auto" w:fill="5CB85C"/>
            <w:vAlign w:val="center"/>
          </w:tcPr>
          <w:p w14:paraId="7BFD905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998238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C974FC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3DD44F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AAA808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A11B6F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4A558E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651809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FBE404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40B4921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100.0%</w:t>
            </w:r>
          </w:p>
        </w:tc>
        <w:tc>
          <w:tcPr>
            <w:tcW w:w="1134" w:type="dxa"/>
            <w:shd w:val="clear" w:color="auto" w:fill="5CB85C"/>
            <w:vAlign w:val="center"/>
          </w:tcPr>
          <w:p w14:paraId="6A55ACC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76D658EE" w14:textId="77777777" w:rsidTr="003D57E1">
        <w:trPr>
          <w:jc w:val="center"/>
        </w:trPr>
        <w:tc>
          <w:tcPr>
            <w:tcW w:w="454" w:type="dxa"/>
            <w:vAlign w:val="center"/>
          </w:tcPr>
          <w:p w14:paraId="12BC4DBE"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37</w:t>
            </w:r>
          </w:p>
        </w:tc>
        <w:tc>
          <w:tcPr>
            <w:tcW w:w="2093" w:type="dxa"/>
            <w:vAlign w:val="center"/>
          </w:tcPr>
          <w:p w14:paraId="5CFF250C"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She et al. (2019)</w:t>
            </w:r>
          </w:p>
        </w:tc>
        <w:tc>
          <w:tcPr>
            <w:tcW w:w="1119" w:type="dxa"/>
            <w:vAlign w:val="center"/>
          </w:tcPr>
          <w:p w14:paraId="433D31F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China</w:t>
            </w:r>
          </w:p>
        </w:tc>
        <w:tc>
          <w:tcPr>
            <w:tcW w:w="652" w:type="dxa"/>
            <w:shd w:val="clear" w:color="auto" w:fill="5CB85C"/>
            <w:vAlign w:val="center"/>
          </w:tcPr>
          <w:p w14:paraId="1DB2030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12B15E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CF35FF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FB61B1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83930D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512B35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977F72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A50D95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AAE164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539A570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100.0%</w:t>
            </w:r>
          </w:p>
        </w:tc>
        <w:tc>
          <w:tcPr>
            <w:tcW w:w="1134" w:type="dxa"/>
            <w:shd w:val="clear" w:color="auto" w:fill="5CB85C"/>
            <w:vAlign w:val="center"/>
          </w:tcPr>
          <w:p w14:paraId="63094CD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1FCC1397" w14:textId="77777777" w:rsidTr="003D57E1">
        <w:trPr>
          <w:jc w:val="center"/>
        </w:trPr>
        <w:tc>
          <w:tcPr>
            <w:tcW w:w="454" w:type="dxa"/>
            <w:vAlign w:val="center"/>
          </w:tcPr>
          <w:p w14:paraId="181E8778"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38</w:t>
            </w:r>
          </w:p>
        </w:tc>
        <w:tc>
          <w:tcPr>
            <w:tcW w:w="2093" w:type="dxa"/>
            <w:vAlign w:val="center"/>
          </w:tcPr>
          <w:p w14:paraId="663FB45F"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Chen et al. (2021)</w:t>
            </w:r>
          </w:p>
        </w:tc>
        <w:tc>
          <w:tcPr>
            <w:tcW w:w="1119" w:type="dxa"/>
            <w:vAlign w:val="center"/>
          </w:tcPr>
          <w:p w14:paraId="34F7A00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Singapore</w:t>
            </w:r>
          </w:p>
        </w:tc>
        <w:tc>
          <w:tcPr>
            <w:tcW w:w="652" w:type="dxa"/>
            <w:shd w:val="clear" w:color="auto" w:fill="5CB85C"/>
            <w:vAlign w:val="center"/>
          </w:tcPr>
          <w:p w14:paraId="1AC37F5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8F81E8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1B8855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EE092C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86BC84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9EEA8B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3CBC11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ABC2B5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FD745C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009BC9D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100.0%</w:t>
            </w:r>
          </w:p>
        </w:tc>
        <w:tc>
          <w:tcPr>
            <w:tcW w:w="1134" w:type="dxa"/>
            <w:shd w:val="clear" w:color="auto" w:fill="5CB85C"/>
            <w:vAlign w:val="center"/>
          </w:tcPr>
          <w:p w14:paraId="739B16F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7DB8ABB5" w14:textId="77777777" w:rsidTr="003D57E1">
        <w:trPr>
          <w:jc w:val="center"/>
        </w:trPr>
        <w:tc>
          <w:tcPr>
            <w:tcW w:w="454" w:type="dxa"/>
            <w:vAlign w:val="center"/>
          </w:tcPr>
          <w:p w14:paraId="7318466B"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39</w:t>
            </w:r>
          </w:p>
        </w:tc>
        <w:tc>
          <w:tcPr>
            <w:tcW w:w="2093" w:type="dxa"/>
            <w:vAlign w:val="center"/>
          </w:tcPr>
          <w:p w14:paraId="05526A6A"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Noguchi et al. (2016)</w:t>
            </w:r>
          </w:p>
        </w:tc>
        <w:tc>
          <w:tcPr>
            <w:tcW w:w="1119" w:type="dxa"/>
            <w:vAlign w:val="center"/>
          </w:tcPr>
          <w:p w14:paraId="45C91B9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Australia</w:t>
            </w:r>
          </w:p>
        </w:tc>
        <w:tc>
          <w:tcPr>
            <w:tcW w:w="652" w:type="dxa"/>
            <w:shd w:val="clear" w:color="auto" w:fill="5CB85C"/>
            <w:vAlign w:val="center"/>
          </w:tcPr>
          <w:p w14:paraId="4F33EA0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5A5487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0DA9D4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DCFA92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298C4D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9C332B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07E219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1DBF07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7DA568D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746" w:type="dxa"/>
            <w:vAlign w:val="center"/>
          </w:tcPr>
          <w:p w14:paraId="4DB4B96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88.9%</w:t>
            </w:r>
          </w:p>
        </w:tc>
        <w:tc>
          <w:tcPr>
            <w:tcW w:w="1134" w:type="dxa"/>
            <w:shd w:val="clear" w:color="auto" w:fill="5CB85C"/>
            <w:vAlign w:val="center"/>
          </w:tcPr>
          <w:p w14:paraId="2938A90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50FCE5EF" w14:textId="77777777" w:rsidTr="003D57E1">
        <w:trPr>
          <w:jc w:val="center"/>
        </w:trPr>
        <w:tc>
          <w:tcPr>
            <w:tcW w:w="454" w:type="dxa"/>
            <w:vAlign w:val="center"/>
          </w:tcPr>
          <w:p w14:paraId="30A033DE"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40</w:t>
            </w:r>
          </w:p>
        </w:tc>
        <w:tc>
          <w:tcPr>
            <w:tcW w:w="2093" w:type="dxa"/>
            <w:vAlign w:val="center"/>
          </w:tcPr>
          <w:p w14:paraId="0CF2A1E5"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Sankar et al. (2025)</w:t>
            </w:r>
          </w:p>
        </w:tc>
        <w:tc>
          <w:tcPr>
            <w:tcW w:w="1119" w:type="dxa"/>
            <w:vAlign w:val="center"/>
          </w:tcPr>
          <w:p w14:paraId="5339844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India</w:t>
            </w:r>
          </w:p>
        </w:tc>
        <w:tc>
          <w:tcPr>
            <w:tcW w:w="652" w:type="dxa"/>
            <w:shd w:val="clear" w:color="auto" w:fill="5CB85C"/>
            <w:vAlign w:val="center"/>
          </w:tcPr>
          <w:p w14:paraId="6094EA4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BEC154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AFA530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0506A3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807BA0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B78E75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85039B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8C403F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2D901A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1A22601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100.0%</w:t>
            </w:r>
          </w:p>
        </w:tc>
        <w:tc>
          <w:tcPr>
            <w:tcW w:w="1134" w:type="dxa"/>
            <w:shd w:val="clear" w:color="auto" w:fill="5CB85C"/>
            <w:vAlign w:val="center"/>
          </w:tcPr>
          <w:p w14:paraId="33CCC06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193AB865" w14:textId="77777777" w:rsidTr="003D57E1">
        <w:trPr>
          <w:jc w:val="center"/>
        </w:trPr>
        <w:tc>
          <w:tcPr>
            <w:tcW w:w="454" w:type="dxa"/>
            <w:vAlign w:val="center"/>
          </w:tcPr>
          <w:p w14:paraId="110DF178"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41</w:t>
            </w:r>
          </w:p>
        </w:tc>
        <w:tc>
          <w:tcPr>
            <w:tcW w:w="2093" w:type="dxa"/>
            <w:vAlign w:val="center"/>
          </w:tcPr>
          <w:p w14:paraId="5EF554CB" w14:textId="77777777" w:rsidR="003D57E1" w:rsidRPr="003D57E1" w:rsidRDefault="003D57E1" w:rsidP="003D57E1">
            <w:pPr>
              <w:rPr>
                <w:rFonts w:ascii="Calibri" w:hAnsi="Calibri" w:cs="Times New Roman"/>
                <w:sz w:val="16"/>
                <w:szCs w:val="20"/>
              </w:rPr>
            </w:pPr>
            <w:proofErr w:type="spellStart"/>
            <w:r w:rsidRPr="003D57E1">
              <w:rPr>
                <w:rFonts w:ascii="Calibri" w:hAnsi="Calibri" w:cs="Times New Roman"/>
                <w:sz w:val="16"/>
                <w:szCs w:val="20"/>
              </w:rPr>
              <w:t>Pengpid</w:t>
            </w:r>
            <w:proofErr w:type="spellEnd"/>
            <w:r w:rsidRPr="003D57E1">
              <w:rPr>
                <w:rFonts w:ascii="Calibri" w:hAnsi="Calibri" w:cs="Times New Roman"/>
                <w:sz w:val="16"/>
                <w:szCs w:val="20"/>
              </w:rPr>
              <w:t xml:space="preserve"> &amp; Peltzer (2021)</w:t>
            </w:r>
          </w:p>
        </w:tc>
        <w:tc>
          <w:tcPr>
            <w:tcW w:w="1119" w:type="dxa"/>
            <w:vAlign w:val="center"/>
          </w:tcPr>
          <w:p w14:paraId="04C2E58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India</w:t>
            </w:r>
          </w:p>
        </w:tc>
        <w:tc>
          <w:tcPr>
            <w:tcW w:w="652" w:type="dxa"/>
            <w:shd w:val="clear" w:color="auto" w:fill="5CB85C"/>
            <w:vAlign w:val="center"/>
          </w:tcPr>
          <w:p w14:paraId="43EC80E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31ADAD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84B372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89008C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8AE38F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ECC918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8F6F50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522EE6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821A01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2D08748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100.0%</w:t>
            </w:r>
          </w:p>
        </w:tc>
        <w:tc>
          <w:tcPr>
            <w:tcW w:w="1134" w:type="dxa"/>
            <w:shd w:val="clear" w:color="auto" w:fill="5CB85C"/>
            <w:vAlign w:val="center"/>
          </w:tcPr>
          <w:p w14:paraId="386BC39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1A240065" w14:textId="77777777" w:rsidTr="003D57E1">
        <w:trPr>
          <w:jc w:val="center"/>
        </w:trPr>
        <w:tc>
          <w:tcPr>
            <w:tcW w:w="454" w:type="dxa"/>
            <w:vAlign w:val="center"/>
          </w:tcPr>
          <w:p w14:paraId="7CC0B3EF"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42</w:t>
            </w:r>
          </w:p>
        </w:tc>
        <w:tc>
          <w:tcPr>
            <w:tcW w:w="2093" w:type="dxa"/>
            <w:vAlign w:val="center"/>
          </w:tcPr>
          <w:p w14:paraId="07C3CF57"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Kumar et al. (2021)</w:t>
            </w:r>
          </w:p>
        </w:tc>
        <w:tc>
          <w:tcPr>
            <w:tcW w:w="1119" w:type="dxa"/>
            <w:vAlign w:val="center"/>
          </w:tcPr>
          <w:p w14:paraId="7DF5E54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India</w:t>
            </w:r>
          </w:p>
        </w:tc>
        <w:tc>
          <w:tcPr>
            <w:tcW w:w="652" w:type="dxa"/>
            <w:shd w:val="clear" w:color="auto" w:fill="5CB85C"/>
            <w:vAlign w:val="center"/>
          </w:tcPr>
          <w:p w14:paraId="5D6A39E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F3CFE4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1F2F68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0E9717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66B3A26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146A02A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1F504E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FCA074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48533B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751CB02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88.9%</w:t>
            </w:r>
          </w:p>
        </w:tc>
        <w:tc>
          <w:tcPr>
            <w:tcW w:w="1134" w:type="dxa"/>
            <w:shd w:val="clear" w:color="auto" w:fill="5CB85C"/>
            <w:vAlign w:val="center"/>
          </w:tcPr>
          <w:p w14:paraId="689E40A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4B16B5DF" w14:textId="77777777" w:rsidTr="003D57E1">
        <w:trPr>
          <w:jc w:val="center"/>
        </w:trPr>
        <w:tc>
          <w:tcPr>
            <w:tcW w:w="454" w:type="dxa"/>
            <w:vAlign w:val="center"/>
          </w:tcPr>
          <w:p w14:paraId="722FEA78"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43</w:t>
            </w:r>
          </w:p>
        </w:tc>
        <w:tc>
          <w:tcPr>
            <w:tcW w:w="2093" w:type="dxa"/>
            <w:vAlign w:val="center"/>
          </w:tcPr>
          <w:p w14:paraId="3342FE3F"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Bulut et al. (2018)</w:t>
            </w:r>
          </w:p>
        </w:tc>
        <w:tc>
          <w:tcPr>
            <w:tcW w:w="1119" w:type="dxa"/>
            <w:vAlign w:val="center"/>
          </w:tcPr>
          <w:p w14:paraId="2C208C1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Türkiye</w:t>
            </w:r>
          </w:p>
        </w:tc>
        <w:tc>
          <w:tcPr>
            <w:tcW w:w="652" w:type="dxa"/>
            <w:shd w:val="clear" w:color="auto" w:fill="5CB85C"/>
            <w:vAlign w:val="center"/>
          </w:tcPr>
          <w:p w14:paraId="77AAC94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DF7DBB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8B3F2B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A74039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FBB9EC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BC67AE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866B90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7D42C3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1B0ED1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0B8413D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100.0%</w:t>
            </w:r>
          </w:p>
        </w:tc>
        <w:tc>
          <w:tcPr>
            <w:tcW w:w="1134" w:type="dxa"/>
            <w:shd w:val="clear" w:color="auto" w:fill="5CB85C"/>
            <w:vAlign w:val="center"/>
          </w:tcPr>
          <w:p w14:paraId="64F94D4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6630C667" w14:textId="77777777" w:rsidTr="003D57E1">
        <w:trPr>
          <w:jc w:val="center"/>
        </w:trPr>
        <w:tc>
          <w:tcPr>
            <w:tcW w:w="454" w:type="dxa"/>
            <w:vAlign w:val="center"/>
          </w:tcPr>
          <w:p w14:paraId="414C095F"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44</w:t>
            </w:r>
          </w:p>
        </w:tc>
        <w:tc>
          <w:tcPr>
            <w:tcW w:w="2093" w:type="dxa"/>
            <w:vAlign w:val="center"/>
          </w:tcPr>
          <w:p w14:paraId="1D1067CB"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R/Suganya et al. (2023)</w:t>
            </w:r>
          </w:p>
        </w:tc>
        <w:tc>
          <w:tcPr>
            <w:tcW w:w="1119" w:type="dxa"/>
            <w:vAlign w:val="center"/>
          </w:tcPr>
          <w:p w14:paraId="196A87E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India</w:t>
            </w:r>
          </w:p>
        </w:tc>
        <w:tc>
          <w:tcPr>
            <w:tcW w:w="652" w:type="dxa"/>
            <w:shd w:val="clear" w:color="auto" w:fill="5CB85C"/>
            <w:vAlign w:val="center"/>
          </w:tcPr>
          <w:p w14:paraId="26EC626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587560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3FBC06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C1201C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9DBADA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BA2930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6EF2A7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03CF68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DCAE7C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7C2A500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100.0%</w:t>
            </w:r>
          </w:p>
        </w:tc>
        <w:tc>
          <w:tcPr>
            <w:tcW w:w="1134" w:type="dxa"/>
            <w:shd w:val="clear" w:color="auto" w:fill="5CB85C"/>
            <w:vAlign w:val="center"/>
          </w:tcPr>
          <w:p w14:paraId="7E4CDFC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3CBCB7D3" w14:textId="77777777" w:rsidTr="003D57E1">
        <w:trPr>
          <w:jc w:val="center"/>
        </w:trPr>
        <w:tc>
          <w:tcPr>
            <w:tcW w:w="454" w:type="dxa"/>
            <w:vAlign w:val="center"/>
          </w:tcPr>
          <w:p w14:paraId="78384EC8"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45</w:t>
            </w:r>
          </w:p>
        </w:tc>
        <w:tc>
          <w:tcPr>
            <w:tcW w:w="2093" w:type="dxa"/>
            <w:vAlign w:val="center"/>
          </w:tcPr>
          <w:p w14:paraId="2333480B"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Soundararajan et al. (2017)</w:t>
            </w:r>
          </w:p>
        </w:tc>
        <w:tc>
          <w:tcPr>
            <w:tcW w:w="1119" w:type="dxa"/>
            <w:vAlign w:val="center"/>
          </w:tcPr>
          <w:p w14:paraId="015F8B5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India</w:t>
            </w:r>
          </w:p>
        </w:tc>
        <w:tc>
          <w:tcPr>
            <w:tcW w:w="652" w:type="dxa"/>
            <w:shd w:val="clear" w:color="auto" w:fill="5CB85C"/>
            <w:vAlign w:val="center"/>
          </w:tcPr>
          <w:p w14:paraId="49723F8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EFD237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045B13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CAB8A6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3BE976F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0685007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77004A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5F6EC38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E8543E"/>
            <w:vAlign w:val="center"/>
          </w:tcPr>
          <w:p w14:paraId="374FAB2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746" w:type="dxa"/>
            <w:vAlign w:val="center"/>
          </w:tcPr>
          <w:p w14:paraId="06657E8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66.7%</w:t>
            </w:r>
          </w:p>
        </w:tc>
        <w:tc>
          <w:tcPr>
            <w:tcW w:w="1134" w:type="dxa"/>
            <w:shd w:val="clear" w:color="auto" w:fill="FFD24C"/>
            <w:vAlign w:val="center"/>
          </w:tcPr>
          <w:p w14:paraId="7EB339C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Moderate</w:t>
            </w:r>
          </w:p>
        </w:tc>
      </w:tr>
      <w:tr w:rsidR="003D57E1" w:rsidRPr="003D57E1" w14:paraId="307AE5BF" w14:textId="77777777" w:rsidTr="003D57E1">
        <w:trPr>
          <w:jc w:val="center"/>
        </w:trPr>
        <w:tc>
          <w:tcPr>
            <w:tcW w:w="454" w:type="dxa"/>
            <w:vAlign w:val="center"/>
          </w:tcPr>
          <w:p w14:paraId="2EE4F165"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lastRenderedPageBreak/>
              <w:t>46</w:t>
            </w:r>
          </w:p>
        </w:tc>
        <w:tc>
          <w:tcPr>
            <w:tcW w:w="2093" w:type="dxa"/>
            <w:vAlign w:val="center"/>
          </w:tcPr>
          <w:p w14:paraId="200D7E12"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Möller et al. (2022)</w:t>
            </w:r>
          </w:p>
        </w:tc>
        <w:tc>
          <w:tcPr>
            <w:tcW w:w="1119" w:type="dxa"/>
            <w:vAlign w:val="center"/>
          </w:tcPr>
          <w:p w14:paraId="40AA2BD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Sweden</w:t>
            </w:r>
          </w:p>
        </w:tc>
        <w:tc>
          <w:tcPr>
            <w:tcW w:w="652" w:type="dxa"/>
            <w:shd w:val="clear" w:color="auto" w:fill="5CB85C"/>
            <w:vAlign w:val="center"/>
          </w:tcPr>
          <w:p w14:paraId="5B61A76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C5F3C3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C96974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8362B3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1251EF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821F43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9A215C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A2A578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56D710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6296B55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100.0%</w:t>
            </w:r>
          </w:p>
        </w:tc>
        <w:tc>
          <w:tcPr>
            <w:tcW w:w="1134" w:type="dxa"/>
            <w:shd w:val="clear" w:color="auto" w:fill="5CB85C"/>
            <w:vAlign w:val="center"/>
          </w:tcPr>
          <w:p w14:paraId="4AB8D97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2D49CA9D" w14:textId="77777777" w:rsidTr="003D57E1">
        <w:trPr>
          <w:jc w:val="center"/>
        </w:trPr>
        <w:tc>
          <w:tcPr>
            <w:tcW w:w="454" w:type="dxa"/>
            <w:vAlign w:val="center"/>
          </w:tcPr>
          <w:p w14:paraId="75CCA979"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47</w:t>
            </w:r>
          </w:p>
        </w:tc>
        <w:tc>
          <w:tcPr>
            <w:tcW w:w="2093" w:type="dxa"/>
            <w:vAlign w:val="center"/>
          </w:tcPr>
          <w:p w14:paraId="478E8609" w14:textId="77777777" w:rsidR="003D57E1" w:rsidRPr="003D57E1" w:rsidRDefault="003D57E1" w:rsidP="003D57E1">
            <w:pPr>
              <w:rPr>
                <w:rFonts w:ascii="Calibri" w:hAnsi="Calibri" w:cs="Times New Roman"/>
                <w:sz w:val="16"/>
                <w:szCs w:val="20"/>
              </w:rPr>
            </w:pPr>
            <w:proofErr w:type="spellStart"/>
            <w:r w:rsidRPr="003D57E1">
              <w:rPr>
                <w:rFonts w:ascii="Calibri" w:hAnsi="Calibri" w:cs="Times New Roman"/>
                <w:sz w:val="16"/>
                <w:szCs w:val="20"/>
              </w:rPr>
              <w:t>Katipoglu</w:t>
            </w:r>
            <w:proofErr w:type="spellEnd"/>
            <w:r w:rsidRPr="003D57E1">
              <w:rPr>
                <w:rFonts w:ascii="Calibri" w:hAnsi="Calibri" w:cs="Times New Roman"/>
                <w:sz w:val="16"/>
                <w:szCs w:val="20"/>
              </w:rPr>
              <w:t xml:space="preserve"> et al. (2025)</w:t>
            </w:r>
          </w:p>
        </w:tc>
        <w:tc>
          <w:tcPr>
            <w:tcW w:w="1119" w:type="dxa"/>
            <w:vAlign w:val="center"/>
          </w:tcPr>
          <w:p w14:paraId="41B8E38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Türkiye</w:t>
            </w:r>
          </w:p>
        </w:tc>
        <w:tc>
          <w:tcPr>
            <w:tcW w:w="652" w:type="dxa"/>
            <w:shd w:val="clear" w:color="auto" w:fill="5CB85C"/>
            <w:vAlign w:val="center"/>
          </w:tcPr>
          <w:p w14:paraId="6CFCBCB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6E0345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24587B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074263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2EBB2D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738191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E28BD9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BFEF38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ED20E9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1B866A5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100.0%</w:t>
            </w:r>
          </w:p>
        </w:tc>
        <w:tc>
          <w:tcPr>
            <w:tcW w:w="1134" w:type="dxa"/>
            <w:shd w:val="clear" w:color="auto" w:fill="5CB85C"/>
            <w:vAlign w:val="center"/>
          </w:tcPr>
          <w:p w14:paraId="0EAA108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7F508816" w14:textId="77777777" w:rsidTr="003D57E1">
        <w:trPr>
          <w:jc w:val="center"/>
        </w:trPr>
        <w:tc>
          <w:tcPr>
            <w:tcW w:w="454" w:type="dxa"/>
            <w:vAlign w:val="center"/>
          </w:tcPr>
          <w:p w14:paraId="02EEB744"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48</w:t>
            </w:r>
          </w:p>
        </w:tc>
        <w:tc>
          <w:tcPr>
            <w:tcW w:w="2093" w:type="dxa"/>
            <w:vAlign w:val="center"/>
          </w:tcPr>
          <w:p w14:paraId="1AF95118"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Anzaldi et al. (2017)</w:t>
            </w:r>
          </w:p>
        </w:tc>
        <w:tc>
          <w:tcPr>
            <w:tcW w:w="1119" w:type="dxa"/>
            <w:vAlign w:val="center"/>
          </w:tcPr>
          <w:p w14:paraId="69A8D1B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USA</w:t>
            </w:r>
          </w:p>
        </w:tc>
        <w:tc>
          <w:tcPr>
            <w:tcW w:w="652" w:type="dxa"/>
            <w:shd w:val="clear" w:color="auto" w:fill="5CB85C"/>
            <w:vAlign w:val="center"/>
          </w:tcPr>
          <w:p w14:paraId="0C81918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1B999A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849585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0CDE66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60DDCF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CE36CE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BD61DC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041542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546357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217E9D4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100.0%</w:t>
            </w:r>
          </w:p>
        </w:tc>
        <w:tc>
          <w:tcPr>
            <w:tcW w:w="1134" w:type="dxa"/>
            <w:shd w:val="clear" w:color="auto" w:fill="5CB85C"/>
            <w:vAlign w:val="center"/>
          </w:tcPr>
          <w:p w14:paraId="1165894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775D98F7" w14:textId="77777777" w:rsidTr="003D57E1">
        <w:trPr>
          <w:jc w:val="center"/>
        </w:trPr>
        <w:tc>
          <w:tcPr>
            <w:tcW w:w="454" w:type="dxa"/>
            <w:vAlign w:val="center"/>
          </w:tcPr>
          <w:p w14:paraId="4F81BAA3"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49</w:t>
            </w:r>
          </w:p>
        </w:tc>
        <w:tc>
          <w:tcPr>
            <w:tcW w:w="2093" w:type="dxa"/>
            <w:vAlign w:val="center"/>
          </w:tcPr>
          <w:p w14:paraId="3EE1E8CA"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Piotrowicz et al. (2016)</w:t>
            </w:r>
          </w:p>
        </w:tc>
        <w:tc>
          <w:tcPr>
            <w:tcW w:w="1119" w:type="dxa"/>
            <w:vAlign w:val="center"/>
          </w:tcPr>
          <w:p w14:paraId="7BAC649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Poland</w:t>
            </w:r>
          </w:p>
        </w:tc>
        <w:tc>
          <w:tcPr>
            <w:tcW w:w="652" w:type="dxa"/>
            <w:shd w:val="clear" w:color="auto" w:fill="5CB85C"/>
            <w:vAlign w:val="center"/>
          </w:tcPr>
          <w:p w14:paraId="1F9C2BE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54D338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DBEB07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7857B3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6D48B4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2EEFEC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5B0DAA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CC21C8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DCC4BD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018756A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100.0%</w:t>
            </w:r>
          </w:p>
        </w:tc>
        <w:tc>
          <w:tcPr>
            <w:tcW w:w="1134" w:type="dxa"/>
            <w:shd w:val="clear" w:color="auto" w:fill="5CB85C"/>
            <w:vAlign w:val="center"/>
          </w:tcPr>
          <w:p w14:paraId="4014C1D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12D40EB3" w14:textId="77777777" w:rsidTr="003D57E1">
        <w:trPr>
          <w:jc w:val="center"/>
        </w:trPr>
        <w:tc>
          <w:tcPr>
            <w:tcW w:w="454" w:type="dxa"/>
            <w:vAlign w:val="center"/>
          </w:tcPr>
          <w:p w14:paraId="5CC2400D"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50</w:t>
            </w:r>
          </w:p>
        </w:tc>
        <w:tc>
          <w:tcPr>
            <w:tcW w:w="2093" w:type="dxa"/>
            <w:vAlign w:val="center"/>
          </w:tcPr>
          <w:p w14:paraId="23202A89"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Kim et al. (2011)</w:t>
            </w:r>
          </w:p>
        </w:tc>
        <w:tc>
          <w:tcPr>
            <w:tcW w:w="1119" w:type="dxa"/>
            <w:vAlign w:val="center"/>
          </w:tcPr>
          <w:p w14:paraId="240C8E4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Japan</w:t>
            </w:r>
          </w:p>
        </w:tc>
        <w:tc>
          <w:tcPr>
            <w:tcW w:w="652" w:type="dxa"/>
            <w:shd w:val="clear" w:color="auto" w:fill="5CB85C"/>
            <w:vAlign w:val="center"/>
          </w:tcPr>
          <w:p w14:paraId="10BA2E3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18B4B8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7DD03D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4E9E0E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3B65801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3FEFD67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F033A1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69D9752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652" w:type="dxa"/>
            <w:shd w:val="clear" w:color="auto" w:fill="5CB85C"/>
            <w:vAlign w:val="center"/>
          </w:tcPr>
          <w:p w14:paraId="5670348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299B22D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77.8%</w:t>
            </w:r>
          </w:p>
        </w:tc>
        <w:tc>
          <w:tcPr>
            <w:tcW w:w="1134" w:type="dxa"/>
            <w:shd w:val="clear" w:color="auto" w:fill="5CB85C"/>
            <w:vAlign w:val="center"/>
          </w:tcPr>
          <w:p w14:paraId="3F93594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02F47FD2" w14:textId="77777777" w:rsidTr="003D57E1">
        <w:trPr>
          <w:jc w:val="center"/>
        </w:trPr>
        <w:tc>
          <w:tcPr>
            <w:tcW w:w="454" w:type="dxa"/>
            <w:vAlign w:val="center"/>
          </w:tcPr>
          <w:p w14:paraId="6C4494B5"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51</w:t>
            </w:r>
          </w:p>
        </w:tc>
        <w:tc>
          <w:tcPr>
            <w:tcW w:w="2093" w:type="dxa"/>
            <w:vAlign w:val="center"/>
          </w:tcPr>
          <w:p w14:paraId="1E09DFFD"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Yang et al. (2015)</w:t>
            </w:r>
          </w:p>
        </w:tc>
        <w:tc>
          <w:tcPr>
            <w:tcW w:w="1119" w:type="dxa"/>
            <w:vAlign w:val="center"/>
          </w:tcPr>
          <w:p w14:paraId="7BE2A6A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Taiwan</w:t>
            </w:r>
          </w:p>
        </w:tc>
        <w:tc>
          <w:tcPr>
            <w:tcW w:w="652" w:type="dxa"/>
            <w:shd w:val="clear" w:color="auto" w:fill="5CB85C"/>
            <w:vAlign w:val="center"/>
          </w:tcPr>
          <w:p w14:paraId="41213CC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325509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990C64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214934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A63B93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EC4DDA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1773CE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46678A4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0D31DB3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4CB43AC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88.9%</w:t>
            </w:r>
          </w:p>
        </w:tc>
        <w:tc>
          <w:tcPr>
            <w:tcW w:w="1134" w:type="dxa"/>
            <w:shd w:val="clear" w:color="auto" w:fill="5CB85C"/>
            <w:vAlign w:val="center"/>
          </w:tcPr>
          <w:p w14:paraId="3940B88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6B30DFE4" w14:textId="77777777" w:rsidTr="003D57E1">
        <w:trPr>
          <w:jc w:val="center"/>
        </w:trPr>
        <w:tc>
          <w:tcPr>
            <w:tcW w:w="454" w:type="dxa"/>
            <w:vAlign w:val="center"/>
          </w:tcPr>
          <w:p w14:paraId="78D84E2A"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52</w:t>
            </w:r>
          </w:p>
        </w:tc>
        <w:tc>
          <w:tcPr>
            <w:tcW w:w="2093" w:type="dxa"/>
            <w:vAlign w:val="center"/>
          </w:tcPr>
          <w:p w14:paraId="1D3B87EA"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Doležalová et al. (2021)</w:t>
            </w:r>
          </w:p>
        </w:tc>
        <w:tc>
          <w:tcPr>
            <w:tcW w:w="1119" w:type="dxa"/>
            <w:vAlign w:val="center"/>
          </w:tcPr>
          <w:p w14:paraId="0FD9E0B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Czech Republic</w:t>
            </w:r>
          </w:p>
        </w:tc>
        <w:tc>
          <w:tcPr>
            <w:tcW w:w="652" w:type="dxa"/>
            <w:shd w:val="clear" w:color="auto" w:fill="5CB85C"/>
            <w:vAlign w:val="center"/>
          </w:tcPr>
          <w:p w14:paraId="348EBBF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2CE241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94B37A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5A315C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C88374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0BDAEE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7EAD2E4"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36A956E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1977F99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2AAE101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88.9%</w:t>
            </w:r>
          </w:p>
        </w:tc>
        <w:tc>
          <w:tcPr>
            <w:tcW w:w="1134" w:type="dxa"/>
            <w:shd w:val="clear" w:color="auto" w:fill="5CB85C"/>
            <w:vAlign w:val="center"/>
          </w:tcPr>
          <w:p w14:paraId="72ACD33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3960679A" w14:textId="77777777" w:rsidTr="003D57E1">
        <w:trPr>
          <w:jc w:val="center"/>
        </w:trPr>
        <w:tc>
          <w:tcPr>
            <w:tcW w:w="454" w:type="dxa"/>
            <w:vAlign w:val="center"/>
          </w:tcPr>
          <w:p w14:paraId="4D0A1D19"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53</w:t>
            </w:r>
          </w:p>
        </w:tc>
        <w:tc>
          <w:tcPr>
            <w:tcW w:w="2093" w:type="dxa"/>
            <w:vAlign w:val="center"/>
          </w:tcPr>
          <w:p w14:paraId="180B17E2"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Tshitenge et al. (2024)</w:t>
            </w:r>
          </w:p>
        </w:tc>
        <w:tc>
          <w:tcPr>
            <w:tcW w:w="1119" w:type="dxa"/>
            <w:vAlign w:val="center"/>
          </w:tcPr>
          <w:p w14:paraId="7C9FFDB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Botswana</w:t>
            </w:r>
          </w:p>
        </w:tc>
        <w:tc>
          <w:tcPr>
            <w:tcW w:w="652" w:type="dxa"/>
            <w:shd w:val="clear" w:color="auto" w:fill="5CB85C"/>
            <w:vAlign w:val="center"/>
          </w:tcPr>
          <w:p w14:paraId="20D5FDD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C774A1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76318C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FBB10E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5684D3C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40BE1D7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87C33D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2FDDBD5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68B64EB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34F753B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77.8%</w:t>
            </w:r>
          </w:p>
        </w:tc>
        <w:tc>
          <w:tcPr>
            <w:tcW w:w="1134" w:type="dxa"/>
            <w:shd w:val="clear" w:color="auto" w:fill="5CB85C"/>
            <w:vAlign w:val="center"/>
          </w:tcPr>
          <w:p w14:paraId="0F548AE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49E5E874" w14:textId="77777777" w:rsidTr="003D57E1">
        <w:trPr>
          <w:jc w:val="center"/>
        </w:trPr>
        <w:tc>
          <w:tcPr>
            <w:tcW w:w="454" w:type="dxa"/>
            <w:vAlign w:val="center"/>
          </w:tcPr>
          <w:p w14:paraId="42734993"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54</w:t>
            </w:r>
          </w:p>
        </w:tc>
        <w:tc>
          <w:tcPr>
            <w:tcW w:w="2093" w:type="dxa"/>
            <w:vAlign w:val="center"/>
          </w:tcPr>
          <w:p w14:paraId="5BDA62F1" w14:textId="77777777" w:rsidR="003D57E1" w:rsidRPr="003D57E1" w:rsidRDefault="003D57E1" w:rsidP="003D57E1">
            <w:pPr>
              <w:rPr>
                <w:rFonts w:ascii="Calibri" w:hAnsi="Calibri" w:cs="Times New Roman"/>
                <w:sz w:val="16"/>
                <w:szCs w:val="20"/>
              </w:rPr>
            </w:pPr>
            <w:proofErr w:type="spellStart"/>
            <w:r w:rsidRPr="003D57E1">
              <w:rPr>
                <w:rFonts w:ascii="Calibri" w:hAnsi="Calibri" w:cs="Times New Roman"/>
                <w:sz w:val="16"/>
                <w:szCs w:val="20"/>
              </w:rPr>
              <w:t>Schönenberg</w:t>
            </w:r>
            <w:proofErr w:type="spellEnd"/>
            <w:r w:rsidRPr="003D57E1">
              <w:rPr>
                <w:rFonts w:ascii="Calibri" w:hAnsi="Calibri" w:cs="Times New Roman"/>
                <w:sz w:val="16"/>
                <w:szCs w:val="20"/>
              </w:rPr>
              <w:t xml:space="preserve"> et al. (2025)</w:t>
            </w:r>
          </w:p>
        </w:tc>
        <w:tc>
          <w:tcPr>
            <w:tcW w:w="1119" w:type="dxa"/>
            <w:vAlign w:val="center"/>
          </w:tcPr>
          <w:p w14:paraId="6412AFE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Germany</w:t>
            </w:r>
          </w:p>
        </w:tc>
        <w:tc>
          <w:tcPr>
            <w:tcW w:w="652" w:type="dxa"/>
            <w:shd w:val="clear" w:color="auto" w:fill="5CB85C"/>
            <w:vAlign w:val="center"/>
          </w:tcPr>
          <w:p w14:paraId="3BF2665D"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D4DE1E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FDFB51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432A486"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75DE5D8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6EB5F9D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63FE25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6BD9EC1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2243A7D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188BC46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77.8%</w:t>
            </w:r>
          </w:p>
        </w:tc>
        <w:tc>
          <w:tcPr>
            <w:tcW w:w="1134" w:type="dxa"/>
            <w:shd w:val="clear" w:color="auto" w:fill="5CB85C"/>
            <w:vAlign w:val="center"/>
          </w:tcPr>
          <w:p w14:paraId="44FA1AE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73111BF0" w14:textId="77777777" w:rsidTr="003D57E1">
        <w:trPr>
          <w:jc w:val="center"/>
        </w:trPr>
        <w:tc>
          <w:tcPr>
            <w:tcW w:w="454" w:type="dxa"/>
            <w:vAlign w:val="center"/>
          </w:tcPr>
          <w:p w14:paraId="14138542"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55</w:t>
            </w:r>
          </w:p>
        </w:tc>
        <w:tc>
          <w:tcPr>
            <w:tcW w:w="2093" w:type="dxa"/>
            <w:vAlign w:val="center"/>
          </w:tcPr>
          <w:p w14:paraId="4BEBE3A8"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 xml:space="preserve">van </w:t>
            </w:r>
            <w:proofErr w:type="spellStart"/>
            <w:r w:rsidRPr="003D57E1">
              <w:rPr>
                <w:rFonts w:ascii="Calibri" w:hAnsi="Calibri" w:cs="Times New Roman"/>
                <w:sz w:val="16"/>
                <w:szCs w:val="20"/>
              </w:rPr>
              <w:t>Seben</w:t>
            </w:r>
            <w:proofErr w:type="spellEnd"/>
            <w:r w:rsidRPr="003D57E1">
              <w:rPr>
                <w:rFonts w:ascii="Calibri" w:hAnsi="Calibri" w:cs="Times New Roman"/>
                <w:sz w:val="16"/>
                <w:szCs w:val="20"/>
              </w:rPr>
              <w:t xml:space="preserve"> et al. (2019)</w:t>
            </w:r>
          </w:p>
        </w:tc>
        <w:tc>
          <w:tcPr>
            <w:tcW w:w="1119" w:type="dxa"/>
            <w:vAlign w:val="center"/>
          </w:tcPr>
          <w:p w14:paraId="3389841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Netherlands</w:t>
            </w:r>
          </w:p>
        </w:tc>
        <w:tc>
          <w:tcPr>
            <w:tcW w:w="652" w:type="dxa"/>
            <w:shd w:val="clear" w:color="auto" w:fill="5CB85C"/>
            <w:vAlign w:val="center"/>
          </w:tcPr>
          <w:p w14:paraId="3D9D3AF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3EB58E3"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6BDE9CA"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EBE9E6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1CEF1B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6B1ACFD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EA4625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035C96F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FFD24C"/>
            <w:vAlign w:val="center"/>
          </w:tcPr>
          <w:p w14:paraId="12185DF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U</w:t>
            </w:r>
          </w:p>
        </w:tc>
        <w:tc>
          <w:tcPr>
            <w:tcW w:w="746" w:type="dxa"/>
            <w:vAlign w:val="center"/>
          </w:tcPr>
          <w:p w14:paraId="4BD9BD9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88.9%</w:t>
            </w:r>
          </w:p>
        </w:tc>
        <w:tc>
          <w:tcPr>
            <w:tcW w:w="1134" w:type="dxa"/>
            <w:shd w:val="clear" w:color="auto" w:fill="5CB85C"/>
            <w:vAlign w:val="center"/>
          </w:tcPr>
          <w:p w14:paraId="7B4A790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77B34E22" w14:textId="77777777" w:rsidTr="003D57E1">
        <w:trPr>
          <w:jc w:val="center"/>
        </w:trPr>
        <w:tc>
          <w:tcPr>
            <w:tcW w:w="454" w:type="dxa"/>
            <w:vAlign w:val="center"/>
          </w:tcPr>
          <w:p w14:paraId="7269BAB3"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56</w:t>
            </w:r>
          </w:p>
        </w:tc>
        <w:tc>
          <w:tcPr>
            <w:tcW w:w="2093" w:type="dxa"/>
            <w:vAlign w:val="center"/>
          </w:tcPr>
          <w:p w14:paraId="5D2C5040"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Lee et al. (2023)</w:t>
            </w:r>
          </w:p>
        </w:tc>
        <w:tc>
          <w:tcPr>
            <w:tcW w:w="1119" w:type="dxa"/>
            <w:vAlign w:val="center"/>
          </w:tcPr>
          <w:p w14:paraId="080F7E6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Taiwan</w:t>
            </w:r>
          </w:p>
        </w:tc>
        <w:tc>
          <w:tcPr>
            <w:tcW w:w="652" w:type="dxa"/>
            <w:shd w:val="clear" w:color="auto" w:fill="5CB85C"/>
            <w:vAlign w:val="center"/>
          </w:tcPr>
          <w:p w14:paraId="5570A5A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D90FED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1E8E71C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59AEAA3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1CC3F2A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24414DE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8578C0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E8543E"/>
            <w:vAlign w:val="center"/>
          </w:tcPr>
          <w:p w14:paraId="51A50B2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N</w:t>
            </w:r>
          </w:p>
        </w:tc>
        <w:tc>
          <w:tcPr>
            <w:tcW w:w="652" w:type="dxa"/>
            <w:shd w:val="clear" w:color="auto" w:fill="5CB85C"/>
            <w:vAlign w:val="center"/>
          </w:tcPr>
          <w:p w14:paraId="43AA43D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75FA6DE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77.8%</w:t>
            </w:r>
          </w:p>
        </w:tc>
        <w:tc>
          <w:tcPr>
            <w:tcW w:w="1134" w:type="dxa"/>
            <w:shd w:val="clear" w:color="auto" w:fill="5CB85C"/>
            <w:vAlign w:val="center"/>
          </w:tcPr>
          <w:p w14:paraId="2357BB2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r w:rsidR="003D57E1" w:rsidRPr="003D57E1" w14:paraId="0867E848" w14:textId="77777777" w:rsidTr="003D57E1">
        <w:trPr>
          <w:jc w:val="center"/>
        </w:trPr>
        <w:tc>
          <w:tcPr>
            <w:tcW w:w="454" w:type="dxa"/>
            <w:vAlign w:val="center"/>
          </w:tcPr>
          <w:p w14:paraId="34C96A6F" w14:textId="77777777" w:rsidR="003D57E1" w:rsidRPr="003D57E1" w:rsidRDefault="003D57E1" w:rsidP="003D57E1">
            <w:pPr>
              <w:jc w:val="center"/>
              <w:rPr>
                <w:rFonts w:ascii="Calibri" w:hAnsi="Calibri" w:cs="Times New Roman"/>
                <w:sz w:val="18"/>
              </w:rPr>
            </w:pPr>
            <w:r w:rsidRPr="003D57E1">
              <w:rPr>
                <w:rFonts w:ascii="Calibri" w:hAnsi="Calibri" w:cs="Times New Roman"/>
                <w:sz w:val="18"/>
              </w:rPr>
              <w:t>57</w:t>
            </w:r>
          </w:p>
        </w:tc>
        <w:tc>
          <w:tcPr>
            <w:tcW w:w="2093" w:type="dxa"/>
            <w:vAlign w:val="center"/>
          </w:tcPr>
          <w:p w14:paraId="2E04F65F" w14:textId="77777777" w:rsidR="003D57E1" w:rsidRPr="003D57E1" w:rsidRDefault="003D57E1" w:rsidP="003D57E1">
            <w:pPr>
              <w:rPr>
                <w:rFonts w:ascii="Calibri" w:hAnsi="Calibri" w:cs="Times New Roman"/>
                <w:sz w:val="16"/>
                <w:szCs w:val="20"/>
              </w:rPr>
            </w:pPr>
            <w:r w:rsidRPr="003D57E1">
              <w:rPr>
                <w:rFonts w:ascii="Calibri" w:hAnsi="Calibri" w:cs="Times New Roman"/>
                <w:sz w:val="16"/>
                <w:szCs w:val="20"/>
              </w:rPr>
              <w:t>Christos et al. (2023)</w:t>
            </w:r>
          </w:p>
        </w:tc>
        <w:tc>
          <w:tcPr>
            <w:tcW w:w="1119" w:type="dxa"/>
            <w:vAlign w:val="center"/>
          </w:tcPr>
          <w:p w14:paraId="0F6C7062"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Greece</w:t>
            </w:r>
          </w:p>
        </w:tc>
        <w:tc>
          <w:tcPr>
            <w:tcW w:w="652" w:type="dxa"/>
            <w:shd w:val="clear" w:color="auto" w:fill="5CB85C"/>
            <w:vAlign w:val="center"/>
          </w:tcPr>
          <w:p w14:paraId="4E20193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0746D55"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4D93369C"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3A2EB9F"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3C35EA49"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B69BCD8"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227EB1DE"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17A4DD0"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652" w:type="dxa"/>
            <w:shd w:val="clear" w:color="auto" w:fill="5CB85C"/>
            <w:vAlign w:val="center"/>
          </w:tcPr>
          <w:p w14:paraId="7C081F4B"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Y</w:t>
            </w:r>
          </w:p>
        </w:tc>
        <w:tc>
          <w:tcPr>
            <w:tcW w:w="746" w:type="dxa"/>
            <w:vAlign w:val="center"/>
          </w:tcPr>
          <w:p w14:paraId="5EA56E77"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sz w:val="16"/>
                <w:szCs w:val="20"/>
              </w:rPr>
              <w:t>100.0%</w:t>
            </w:r>
          </w:p>
        </w:tc>
        <w:tc>
          <w:tcPr>
            <w:tcW w:w="1134" w:type="dxa"/>
            <w:shd w:val="clear" w:color="auto" w:fill="5CB85C"/>
            <w:vAlign w:val="center"/>
          </w:tcPr>
          <w:p w14:paraId="0B8BAC91" w14:textId="77777777" w:rsidR="003D57E1" w:rsidRPr="003D57E1" w:rsidRDefault="003D57E1" w:rsidP="003D57E1">
            <w:pPr>
              <w:jc w:val="center"/>
              <w:rPr>
                <w:rFonts w:ascii="Calibri" w:hAnsi="Calibri" w:cs="Times New Roman"/>
                <w:sz w:val="16"/>
                <w:szCs w:val="20"/>
              </w:rPr>
            </w:pPr>
            <w:r w:rsidRPr="003D57E1">
              <w:rPr>
                <w:rFonts w:ascii="Calibri" w:hAnsi="Calibri" w:cs="Times New Roman"/>
                <w:b/>
                <w:color w:val="1A1A1A"/>
                <w:sz w:val="16"/>
                <w:szCs w:val="20"/>
              </w:rPr>
              <w:t>Good</w:t>
            </w:r>
          </w:p>
        </w:tc>
      </w:tr>
    </w:tbl>
    <w:p w14:paraId="38E30D32" w14:textId="6C1BC4C2" w:rsidR="00036FBF" w:rsidRDefault="00694786" w:rsidP="00AD2352">
      <w:pPr>
        <w:rPr>
          <w:rFonts w:ascii="Times New Roman" w:hAnsi="Times New Roman" w:cs="Times New Roman"/>
          <w:sz w:val="16"/>
          <w:szCs w:val="16"/>
          <w:lang w:eastAsia="en-IN"/>
        </w:rPr>
      </w:pPr>
      <w:r w:rsidRPr="0063268C">
        <w:rPr>
          <w:rFonts w:ascii="Times New Roman" w:hAnsi="Times New Roman" w:cs="Times New Roman"/>
          <w:sz w:val="16"/>
          <w:szCs w:val="16"/>
          <w:lang w:eastAsia="en-IN"/>
        </w:rPr>
        <w:t xml:space="preserve">Note: Risk of bias was assessed using the JBI Critical Appraisal Checklist for Prevalence Studies. Each item was rated Y (Yes, criterion met), U (Unclear), or N (No, not met), shown in green, yellow, and red, respectively. </w:t>
      </w:r>
      <w:r w:rsidR="00584508">
        <w:rPr>
          <w:rFonts w:ascii="Times New Roman" w:hAnsi="Times New Roman" w:cs="Times New Roman"/>
          <w:sz w:val="16"/>
          <w:szCs w:val="16"/>
          <w:lang w:eastAsia="en-IN"/>
        </w:rPr>
        <w:t>D</w:t>
      </w:r>
      <w:r w:rsidRPr="0063268C">
        <w:rPr>
          <w:rFonts w:ascii="Times New Roman" w:hAnsi="Times New Roman" w:cs="Times New Roman"/>
          <w:sz w:val="16"/>
          <w:szCs w:val="16"/>
          <w:lang w:eastAsia="en-IN"/>
        </w:rPr>
        <w:t>1–</w:t>
      </w:r>
      <w:r w:rsidR="00584508">
        <w:rPr>
          <w:rFonts w:ascii="Times New Roman" w:hAnsi="Times New Roman" w:cs="Times New Roman"/>
          <w:sz w:val="16"/>
          <w:szCs w:val="16"/>
          <w:lang w:eastAsia="en-IN"/>
        </w:rPr>
        <w:t>D</w:t>
      </w:r>
      <w:r w:rsidRPr="0063268C">
        <w:rPr>
          <w:rFonts w:ascii="Times New Roman" w:hAnsi="Times New Roman" w:cs="Times New Roman"/>
          <w:sz w:val="16"/>
          <w:szCs w:val="16"/>
          <w:lang w:eastAsia="en-IN"/>
        </w:rPr>
        <w:t>9 correspond to: sample frame appropriate to the target population (</w:t>
      </w:r>
      <w:r w:rsidR="00584508">
        <w:rPr>
          <w:rFonts w:ascii="Times New Roman" w:hAnsi="Times New Roman" w:cs="Times New Roman"/>
          <w:sz w:val="16"/>
          <w:szCs w:val="16"/>
          <w:lang w:eastAsia="en-IN"/>
        </w:rPr>
        <w:t>D</w:t>
      </w:r>
      <w:r w:rsidRPr="0063268C">
        <w:rPr>
          <w:rFonts w:ascii="Times New Roman" w:hAnsi="Times New Roman" w:cs="Times New Roman"/>
          <w:sz w:val="16"/>
          <w:szCs w:val="16"/>
          <w:lang w:eastAsia="en-IN"/>
        </w:rPr>
        <w:t>1); appropriate sampling of participants (</w:t>
      </w:r>
      <w:r w:rsidR="00584508">
        <w:rPr>
          <w:rFonts w:ascii="Times New Roman" w:hAnsi="Times New Roman" w:cs="Times New Roman"/>
          <w:sz w:val="16"/>
          <w:szCs w:val="16"/>
          <w:lang w:eastAsia="en-IN"/>
        </w:rPr>
        <w:t>D</w:t>
      </w:r>
      <w:r w:rsidRPr="0063268C">
        <w:rPr>
          <w:rFonts w:ascii="Times New Roman" w:hAnsi="Times New Roman" w:cs="Times New Roman"/>
          <w:sz w:val="16"/>
          <w:szCs w:val="16"/>
          <w:lang w:eastAsia="en-IN"/>
        </w:rPr>
        <w:t>2); adequate sample size (</w:t>
      </w:r>
      <w:r w:rsidR="00584508">
        <w:rPr>
          <w:rFonts w:ascii="Times New Roman" w:hAnsi="Times New Roman" w:cs="Times New Roman"/>
          <w:sz w:val="16"/>
          <w:szCs w:val="16"/>
          <w:lang w:eastAsia="en-IN"/>
        </w:rPr>
        <w:t>D</w:t>
      </w:r>
      <w:r w:rsidRPr="0063268C">
        <w:rPr>
          <w:rFonts w:ascii="Times New Roman" w:hAnsi="Times New Roman" w:cs="Times New Roman"/>
          <w:sz w:val="16"/>
          <w:szCs w:val="16"/>
          <w:lang w:eastAsia="en-IN"/>
        </w:rPr>
        <w:t>3); detailed description of study subjects and setting (</w:t>
      </w:r>
      <w:r w:rsidR="00584508">
        <w:rPr>
          <w:rFonts w:ascii="Times New Roman" w:hAnsi="Times New Roman" w:cs="Times New Roman"/>
          <w:sz w:val="16"/>
          <w:szCs w:val="16"/>
          <w:lang w:eastAsia="en-IN"/>
        </w:rPr>
        <w:t>D</w:t>
      </w:r>
      <w:r w:rsidRPr="0063268C">
        <w:rPr>
          <w:rFonts w:ascii="Times New Roman" w:hAnsi="Times New Roman" w:cs="Times New Roman"/>
          <w:sz w:val="16"/>
          <w:szCs w:val="16"/>
          <w:lang w:eastAsia="en-IN"/>
        </w:rPr>
        <w:t>4); sufficient coverage of the identified sample in the analysis (</w:t>
      </w:r>
      <w:r w:rsidR="00584508">
        <w:rPr>
          <w:rFonts w:ascii="Times New Roman" w:hAnsi="Times New Roman" w:cs="Times New Roman"/>
          <w:sz w:val="16"/>
          <w:szCs w:val="16"/>
          <w:lang w:eastAsia="en-IN"/>
        </w:rPr>
        <w:t>D</w:t>
      </w:r>
      <w:r w:rsidRPr="0063268C">
        <w:rPr>
          <w:rFonts w:ascii="Times New Roman" w:hAnsi="Times New Roman" w:cs="Times New Roman"/>
          <w:sz w:val="16"/>
          <w:szCs w:val="16"/>
          <w:lang w:eastAsia="en-IN"/>
        </w:rPr>
        <w:t>5); valid methods for identifying the condition (</w:t>
      </w:r>
      <w:r w:rsidR="00584508">
        <w:rPr>
          <w:rFonts w:ascii="Times New Roman" w:hAnsi="Times New Roman" w:cs="Times New Roman"/>
          <w:sz w:val="16"/>
          <w:szCs w:val="16"/>
          <w:lang w:eastAsia="en-IN"/>
        </w:rPr>
        <w:t>D</w:t>
      </w:r>
      <w:r w:rsidRPr="0063268C">
        <w:rPr>
          <w:rFonts w:ascii="Times New Roman" w:hAnsi="Times New Roman" w:cs="Times New Roman"/>
          <w:sz w:val="16"/>
          <w:szCs w:val="16"/>
          <w:lang w:eastAsia="en-IN"/>
        </w:rPr>
        <w:t>6); standard, reliable measurement across all participants (</w:t>
      </w:r>
      <w:r w:rsidR="00584508">
        <w:rPr>
          <w:rFonts w:ascii="Times New Roman" w:hAnsi="Times New Roman" w:cs="Times New Roman"/>
          <w:sz w:val="16"/>
          <w:szCs w:val="16"/>
          <w:lang w:eastAsia="en-IN"/>
        </w:rPr>
        <w:t>D</w:t>
      </w:r>
      <w:r w:rsidRPr="0063268C">
        <w:rPr>
          <w:rFonts w:ascii="Times New Roman" w:hAnsi="Times New Roman" w:cs="Times New Roman"/>
          <w:sz w:val="16"/>
          <w:szCs w:val="16"/>
          <w:lang w:eastAsia="en-IN"/>
        </w:rPr>
        <w:t>7); appropriate statistical analysis (</w:t>
      </w:r>
      <w:r w:rsidR="005E0DB7">
        <w:rPr>
          <w:rFonts w:ascii="Times New Roman" w:hAnsi="Times New Roman" w:cs="Times New Roman"/>
          <w:sz w:val="16"/>
          <w:szCs w:val="16"/>
          <w:lang w:eastAsia="en-IN"/>
        </w:rPr>
        <w:t>D</w:t>
      </w:r>
      <w:r w:rsidRPr="0063268C">
        <w:rPr>
          <w:rFonts w:ascii="Times New Roman" w:hAnsi="Times New Roman" w:cs="Times New Roman"/>
          <w:sz w:val="16"/>
          <w:szCs w:val="16"/>
          <w:lang w:eastAsia="en-IN"/>
        </w:rPr>
        <w:t>8); and adequate response rate or appropriate management of a low response rate (</w:t>
      </w:r>
      <w:r w:rsidR="00584508">
        <w:rPr>
          <w:rFonts w:ascii="Times New Roman" w:hAnsi="Times New Roman" w:cs="Times New Roman"/>
          <w:sz w:val="16"/>
          <w:szCs w:val="16"/>
          <w:lang w:eastAsia="en-IN"/>
        </w:rPr>
        <w:t>D</w:t>
      </w:r>
      <w:r w:rsidRPr="0063268C">
        <w:rPr>
          <w:rFonts w:ascii="Times New Roman" w:hAnsi="Times New Roman" w:cs="Times New Roman"/>
          <w:sz w:val="16"/>
          <w:szCs w:val="16"/>
          <w:lang w:eastAsia="en-IN"/>
        </w:rPr>
        <w:t>9). The score is the percentage of "Yes" responses [(Yes ÷ 9) × 100], with studies rated Good (≥70%), Moderate (50–69%), or Poor (&lt;50%). Overall, 45 studies were rated Good and 12 Moderate, with none at high risk of bias (n = 57)</w:t>
      </w:r>
      <w:r w:rsidR="0063268C">
        <w:rPr>
          <w:rFonts w:ascii="Times New Roman" w:hAnsi="Times New Roman" w:cs="Times New Roman"/>
          <w:sz w:val="16"/>
          <w:szCs w:val="16"/>
          <w:lang w:eastAsia="en-IN"/>
        </w:rPr>
        <w:t>.</w:t>
      </w:r>
      <w:r w:rsidR="00AD2352">
        <w:rPr>
          <w:rFonts w:ascii="Times New Roman" w:hAnsi="Times New Roman" w:cs="Times New Roman"/>
          <w:sz w:val="16"/>
          <w:szCs w:val="16"/>
          <w:lang w:eastAsia="en-IN"/>
        </w:rPr>
        <w:t xml:space="preserve"> </w:t>
      </w:r>
      <w:r w:rsidR="00AD2352" w:rsidRPr="00AD2352">
        <w:rPr>
          <w:rFonts w:ascii="Times New Roman" w:hAnsi="Times New Roman" w:cs="Times New Roman"/>
          <w:sz w:val="16"/>
          <w:szCs w:val="16"/>
          <w:lang w:eastAsia="en-IN"/>
        </w:rPr>
        <w:t>Good → Low risk</w:t>
      </w:r>
      <w:r w:rsidR="00AD2352">
        <w:rPr>
          <w:rFonts w:ascii="Times New Roman" w:hAnsi="Times New Roman" w:cs="Times New Roman"/>
          <w:sz w:val="16"/>
          <w:szCs w:val="16"/>
          <w:lang w:eastAsia="en-IN"/>
        </w:rPr>
        <w:t xml:space="preserve">, </w:t>
      </w:r>
      <w:r w:rsidR="00AD2352" w:rsidRPr="00AD2352">
        <w:rPr>
          <w:rFonts w:ascii="Times New Roman" w:hAnsi="Times New Roman" w:cs="Times New Roman"/>
          <w:sz w:val="16"/>
          <w:szCs w:val="16"/>
          <w:lang w:eastAsia="en-IN"/>
        </w:rPr>
        <w:t>Moderate → Some concerns</w:t>
      </w:r>
      <w:r w:rsidR="00AD2352">
        <w:rPr>
          <w:rFonts w:ascii="Times New Roman" w:hAnsi="Times New Roman" w:cs="Times New Roman"/>
          <w:sz w:val="16"/>
          <w:szCs w:val="16"/>
          <w:lang w:eastAsia="en-IN"/>
        </w:rPr>
        <w:t xml:space="preserve">, </w:t>
      </w:r>
      <w:r w:rsidR="00AD2352" w:rsidRPr="00AD2352">
        <w:rPr>
          <w:rFonts w:ascii="Times New Roman" w:hAnsi="Times New Roman" w:cs="Times New Roman"/>
          <w:sz w:val="16"/>
          <w:szCs w:val="16"/>
          <w:lang w:eastAsia="en-IN"/>
        </w:rPr>
        <w:t>Poor → High risk</w:t>
      </w:r>
    </w:p>
    <w:p w14:paraId="3A2E3FB9" w14:textId="6FEE9C1A" w:rsidR="00036FBF" w:rsidRPr="00036FBF" w:rsidRDefault="00036FBF" w:rsidP="00AD2352">
      <w:pPr>
        <w:rPr>
          <w:b/>
          <w:bCs/>
        </w:rPr>
      </w:pPr>
      <w:r w:rsidRPr="00036FBF">
        <w:rPr>
          <w:b/>
          <w:bCs/>
        </w:rPr>
        <w:t>4. Supplementary Table S</w:t>
      </w:r>
      <w:r>
        <w:rPr>
          <w:b/>
          <w:bCs/>
        </w:rPr>
        <w:t>4</w:t>
      </w:r>
      <w:r w:rsidRPr="00036FBF">
        <w:rPr>
          <w:b/>
          <w:bCs/>
        </w:rPr>
        <w:t xml:space="preserve">. Comparison of the primary </w:t>
      </w:r>
      <w:proofErr w:type="spellStart"/>
      <w:r w:rsidRPr="00036FBF">
        <w:rPr>
          <w:b/>
          <w:bCs/>
        </w:rPr>
        <w:t>DerSimonian</w:t>
      </w:r>
      <w:proofErr w:type="spellEnd"/>
      <w:r w:rsidRPr="00036FBF">
        <w:rPr>
          <w:b/>
          <w:bCs/>
        </w:rPr>
        <w:t>–Laird analysis and the alternative binomial-normal GLMM sensitivity analysis</w:t>
      </w:r>
    </w:p>
    <w:tbl>
      <w:tblPr>
        <w:tblStyle w:val="TableGrid2"/>
        <w:tblW w:w="9493" w:type="dxa"/>
        <w:tblLook w:val="04A0" w:firstRow="1" w:lastRow="0" w:firstColumn="1" w:lastColumn="0" w:noHBand="0" w:noVBand="1"/>
      </w:tblPr>
      <w:tblGrid>
        <w:gridCol w:w="1484"/>
        <w:gridCol w:w="416"/>
        <w:gridCol w:w="866"/>
        <w:gridCol w:w="2048"/>
        <w:gridCol w:w="1371"/>
        <w:gridCol w:w="1607"/>
        <w:gridCol w:w="1701"/>
      </w:tblGrid>
      <w:tr w:rsidR="00036FBF" w:rsidRPr="00036FBF" w14:paraId="301EBE32" w14:textId="77777777" w:rsidTr="00036FBF">
        <w:tc>
          <w:tcPr>
            <w:tcW w:w="0" w:type="auto"/>
            <w:hideMark/>
          </w:tcPr>
          <w:p w14:paraId="1696333D" w14:textId="77777777" w:rsidR="00036FBF" w:rsidRPr="00036FBF" w:rsidRDefault="00036FBF" w:rsidP="00036FBF">
            <w:pPr>
              <w:jc w:val="center"/>
              <w:rPr>
                <w:rFonts w:ascii="Times New Roman" w:eastAsia="Times New Roman" w:hAnsi="Times New Roman" w:cs="Times New Roman"/>
                <w:b/>
                <w:bCs/>
                <w:sz w:val="20"/>
                <w:szCs w:val="20"/>
                <w:lang w:eastAsia="en-IN"/>
              </w:rPr>
            </w:pPr>
            <w:r w:rsidRPr="00036FBF">
              <w:rPr>
                <w:rFonts w:ascii="Times New Roman" w:eastAsia="Times New Roman" w:hAnsi="Times New Roman" w:cs="Times New Roman"/>
                <w:b/>
                <w:bCs/>
                <w:sz w:val="20"/>
                <w:szCs w:val="20"/>
                <w:lang w:eastAsia="en-IN"/>
              </w:rPr>
              <w:t>Geriatric syndrome</w:t>
            </w:r>
          </w:p>
        </w:tc>
        <w:tc>
          <w:tcPr>
            <w:tcW w:w="0" w:type="auto"/>
            <w:hideMark/>
          </w:tcPr>
          <w:p w14:paraId="1B386289" w14:textId="77777777" w:rsidR="00036FBF" w:rsidRPr="00036FBF" w:rsidRDefault="00036FBF" w:rsidP="00036FBF">
            <w:pPr>
              <w:jc w:val="right"/>
              <w:rPr>
                <w:rFonts w:ascii="Times New Roman" w:eastAsia="Times New Roman" w:hAnsi="Times New Roman" w:cs="Times New Roman"/>
                <w:b/>
                <w:bCs/>
                <w:sz w:val="20"/>
                <w:szCs w:val="20"/>
                <w:lang w:eastAsia="en-IN"/>
              </w:rPr>
            </w:pPr>
            <w:r w:rsidRPr="00036FBF">
              <w:rPr>
                <w:rFonts w:ascii="Times New Roman" w:eastAsia="Times New Roman" w:hAnsi="Times New Roman" w:cs="Times New Roman"/>
                <w:b/>
                <w:bCs/>
                <w:sz w:val="20"/>
                <w:szCs w:val="20"/>
                <w:lang w:eastAsia="en-IN"/>
              </w:rPr>
              <w:t>k</w:t>
            </w:r>
          </w:p>
        </w:tc>
        <w:tc>
          <w:tcPr>
            <w:tcW w:w="0" w:type="auto"/>
            <w:hideMark/>
          </w:tcPr>
          <w:p w14:paraId="5D28DE29" w14:textId="77777777" w:rsidR="00036FBF" w:rsidRPr="00036FBF" w:rsidRDefault="00036FBF" w:rsidP="00036FBF">
            <w:pPr>
              <w:jc w:val="right"/>
              <w:rPr>
                <w:rFonts w:ascii="Times New Roman" w:eastAsia="Times New Roman" w:hAnsi="Times New Roman" w:cs="Times New Roman"/>
                <w:b/>
                <w:bCs/>
                <w:sz w:val="20"/>
                <w:szCs w:val="20"/>
                <w:lang w:eastAsia="en-IN"/>
              </w:rPr>
            </w:pPr>
            <w:r w:rsidRPr="00036FBF">
              <w:rPr>
                <w:rFonts w:ascii="Times New Roman" w:eastAsia="Times New Roman" w:hAnsi="Times New Roman" w:cs="Times New Roman"/>
                <w:b/>
                <w:bCs/>
                <w:sz w:val="20"/>
                <w:szCs w:val="20"/>
                <w:lang w:eastAsia="en-IN"/>
              </w:rPr>
              <w:t>N</w:t>
            </w:r>
          </w:p>
        </w:tc>
        <w:tc>
          <w:tcPr>
            <w:tcW w:w="0" w:type="auto"/>
            <w:hideMark/>
          </w:tcPr>
          <w:p w14:paraId="03DFB42C" w14:textId="77777777" w:rsidR="00036FBF" w:rsidRPr="00036FBF" w:rsidRDefault="00036FBF" w:rsidP="00036FBF">
            <w:pPr>
              <w:jc w:val="right"/>
              <w:rPr>
                <w:rFonts w:ascii="Times New Roman" w:eastAsia="Times New Roman" w:hAnsi="Times New Roman" w:cs="Times New Roman"/>
                <w:b/>
                <w:bCs/>
                <w:sz w:val="20"/>
                <w:szCs w:val="20"/>
                <w:lang w:eastAsia="en-IN"/>
              </w:rPr>
            </w:pPr>
            <w:proofErr w:type="spellStart"/>
            <w:r w:rsidRPr="00036FBF">
              <w:rPr>
                <w:rFonts w:ascii="Times New Roman" w:eastAsia="Times New Roman" w:hAnsi="Times New Roman" w:cs="Times New Roman"/>
                <w:b/>
                <w:bCs/>
                <w:sz w:val="20"/>
                <w:szCs w:val="20"/>
                <w:lang w:eastAsia="en-IN"/>
              </w:rPr>
              <w:t>DerSimonian</w:t>
            </w:r>
            <w:proofErr w:type="spellEnd"/>
            <w:r w:rsidRPr="00036FBF">
              <w:rPr>
                <w:rFonts w:ascii="Times New Roman" w:eastAsia="Times New Roman" w:hAnsi="Times New Roman" w:cs="Times New Roman"/>
                <w:b/>
                <w:bCs/>
                <w:sz w:val="20"/>
                <w:szCs w:val="20"/>
                <w:lang w:eastAsia="en-IN"/>
              </w:rPr>
              <w:t>–Laird pooled prevalence, % (95% CI)</w:t>
            </w:r>
          </w:p>
        </w:tc>
        <w:tc>
          <w:tcPr>
            <w:tcW w:w="0" w:type="auto"/>
            <w:hideMark/>
          </w:tcPr>
          <w:p w14:paraId="380FB754" w14:textId="77777777" w:rsidR="00036FBF" w:rsidRPr="00036FBF" w:rsidRDefault="00036FBF" w:rsidP="00036FBF">
            <w:pPr>
              <w:jc w:val="right"/>
              <w:rPr>
                <w:rFonts w:ascii="Times New Roman" w:eastAsia="Times New Roman" w:hAnsi="Times New Roman" w:cs="Times New Roman"/>
                <w:b/>
                <w:bCs/>
                <w:sz w:val="20"/>
                <w:szCs w:val="20"/>
                <w:lang w:eastAsia="en-IN"/>
              </w:rPr>
            </w:pPr>
            <w:r w:rsidRPr="00036FBF">
              <w:rPr>
                <w:rFonts w:ascii="Times New Roman" w:eastAsia="Times New Roman" w:hAnsi="Times New Roman" w:cs="Times New Roman"/>
                <w:b/>
                <w:bCs/>
                <w:sz w:val="20"/>
                <w:szCs w:val="20"/>
                <w:lang w:eastAsia="en-IN"/>
              </w:rPr>
              <w:t>DL 95% prediction interval</w:t>
            </w:r>
          </w:p>
        </w:tc>
        <w:tc>
          <w:tcPr>
            <w:tcW w:w="1607" w:type="dxa"/>
            <w:hideMark/>
          </w:tcPr>
          <w:p w14:paraId="4DF8E5F6" w14:textId="77777777" w:rsidR="00036FBF" w:rsidRPr="00036FBF" w:rsidRDefault="00036FBF" w:rsidP="00036FBF">
            <w:pPr>
              <w:jc w:val="right"/>
              <w:rPr>
                <w:rFonts w:ascii="Times New Roman" w:eastAsia="Times New Roman" w:hAnsi="Times New Roman" w:cs="Times New Roman"/>
                <w:b/>
                <w:bCs/>
                <w:sz w:val="20"/>
                <w:szCs w:val="20"/>
                <w:lang w:eastAsia="en-IN"/>
              </w:rPr>
            </w:pPr>
            <w:r w:rsidRPr="00036FBF">
              <w:rPr>
                <w:rFonts w:ascii="Times New Roman" w:eastAsia="Times New Roman" w:hAnsi="Times New Roman" w:cs="Times New Roman"/>
                <w:b/>
                <w:bCs/>
                <w:sz w:val="20"/>
                <w:szCs w:val="20"/>
                <w:lang w:eastAsia="en-IN"/>
              </w:rPr>
              <w:t>Binomial-normal GLMM pooled prevalence, % (95% CI)</w:t>
            </w:r>
          </w:p>
        </w:tc>
        <w:tc>
          <w:tcPr>
            <w:tcW w:w="1701" w:type="dxa"/>
            <w:hideMark/>
          </w:tcPr>
          <w:p w14:paraId="609ADD0A" w14:textId="77777777" w:rsidR="00036FBF" w:rsidRPr="00036FBF" w:rsidRDefault="00036FBF" w:rsidP="00036FBF">
            <w:pPr>
              <w:jc w:val="right"/>
              <w:rPr>
                <w:rFonts w:ascii="Times New Roman" w:eastAsia="Times New Roman" w:hAnsi="Times New Roman" w:cs="Times New Roman"/>
                <w:b/>
                <w:bCs/>
                <w:sz w:val="20"/>
                <w:szCs w:val="20"/>
                <w:lang w:eastAsia="en-IN"/>
              </w:rPr>
            </w:pPr>
            <w:r w:rsidRPr="00036FBF">
              <w:rPr>
                <w:rFonts w:ascii="Times New Roman" w:eastAsia="Times New Roman" w:hAnsi="Times New Roman" w:cs="Times New Roman"/>
                <w:b/>
                <w:bCs/>
                <w:sz w:val="20"/>
                <w:szCs w:val="20"/>
                <w:lang w:eastAsia="en-IN"/>
              </w:rPr>
              <w:t>GLMM 95% prediction interval</w:t>
            </w:r>
          </w:p>
        </w:tc>
      </w:tr>
      <w:tr w:rsidR="00036FBF" w:rsidRPr="00036FBF" w14:paraId="63BA2BDE" w14:textId="77777777" w:rsidTr="00036FBF">
        <w:tc>
          <w:tcPr>
            <w:tcW w:w="0" w:type="auto"/>
            <w:hideMark/>
          </w:tcPr>
          <w:p w14:paraId="26735DC8" w14:textId="77777777" w:rsidR="00036FBF" w:rsidRPr="00036FBF" w:rsidRDefault="00036FBF" w:rsidP="00036FBF">
            <w:pPr>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Cognitive impairment</w:t>
            </w:r>
          </w:p>
        </w:tc>
        <w:tc>
          <w:tcPr>
            <w:tcW w:w="0" w:type="auto"/>
            <w:hideMark/>
          </w:tcPr>
          <w:p w14:paraId="32E17E6D"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12</w:t>
            </w:r>
          </w:p>
        </w:tc>
        <w:tc>
          <w:tcPr>
            <w:tcW w:w="0" w:type="auto"/>
            <w:hideMark/>
          </w:tcPr>
          <w:p w14:paraId="0FBBDAFE"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66,444</w:t>
            </w:r>
          </w:p>
        </w:tc>
        <w:tc>
          <w:tcPr>
            <w:tcW w:w="0" w:type="auto"/>
            <w:hideMark/>
          </w:tcPr>
          <w:p w14:paraId="34CCE903"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27.1 (21.3–32.9)</w:t>
            </w:r>
          </w:p>
        </w:tc>
        <w:tc>
          <w:tcPr>
            <w:tcW w:w="0" w:type="auto"/>
            <w:hideMark/>
          </w:tcPr>
          <w:p w14:paraId="3413EE69"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3.7–50.4</w:t>
            </w:r>
          </w:p>
        </w:tc>
        <w:tc>
          <w:tcPr>
            <w:tcW w:w="1607" w:type="dxa"/>
            <w:hideMark/>
          </w:tcPr>
          <w:p w14:paraId="7BADEF35"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24.2 (16.5–34.2)</w:t>
            </w:r>
          </w:p>
        </w:tc>
        <w:tc>
          <w:tcPr>
            <w:tcW w:w="1701" w:type="dxa"/>
            <w:hideMark/>
          </w:tcPr>
          <w:p w14:paraId="5ABEC5E1"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4.2–69.8</w:t>
            </w:r>
          </w:p>
        </w:tc>
      </w:tr>
      <w:tr w:rsidR="00036FBF" w:rsidRPr="00036FBF" w14:paraId="3A26B515" w14:textId="77777777" w:rsidTr="00036FBF">
        <w:tc>
          <w:tcPr>
            <w:tcW w:w="0" w:type="auto"/>
            <w:hideMark/>
          </w:tcPr>
          <w:p w14:paraId="7831C966" w14:textId="77777777" w:rsidR="00036FBF" w:rsidRPr="00036FBF" w:rsidRDefault="00036FBF" w:rsidP="00036FBF">
            <w:pPr>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Depression</w:t>
            </w:r>
          </w:p>
        </w:tc>
        <w:tc>
          <w:tcPr>
            <w:tcW w:w="0" w:type="auto"/>
            <w:hideMark/>
          </w:tcPr>
          <w:p w14:paraId="29084185"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14</w:t>
            </w:r>
          </w:p>
        </w:tc>
        <w:tc>
          <w:tcPr>
            <w:tcW w:w="0" w:type="auto"/>
            <w:hideMark/>
          </w:tcPr>
          <w:p w14:paraId="3CC661B6"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66,462</w:t>
            </w:r>
          </w:p>
        </w:tc>
        <w:tc>
          <w:tcPr>
            <w:tcW w:w="0" w:type="auto"/>
            <w:hideMark/>
          </w:tcPr>
          <w:p w14:paraId="219F4727"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24.5 (20.0–29.0)</w:t>
            </w:r>
          </w:p>
        </w:tc>
        <w:tc>
          <w:tcPr>
            <w:tcW w:w="0" w:type="auto"/>
            <w:hideMark/>
          </w:tcPr>
          <w:p w14:paraId="76797A4E"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5.4–43.6</w:t>
            </w:r>
          </w:p>
        </w:tc>
        <w:tc>
          <w:tcPr>
            <w:tcW w:w="1607" w:type="dxa"/>
            <w:hideMark/>
          </w:tcPr>
          <w:p w14:paraId="2D560C0E"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20.4 (12.9–30.8)</w:t>
            </w:r>
          </w:p>
        </w:tc>
        <w:tc>
          <w:tcPr>
            <w:tcW w:w="1701" w:type="dxa"/>
            <w:hideMark/>
          </w:tcPr>
          <w:p w14:paraId="59194987"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2.4–73.2</w:t>
            </w:r>
          </w:p>
        </w:tc>
      </w:tr>
      <w:tr w:rsidR="00036FBF" w:rsidRPr="00036FBF" w14:paraId="7B74142A" w14:textId="77777777" w:rsidTr="00036FBF">
        <w:tc>
          <w:tcPr>
            <w:tcW w:w="0" w:type="auto"/>
            <w:hideMark/>
          </w:tcPr>
          <w:p w14:paraId="79FDB5D3" w14:textId="77777777" w:rsidR="00036FBF" w:rsidRPr="00036FBF" w:rsidRDefault="00036FBF" w:rsidP="00036FBF">
            <w:pPr>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Polypharmacy</w:t>
            </w:r>
          </w:p>
        </w:tc>
        <w:tc>
          <w:tcPr>
            <w:tcW w:w="0" w:type="auto"/>
            <w:hideMark/>
          </w:tcPr>
          <w:p w14:paraId="15355FA2"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5</w:t>
            </w:r>
          </w:p>
        </w:tc>
        <w:tc>
          <w:tcPr>
            <w:tcW w:w="0" w:type="auto"/>
            <w:hideMark/>
          </w:tcPr>
          <w:p w14:paraId="3BA2869E"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43,368</w:t>
            </w:r>
          </w:p>
        </w:tc>
        <w:tc>
          <w:tcPr>
            <w:tcW w:w="0" w:type="auto"/>
            <w:hideMark/>
          </w:tcPr>
          <w:p w14:paraId="65134126"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29.7 (16.1–43.4)</w:t>
            </w:r>
          </w:p>
        </w:tc>
        <w:tc>
          <w:tcPr>
            <w:tcW w:w="0" w:type="auto"/>
            <w:hideMark/>
          </w:tcPr>
          <w:p w14:paraId="2EB74245"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0.0–83.7</w:t>
            </w:r>
          </w:p>
        </w:tc>
        <w:tc>
          <w:tcPr>
            <w:tcW w:w="1607" w:type="dxa"/>
            <w:hideMark/>
          </w:tcPr>
          <w:p w14:paraId="47762762"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24.2 (10.0–48.0)</w:t>
            </w:r>
          </w:p>
        </w:tc>
        <w:tc>
          <w:tcPr>
            <w:tcW w:w="1701" w:type="dxa"/>
            <w:hideMark/>
          </w:tcPr>
          <w:p w14:paraId="1AD1BE09"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0.5–95.5</w:t>
            </w:r>
          </w:p>
        </w:tc>
      </w:tr>
      <w:tr w:rsidR="00036FBF" w:rsidRPr="00036FBF" w14:paraId="713C84DB" w14:textId="77777777" w:rsidTr="00036FBF">
        <w:tc>
          <w:tcPr>
            <w:tcW w:w="0" w:type="auto"/>
            <w:hideMark/>
          </w:tcPr>
          <w:p w14:paraId="2F36989A" w14:textId="77777777" w:rsidR="00036FBF" w:rsidRPr="00036FBF" w:rsidRDefault="00036FBF" w:rsidP="00036FBF">
            <w:pPr>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Frailty</w:t>
            </w:r>
          </w:p>
        </w:tc>
        <w:tc>
          <w:tcPr>
            <w:tcW w:w="0" w:type="auto"/>
            <w:hideMark/>
          </w:tcPr>
          <w:p w14:paraId="5C8923D6"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10</w:t>
            </w:r>
          </w:p>
        </w:tc>
        <w:tc>
          <w:tcPr>
            <w:tcW w:w="0" w:type="auto"/>
            <w:hideMark/>
          </w:tcPr>
          <w:p w14:paraId="1430A50F"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17,717</w:t>
            </w:r>
          </w:p>
        </w:tc>
        <w:tc>
          <w:tcPr>
            <w:tcW w:w="0" w:type="auto"/>
            <w:hideMark/>
          </w:tcPr>
          <w:p w14:paraId="2938DB89"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19.7 (14.3–25.1)</w:t>
            </w:r>
          </w:p>
        </w:tc>
        <w:tc>
          <w:tcPr>
            <w:tcW w:w="0" w:type="auto"/>
            <w:hideMark/>
          </w:tcPr>
          <w:p w14:paraId="054ADB42"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0.0–40.4</w:t>
            </w:r>
          </w:p>
        </w:tc>
        <w:tc>
          <w:tcPr>
            <w:tcW w:w="1607" w:type="dxa"/>
            <w:hideMark/>
          </w:tcPr>
          <w:p w14:paraId="23CA2734"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16.2 (9.7–25.8)</w:t>
            </w:r>
          </w:p>
        </w:tc>
        <w:tc>
          <w:tcPr>
            <w:tcW w:w="1701" w:type="dxa"/>
            <w:hideMark/>
          </w:tcPr>
          <w:p w14:paraId="1D4EC086"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2.0–65.3</w:t>
            </w:r>
          </w:p>
        </w:tc>
      </w:tr>
      <w:tr w:rsidR="00036FBF" w:rsidRPr="00036FBF" w14:paraId="2C1B06BB" w14:textId="77777777" w:rsidTr="00036FBF">
        <w:tc>
          <w:tcPr>
            <w:tcW w:w="0" w:type="auto"/>
            <w:hideMark/>
          </w:tcPr>
          <w:p w14:paraId="39C1BDE5" w14:textId="77777777" w:rsidR="00036FBF" w:rsidRPr="00036FBF" w:rsidRDefault="00036FBF" w:rsidP="00036FBF">
            <w:pPr>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Falls</w:t>
            </w:r>
          </w:p>
        </w:tc>
        <w:tc>
          <w:tcPr>
            <w:tcW w:w="0" w:type="auto"/>
            <w:hideMark/>
          </w:tcPr>
          <w:p w14:paraId="589EC93D"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14</w:t>
            </w:r>
          </w:p>
        </w:tc>
        <w:tc>
          <w:tcPr>
            <w:tcW w:w="0" w:type="auto"/>
            <w:hideMark/>
          </w:tcPr>
          <w:p w14:paraId="5E9B1B33"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105,186</w:t>
            </w:r>
          </w:p>
        </w:tc>
        <w:tc>
          <w:tcPr>
            <w:tcW w:w="0" w:type="auto"/>
            <w:hideMark/>
          </w:tcPr>
          <w:p w14:paraId="7F6F5EE5"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13.4 (10.2–16.6)</w:t>
            </w:r>
          </w:p>
        </w:tc>
        <w:tc>
          <w:tcPr>
            <w:tcW w:w="0" w:type="auto"/>
            <w:hideMark/>
          </w:tcPr>
          <w:p w14:paraId="6E98828E"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0.0–26.9</w:t>
            </w:r>
          </w:p>
        </w:tc>
        <w:tc>
          <w:tcPr>
            <w:tcW w:w="1607" w:type="dxa"/>
            <w:hideMark/>
          </w:tcPr>
          <w:p w14:paraId="6BD57C17"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10.6 (6.3–17.1)</w:t>
            </w:r>
          </w:p>
        </w:tc>
        <w:tc>
          <w:tcPr>
            <w:tcW w:w="1701" w:type="dxa"/>
            <w:hideMark/>
          </w:tcPr>
          <w:p w14:paraId="78067DF5" w14:textId="77777777" w:rsidR="00036FBF" w:rsidRPr="00036FBF" w:rsidRDefault="00036FBF" w:rsidP="00036FBF">
            <w:pPr>
              <w:jc w:val="right"/>
              <w:rPr>
                <w:rFonts w:ascii="Times New Roman" w:eastAsia="Times New Roman" w:hAnsi="Times New Roman" w:cs="Times New Roman"/>
                <w:sz w:val="20"/>
                <w:szCs w:val="20"/>
                <w:lang w:eastAsia="en-IN"/>
              </w:rPr>
            </w:pPr>
            <w:r w:rsidRPr="00036FBF">
              <w:rPr>
                <w:rFonts w:ascii="Times New Roman" w:eastAsia="Times New Roman" w:hAnsi="Times New Roman" w:cs="Times New Roman"/>
                <w:sz w:val="20"/>
                <w:szCs w:val="20"/>
                <w:lang w:eastAsia="en-IN"/>
              </w:rPr>
              <w:t>1.1–56.3</w:t>
            </w:r>
          </w:p>
        </w:tc>
      </w:tr>
    </w:tbl>
    <w:p w14:paraId="7993428B" w14:textId="392C910C" w:rsidR="00036FBF" w:rsidRDefault="00A57FAA" w:rsidP="00AD2352">
      <w:pPr>
        <w:rPr>
          <w:rFonts w:ascii="Times New Roman" w:hAnsi="Times New Roman" w:cs="Times New Roman"/>
          <w:sz w:val="16"/>
          <w:szCs w:val="16"/>
          <w:lang w:eastAsia="en-IN"/>
        </w:rPr>
      </w:pPr>
      <w:r w:rsidRPr="00A57FAA">
        <w:rPr>
          <w:rFonts w:ascii="Times New Roman" w:hAnsi="Times New Roman" w:cs="Times New Roman"/>
          <w:sz w:val="16"/>
          <w:szCs w:val="16"/>
          <w:lang w:eastAsia="en-IN"/>
        </w:rPr>
        <w:t xml:space="preserve">Note: The </w:t>
      </w:r>
      <w:proofErr w:type="spellStart"/>
      <w:r w:rsidRPr="00A57FAA">
        <w:rPr>
          <w:rFonts w:ascii="Times New Roman" w:hAnsi="Times New Roman" w:cs="Times New Roman"/>
          <w:sz w:val="16"/>
          <w:szCs w:val="16"/>
          <w:lang w:eastAsia="en-IN"/>
        </w:rPr>
        <w:t>DerSimonian</w:t>
      </w:r>
      <w:proofErr w:type="spellEnd"/>
      <w:r w:rsidRPr="00A57FAA">
        <w:rPr>
          <w:rFonts w:ascii="Times New Roman" w:hAnsi="Times New Roman" w:cs="Times New Roman"/>
          <w:sz w:val="16"/>
          <w:szCs w:val="16"/>
          <w:lang w:eastAsia="en-IN"/>
        </w:rPr>
        <w:t xml:space="preserve">–Laird random-effects model applied to raw proportions constituted the primary analysis. The binomial-normal generalized linear mixed model with a logit link was conducted as an alternative-model sensitivity analysis. Estimates from the GLMM were calculated on the logit scale and back-transformed to percentages. Where exact numerators were unavailable, event counts were derived from the reported prevalence and corresponding denominator. k, number of studies; N, total number of participants; CI, confidence interval; PI, prediction interval; DL, </w:t>
      </w:r>
      <w:proofErr w:type="spellStart"/>
      <w:r w:rsidRPr="00A57FAA">
        <w:rPr>
          <w:rFonts w:ascii="Times New Roman" w:hAnsi="Times New Roman" w:cs="Times New Roman"/>
          <w:sz w:val="16"/>
          <w:szCs w:val="16"/>
          <w:lang w:eastAsia="en-IN"/>
        </w:rPr>
        <w:t>DerSimonian</w:t>
      </w:r>
      <w:proofErr w:type="spellEnd"/>
      <w:r w:rsidRPr="00A57FAA">
        <w:rPr>
          <w:rFonts w:ascii="Times New Roman" w:hAnsi="Times New Roman" w:cs="Times New Roman"/>
          <w:sz w:val="16"/>
          <w:szCs w:val="16"/>
          <w:lang w:eastAsia="en-IN"/>
        </w:rPr>
        <w:t>–Laird; GLMM, generalized linear mixed model</w:t>
      </w:r>
      <w:r w:rsidR="00036FBF" w:rsidRPr="00036FBF">
        <w:rPr>
          <w:rFonts w:ascii="Times New Roman" w:hAnsi="Times New Roman" w:cs="Times New Roman"/>
          <w:sz w:val="16"/>
          <w:szCs w:val="16"/>
          <w:lang w:eastAsia="en-IN"/>
        </w:rPr>
        <w:t>.</w:t>
      </w:r>
    </w:p>
    <w:p w14:paraId="66791864" w14:textId="77777777" w:rsidR="00036FBF" w:rsidRDefault="00036FBF" w:rsidP="00AD2352">
      <w:pPr>
        <w:rPr>
          <w:rFonts w:ascii="Times New Roman" w:hAnsi="Times New Roman" w:cs="Times New Roman"/>
          <w:sz w:val="16"/>
          <w:szCs w:val="16"/>
          <w:lang w:eastAsia="en-IN"/>
        </w:rPr>
      </w:pPr>
    </w:p>
    <w:p w14:paraId="42256CC0" w14:textId="5A0E67CA" w:rsidR="00404685" w:rsidRPr="00627509" w:rsidRDefault="00036FBF" w:rsidP="00404685">
      <w:pPr>
        <w:rPr>
          <w:b/>
          <w:bCs/>
        </w:rPr>
      </w:pPr>
      <w:r>
        <w:rPr>
          <w:b/>
          <w:bCs/>
        </w:rPr>
        <w:t>5</w:t>
      </w:r>
      <w:r w:rsidR="00404685" w:rsidRPr="00627509">
        <w:rPr>
          <w:b/>
          <w:bCs/>
        </w:rPr>
        <w:t>. Supplementary Table S</w:t>
      </w:r>
      <w:r w:rsidR="00404685">
        <w:rPr>
          <w:b/>
          <w:bCs/>
        </w:rPr>
        <w:t>5</w:t>
      </w:r>
      <w:r w:rsidR="00404685" w:rsidRPr="00627509">
        <w:rPr>
          <w:b/>
          <w:bCs/>
        </w:rPr>
        <w:t>. Reported correlates of geriatric syndromes</w:t>
      </w:r>
    </w:p>
    <w:tbl>
      <w:tblPr>
        <w:tblStyle w:val="TableGrid1"/>
        <w:tblW w:w="11408" w:type="dxa"/>
        <w:tblInd w:w="-1139" w:type="dxa"/>
        <w:tblLook w:val="04A0" w:firstRow="1" w:lastRow="0" w:firstColumn="1" w:lastColumn="0" w:noHBand="0" w:noVBand="1"/>
      </w:tblPr>
      <w:tblGrid>
        <w:gridCol w:w="1450"/>
        <w:gridCol w:w="1645"/>
        <w:gridCol w:w="3427"/>
        <w:gridCol w:w="1842"/>
        <w:gridCol w:w="3044"/>
      </w:tblGrid>
      <w:tr w:rsidR="00404685" w:rsidRPr="00025B7F" w14:paraId="51D08BF6" w14:textId="77777777" w:rsidTr="006C3A53">
        <w:tc>
          <w:tcPr>
            <w:tcW w:w="0" w:type="auto"/>
            <w:hideMark/>
          </w:tcPr>
          <w:p w14:paraId="30C9EB7A" w14:textId="77777777" w:rsidR="00404685" w:rsidRPr="00025B7F" w:rsidRDefault="00404685" w:rsidP="006C3A53">
            <w:pPr>
              <w:jc w:val="center"/>
              <w:rPr>
                <w:rFonts w:ascii="Times New Roman" w:eastAsia="Times New Roman" w:hAnsi="Times New Roman" w:cs="Times New Roman"/>
                <w:b/>
                <w:bCs/>
                <w:sz w:val="18"/>
                <w:szCs w:val="18"/>
                <w:lang w:eastAsia="en-IN"/>
              </w:rPr>
            </w:pPr>
            <w:r w:rsidRPr="00025B7F">
              <w:rPr>
                <w:rFonts w:ascii="Times New Roman" w:eastAsia="Times New Roman" w:hAnsi="Times New Roman" w:cs="Times New Roman"/>
                <w:b/>
                <w:bCs/>
                <w:sz w:val="18"/>
                <w:szCs w:val="18"/>
                <w:lang w:eastAsia="en-IN"/>
              </w:rPr>
              <w:t>Study</w:t>
            </w:r>
          </w:p>
        </w:tc>
        <w:tc>
          <w:tcPr>
            <w:tcW w:w="0" w:type="auto"/>
            <w:hideMark/>
          </w:tcPr>
          <w:p w14:paraId="4D5B661C" w14:textId="77777777" w:rsidR="00404685" w:rsidRPr="00025B7F" w:rsidRDefault="00404685" w:rsidP="006C3A53">
            <w:pPr>
              <w:jc w:val="center"/>
              <w:rPr>
                <w:rFonts w:ascii="Times New Roman" w:eastAsia="Times New Roman" w:hAnsi="Times New Roman" w:cs="Times New Roman"/>
                <w:b/>
                <w:bCs/>
                <w:sz w:val="18"/>
                <w:szCs w:val="18"/>
                <w:lang w:eastAsia="en-IN"/>
              </w:rPr>
            </w:pPr>
            <w:r w:rsidRPr="00025B7F">
              <w:rPr>
                <w:rFonts w:ascii="Times New Roman" w:eastAsia="Times New Roman" w:hAnsi="Times New Roman" w:cs="Times New Roman"/>
                <w:b/>
                <w:bCs/>
                <w:sz w:val="18"/>
                <w:szCs w:val="18"/>
                <w:lang w:eastAsia="en-IN"/>
              </w:rPr>
              <w:t>Population and outcome</w:t>
            </w:r>
          </w:p>
        </w:tc>
        <w:tc>
          <w:tcPr>
            <w:tcW w:w="0" w:type="auto"/>
            <w:hideMark/>
          </w:tcPr>
          <w:p w14:paraId="46692241" w14:textId="77777777" w:rsidR="00404685" w:rsidRPr="00025B7F" w:rsidRDefault="00404685" w:rsidP="006C3A53">
            <w:pPr>
              <w:jc w:val="center"/>
              <w:rPr>
                <w:rFonts w:ascii="Times New Roman" w:eastAsia="Times New Roman" w:hAnsi="Times New Roman" w:cs="Times New Roman"/>
                <w:b/>
                <w:bCs/>
                <w:sz w:val="18"/>
                <w:szCs w:val="18"/>
                <w:lang w:eastAsia="en-IN"/>
              </w:rPr>
            </w:pPr>
            <w:r w:rsidRPr="00025B7F">
              <w:rPr>
                <w:rFonts w:ascii="Times New Roman" w:eastAsia="Times New Roman" w:hAnsi="Times New Roman" w:cs="Times New Roman"/>
                <w:b/>
                <w:bCs/>
                <w:sz w:val="18"/>
                <w:szCs w:val="18"/>
                <w:lang w:eastAsia="en-IN"/>
              </w:rPr>
              <w:t>Factors associated with the outcome</w:t>
            </w:r>
          </w:p>
        </w:tc>
        <w:tc>
          <w:tcPr>
            <w:tcW w:w="1842" w:type="dxa"/>
            <w:hideMark/>
          </w:tcPr>
          <w:p w14:paraId="4A53E889" w14:textId="77777777" w:rsidR="00404685" w:rsidRPr="00025B7F" w:rsidRDefault="00404685" w:rsidP="006C3A53">
            <w:pPr>
              <w:jc w:val="center"/>
              <w:rPr>
                <w:rFonts w:ascii="Times New Roman" w:eastAsia="Times New Roman" w:hAnsi="Times New Roman" w:cs="Times New Roman"/>
                <w:b/>
                <w:bCs/>
                <w:sz w:val="18"/>
                <w:szCs w:val="18"/>
                <w:lang w:eastAsia="en-IN"/>
              </w:rPr>
            </w:pPr>
            <w:r w:rsidRPr="00025B7F">
              <w:rPr>
                <w:rFonts w:ascii="Times New Roman" w:eastAsia="Times New Roman" w:hAnsi="Times New Roman" w:cs="Times New Roman"/>
                <w:b/>
                <w:bCs/>
                <w:sz w:val="18"/>
                <w:szCs w:val="18"/>
                <w:lang w:eastAsia="en-IN"/>
              </w:rPr>
              <w:t>Adjustment status</w:t>
            </w:r>
          </w:p>
        </w:tc>
        <w:tc>
          <w:tcPr>
            <w:tcW w:w="3044" w:type="dxa"/>
            <w:hideMark/>
          </w:tcPr>
          <w:p w14:paraId="100CB035" w14:textId="77777777" w:rsidR="00404685" w:rsidRPr="00025B7F" w:rsidRDefault="00404685" w:rsidP="006C3A53">
            <w:pPr>
              <w:jc w:val="center"/>
              <w:rPr>
                <w:rFonts w:ascii="Times New Roman" w:eastAsia="Times New Roman" w:hAnsi="Times New Roman" w:cs="Times New Roman"/>
                <w:b/>
                <w:bCs/>
                <w:sz w:val="18"/>
                <w:szCs w:val="18"/>
                <w:lang w:eastAsia="en-IN"/>
              </w:rPr>
            </w:pPr>
            <w:r w:rsidRPr="00025B7F">
              <w:rPr>
                <w:rFonts w:ascii="Times New Roman" w:eastAsia="Times New Roman" w:hAnsi="Times New Roman" w:cs="Times New Roman"/>
                <w:b/>
                <w:bCs/>
                <w:sz w:val="18"/>
                <w:szCs w:val="18"/>
                <w:lang w:eastAsia="en-IN"/>
              </w:rPr>
              <w:t>Decision</w:t>
            </w:r>
          </w:p>
        </w:tc>
      </w:tr>
      <w:tr w:rsidR="00404685" w:rsidRPr="00025B7F" w14:paraId="2AB4AC70" w14:textId="77777777" w:rsidTr="006C3A53">
        <w:tc>
          <w:tcPr>
            <w:tcW w:w="0" w:type="auto"/>
            <w:hideMark/>
          </w:tcPr>
          <w:p w14:paraId="48964ABD" w14:textId="77777777" w:rsidR="00404685" w:rsidRPr="00025B7F" w:rsidRDefault="00404685" w:rsidP="006C3A53">
            <w:pPr>
              <w:rPr>
                <w:rFonts w:ascii="Times New Roman" w:eastAsia="Times New Roman" w:hAnsi="Times New Roman" w:cs="Times New Roman"/>
                <w:sz w:val="18"/>
                <w:szCs w:val="18"/>
                <w:lang w:eastAsia="en-IN"/>
              </w:rPr>
            </w:pPr>
            <w:proofErr w:type="spellStart"/>
            <w:r w:rsidRPr="00025B7F">
              <w:rPr>
                <w:rFonts w:ascii="Times New Roman" w:eastAsia="Times New Roman" w:hAnsi="Times New Roman" w:cs="Times New Roman"/>
                <w:b/>
                <w:bCs/>
                <w:sz w:val="18"/>
                <w:szCs w:val="18"/>
                <w:lang w:eastAsia="en-IN"/>
              </w:rPr>
              <w:t>Badrkhahan</w:t>
            </w:r>
            <w:proofErr w:type="spellEnd"/>
            <w:r w:rsidRPr="00025B7F">
              <w:rPr>
                <w:rFonts w:ascii="Times New Roman" w:eastAsia="Times New Roman" w:hAnsi="Times New Roman" w:cs="Times New Roman"/>
                <w:b/>
                <w:bCs/>
                <w:sz w:val="18"/>
                <w:szCs w:val="18"/>
                <w:lang w:eastAsia="en-IN"/>
              </w:rPr>
              <w:t xml:space="preserve"> et al., 2023</w:t>
            </w:r>
          </w:p>
        </w:tc>
        <w:tc>
          <w:tcPr>
            <w:tcW w:w="0" w:type="auto"/>
            <w:hideMark/>
          </w:tcPr>
          <w:p w14:paraId="48BDFD7E"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Community-dwelling older adults; frailty</w:t>
            </w:r>
          </w:p>
        </w:tc>
        <w:tc>
          <w:tcPr>
            <w:tcW w:w="0" w:type="auto"/>
            <w:hideMark/>
          </w:tcPr>
          <w:p w14:paraId="3BB29388"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Low physical activity: OR 31.73 (18.44–54.60); cancer: OR 3.28 (1.27–8.44); depression: OR 2.42 (1.97–2.98); polypharmacy: OR 2.26 (1.30–3.95); age: OR 1.11 per year (1.08–1.14); greater BMI and waist circumference; lower MNA score. Male sex was protective, OR 0.63 (0.42–0.93), indicating greater odds among women.</w:t>
            </w:r>
          </w:p>
        </w:tc>
        <w:tc>
          <w:tcPr>
            <w:tcW w:w="1842" w:type="dxa"/>
            <w:hideMark/>
          </w:tcPr>
          <w:p w14:paraId="4CD28A31"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b/>
                <w:bCs/>
                <w:sz w:val="18"/>
                <w:szCs w:val="18"/>
                <w:lang w:eastAsia="en-IN"/>
              </w:rPr>
              <w:t>Adjusted multivariable model</w:t>
            </w:r>
          </w:p>
        </w:tc>
        <w:tc>
          <w:tcPr>
            <w:tcW w:w="3044" w:type="dxa"/>
            <w:hideMark/>
          </w:tcPr>
          <w:p w14:paraId="440C6612"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Retain as adjusted community evidence. Do not pool because other studies did not report comparable adjusted estimates.</w:t>
            </w:r>
          </w:p>
        </w:tc>
      </w:tr>
      <w:tr w:rsidR="00404685" w:rsidRPr="00025B7F" w14:paraId="7A6B716B" w14:textId="77777777" w:rsidTr="006C3A53">
        <w:tc>
          <w:tcPr>
            <w:tcW w:w="0" w:type="auto"/>
            <w:hideMark/>
          </w:tcPr>
          <w:p w14:paraId="70480DBD"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b/>
                <w:bCs/>
                <w:sz w:val="18"/>
                <w:szCs w:val="18"/>
                <w:lang w:eastAsia="en-IN"/>
              </w:rPr>
              <w:t>He et al., 2025</w:t>
            </w:r>
          </w:p>
        </w:tc>
        <w:tc>
          <w:tcPr>
            <w:tcW w:w="0" w:type="auto"/>
            <w:hideMark/>
          </w:tcPr>
          <w:p w14:paraId="17440FB0"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Rural community cohort; sarcopenia, malnutrition risk, frailty and falls</w:t>
            </w:r>
          </w:p>
        </w:tc>
        <w:tc>
          <w:tcPr>
            <w:tcW w:w="0" w:type="auto"/>
            <w:hideMark/>
          </w:tcPr>
          <w:p w14:paraId="291A8883"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 xml:space="preserve">Fewer than 10 teeth without dentures </w:t>
            </w:r>
            <w:proofErr w:type="gramStart"/>
            <w:r w:rsidRPr="00025B7F">
              <w:rPr>
                <w:rFonts w:ascii="Times New Roman" w:eastAsia="Times New Roman" w:hAnsi="Times New Roman" w:cs="Times New Roman"/>
                <w:sz w:val="18"/>
                <w:szCs w:val="18"/>
                <w:lang w:eastAsia="en-IN"/>
              </w:rPr>
              <w:t>was</w:t>
            </w:r>
            <w:proofErr w:type="gramEnd"/>
            <w:r w:rsidRPr="00025B7F">
              <w:rPr>
                <w:rFonts w:ascii="Times New Roman" w:eastAsia="Times New Roman" w:hAnsi="Times New Roman" w:cs="Times New Roman"/>
                <w:sz w:val="18"/>
                <w:szCs w:val="18"/>
                <w:lang w:eastAsia="en-IN"/>
              </w:rPr>
              <w:t xml:space="preserve"> associated with sarcopenia: OR 3.25 (1.68–6.28); malnutrition risk: OR 3.64 (2.06–6.44); frailty: OR 2.41 (1.36–4.26); and </w:t>
            </w:r>
            <w:r w:rsidRPr="00025B7F">
              <w:rPr>
                <w:rFonts w:ascii="Times New Roman" w:eastAsia="Times New Roman" w:hAnsi="Times New Roman" w:cs="Times New Roman"/>
                <w:sz w:val="18"/>
                <w:szCs w:val="18"/>
                <w:lang w:eastAsia="en-IN"/>
              </w:rPr>
              <w:lastRenderedPageBreak/>
              <w:t>falls: OR 2.01 (1.06–3.83), compared with ≥21 teeth.</w:t>
            </w:r>
          </w:p>
        </w:tc>
        <w:tc>
          <w:tcPr>
            <w:tcW w:w="1842" w:type="dxa"/>
            <w:hideMark/>
          </w:tcPr>
          <w:p w14:paraId="79F3DE8E"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b/>
                <w:bCs/>
                <w:sz w:val="18"/>
                <w:szCs w:val="18"/>
                <w:lang w:eastAsia="en-IN"/>
              </w:rPr>
              <w:lastRenderedPageBreak/>
              <w:t>Adjusted for age, sex, education, alcohol use, smoking and chronic diseases</w:t>
            </w:r>
          </w:p>
        </w:tc>
        <w:tc>
          <w:tcPr>
            <w:tcW w:w="3044" w:type="dxa"/>
            <w:hideMark/>
          </w:tcPr>
          <w:p w14:paraId="1BADED0B"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Retain as comparatively strong longitudinal evidence for poor oral health.</w:t>
            </w:r>
          </w:p>
        </w:tc>
      </w:tr>
      <w:tr w:rsidR="00404685" w:rsidRPr="00025B7F" w14:paraId="170E1AE8" w14:textId="77777777" w:rsidTr="006C3A53">
        <w:tc>
          <w:tcPr>
            <w:tcW w:w="0" w:type="auto"/>
            <w:hideMark/>
          </w:tcPr>
          <w:p w14:paraId="06EB1F71"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b/>
                <w:bCs/>
                <w:sz w:val="18"/>
                <w:szCs w:val="18"/>
                <w:lang w:eastAsia="en-IN"/>
              </w:rPr>
              <w:t>Wang et al., 2024</w:t>
            </w:r>
          </w:p>
        </w:tc>
        <w:tc>
          <w:tcPr>
            <w:tcW w:w="0" w:type="auto"/>
            <w:hideMark/>
          </w:tcPr>
          <w:p w14:paraId="0521F86A"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Community-dwelling older adults; coexistence of ≥2 geriatric syndromes</w:t>
            </w:r>
          </w:p>
        </w:tc>
        <w:tc>
          <w:tcPr>
            <w:tcW w:w="0" w:type="auto"/>
            <w:hideMark/>
          </w:tcPr>
          <w:p w14:paraId="03439D21"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Residence, older age, marital status, BMI category and self-rated health were independently associated with multiple geriatric syndromes. Poor or fair self-rated health had OR 2.46 (1.52–3.99). The authors reported a higher burden among rural, older and unmarried participants.</w:t>
            </w:r>
          </w:p>
        </w:tc>
        <w:tc>
          <w:tcPr>
            <w:tcW w:w="1842" w:type="dxa"/>
            <w:hideMark/>
          </w:tcPr>
          <w:p w14:paraId="53EFAB51"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b/>
                <w:bCs/>
                <w:sz w:val="18"/>
                <w:szCs w:val="18"/>
                <w:lang w:eastAsia="en-IN"/>
              </w:rPr>
              <w:t>Adjusted logistic regression</w:t>
            </w:r>
          </w:p>
        </w:tc>
        <w:tc>
          <w:tcPr>
            <w:tcW w:w="3044" w:type="dxa"/>
            <w:hideMark/>
          </w:tcPr>
          <w:p w14:paraId="2C8C2256"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Retain, but report direction rather than comparing the ORs directly because reference-category coding differed across variables.</w:t>
            </w:r>
          </w:p>
        </w:tc>
      </w:tr>
      <w:tr w:rsidR="00404685" w:rsidRPr="00025B7F" w14:paraId="0C48EAF0" w14:textId="77777777" w:rsidTr="006C3A53">
        <w:tc>
          <w:tcPr>
            <w:tcW w:w="0" w:type="auto"/>
            <w:hideMark/>
          </w:tcPr>
          <w:p w14:paraId="132AEBB5"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b/>
                <w:bCs/>
                <w:sz w:val="18"/>
                <w:szCs w:val="18"/>
                <w:lang w:eastAsia="en-IN"/>
              </w:rPr>
              <w:t>Bello-Chavolla et al., 2017</w:t>
            </w:r>
          </w:p>
        </w:tc>
        <w:tc>
          <w:tcPr>
            <w:tcW w:w="0" w:type="auto"/>
            <w:hideMark/>
          </w:tcPr>
          <w:p w14:paraId="70A145C9"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Community-dwelling older adults with type 2 diabetes; cognitive impairment</w:t>
            </w:r>
          </w:p>
        </w:tc>
        <w:tc>
          <w:tcPr>
            <w:tcW w:w="0" w:type="auto"/>
            <w:hideMark/>
          </w:tcPr>
          <w:p w14:paraId="75FF1159"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Urinary incontinence: OR 13.09 (2.12–80.84); frailty: OR 4.12 (0.75–22.74). Depression, falls and diabetic nephropathy did not remain independently significant.</w:t>
            </w:r>
          </w:p>
        </w:tc>
        <w:tc>
          <w:tcPr>
            <w:tcW w:w="1842" w:type="dxa"/>
            <w:hideMark/>
          </w:tcPr>
          <w:p w14:paraId="554981BC"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b/>
                <w:bCs/>
                <w:sz w:val="18"/>
                <w:szCs w:val="18"/>
                <w:lang w:eastAsia="en-IN"/>
              </w:rPr>
              <w:t>Adjusted logistic regression</w:t>
            </w:r>
          </w:p>
        </w:tc>
        <w:tc>
          <w:tcPr>
            <w:tcW w:w="3044" w:type="dxa"/>
            <w:hideMark/>
          </w:tcPr>
          <w:p w14:paraId="0002F3A0"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Retain cautiously. Confidence intervals were extremely wide, and the reported frailty P value appears inconsistent with its CI.</w:t>
            </w:r>
          </w:p>
        </w:tc>
      </w:tr>
      <w:tr w:rsidR="00404685" w:rsidRPr="00025B7F" w14:paraId="4392FFD6" w14:textId="77777777" w:rsidTr="006C3A53">
        <w:tc>
          <w:tcPr>
            <w:tcW w:w="0" w:type="auto"/>
            <w:hideMark/>
          </w:tcPr>
          <w:p w14:paraId="6469BA4D"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b/>
                <w:bCs/>
                <w:sz w:val="18"/>
                <w:szCs w:val="18"/>
                <w:lang w:eastAsia="en-IN"/>
              </w:rPr>
              <w:t>Brown et al., 2013</w:t>
            </w:r>
          </w:p>
        </w:tc>
        <w:tc>
          <w:tcPr>
            <w:tcW w:w="0" w:type="auto"/>
            <w:hideMark/>
          </w:tcPr>
          <w:p w14:paraId="471CFDBA"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Older homeless adults; total number of geriatric syndromes</w:t>
            </w:r>
          </w:p>
        </w:tc>
        <w:tc>
          <w:tcPr>
            <w:tcW w:w="0" w:type="auto"/>
            <w:hideMark/>
          </w:tcPr>
          <w:p w14:paraId="3E3E9C91"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Lower than high-school education, diabetes, arthritis, alcohol- and drug-use problems, and difficulty with one or more activities of daily living were associated with a higher syndrome count.</w:t>
            </w:r>
          </w:p>
        </w:tc>
        <w:tc>
          <w:tcPr>
            <w:tcW w:w="1842" w:type="dxa"/>
            <w:hideMark/>
          </w:tcPr>
          <w:p w14:paraId="030931E8"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b/>
                <w:bCs/>
                <w:sz w:val="18"/>
                <w:szCs w:val="18"/>
                <w:lang w:eastAsia="en-IN"/>
              </w:rPr>
              <w:t>Multivariable regression</w:t>
            </w:r>
          </w:p>
        </w:tc>
        <w:tc>
          <w:tcPr>
            <w:tcW w:w="3044" w:type="dxa"/>
            <w:hideMark/>
          </w:tcPr>
          <w:p w14:paraId="12CC52D9"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Retain only as specialized vulnerable-population evidence; do not generalize to ordinary community populations.</w:t>
            </w:r>
          </w:p>
        </w:tc>
      </w:tr>
      <w:tr w:rsidR="00404685" w:rsidRPr="00025B7F" w14:paraId="44A4831B" w14:textId="77777777" w:rsidTr="006C3A53">
        <w:tc>
          <w:tcPr>
            <w:tcW w:w="0" w:type="auto"/>
            <w:hideMark/>
          </w:tcPr>
          <w:p w14:paraId="796D9DA3"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b/>
                <w:bCs/>
                <w:sz w:val="18"/>
                <w:szCs w:val="18"/>
                <w:lang w:eastAsia="en-IN"/>
              </w:rPr>
              <w:t>Soundararajan et al., 2017</w:t>
            </w:r>
          </w:p>
        </w:tc>
        <w:tc>
          <w:tcPr>
            <w:tcW w:w="0" w:type="auto"/>
            <w:hideMark/>
          </w:tcPr>
          <w:p w14:paraId="7D4581CE"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Small community sample; syndromes among malnourished versus normally nourished participants</w:t>
            </w:r>
          </w:p>
        </w:tc>
        <w:tc>
          <w:tcPr>
            <w:tcW w:w="0" w:type="auto"/>
            <w:hideMark/>
          </w:tcPr>
          <w:p w14:paraId="6E91A4F5"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Malnutrition was associated with higher prevalence of depression, cognitive impairment/dementia, visual disturbance, hearing loss, dizziness and functional dependence. Falls and urinary incontinence were not significantly different.</w:t>
            </w:r>
          </w:p>
        </w:tc>
        <w:tc>
          <w:tcPr>
            <w:tcW w:w="1842" w:type="dxa"/>
            <w:hideMark/>
          </w:tcPr>
          <w:p w14:paraId="64724536"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b/>
                <w:bCs/>
                <w:sz w:val="18"/>
                <w:szCs w:val="18"/>
                <w:lang w:eastAsia="en-IN"/>
              </w:rPr>
              <w:t>Crude group comparisons; n = 60</w:t>
            </w:r>
          </w:p>
        </w:tc>
        <w:tc>
          <w:tcPr>
            <w:tcW w:w="3044" w:type="dxa"/>
            <w:hideMark/>
          </w:tcPr>
          <w:p w14:paraId="0ED60C5A"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Narrative evidence only. Directionality is uncertain because malnutrition may be either a determinant or consequence of the syndromes.</w:t>
            </w:r>
          </w:p>
        </w:tc>
      </w:tr>
      <w:tr w:rsidR="00404685" w:rsidRPr="00025B7F" w14:paraId="47D5A5EE" w14:textId="77777777" w:rsidTr="006C3A53">
        <w:tc>
          <w:tcPr>
            <w:tcW w:w="0" w:type="auto"/>
            <w:hideMark/>
          </w:tcPr>
          <w:p w14:paraId="7646754D" w14:textId="77777777" w:rsidR="00404685" w:rsidRPr="00025B7F" w:rsidRDefault="00404685" w:rsidP="006C3A53">
            <w:pPr>
              <w:rPr>
                <w:rFonts w:ascii="Times New Roman" w:eastAsia="Times New Roman" w:hAnsi="Times New Roman" w:cs="Times New Roman"/>
                <w:sz w:val="18"/>
                <w:szCs w:val="18"/>
                <w:lang w:eastAsia="en-IN"/>
              </w:rPr>
            </w:pPr>
            <w:r w:rsidRPr="00AD2352">
              <w:rPr>
                <w:rFonts w:ascii="Times New Roman" w:eastAsia="Times New Roman" w:hAnsi="Times New Roman" w:cs="Times New Roman"/>
                <w:b/>
                <w:bCs/>
                <w:sz w:val="18"/>
                <w:szCs w:val="18"/>
                <w:lang w:eastAsia="en-IN"/>
              </w:rPr>
              <w:t>R et al. (2023).</w:t>
            </w:r>
          </w:p>
        </w:tc>
        <w:tc>
          <w:tcPr>
            <w:tcW w:w="0" w:type="auto"/>
            <w:hideMark/>
          </w:tcPr>
          <w:p w14:paraId="080F0AA7"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Hospitalized older adults; geriatric syndrome burden</w:t>
            </w:r>
          </w:p>
        </w:tc>
        <w:tc>
          <w:tcPr>
            <w:tcW w:w="0" w:type="auto"/>
            <w:hideMark/>
          </w:tcPr>
          <w:p w14:paraId="44186FED"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Age, BMI and previous hospitalization were significantly related to geriatric syndrome burden.</w:t>
            </w:r>
          </w:p>
        </w:tc>
        <w:tc>
          <w:tcPr>
            <w:tcW w:w="1842" w:type="dxa"/>
            <w:hideMark/>
          </w:tcPr>
          <w:p w14:paraId="788AA6F8"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b/>
                <w:bCs/>
                <w:sz w:val="18"/>
                <w:szCs w:val="18"/>
                <w:lang w:eastAsia="en-IN"/>
              </w:rPr>
              <w:t>Bivariate χ², t test or ANOVA; no adjusted model</w:t>
            </w:r>
          </w:p>
        </w:tc>
        <w:tc>
          <w:tcPr>
            <w:tcW w:w="3044" w:type="dxa"/>
            <w:hideMark/>
          </w:tcPr>
          <w:p w14:paraId="7A346A0E"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Narrative, hospital-specific evidence only.</w:t>
            </w:r>
          </w:p>
        </w:tc>
      </w:tr>
      <w:tr w:rsidR="00404685" w:rsidRPr="00025B7F" w14:paraId="71362B4F" w14:textId="77777777" w:rsidTr="006C3A53">
        <w:tc>
          <w:tcPr>
            <w:tcW w:w="0" w:type="auto"/>
            <w:hideMark/>
          </w:tcPr>
          <w:p w14:paraId="6A4B6543"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b/>
                <w:bCs/>
                <w:sz w:val="18"/>
                <w:szCs w:val="18"/>
                <w:lang w:eastAsia="en-IN"/>
              </w:rPr>
              <w:t>Sankar et al., 2025</w:t>
            </w:r>
          </w:p>
        </w:tc>
        <w:tc>
          <w:tcPr>
            <w:tcW w:w="0" w:type="auto"/>
            <w:hideMark/>
          </w:tcPr>
          <w:p w14:paraId="6978B851"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Community-dwelling diabetic and nondiabetic older adults</w:t>
            </w:r>
          </w:p>
        </w:tc>
        <w:tc>
          <w:tcPr>
            <w:tcW w:w="0" w:type="auto"/>
            <w:hideMark/>
          </w:tcPr>
          <w:p w14:paraId="5743FABA"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 xml:space="preserve">Urban diabetes was strongly associated with polypharmacy, OR 10.15 (2.88–35.72). Most comparisons for cognitive impairment, falls and urinary incontinence were not significant. The text mentioned lower education, but education and income were not </w:t>
            </w:r>
            <w:proofErr w:type="spellStart"/>
            <w:r w:rsidRPr="00025B7F">
              <w:rPr>
                <w:rFonts w:ascii="Times New Roman" w:eastAsia="Times New Roman" w:hAnsi="Times New Roman" w:cs="Times New Roman"/>
                <w:sz w:val="18"/>
                <w:szCs w:val="18"/>
                <w:lang w:eastAsia="en-IN"/>
              </w:rPr>
              <w:t>analysed</w:t>
            </w:r>
            <w:proofErr w:type="spellEnd"/>
            <w:r w:rsidRPr="00025B7F">
              <w:rPr>
                <w:rFonts w:ascii="Times New Roman" w:eastAsia="Times New Roman" w:hAnsi="Times New Roman" w:cs="Times New Roman"/>
                <w:sz w:val="18"/>
                <w:szCs w:val="18"/>
                <w:lang w:eastAsia="en-IN"/>
              </w:rPr>
              <w:t xml:space="preserve"> sufficiently in an adjusted model.</w:t>
            </w:r>
          </w:p>
        </w:tc>
        <w:tc>
          <w:tcPr>
            <w:tcW w:w="1842" w:type="dxa"/>
            <w:hideMark/>
          </w:tcPr>
          <w:p w14:paraId="65F6A2B6"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b/>
                <w:bCs/>
                <w:sz w:val="18"/>
                <w:szCs w:val="18"/>
                <w:lang w:eastAsia="en-IN"/>
              </w:rPr>
              <w:t>Stratified crude comparisons; no multivariable adjustment</w:t>
            </w:r>
          </w:p>
        </w:tc>
        <w:tc>
          <w:tcPr>
            <w:tcW w:w="3044" w:type="dxa"/>
            <w:hideMark/>
          </w:tcPr>
          <w:p w14:paraId="41CD0499" w14:textId="77777777" w:rsidR="00404685" w:rsidRPr="00025B7F" w:rsidRDefault="00404685" w:rsidP="006C3A53">
            <w:pPr>
              <w:rPr>
                <w:rFonts w:ascii="Times New Roman" w:eastAsia="Times New Roman" w:hAnsi="Times New Roman" w:cs="Times New Roman"/>
                <w:sz w:val="18"/>
                <w:szCs w:val="18"/>
                <w:lang w:eastAsia="en-IN"/>
              </w:rPr>
            </w:pPr>
            <w:r w:rsidRPr="00025B7F">
              <w:rPr>
                <w:rFonts w:ascii="Times New Roman" w:eastAsia="Times New Roman" w:hAnsi="Times New Roman" w:cs="Times New Roman"/>
                <w:sz w:val="18"/>
                <w:szCs w:val="18"/>
                <w:lang w:eastAsia="en-IN"/>
              </w:rPr>
              <w:t>Narrative evidence only. Do not report education as an established independent determinant from this study.</w:t>
            </w:r>
          </w:p>
        </w:tc>
      </w:tr>
    </w:tbl>
    <w:p w14:paraId="62B7D9A5" w14:textId="77777777" w:rsidR="00404685" w:rsidRPr="0063268C" w:rsidRDefault="00404685" w:rsidP="00AD2352">
      <w:pPr>
        <w:rPr>
          <w:rFonts w:ascii="Times New Roman" w:hAnsi="Times New Roman" w:cs="Times New Roman"/>
          <w:sz w:val="16"/>
          <w:szCs w:val="16"/>
          <w:lang w:eastAsia="en-IN"/>
        </w:rPr>
      </w:pPr>
    </w:p>
    <w:p w14:paraId="38E4896A" w14:textId="11125A1D" w:rsidR="00CF0142" w:rsidRPr="00CF0142" w:rsidRDefault="00036FBF" w:rsidP="00CF0142">
      <w:pPr>
        <w:rPr>
          <w:b/>
          <w:bCs/>
        </w:rPr>
      </w:pPr>
      <w:r>
        <w:rPr>
          <w:b/>
          <w:bCs/>
        </w:rPr>
        <w:t>6</w:t>
      </w:r>
      <w:r w:rsidR="00C149E4">
        <w:rPr>
          <w:b/>
          <w:bCs/>
        </w:rPr>
        <w:t xml:space="preserve">. </w:t>
      </w:r>
      <w:r w:rsidR="00CF0142" w:rsidRPr="00CF0142">
        <w:rPr>
          <w:b/>
          <w:bCs/>
        </w:rPr>
        <w:t>Supplementary Table S</w:t>
      </w:r>
      <w:r>
        <w:rPr>
          <w:b/>
          <w:bCs/>
        </w:rPr>
        <w:t>6</w:t>
      </w:r>
      <w:r w:rsidR="00CF0142" w:rsidRPr="00CF0142">
        <w:rPr>
          <w:b/>
          <w:bCs/>
        </w:rPr>
        <w:t xml:space="preserve"> Sub Group Analysis</w:t>
      </w:r>
    </w:p>
    <w:tbl>
      <w:tblPr>
        <w:tblStyle w:val="TableGrid1"/>
        <w:tblW w:w="0" w:type="auto"/>
        <w:tblLayout w:type="fixed"/>
        <w:tblLook w:val="04A0" w:firstRow="1" w:lastRow="0" w:firstColumn="1" w:lastColumn="0" w:noHBand="0" w:noVBand="1"/>
      </w:tblPr>
      <w:tblGrid>
        <w:gridCol w:w="1275"/>
        <w:gridCol w:w="1839"/>
        <w:gridCol w:w="507"/>
        <w:gridCol w:w="720"/>
        <w:gridCol w:w="899"/>
        <w:gridCol w:w="836"/>
        <w:gridCol w:w="970"/>
        <w:gridCol w:w="970"/>
        <w:gridCol w:w="1000"/>
      </w:tblGrid>
      <w:tr w:rsidR="00BA2D1C" w:rsidRPr="00F0448C" w14:paraId="179AE185" w14:textId="77777777" w:rsidTr="00BA2D1C">
        <w:tc>
          <w:tcPr>
            <w:tcW w:w="1275" w:type="dxa"/>
            <w:hideMark/>
          </w:tcPr>
          <w:p w14:paraId="782F97A6" w14:textId="77777777" w:rsidR="00BA2D1C" w:rsidRPr="00F0448C" w:rsidRDefault="00BA2D1C" w:rsidP="00BA2D1C">
            <w:pPr>
              <w:jc w:val="center"/>
              <w:rPr>
                <w:rFonts w:ascii="Times New Roman" w:eastAsia="Times New Roman" w:hAnsi="Times New Roman" w:cs="Times New Roman"/>
                <w:b/>
                <w:bCs/>
                <w:sz w:val="18"/>
                <w:szCs w:val="18"/>
                <w:lang w:eastAsia="en-IN"/>
              </w:rPr>
            </w:pPr>
            <w:r w:rsidRPr="00F0448C">
              <w:rPr>
                <w:rFonts w:ascii="Times New Roman" w:eastAsia="Times New Roman" w:hAnsi="Times New Roman" w:cs="Times New Roman"/>
                <w:b/>
                <w:bCs/>
                <w:sz w:val="18"/>
                <w:szCs w:val="18"/>
                <w:lang w:eastAsia="en-IN"/>
              </w:rPr>
              <w:t>Syndrome</w:t>
            </w:r>
          </w:p>
        </w:tc>
        <w:tc>
          <w:tcPr>
            <w:tcW w:w="1839" w:type="dxa"/>
            <w:hideMark/>
          </w:tcPr>
          <w:p w14:paraId="54D9B450" w14:textId="77777777" w:rsidR="00BA2D1C" w:rsidRPr="00F0448C" w:rsidRDefault="00BA2D1C" w:rsidP="00BA2D1C">
            <w:pPr>
              <w:jc w:val="center"/>
              <w:rPr>
                <w:rFonts w:ascii="Times New Roman" w:eastAsia="Times New Roman" w:hAnsi="Times New Roman" w:cs="Times New Roman"/>
                <w:b/>
                <w:bCs/>
                <w:sz w:val="18"/>
                <w:szCs w:val="18"/>
                <w:lang w:eastAsia="en-IN"/>
              </w:rPr>
            </w:pPr>
            <w:r w:rsidRPr="00F0448C">
              <w:rPr>
                <w:rFonts w:ascii="Times New Roman" w:eastAsia="Times New Roman" w:hAnsi="Times New Roman" w:cs="Times New Roman"/>
                <w:b/>
                <w:bCs/>
                <w:sz w:val="18"/>
                <w:szCs w:val="18"/>
                <w:lang w:eastAsia="en-IN"/>
              </w:rPr>
              <w:t>Population subgroup</w:t>
            </w:r>
          </w:p>
        </w:tc>
        <w:tc>
          <w:tcPr>
            <w:tcW w:w="507" w:type="dxa"/>
            <w:hideMark/>
          </w:tcPr>
          <w:p w14:paraId="3EE74864" w14:textId="77777777" w:rsidR="00BA2D1C" w:rsidRPr="00F0448C" w:rsidRDefault="00BA2D1C" w:rsidP="00BA2D1C">
            <w:pPr>
              <w:jc w:val="right"/>
              <w:rPr>
                <w:rFonts w:ascii="Times New Roman" w:eastAsia="Times New Roman" w:hAnsi="Times New Roman" w:cs="Times New Roman"/>
                <w:b/>
                <w:bCs/>
                <w:sz w:val="18"/>
                <w:szCs w:val="18"/>
                <w:lang w:eastAsia="en-IN"/>
              </w:rPr>
            </w:pPr>
            <w:r w:rsidRPr="00F0448C">
              <w:rPr>
                <w:rFonts w:ascii="Times New Roman" w:eastAsia="Times New Roman" w:hAnsi="Times New Roman" w:cs="Times New Roman"/>
                <w:b/>
                <w:bCs/>
                <w:sz w:val="18"/>
                <w:szCs w:val="18"/>
                <w:lang w:eastAsia="en-IN"/>
              </w:rPr>
              <w:t>k</w:t>
            </w:r>
          </w:p>
        </w:tc>
        <w:tc>
          <w:tcPr>
            <w:tcW w:w="720" w:type="dxa"/>
            <w:hideMark/>
          </w:tcPr>
          <w:p w14:paraId="49D0EA50" w14:textId="77777777" w:rsidR="00BA2D1C" w:rsidRPr="00F0448C" w:rsidRDefault="00BA2D1C" w:rsidP="00BA2D1C">
            <w:pPr>
              <w:jc w:val="right"/>
              <w:rPr>
                <w:rFonts w:ascii="Times New Roman" w:eastAsia="Times New Roman" w:hAnsi="Times New Roman" w:cs="Times New Roman"/>
                <w:b/>
                <w:bCs/>
                <w:sz w:val="18"/>
                <w:szCs w:val="18"/>
                <w:lang w:eastAsia="en-IN"/>
              </w:rPr>
            </w:pPr>
            <w:r w:rsidRPr="00F0448C">
              <w:rPr>
                <w:rFonts w:ascii="Times New Roman" w:eastAsia="Times New Roman" w:hAnsi="Times New Roman" w:cs="Times New Roman"/>
                <w:b/>
                <w:bCs/>
                <w:sz w:val="18"/>
                <w:szCs w:val="18"/>
                <w:lang w:eastAsia="en-IN"/>
              </w:rPr>
              <w:t>N</w:t>
            </w:r>
          </w:p>
        </w:tc>
        <w:tc>
          <w:tcPr>
            <w:tcW w:w="899" w:type="dxa"/>
            <w:hideMark/>
          </w:tcPr>
          <w:p w14:paraId="6EB9CB90" w14:textId="77777777" w:rsidR="00BA2D1C" w:rsidRPr="00F0448C" w:rsidRDefault="00BA2D1C" w:rsidP="00BA2D1C">
            <w:pPr>
              <w:jc w:val="right"/>
              <w:rPr>
                <w:rFonts w:ascii="Times New Roman" w:eastAsia="Times New Roman" w:hAnsi="Times New Roman" w:cs="Times New Roman"/>
                <w:b/>
                <w:bCs/>
                <w:sz w:val="18"/>
                <w:szCs w:val="18"/>
                <w:lang w:eastAsia="en-IN"/>
              </w:rPr>
            </w:pPr>
            <w:r w:rsidRPr="00F0448C">
              <w:rPr>
                <w:rFonts w:ascii="Times New Roman" w:eastAsia="Times New Roman" w:hAnsi="Times New Roman" w:cs="Times New Roman"/>
                <w:b/>
                <w:bCs/>
                <w:sz w:val="18"/>
                <w:szCs w:val="18"/>
                <w:lang w:eastAsia="en-IN"/>
              </w:rPr>
              <w:t>Pooled prevalence, %</w:t>
            </w:r>
          </w:p>
        </w:tc>
        <w:tc>
          <w:tcPr>
            <w:tcW w:w="836" w:type="dxa"/>
            <w:hideMark/>
          </w:tcPr>
          <w:p w14:paraId="68C33E9C" w14:textId="77777777" w:rsidR="00BA2D1C" w:rsidRPr="00F0448C" w:rsidRDefault="00BA2D1C" w:rsidP="00BA2D1C">
            <w:pPr>
              <w:jc w:val="right"/>
              <w:rPr>
                <w:rFonts w:ascii="Times New Roman" w:eastAsia="Times New Roman" w:hAnsi="Times New Roman" w:cs="Times New Roman"/>
                <w:b/>
                <w:bCs/>
                <w:sz w:val="18"/>
                <w:szCs w:val="18"/>
                <w:lang w:eastAsia="en-IN"/>
              </w:rPr>
            </w:pPr>
            <w:r w:rsidRPr="00F0448C">
              <w:rPr>
                <w:rFonts w:ascii="Times New Roman" w:eastAsia="Times New Roman" w:hAnsi="Times New Roman" w:cs="Times New Roman"/>
                <w:b/>
                <w:bCs/>
                <w:sz w:val="18"/>
                <w:szCs w:val="18"/>
                <w:lang w:eastAsia="en-IN"/>
              </w:rPr>
              <w:t>95% CI, %</w:t>
            </w:r>
          </w:p>
        </w:tc>
        <w:tc>
          <w:tcPr>
            <w:tcW w:w="970" w:type="dxa"/>
            <w:hideMark/>
          </w:tcPr>
          <w:p w14:paraId="2545C4B5" w14:textId="77777777" w:rsidR="00BA2D1C" w:rsidRPr="00F0448C" w:rsidRDefault="00BA2D1C" w:rsidP="00BA2D1C">
            <w:pPr>
              <w:jc w:val="right"/>
              <w:rPr>
                <w:rFonts w:ascii="Times New Roman" w:eastAsia="Times New Roman" w:hAnsi="Times New Roman" w:cs="Times New Roman"/>
                <w:b/>
                <w:bCs/>
                <w:sz w:val="18"/>
                <w:szCs w:val="18"/>
                <w:lang w:eastAsia="en-IN"/>
              </w:rPr>
            </w:pPr>
            <w:r w:rsidRPr="00F0448C">
              <w:rPr>
                <w:rFonts w:ascii="Times New Roman" w:eastAsia="Times New Roman" w:hAnsi="Times New Roman" w:cs="Times New Roman"/>
                <w:b/>
                <w:bCs/>
                <w:sz w:val="18"/>
                <w:szCs w:val="18"/>
                <w:lang w:eastAsia="en-IN"/>
              </w:rPr>
              <w:t>I², %</w:t>
            </w:r>
          </w:p>
        </w:tc>
        <w:tc>
          <w:tcPr>
            <w:tcW w:w="970" w:type="dxa"/>
            <w:hideMark/>
          </w:tcPr>
          <w:p w14:paraId="00982C06" w14:textId="77777777" w:rsidR="00BA2D1C" w:rsidRPr="00F0448C" w:rsidRDefault="00BA2D1C" w:rsidP="00BA2D1C">
            <w:pPr>
              <w:jc w:val="right"/>
              <w:rPr>
                <w:rFonts w:ascii="Times New Roman" w:eastAsia="Times New Roman" w:hAnsi="Times New Roman" w:cs="Times New Roman"/>
                <w:b/>
                <w:bCs/>
                <w:sz w:val="18"/>
                <w:szCs w:val="18"/>
                <w:lang w:eastAsia="en-IN"/>
              </w:rPr>
            </w:pPr>
            <w:r w:rsidRPr="00F0448C">
              <w:rPr>
                <w:rFonts w:ascii="Times New Roman" w:eastAsia="Times New Roman" w:hAnsi="Times New Roman" w:cs="Times New Roman"/>
                <w:b/>
                <w:bCs/>
                <w:sz w:val="18"/>
                <w:szCs w:val="18"/>
                <w:lang w:eastAsia="en-IN"/>
              </w:rPr>
              <w:t>τ²</w:t>
            </w:r>
          </w:p>
        </w:tc>
        <w:tc>
          <w:tcPr>
            <w:tcW w:w="1000" w:type="dxa"/>
            <w:hideMark/>
          </w:tcPr>
          <w:p w14:paraId="68DD949B" w14:textId="77777777" w:rsidR="00BA2D1C" w:rsidRPr="00F0448C" w:rsidRDefault="00BA2D1C" w:rsidP="00BA2D1C">
            <w:pPr>
              <w:jc w:val="right"/>
              <w:rPr>
                <w:rFonts w:ascii="Times New Roman" w:eastAsia="Times New Roman" w:hAnsi="Times New Roman" w:cs="Times New Roman"/>
                <w:b/>
                <w:bCs/>
                <w:sz w:val="18"/>
                <w:szCs w:val="18"/>
                <w:lang w:eastAsia="en-IN"/>
              </w:rPr>
            </w:pPr>
            <w:r w:rsidRPr="00F0448C">
              <w:rPr>
                <w:rFonts w:ascii="Times New Roman" w:eastAsia="Times New Roman" w:hAnsi="Times New Roman" w:cs="Times New Roman"/>
                <w:b/>
                <w:bCs/>
                <w:sz w:val="18"/>
                <w:szCs w:val="18"/>
                <w:lang w:eastAsia="en-IN"/>
              </w:rPr>
              <w:t>P for subgroup difference</w:t>
            </w:r>
          </w:p>
        </w:tc>
      </w:tr>
      <w:tr w:rsidR="00BA2D1C" w:rsidRPr="00F0448C" w14:paraId="19548EE0" w14:textId="77777777" w:rsidTr="00BA2D1C">
        <w:tc>
          <w:tcPr>
            <w:tcW w:w="1275" w:type="dxa"/>
            <w:hideMark/>
          </w:tcPr>
          <w:p w14:paraId="2BCA56C7" w14:textId="77777777" w:rsidR="00BA2D1C" w:rsidRPr="00F0448C" w:rsidRDefault="00BA2D1C" w:rsidP="00BA2D1C">
            <w:pPr>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Cognitive impairment</w:t>
            </w:r>
          </w:p>
        </w:tc>
        <w:tc>
          <w:tcPr>
            <w:tcW w:w="1839" w:type="dxa"/>
            <w:hideMark/>
          </w:tcPr>
          <w:p w14:paraId="0C6FD142" w14:textId="77777777" w:rsidR="00BA2D1C" w:rsidRPr="00F0448C" w:rsidRDefault="00BA2D1C" w:rsidP="00BA2D1C">
            <w:pPr>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General community/population-based</w:t>
            </w:r>
          </w:p>
        </w:tc>
        <w:tc>
          <w:tcPr>
            <w:tcW w:w="507" w:type="dxa"/>
            <w:hideMark/>
          </w:tcPr>
          <w:p w14:paraId="38BB96F6"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9</w:t>
            </w:r>
          </w:p>
        </w:tc>
        <w:tc>
          <w:tcPr>
            <w:tcW w:w="720" w:type="dxa"/>
            <w:hideMark/>
          </w:tcPr>
          <w:p w14:paraId="0F9B27DF"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53,745</w:t>
            </w:r>
          </w:p>
        </w:tc>
        <w:tc>
          <w:tcPr>
            <w:tcW w:w="899" w:type="dxa"/>
            <w:hideMark/>
          </w:tcPr>
          <w:p w14:paraId="4E555AF2"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b/>
                <w:bCs/>
                <w:sz w:val="18"/>
                <w:szCs w:val="18"/>
                <w:lang w:eastAsia="en-IN"/>
              </w:rPr>
              <w:t>24.2</w:t>
            </w:r>
          </w:p>
        </w:tc>
        <w:tc>
          <w:tcPr>
            <w:tcW w:w="836" w:type="dxa"/>
            <w:hideMark/>
          </w:tcPr>
          <w:p w14:paraId="3B8ED3F3"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16.9–31.4</w:t>
            </w:r>
          </w:p>
        </w:tc>
        <w:tc>
          <w:tcPr>
            <w:tcW w:w="970" w:type="dxa"/>
            <w:hideMark/>
          </w:tcPr>
          <w:p w14:paraId="7165E98A"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99.7</w:t>
            </w:r>
          </w:p>
        </w:tc>
        <w:tc>
          <w:tcPr>
            <w:tcW w:w="970" w:type="dxa"/>
            <w:hideMark/>
          </w:tcPr>
          <w:p w14:paraId="6DBD5249"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0.0121</w:t>
            </w:r>
          </w:p>
        </w:tc>
        <w:tc>
          <w:tcPr>
            <w:tcW w:w="1000" w:type="dxa"/>
            <w:hideMark/>
          </w:tcPr>
          <w:p w14:paraId="130A9DCD"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0.180</w:t>
            </w:r>
          </w:p>
        </w:tc>
      </w:tr>
      <w:tr w:rsidR="00BA2D1C" w:rsidRPr="00F0448C" w14:paraId="0BF837A2" w14:textId="77777777" w:rsidTr="00BA2D1C">
        <w:tc>
          <w:tcPr>
            <w:tcW w:w="1275" w:type="dxa"/>
            <w:hideMark/>
          </w:tcPr>
          <w:p w14:paraId="5BF9F333" w14:textId="77777777" w:rsidR="00BA2D1C" w:rsidRPr="00F0448C" w:rsidRDefault="00BA2D1C" w:rsidP="00BA2D1C">
            <w:pPr>
              <w:jc w:val="right"/>
              <w:rPr>
                <w:rFonts w:ascii="Times New Roman" w:eastAsia="Times New Roman" w:hAnsi="Times New Roman" w:cs="Times New Roman"/>
                <w:sz w:val="18"/>
                <w:szCs w:val="18"/>
                <w:lang w:eastAsia="en-IN"/>
              </w:rPr>
            </w:pPr>
          </w:p>
        </w:tc>
        <w:tc>
          <w:tcPr>
            <w:tcW w:w="1839" w:type="dxa"/>
            <w:hideMark/>
          </w:tcPr>
          <w:p w14:paraId="1EF3E4D7" w14:textId="77777777" w:rsidR="00BA2D1C" w:rsidRPr="00F0448C" w:rsidRDefault="00BA2D1C" w:rsidP="00BA2D1C">
            <w:pPr>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Selected/mixed community cohorts</w:t>
            </w:r>
          </w:p>
        </w:tc>
        <w:tc>
          <w:tcPr>
            <w:tcW w:w="507" w:type="dxa"/>
            <w:hideMark/>
          </w:tcPr>
          <w:p w14:paraId="0D9EC282"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3</w:t>
            </w:r>
          </w:p>
        </w:tc>
        <w:tc>
          <w:tcPr>
            <w:tcW w:w="720" w:type="dxa"/>
            <w:hideMark/>
          </w:tcPr>
          <w:p w14:paraId="1E98A3C2"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12,699</w:t>
            </w:r>
          </w:p>
        </w:tc>
        <w:tc>
          <w:tcPr>
            <w:tcW w:w="899" w:type="dxa"/>
            <w:hideMark/>
          </w:tcPr>
          <w:p w14:paraId="60CF1B99"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b/>
                <w:bCs/>
                <w:sz w:val="18"/>
                <w:szCs w:val="18"/>
                <w:lang w:eastAsia="en-IN"/>
              </w:rPr>
              <w:t>36.1</w:t>
            </w:r>
          </w:p>
        </w:tc>
        <w:tc>
          <w:tcPr>
            <w:tcW w:w="836" w:type="dxa"/>
            <w:hideMark/>
          </w:tcPr>
          <w:p w14:paraId="0462996C"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0.0–74.2</w:t>
            </w:r>
          </w:p>
        </w:tc>
        <w:tc>
          <w:tcPr>
            <w:tcW w:w="970" w:type="dxa"/>
            <w:hideMark/>
          </w:tcPr>
          <w:p w14:paraId="55A479BB"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99.9</w:t>
            </w:r>
          </w:p>
        </w:tc>
        <w:tc>
          <w:tcPr>
            <w:tcW w:w="970" w:type="dxa"/>
            <w:hideMark/>
          </w:tcPr>
          <w:p w14:paraId="21DEEF4D"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0.1129</w:t>
            </w:r>
          </w:p>
        </w:tc>
        <w:tc>
          <w:tcPr>
            <w:tcW w:w="1000" w:type="dxa"/>
            <w:hideMark/>
          </w:tcPr>
          <w:p w14:paraId="008F13D3" w14:textId="77777777" w:rsidR="00BA2D1C" w:rsidRPr="00F0448C" w:rsidRDefault="00BA2D1C" w:rsidP="00BA2D1C">
            <w:pPr>
              <w:jc w:val="right"/>
              <w:rPr>
                <w:rFonts w:ascii="Times New Roman" w:eastAsia="Times New Roman" w:hAnsi="Times New Roman" w:cs="Times New Roman"/>
                <w:sz w:val="18"/>
                <w:szCs w:val="18"/>
                <w:lang w:eastAsia="en-IN"/>
              </w:rPr>
            </w:pPr>
          </w:p>
        </w:tc>
      </w:tr>
      <w:tr w:rsidR="00BA2D1C" w:rsidRPr="00F0448C" w14:paraId="577DB8AD" w14:textId="77777777" w:rsidTr="00BA2D1C">
        <w:tc>
          <w:tcPr>
            <w:tcW w:w="1275" w:type="dxa"/>
            <w:hideMark/>
          </w:tcPr>
          <w:p w14:paraId="4C7AFB3F" w14:textId="77777777" w:rsidR="00BA2D1C" w:rsidRPr="00F0448C" w:rsidRDefault="00BA2D1C" w:rsidP="00BA2D1C">
            <w:pPr>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Depression</w:t>
            </w:r>
          </w:p>
        </w:tc>
        <w:tc>
          <w:tcPr>
            <w:tcW w:w="1839" w:type="dxa"/>
            <w:hideMark/>
          </w:tcPr>
          <w:p w14:paraId="25058A79" w14:textId="77777777" w:rsidR="00BA2D1C" w:rsidRPr="00F0448C" w:rsidRDefault="00BA2D1C" w:rsidP="00BA2D1C">
            <w:pPr>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General community/population-based</w:t>
            </w:r>
          </w:p>
        </w:tc>
        <w:tc>
          <w:tcPr>
            <w:tcW w:w="507" w:type="dxa"/>
            <w:hideMark/>
          </w:tcPr>
          <w:p w14:paraId="609E1960" w14:textId="25279D13"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1</w:t>
            </w:r>
            <w:r w:rsidR="00D46C56">
              <w:rPr>
                <w:rFonts w:ascii="Times New Roman" w:eastAsia="Times New Roman" w:hAnsi="Times New Roman" w:cs="Times New Roman"/>
                <w:sz w:val="18"/>
                <w:szCs w:val="18"/>
                <w:lang w:eastAsia="en-IN"/>
              </w:rPr>
              <w:t>2</w:t>
            </w:r>
          </w:p>
        </w:tc>
        <w:tc>
          <w:tcPr>
            <w:tcW w:w="720" w:type="dxa"/>
            <w:hideMark/>
          </w:tcPr>
          <w:p w14:paraId="2C40546A" w14:textId="628DE9AA"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6</w:t>
            </w:r>
            <w:r w:rsidR="00D46C56">
              <w:rPr>
                <w:rFonts w:ascii="Times New Roman" w:eastAsia="Times New Roman" w:hAnsi="Times New Roman" w:cs="Times New Roman"/>
                <w:sz w:val="18"/>
                <w:szCs w:val="18"/>
                <w:lang w:eastAsia="en-IN"/>
              </w:rPr>
              <w:t>4</w:t>
            </w:r>
            <w:r w:rsidRPr="00F0448C">
              <w:rPr>
                <w:rFonts w:ascii="Times New Roman" w:eastAsia="Times New Roman" w:hAnsi="Times New Roman" w:cs="Times New Roman"/>
                <w:sz w:val="18"/>
                <w:szCs w:val="18"/>
                <w:lang w:eastAsia="en-IN"/>
              </w:rPr>
              <w:t>,</w:t>
            </w:r>
            <w:r w:rsidR="00D46C56">
              <w:rPr>
                <w:rFonts w:ascii="Times New Roman" w:eastAsia="Times New Roman" w:hAnsi="Times New Roman" w:cs="Times New Roman"/>
                <w:sz w:val="18"/>
                <w:szCs w:val="18"/>
                <w:lang w:eastAsia="en-IN"/>
              </w:rPr>
              <w:t>9</w:t>
            </w:r>
            <w:r w:rsidRPr="00F0448C">
              <w:rPr>
                <w:rFonts w:ascii="Times New Roman" w:eastAsia="Times New Roman" w:hAnsi="Times New Roman" w:cs="Times New Roman"/>
                <w:sz w:val="18"/>
                <w:szCs w:val="18"/>
                <w:lang w:eastAsia="en-IN"/>
              </w:rPr>
              <w:t>50</w:t>
            </w:r>
          </w:p>
        </w:tc>
        <w:tc>
          <w:tcPr>
            <w:tcW w:w="899" w:type="dxa"/>
            <w:hideMark/>
          </w:tcPr>
          <w:p w14:paraId="3AF3267F" w14:textId="27C14103" w:rsidR="00BA2D1C" w:rsidRPr="00F0448C" w:rsidRDefault="00FA4E1E" w:rsidP="00BA2D1C">
            <w:pPr>
              <w:jc w:val="right"/>
              <w:rPr>
                <w:rFonts w:ascii="Times New Roman" w:eastAsia="Times New Roman" w:hAnsi="Times New Roman" w:cs="Times New Roman"/>
                <w:sz w:val="18"/>
                <w:szCs w:val="18"/>
                <w:lang w:eastAsia="en-IN"/>
              </w:rPr>
            </w:pPr>
            <w:r>
              <w:rPr>
                <w:rFonts w:ascii="Times New Roman" w:eastAsia="Times New Roman" w:hAnsi="Times New Roman" w:cs="Times New Roman"/>
                <w:b/>
                <w:bCs/>
                <w:sz w:val="18"/>
                <w:szCs w:val="18"/>
                <w:lang w:eastAsia="en-IN"/>
              </w:rPr>
              <w:t>24.</w:t>
            </w:r>
            <w:r w:rsidR="00D46C56">
              <w:rPr>
                <w:rFonts w:ascii="Times New Roman" w:eastAsia="Times New Roman" w:hAnsi="Times New Roman" w:cs="Times New Roman"/>
                <w:b/>
                <w:bCs/>
                <w:sz w:val="18"/>
                <w:szCs w:val="18"/>
                <w:lang w:eastAsia="en-IN"/>
              </w:rPr>
              <w:t>4</w:t>
            </w:r>
          </w:p>
        </w:tc>
        <w:tc>
          <w:tcPr>
            <w:tcW w:w="836" w:type="dxa"/>
            <w:hideMark/>
          </w:tcPr>
          <w:p w14:paraId="1D18B4A0" w14:textId="5A405972" w:rsidR="00BA2D1C" w:rsidRPr="00F0448C" w:rsidRDefault="00D46C56" w:rsidP="00BA2D1C">
            <w:pPr>
              <w:jc w:val="right"/>
              <w:rPr>
                <w:rFonts w:ascii="Times New Roman" w:eastAsia="Times New Roman" w:hAnsi="Times New Roman" w:cs="Times New Roman"/>
                <w:sz w:val="18"/>
                <w:szCs w:val="18"/>
                <w:lang w:eastAsia="en-IN"/>
              </w:rPr>
            </w:pPr>
            <w:r>
              <w:rPr>
                <w:rFonts w:ascii="Times New Roman" w:eastAsia="Times New Roman" w:hAnsi="Times New Roman" w:cs="Times New Roman"/>
                <w:sz w:val="18"/>
                <w:szCs w:val="18"/>
                <w:lang w:eastAsia="en-IN"/>
              </w:rPr>
              <w:t>19.8</w:t>
            </w:r>
            <w:r w:rsidR="00BA2D1C" w:rsidRPr="00F0448C">
              <w:rPr>
                <w:rFonts w:ascii="Times New Roman" w:eastAsia="Times New Roman" w:hAnsi="Times New Roman" w:cs="Times New Roman"/>
                <w:sz w:val="18"/>
                <w:szCs w:val="18"/>
                <w:lang w:eastAsia="en-IN"/>
              </w:rPr>
              <w:t>–</w:t>
            </w:r>
            <w:r>
              <w:rPr>
                <w:rFonts w:ascii="Times New Roman" w:eastAsia="Times New Roman" w:hAnsi="Times New Roman" w:cs="Times New Roman"/>
                <w:sz w:val="18"/>
                <w:szCs w:val="18"/>
                <w:lang w:eastAsia="en-IN"/>
              </w:rPr>
              <w:t>28.9</w:t>
            </w:r>
          </w:p>
        </w:tc>
        <w:tc>
          <w:tcPr>
            <w:tcW w:w="970" w:type="dxa"/>
            <w:hideMark/>
          </w:tcPr>
          <w:p w14:paraId="57D61379"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99.7</w:t>
            </w:r>
          </w:p>
        </w:tc>
        <w:tc>
          <w:tcPr>
            <w:tcW w:w="970" w:type="dxa"/>
            <w:hideMark/>
          </w:tcPr>
          <w:p w14:paraId="4AB5EF62"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0.0065</w:t>
            </w:r>
          </w:p>
        </w:tc>
        <w:tc>
          <w:tcPr>
            <w:tcW w:w="1000" w:type="dxa"/>
            <w:hideMark/>
          </w:tcPr>
          <w:p w14:paraId="40AD680E" w14:textId="101FDA0E"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0.</w:t>
            </w:r>
            <w:r w:rsidR="00FA4E1E">
              <w:rPr>
                <w:rFonts w:ascii="Times New Roman" w:eastAsia="Times New Roman" w:hAnsi="Times New Roman" w:cs="Times New Roman"/>
                <w:sz w:val="18"/>
                <w:szCs w:val="18"/>
                <w:lang w:eastAsia="en-IN"/>
              </w:rPr>
              <w:t>934</w:t>
            </w:r>
          </w:p>
        </w:tc>
      </w:tr>
      <w:tr w:rsidR="00BA2D1C" w:rsidRPr="00F0448C" w14:paraId="58ED18D2" w14:textId="77777777" w:rsidTr="00BA2D1C">
        <w:tc>
          <w:tcPr>
            <w:tcW w:w="1275" w:type="dxa"/>
            <w:hideMark/>
          </w:tcPr>
          <w:p w14:paraId="0D22ABA7" w14:textId="77777777" w:rsidR="00BA2D1C" w:rsidRPr="00F0448C" w:rsidRDefault="00BA2D1C" w:rsidP="00BA2D1C">
            <w:pPr>
              <w:jc w:val="right"/>
              <w:rPr>
                <w:rFonts w:ascii="Times New Roman" w:eastAsia="Times New Roman" w:hAnsi="Times New Roman" w:cs="Times New Roman"/>
                <w:sz w:val="18"/>
                <w:szCs w:val="18"/>
                <w:lang w:eastAsia="en-IN"/>
              </w:rPr>
            </w:pPr>
          </w:p>
        </w:tc>
        <w:tc>
          <w:tcPr>
            <w:tcW w:w="1839" w:type="dxa"/>
            <w:hideMark/>
          </w:tcPr>
          <w:p w14:paraId="061FE13D" w14:textId="77777777" w:rsidR="00BA2D1C" w:rsidRPr="00F0448C" w:rsidRDefault="00BA2D1C" w:rsidP="00BA2D1C">
            <w:pPr>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Selected/mixed community cohorts</w:t>
            </w:r>
          </w:p>
        </w:tc>
        <w:tc>
          <w:tcPr>
            <w:tcW w:w="507" w:type="dxa"/>
            <w:hideMark/>
          </w:tcPr>
          <w:p w14:paraId="1010A426"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2</w:t>
            </w:r>
          </w:p>
        </w:tc>
        <w:tc>
          <w:tcPr>
            <w:tcW w:w="720" w:type="dxa"/>
            <w:hideMark/>
          </w:tcPr>
          <w:p w14:paraId="6976081D"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1,512</w:t>
            </w:r>
          </w:p>
        </w:tc>
        <w:tc>
          <w:tcPr>
            <w:tcW w:w="899" w:type="dxa"/>
            <w:hideMark/>
          </w:tcPr>
          <w:p w14:paraId="70223738"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b/>
                <w:bCs/>
                <w:sz w:val="18"/>
                <w:szCs w:val="18"/>
                <w:lang w:eastAsia="en-IN"/>
              </w:rPr>
              <w:t>25.0</w:t>
            </w:r>
          </w:p>
        </w:tc>
        <w:tc>
          <w:tcPr>
            <w:tcW w:w="836" w:type="dxa"/>
            <w:hideMark/>
          </w:tcPr>
          <w:p w14:paraId="6BAD54C1"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0.0–66.1</w:t>
            </w:r>
          </w:p>
        </w:tc>
        <w:tc>
          <w:tcPr>
            <w:tcW w:w="970" w:type="dxa"/>
            <w:hideMark/>
          </w:tcPr>
          <w:p w14:paraId="7399623A"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99.8</w:t>
            </w:r>
          </w:p>
        </w:tc>
        <w:tc>
          <w:tcPr>
            <w:tcW w:w="970" w:type="dxa"/>
            <w:hideMark/>
          </w:tcPr>
          <w:p w14:paraId="5E5A3D7C"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0.0876</w:t>
            </w:r>
          </w:p>
        </w:tc>
        <w:tc>
          <w:tcPr>
            <w:tcW w:w="1000" w:type="dxa"/>
            <w:hideMark/>
          </w:tcPr>
          <w:p w14:paraId="46F5A5F9" w14:textId="77777777" w:rsidR="00BA2D1C" w:rsidRPr="00F0448C" w:rsidRDefault="00BA2D1C" w:rsidP="00BA2D1C">
            <w:pPr>
              <w:jc w:val="right"/>
              <w:rPr>
                <w:rFonts w:ascii="Times New Roman" w:eastAsia="Times New Roman" w:hAnsi="Times New Roman" w:cs="Times New Roman"/>
                <w:sz w:val="18"/>
                <w:szCs w:val="18"/>
                <w:lang w:eastAsia="en-IN"/>
              </w:rPr>
            </w:pPr>
          </w:p>
        </w:tc>
      </w:tr>
      <w:tr w:rsidR="00BA2D1C" w:rsidRPr="00F0448C" w14:paraId="79BB84FC" w14:textId="77777777" w:rsidTr="00BA2D1C">
        <w:tc>
          <w:tcPr>
            <w:tcW w:w="1275" w:type="dxa"/>
            <w:hideMark/>
          </w:tcPr>
          <w:p w14:paraId="1ADE288D" w14:textId="77777777" w:rsidR="00BA2D1C" w:rsidRPr="00F0448C" w:rsidRDefault="00BA2D1C" w:rsidP="00BA2D1C">
            <w:pPr>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Frailty</w:t>
            </w:r>
          </w:p>
        </w:tc>
        <w:tc>
          <w:tcPr>
            <w:tcW w:w="1839" w:type="dxa"/>
            <w:hideMark/>
          </w:tcPr>
          <w:p w14:paraId="57C67127" w14:textId="77777777" w:rsidR="00BA2D1C" w:rsidRPr="00F0448C" w:rsidRDefault="00BA2D1C" w:rsidP="00BA2D1C">
            <w:pPr>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General community/population-based</w:t>
            </w:r>
          </w:p>
        </w:tc>
        <w:tc>
          <w:tcPr>
            <w:tcW w:w="507" w:type="dxa"/>
            <w:hideMark/>
          </w:tcPr>
          <w:p w14:paraId="72EFCD64"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8</w:t>
            </w:r>
          </w:p>
        </w:tc>
        <w:tc>
          <w:tcPr>
            <w:tcW w:w="720" w:type="dxa"/>
            <w:hideMark/>
          </w:tcPr>
          <w:p w14:paraId="74A76891"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17,039</w:t>
            </w:r>
          </w:p>
        </w:tc>
        <w:tc>
          <w:tcPr>
            <w:tcW w:w="899" w:type="dxa"/>
            <w:hideMark/>
          </w:tcPr>
          <w:p w14:paraId="55636A9A"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b/>
                <w:bCs/>
                <w:sz w:val="18"/>
                <w:szCs w:val="18"/>
                <w:lang w:eastAsia="en-IN"/>
              </w:rPr>
              <w:t>20.0</w:t>
            </w:r>
          </w:p>
        </w:tc>
        <w:tc>
          <w:tcPr>
            <w:tcW w:w="836" w:type="dxa"/>
            <w:hideMark/>
          </w:tcPr>
          <w:p w14:paraId="61FD6D63"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14.1–25.9</w:t>
            </w:r>
          </w:p>
        </w:tc>
        <w:tc>
          <w:tcPr>
            <w:tcW w:w="970" w:type="dxa"/>
            <w:hideMark/>
          </w:tcPr>
          <w:p w14:paraId="525A47D4"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99.2</w:t>
            </w:r>
          </w:p>
        </w:tc>
        <w:tc>
          <w:tcPr>
            <w:tcW w:w="970" w:type="dxa"/>
            <w:hideMark/>
          </w:tcPr>
          <w:p w14:paraId="6C827A30"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0.0070</w:t>
            </w:r>
          </w:p>
        </w:tc>
        <w:tc>
          <w:tcPr>
            <w:tcW w:w="1000" w:type="dxa"/>
            <w:hideMark/>
          </w:tcPr>
          <w:p w14:paraId="64966C09"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0.829</w:t>
            </w:r>
          </w:p>
        </w:tc>
      </w:tr>
      <w:tr w:rsidR="00BA2D1C" w:rsidRPr="00F0448C" w14:paraId="1C3312EA" w14:textId="77777777" w:rsidTr="00BA2D1C">
        <w:tc>
          <w:tcPr>
            <w:tcW w:w="1275" w:type="dxa"/>
            <w:hideMark/>
          </w:tcPr>
          <w:p w14:paraId="29E9B115" w14:textId="77777777" w:rsidR="00BA2D1C" w:rsidRPr="00F0448C" w:rsidRDefault="00BA2D1C" w:rsidP="00BA2D1C">
            <w:pPr>
              <w:jc w:val="right"/>
              <w:rPr>
                <w:rFonts w:ascii="Times New Roman" w:eastAsia="Times New Roman" w:hAnsi="Times New Roman" w:cs="Times New Roman"/>
                <w:sz w:val="18"/>
                <w:szCs w:val="18"/>
                <w:lang w:eastAsia="en-IN"/>
              </w:rPr>
            </w:pPr>
          </w:p>
        </w:tc>
        <w:tc>
          <w:tcPr>
            <w:tcW w:w="1839" w:type="dxa"/>
            <w:hideMark/>
          </w:tcPr>
          <w:p w14:paraId="053B3E16" w14:textId="77777777" w:rsidR="00BA2D1C" w:rsidRPr="00F0448C" w:rsidRDefault="00BA2D1C" w:rsidP="00BA2D1C">
            <w:pPr>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Selected/mixed community cohorts</w:t>
            </w:r>
          </w:p>
        </w:tc>
        <w:tc>
          <w:tcPr>
            <w:tcW w:w="507" w:type="dxa"/>
            <w:hideMark/>
          </w:tcPr>
          <w:p w14:paraId="4CC98218"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2</w:t>
            </w:r>
          </w:p>
        </w:tc>
        <w:tc>
          <w:tcPr>
            <w:tcW w:w="720" w:type="dxa"/>
            <w:hideMark/>
          </w:tcPr>
          <w:p w14:paraId="6990C415"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678</w:t>
            </w:r>
          </w:p>
        </w:tc>
        <w:tc>
          <w:tcPr>
            <w:tcW w:w="899" w:type="dxa"/>
            <w:hideMark/>
          </w:tcPr>
          <w:p w14:paraId="71BF5303"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b/>
                <w:bCs/>
                <w:sz w:val="18"/>
                <w:szCs w:val="18"/>
                <w:lang w:eastAsia="en-IN"/>
              </w:rPr>
              <w:t>18.7</w:t>
            </w:r>
          </w:p>
        </w:tc>
        <w:tc>
          <w:tcPr>
            <w:tcW w:w="836" w:type="dxa"/>
            <w:hideMark/>
          </w:tcPr>
          <w:p w14:paraId="53E07DD2"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0.0–41.3</w:t>
            </w:r>
          </w:p>
        </w:tc>
        <w:tc>
          <w:tcPr>
            <w:tcW w:w="970" w:type="dxa"/>
            <w:hideMark/>
          </w:tcPr>
          <w:p w14:paraId="6647B222"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98.5</w:t>
            </w:r>
          </w:p>
        </w:tc>
        <w:tc>
          <w:tcPr>
            <w:tcW w:w="970" w:type="dxa"/>
            <w:hideMark/>
          </w:tcPr>
          <w:p w14:paraId="6789C22D"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0.0263</w:t>
            </w:r>
          </w:p>
        </w:tc>
        <w:tc>
          <w:tcPr>
            <w:tcW w:w="1000" w:type="dxa"/>
            <w:hideMark/>
          </w:tcPr>
          <w:p w14:paraId="2AEB33E8" w14:textId="77777777" w:rsidR="00BA2D1C" w:rsidRPr="00F0448C" w:rsidRDefault="00BA2D1C" w:rsidP="00BA2D1C">
            <w:pPr>
              <w:jc w:val="right"/>
              <w:rPr>
                <w:rFonts w:ascii="Times New Roman" w:eastAsia="Times New Roman" w:hAnsi="Times New Roman" w:cs="Times New Roman"/>
                <w:sz w:val="18"/>
                <w:szCs w:val="18"/>
                <w:lang w:eastAsia="en-IN"/>
              </w:rPr>
            </w:pPr>
          </w:p>
        </w:tc>
      </w:tr>
      <w:tr w:rsidR="00BA2D1C" w:rsidRPr="00F0448C" w14:paraId="0DA3CEFC" w14:textId="77777777" w:rsidTr="00BA2D1C">
        <w:tc>
          <w:tcPr>
            <w:tcW w:w="1275" w:type="dxa"/>
            <w:hideMark/>
          </w:tcPr>
          <w:p w14:paraId="6E69675B" w14:textId="77777777" w:rsidR="00BA2D1C" w:rsidRPr="00F0448C" w:rsidRDefault="00BA2D1C" w:rsidP="00BA2D1C">
            <w:pPr>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Falls</w:t>
            </w:r>
          </w:p>
        </w:tc>
        <w:tc>
          <w:tcPr>
            <w:tcW w:w="1839" w:type="dxa"/>
            <w:hideMark/>
          </w:tcPr>
          <w:p w14:paraId="5CAF11C8" w14:textId="77777777" w:rsidR="00BA2D1C" w:rsidRPr="00F0448C" w:rsidRDefault="00BA2D1C" w:rsidP="00BA2D1C">
            <w:pPr>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General community/population-based</w:t>
            </w:r>
          </w:p>
        </w:tc>
        <w:tc>
          <w:tcPr>
            <w:tcW w:w="507" w:type="dxa"/>
            <w:hideMark/>
          </w:tcPr>
          <w:p w14:paraId="434A0C15"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12</w:t>
            </w:r>
          </w:p>
        </w:tc>
        <w:tc>
          <w:tcPr>
            <w:tcW w:w="720" w:type="dxa"/>
            <w:hideMark/>
          </w:tcPr>
          <w:p w14:paraId="0ABE6716"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64,549</w:t>
            </w:r>
          </w:p>
        </w:tc>
        <w:tc>
          <w:tcPr>
            <w:tcW w:w="899" w:type="dxa"/>
            <w:hideMark/>
          </w:tcPr>
          <w:p w14:paraId="45856838"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b/>
                <w:bCs/>
                <w:sz w:val="18"/>
                <w:szCs w:val="18"/>
                <w:lang w:eastAsia="en-IN"/>
              </w:rPr>
              <w:t>13.8</w:t>
            </w:r>
          </w:p>
        </w:tc>
        <w:tc>
          <w:tcPr>
            <w:tcW w:w="836" w:type="dxa"/>
            <w:hideMark/>
          </w:tcPr>
          <w:p w14:paraId="29FC1326"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10.5–17.2</w:t>
            </w:r>
          </w:p>
        </w:tc>
        <w:tc>
          <w:tcPr>
            <w:tcW w:w="970" w:type="dxa"/>
            <w:hideMark/>
          </w:tcPr>
          <w:p w14:paraId="4677545F"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99.7</w:t>
            </w:r>
          </w:p>
        </w:tc>
        <w:tc>
          <w:tcPr>
            <w:tcW w:w="970" w:type="dxa"/>
            <w:hideMark/>
          </w:tcPr>
          <w:p w14:paraId="6AECA9DC"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0.0034</w:t>
            </w:r>
          </w:p>
        </w:tc>
        <w:tc>
          <w:tcPr>
            <w:tcW w:w="1000" w:type="dxa"/>
            <w:hideMark/>
          </w:tcPr>
          <w:p w14:paraId="143D459A"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0.424</w:t>
            </w:r>
          </w:p>
        </w:tc>
      </w:tr>
      <w:tr w:rsidR="00BA2D1C" w:rsidRPr="00F0448C" w14:paraId="2C860744" w14:textId="77777777" w:rsidTr="00BA2D1C">
        <w:tc>
          <w:tcPr>
            <w:tcW w:w="1275" w:type="dxa"/>
            <w:hideMark/>
          </w:tcPr>
          <w:p w14:paraId="60484933" w14:textId="77777777" w:rsidR="00BA2D1C" w:rsidRPr="00F0448C" w:rsidRDefault="00BA2D1C" w:rsidP="00BA2D1C">
            <w:pPr>
              <w:jc w:val="right"/>
              <w:rPr>
                <w:rFonts w:ascii="Times New Roman" w:eastAsia="Times New Roman" w:hAnsi="Times New Roman" w:cs="Times New Roman"/>
                <w:sz w:val="18"/>
                <w:szCs w:val="18"/>
                <w:lang w:eastAsia="en-IN"/>
              </w:rPr>
            </w:pPr>
          </w:p>
        </w:tc>
        <w:tc>
          <w:tcPr>
            <w:tcW w:w="1839" w:type="dxa"/>
            <w:hideMark/>
          </w:tcPr>
          <w:p w14:paraId="502D1772" w14:textId="77777777" w:rsidR="00BA2D1C" w:rsidRPr="00F0448C" w:rsidRDefault="00BA2D1C" w:rsidP="00BA2D1C">
            <w:pPr>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Selected/mixed community cohorts</w:t>
            </w:r>
          </w:p>
        </w:tc>
        <w:tc>
          <w:tcPr>
            <w:tcW w:w="507" w:type="dxa"/>
            <w:hideMark/>
          </w:tcPr>
          <w:p w14:paraId="6CE95C29"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2</w:t>
            </w:r>
          </w:p>
        </w:tc>
        <w:tc>
          <w:tcPr>
            <w:tcW w:w="720" w:type="dxa"/>
            <w:hideMark/>
          </w:tcPr>
          <w:p w14:paraId="4F817260"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40,637</w:t>
            </w:r>
          </w:p>
        </w:tc>
        <w:tc>
          <w:tcPr>
            <w:tcW w:w="899" w:type="dxa"/>
            <w:hideMark/>
          </w:tcPr>
          <w:p w14:paraId="340DB2DA"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b/>
                <w:bCs/>
                <w:sz w:val="18"/>
                <w:szCs w:val="18"/>
                <w:lang w:eastAsia="en-IN"/>
              </w:rPr>
              <w:t>10.5</w:t>
            </w:r>
          </w:p>
        </w:tc>
        <w:tc>
          <w:tcPr>
            <w:tcW w:w="836" w:type="dxa"/>
            <w:hideMark/>
          </w:tcPr>
          <w:p w14:paraId="0C933734"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8.8–12.1</w:t>
            </w:r>
          </w:p>
        </w:tc>
        <w:tc>
          <w:tcPr>
            <w:tcW w:w="970" w:type="dxa"/>
            <w:hideMark/>
          </w:tcPr>
          <w:p w14:paraId="06B98FD9"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96.1</w:t>
            </w:r>
          </w:p>
        </w:tc>
        <w:tc>
          <w:tcPr>
            <w:tcW w:w="970" w:type="dxa"/>
            <w:hideMark/>
          </w:tcPr>
          <w:p w14:paraId="17D03606"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0.0001</w:t>
            </w:r>
          </w:p>
        </w:tc>
        <w:tc>
          <w:tcPr>
            <w:tcW w:w="1000" w:type="dxa"/>
            <w:hideMark/>
          </w:tcPr>
          <w:p w14:paraId="29B554E1" w14:textId="77777777" w:rsidR="00BA2D1C" w:rsidRPr="00F0448C" w:rsidRDefault="00BA2D1C" w:rsidP="00BA2D1C">
            <w:pPr>
              <w:jc w:val="right"/>
              <w:rPr>
                <w:rFonts w:ascii="Times New Roman" w:eastAsia="Times New Roman" w:hAnsi="Times New Roman" w:cs="Times New Roman"/>
                <w:sz w:val="18"/>
                <w:szCs w:val="18"/>
                <w:lang w:eastAsia="en-IN"/>
              </w:rPr>
            </w:pPr>
          </w:p>
        </w:tc>
      </w:tr>
      <w:tr w:rsidR="00BA2D1C" w:rsidRPr="00F0448C" w14:paraId="3DC2F886" w14:textId="77777777" w:rsidTr="00BA2D1C">
        <w:tc>
          <w:tcPr>
            <w:tcW w:w="1275" w:type="dxa"/>
            <w:hideMark/>
          </w:tcPr>
          <w:p w14:paraId="2CD19924" w14:textId="77777777" w:rsidR="00BA2D1C" w:rsidRPr="00F0448C" w:rsidRDefault="00BA2D1C" w:rsidP="00BA2D1C">
            <w:pPr>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lastRenderedPageBreak/>
              <w:t>Polypharmacy</w:t>
            </w:r>
          </w:p>
        </w:tc>
        <w:tc>
          <w:tcPr>
            <w:tcW w:w="1839" w:type="dxa"/>
            <w:hideMark/>
          </w:tcPr>
          <w:p w14:paraId="7FECC0F5" w14:textId="77777777" w:rsidR="00BA2D1C" w:rsidRPr="00F0448C" w:rsidRDefault="00BA2D1C" w:rsidP="00BA2D1C">
            <w:pPr>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General community/population-based</w:t>
            </w:r>
          </w:p>
        </w:tc>
        <w:tc>
          <w:tcPr>
            <w:tcW w:w="507" w:type="dxa"/>
            <w:hideMark/>
          </w:tcPr>
          <w:p w14:paraId="38B370C3"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4</w:t>
            </w:r>
          </w:p>
        </w:tc>
        <w:tc>
          <w:tcPr>
            <w:tcW w:w="720" w:type="dxa"/>
            <w:hideMark/>
          </w:tcPr>
          <w:p w14:paraId="56F9C91F"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13,824</w:t>
            </w:r>
          </w:p>
        </w:tc>
        <w:tc>
          <w:tcPr>
            <w:tcW w:w="899" w:type="dxa"/>
            <w:hideMark/>
          </w:tcPr>
          <w:p w14:paraId="47A593C3"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b/>
                <w:bCs/>
                <w:sz w:val="18"/>
                <w:szCs w:val="18"/>
                <w:lang w:eastAsia="en-IN"/>
              </w:rPr>
              <w:t>31.7</w:t>
            </w:r>
          </w:p>
        </w:tc>
        <w:tc>
          <w:tcPr>
            <w:tcW w:w="836" w:type="dxa"/>
            <w:hideMark/>
          </w:tcPr>
          <w:p w14:paraId="36227017"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7.0–56.4</w:t>
            </w:r>
          </w:p>
        </w:tc>
        <w:tc>
          <w:tcPr>
            <w:tcW w:w="970" w:type="dxa"/>
            <w:hideMark/>
          </w:tcPr>
          <w:p w14:paraId="6232EA6F"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99.9</w:t>
            </w:r>
          </w:p>
        </w:tc>
        <w:tc>
          <w:tcPr>
            <w:tcW w:w="970" w:type="dxa"/>
            <w:hideMark/>
          </w:tcPr>
          <w:p w14:paraId="56589A7C"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0.0635</w:t>
            </w:r>
          </w:p>
        </w:tc>
        <w:tc>
          <w:tcPr>
            <w:tcW w:w="1000" w:type="dxa"/>
            <w:hideMark/>
          </w:tcPr>
          <w:p w14:paraId="202B720C"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Not tested</w:t>
            </w:r>
          </w:p>
        </w:tc>
      </w:tr>
      <w:tr w:rsidR="00BA2D1C" w:rsidRPr="00F0448C" w14:paraId="54FB27BC" w14:textId="77777777" w:rsidTr="00BA2D1C">
        <w:tc>
          <w:tcPr>
            <w:tcW w:w="1275" w:type="dxa"/>
            <w:hideMark/>
          </w:tcPr>
          <w:p w14:paraId="7BC4EF10" w14:textId="77777777" w:rsidR="00BA2D1C" w:rsidRPr="00F0448C" w:rsidRDefault="00BA2D1C" w:rsidP="00BA2D1C">
            <w:pPr>
              <w:jc w:val="right"/>
              <w:rPr>
                <w:rFonts w:ascii="Times New Roman" w:eastAsia="Times New Roman" w:hAnsi="Times New Roman" w:cs="Times New Roman"/>
                <w:sz w:val="18"/>
                <w:szCs w:val="18"/>
                <w:lang w:eastAsia="en-IN"/>
              </w:rPr>
            </w:pPr>
          </w:p>
        </w:tc>
        <w:tc>
          <w:tcPr>
            <w:tcW w:w="1839" w:type="dxa"/>
            <w:hideMark/>
          </w:tcPr>
          <w:p w14:paraId="4D143677" w14:textId="77777777" w:rsidR="00BA2D1C" w:rsidRPr="00F0448C" w:rsidRDefault="00BA2D1C" w:rsidP="00BA2D1C">
            <w:pPr>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Selected community cohort</w:t>
            </w:r>
          </w:p>
        </w:tc>
        <w:tc>
          <w:tcPr>
            <w:tcW w:w="507" w:type="dxa"/>
            <w:hideMark/>
          </w:tcPr>
          <w:p w14:paraId="1B7A6499"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1</w:t>
            </w:r>
          </w:p>
        </w:tc>
        <w:tc>
          <w:tcPr>
            <w:tcW w:w="720" w:type="dxa"/>
            <w:hideMark/>
          </w:tcPr>
          <w:p w14:paraId="4172149A"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29,544</w:t>
            </w:r>
          </w:p>
        </w:tc>
        <w:tc>
          <w:tcPr>
            <w:tcW w:w="899" w:type="dxa"/>
            <w:hideMark/>
          </w:tcPr>
          <w:p w14:paraId="508D3BAD"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b/>
                <w:bCs/>
                <w:sz w:val="18"/>
                <w:szCs w:val="18"/>
                <w:lang w:eastAsia="en-IN"/>
              </w:rPr>
              <w:t>22.0</w:t>
            </w:r>
          </w:p>
        </w:tc>
        <w:tc>
          <w:tcPr>
            <w:tcW w:w="836" w:type="dxa"/>
            <w:hideMark/>
          </w:tcPr>
          <w:p w14:paraId="55372C9F"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21.5–22.5</w:t>
            </w:r>
          </w:p>
        </w:tc>
        <w:tc>
          <w:tcPr>
            <w:tcW w:w="970" w:type="dxa"/>
            <w:hideMark/>
          </w:tcPr>
          <w:p w14:paraId="40B7A242"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Not applicable</w:t>
            </w:r>
          </w:p>
        </w:tc>
        <w:tc>
          <w:tcPr>
            <w:tcW w:w="970" w:type="dxa"/>
            <w:hideMark/>
          </w:tcPr>
          <w:p w14:paraId="5FD8974A" w14:textId="77777777" w:rsidR="00BA2D1C" w:rsidRPr="00F0448C" w:rsidRDefault="00BA2D1C" w:rsidP="00BA2D1C">
            <w:pPr>
              <w:jc w:val="right"/>
              <w:rPr>
                <w:rFonts w:ascii="Times New Roman" w:eastAsia="Times New Roman" w:hAnsi="Times New Roman" w:cs="Times New Roman"/>
                <w:sz w:val="18"/>
                <w:szCs w:val="18"/>
                <w:lang w:eastAsia="en-IN"/>
              </w:rPr>
            </w:pPr>
            <w:r w:rsidRPr="00F0448C">
              <w:rPr>
                <w:rFonts w:ascii="Times New Roman" w:eastAsia="Times New Roman" w:hAnsi="Times New Roman" w:cs="Times New Roman"/>
                <w:sz w:val="18"/>
                <w:szCs w:val="18"/>
                <w:lang w:eastAsia="en-IN"/>
              </w:rPr>
              <w:t>Not applicable</w:t>
            </w:r>
          </w:p>
        </w:tc>
        <w:tc>
          <w:tcPr>
            <w:tcW w:w="1000" w:type="dxa"/>
            <w:hideMark/>
          </w:tcPr>
          <w:p w14:paraId="1330DF82" w14:textId="77777777" w:rsidR="00BA2D1C" w:rsidRPr="00F0448C" w:rsidRDefault="00BA2D1C" w:rsidP="00BA2D1C">
            <w:pPr>
              <w:jc w:val="right"/>
              <w:rPr>
                <w:rFonts w:ascii="Times New Roman" w:eastAsia="Times New Roman" w:hAnsi="Times New Roman" w:cs="Times New Roman"/>
                <w:sz w:val="18"/>
                <w:szCs w:val="18"/>
                <w:lang w:eastAsia="en-IN"/>
              </w:rPr>
            </w:pPr>
          </w:p>
        </w:tc>
      </w:tr>
    </w:tbl>
    <w:p w14:paraId="793B5AD6" w14:textId="77777777" w:rsidR="00AB1471" w:rsidRDefault="00AB1471" w:rsidP="00CF0142">
      <w:pPr>
        <w:rPr>
          <w:rFonts w:ascii="Times New Roman" w:hAnsi="Times New Roman" w:cs="Times New Roman"/>
          <w:b/>
          <w:bCs/>
          <w:lang w:eastAsia="en-IN"/>
        </w:rPr>
      </w:pPr>
    </w:p>
    <w:p w14:paraId="527828C8" w14:textId="1470AD47" w:rsidR="00AB1471" w:rsidRDefault="00036FBF" w:rsidP="00CF0142">
      <w:pPr>
        <w:rPr>
          <w:rFonts w:ascii="Times New Roman" w:hAnsi="Times New Roman" w:cs="Times New Roman"/>
          <w:b/>
          <w:bCs/>
          <w:lang w:eastAsia="en-IN"/>
        </w:rPr>
      </w:pPr>
      <w:r>
        <w:rPr>
          <w:rFonts w:ascii="Times New Roman" w:hAnsi="Times New Roman" w:cs="Times New Roman"/>
          <w:b/>
          <w:bCs/>
          <w:lang w:eastAsia="en-IN"/>
        </w:rPr>
        <w:t>7</w:t>
      </w:r>
      <w:r w:rsidR="00AB1471">
        <w:rPr>
          <w:rFonts w:ascii="Times New Roman" w:hAnsi="Times New Roman" w:cs="Times New Roman"/>
          <w:b/>
          <w:bCs/>
          <w:lang w:eastAsia="en-IN"/>
        </w:rPr>
        <w:t xml:space="preserve">.  </w:t>
      </w:r>
      <w:r w:rsidR="00F0448C">
        <w:rPr>
          <w:rFonts w:ascii="Times New Roman" w:hAnsi="Times New Roman" w:cs="Times New Roman"/>
          <w:b/>
          <w:bCs/>
          <w:lang w:eastAsia="en-IN"/>
        </w:rPr>
        <w:t>S</w:t>
      </w:r>
      <w:r w:rsidR="00627509" w:rsidRPr="00627509">
        <w:rPr>
          <w:rFonts w:ascii="Times New Roman" w:hAnsi="Times New Roman" w:cs="Times New Roman"/>
          <w:b/>
          <w:bCs/>
          <w:lang w:eastAsia="en-IN"/>
        </w:rPr>
        <w:t>upplementary Figure S</w:t>
      </w:r>
      <w:r w:rsidR="00025B7F">
        <w:rPr>
          <w:rFonts w:ascii="Times New Roman" w:hAnsi="Times New Roman" w:cs="Times New Roman"/>
          <w:b/>
          <w:bCs/>
          <w:lang w:eastAsia="en-IN"/>
        </w:rPr>
        <w:t>1</w:t>
      </w:r>
      <w:r w:rsidR="00627509" w:rsidRPr="00627509">
        <w:rPr>
          <w:rFonts w:ascii="Times New Roman" w:hAnsi="Times New Roman" w:cs="Times New Roman"/>
          <w:b/>
          <w:bCs/>
          <w:lang w:eastAsia="en-IN"/>
        </w:rPr>
        <w:t>A–E. Leave-one-out sensitivity analyses</w:t>
      </w:r>
      <w:r w:rsidR="00AB1471" w:rsidRPr="00AB1471">
        <w:rPr>
          <w:rFonts w:ascii="Times New Roman" w:hAnsi="Times New Roman" w:cs="Times New Roman"/>
          <w:b/>
          <w:bCs/>
          <w:lang w:eastAsia="en-IN"/>
        </w:rPr>
        <w:t>.</w:t>
      </w:r>
    </w:p>
    <w:tbl>
      <w:tblPr>
        <w:tblStyle w:val="TableGrid"/>
        <w:tblW w:w="11276" w:type="dxa"/>
        <w:tblInd w:w="-998" w:type="dxa"/>
        <w:tblLook w:val="04A0" w:firstRow="1" w:lastRow="0" w:firstColumn="1" w:lastColumn="0" w:noHBand="0" w:noVBand="1"/>
      </w:tblPr>
      <w:tblGrid>
        <w:gridCol w:w="5660"/>
        <w:gridCol w:w="5616"/>
      </w:tblGrid>
      <w:tr w:rsidR="00AB1471" w:rsidRPr="00E94992" w14:paraId="31BA594E" w14:textId="77777777" w:rsidTr="001C692F">
        <w:trPr>
          <w:trHeight w:val="4825"/>
        </w:trPr>
        <w:tc>
          <w:tcPr>
            <w:tcW w:w="5660" w:type="dxa"/>
            <w:vAlign w:val="center"/>
          </w:tcPr>
          <w:p w14:paraId="3D311D6C" w14:textId="403D91AA" w:rsidR="00AB1471" w:rsidRPr="00E94992" w:rsidRDefault="00AB1471" w:rsidP="00B95BBC">
            <w:pPr>
              <w:jc w:val="center"/>
              <w:rPr>
                <w:rFonts w:ascii="Times New Roman" w:hAnsi="Times New Roman" w:cs="Times New Roman"/>
                <w:lang w:eastAsia="en-IN"/>
              </w:rPr>
            </w:pPr>
            <w:r w:rsidRPr="00E94992">
              <w:rPr>
                <w:rFonts w:ascii="Times New Roman" w:hAnsi="Times New Roman" w:cs="Times New Roman"/>
                <w:noProof/>
              </w:rPr>
              <w:drawing>
                <wp:inline distT="0" distB="0" distL="0" distR="0" wp14:anchorId="65FED735" wp14:editId="3203FF99">
                  <wp:extent cx="3457549" cy="2594269"/>
                  <wp:effectExtent l="0" t="0" r="0" b="0"/>
                  <wp:docPr id="2017983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83606"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3457549" cy="2594269"/>
                          </a:xfrm>
                          <a:prstGeom prst="rect">
                            <a:avLst/>
                          </a:prstGeom>
                        </pic:spPr>
                      </pic:pic>
                    </a:graphicData>
                  </a:graphic>
                </wp:inline>
              </w:drawing>
            </w:r>
            <w:r w:rsidRPr="00E94992">
              <w:rPr>
                <w:rFonts w:ascii="Times New Roman" w:hAnsi="Times New Roman" w:cs="Times New Roman"/>
                <w:lang w:eastAsia="en-IN"/>
              </w:rPr>
              <w:t>A</w:t>
            </w:r>
          </w:p>
        </w:tc>
        <w:tc>
          <w:tcPr>
            <w:tcW w:w="5616" w:type="dxa"/>
            <w:vAlign w:val="center"/>
          </w:tcPr>
          <w:p w14:paraId="20427CCC" w14:textId="2EA6AD0D" w:rsidR="00AB1471" w:rsidRPr="00E94992" w:rsidRDefault="00AB1471" w:rsidP="00B95BBC">
            <w:pPr>
              <w:jc w:val="center"/>
              <w:rPr>
                <w:rFonts w:ascii="Times New Roman" w:hAnsi="Times New Roman" w:cs="Times New Roman"/>
                <w:lang w:eastAsia="en-IN"/>
              </w:rPr>
            </w:pPr>
            <w:r w:rsidRPr="00E94992">
              <w:rPr>
                <w:rFonts w:ascii="Times New Roman" w:hAnsi="Times New Roman" w:cs="Times New Roman"/>
                <w:noProof/>
                <w:lang w:eastAsia="en-IN"/>
              </w:rPr>
              <w:drawing>
                <wp:inline distT="0" distB="0" distL="0" distR="0" wp14:anchorId="2D12FB8D" wp14:editId="2A549D5B">
                  <wp:extent cx="3239573" cy="2429679"/>
                  <wp:effectExtent l="95250" t="95250" r="94615" b="85090"/>
                  <wp:docPr id="44771705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717053" name="Picture 27"/>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239573" cy="2429679"/>
                          </a:xfrm>
                          <a:prstGeom prst="rect">
                            <a:avLst/>
                          </a:prstGeom>
                          <a:solidFill>
                            <a:srgbClr val="FFFFFF">
                              <a:shade val="85000"/>
                            </a:srgbClr>
                          </a:solidFill>
                          <a:ln w="88900" cap="sq">
                            <a:solidFill>
                              <a:srgbClr val="FFFFFF"/>
                            </a:solidFill>
                            <a:miter lim="800000"/>
                          </a:ln>
                          <a:effectLst/>
                          <a:scene3d>
                            <a:camera prst="orthographicFront"/>
                            <a:lightRig rig="twoPt" dir="t">
                              <a:rot lat="0" lon="0" rev="7200000"/>
                            </a:lightRig>
                          </a:scene3d>
                          <a:sp3d>
                            <a:bevelT w="25400" h="19050"/>
                            <a:contourClr>
                              <a:srgbClr val="FFFFFF"/>
                            </a:contourClr>
                          </a:sp3d>
                        </pic:spPr>
                      </pic:pic>
                    </a:graphicData>
                  </a:graphic>
                </wp:inline>
              </w:drawing>
            </w:r>
            <w:r w:rsidRPr="00E94992">
              <w:rPr>
                <w:rFonts w:ascii="Times New Roman" w:hAnsi="Times New Roman" w:cs="Times New Roman"/>
                <w:lang w:eastAsia="en-IN"/>
              </w:rPr>
              <w:t>B</w:t>
            </w:r>
          </w:p>
        </w:tc>
      </w:tr>
      <w:tr w:rsidR="001C692F" w:rsidRPr="00E94992" w14:paraId="61EA6459" w14:textId="77777777" w:rsidTr="001C692F">
        <w:trPr>
          <w:trHeight w:val="4225"/>
        </w:trPr>
        <w:tc>
          <w:tcPr>
            <w:tcW w:w="5660" w:type="dxa"/>
            <w:vAlign w:val="center"/>
          </w:tcPr>
          <w:p w14:paraId="6A319EA2" w14:textId="0B0278F0" w:rsidR="001C692F" w:rsidRPr="00E94992" w:rsidRDefault="001C692F" w:rsidP="00B95BBC">
            <w:pPr>
              <w:jc w:val="center"/>
              <w:rPr>
                <w:rFonts w:ascii="Times New Roman" w:hAnsi="Times New Roman" w:cs="Times New Roman"/>
                <w:noProof/>
              </w:rPr>
            </w:pPr>
            <w:r w:rsidRPr="00E94992">
              <w:rPr>
                <w:rFonts w:ascii="Times New Roman" w:hAnsi="Times New Roman" w:cs="Times New Roman"/>
                <w:noProof/>
                <w:lang w:eastAsia="en-IN"/>
              </w:rPr>
              <w:drawing>
                <wp:anchor distT="0" distB="0" distL="114300" distR="114300" simplePos="0" relativeHeight="251678720" behindDoc="0" locked="0" layoutInCell="1" allowOverlap="1" wp14:anchorId="78E6352C" wp14:editId="65B6157C">
                  <wp:simplePos x="0" y="0"/>
                  <wp:positionH relativeFrom="margin">
                    <wp:posOffset>36830</wp:posOffset>
                  </wp:positionH>
                  <wp:positionV relativeFrom="margin">
                    <wp:posOffset>94615</wp:posOffset>
                  </wp:positionV>
                  <wp:extent cx="3190875" cy="2393950"/>
                  <wp:effectExtent l="95250" t="95250" r="85725" b="82550"/>
                  <wp:wrapSquare wrapText="bothSides"/>
                  <wp:docPr id="148834792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347929"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190875" cy="2393950"/>
                          </a:xfrm>
                          <a:prstGeom prst="rect">
                            <a:avLst/>
                          </a:prstGeom>
                          <a:solidFill>
                            <a:srgbClr val="FFFFFF">
                              <a:shade val="85000"/>
                            </a:srgbClr>
                          </a:solidFill>
                          <a:ln w="88900" cap="sq">
                            <a:solidFill>
                              <a:srgbClr val="FFFFFF"/>
                            </a:solidFill>
                            <a:miter lim="800000"/>
                          </a:ln>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c>
          <w:tcPr>
            <w:tcW w:w="5616" w:type="dxa"/>
            <w:vAlign w:val="center"/>
          </w:tcPr>
          <w:p w14:paraId="0C9F9A2D" w14:textId="73FC4545" w:rsidR="001C692F" w:rsidRPr="00E94992" w:rsidRDefault="001C692F" w:rsidP="001C692F">
            <w:pPr>
              <w:rPr>
                <w:rFonts w:ascii="Times New Roman" w:hAnsi="Times New Roman" w:cs="Times New Roman"/>
                <w:noProof/>
                <w:lang w:eastAsia="en-IN"/>
              </w:rPr>
            </w:pPr>
            <w:r>
              <w:rPr>
                <w:rFonts w:ascii="Times New Roman" w:hAnsi="Times New Roman" w:cs="Times New Roman"/>
                <w:noProof/>
                <w:lang w:eastAsia="en-IN"/>
              </w:rPr>
              <w:drawing>
                <wp:anchor distT="0" distB="0" distL="114300" distR="114300" simplePos="0" relativeHeight="251679744" behindDoc="0" locked="0" layoutInCell="1" allowOverlap="1" wp14:anchorId="4B59FA4C" wp14:editId="0EC9906B">
                  <wp:simplePos x="3947160" y="4267200"/>
                  <wp:positionH relativeFrom="margin">
                    <wp:posOffset>24765</wp:posOffset>
                  </wp:positionH>
                  <wp:positionV relativeFrom="margin">
                    <wp:posOffset>73025</wp:posOffset>
                  </wp:positionV>
                  <wp:extent cx="3228975" cy="2423160"/>
                  <wp:effectExtent l="0" t="0" r="9525" b="0"/>
                  <wp:wrapSquare wrapText="bothSides"/>
                  <wp:docPr id="2144372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372381"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228975" cy="2423160"/>
                          </a:xfrm>
                          <a:prstGeom prst="rect">
                            <a:avLst/>
                          </a:prstGeom>
                          <a:noFill/>
                        </pic:spPr>
                      </pic:pic>
                    </a:graphicData>
                  </a:graphic>
                  <wp14:sizeRelH relativeFrom="margin">
                    <wp14:pctWidth>0</wp14:pctWidth>
                  </wp14:sizeRelH>
                  <wp14:sizeRelV relativeFrom="margin">
                    <wp14:pctHeight>0</wp14:pctHeight>
                  </wp14:sizeRelV>
                </wp:anchor>
              </w:drawing>
            </w:r>
          </w:p>
        </w:tc>
      </w:tr>
      <w:tr w:rsidR="001C692F" w:rsidRPr="00E94992" w14:paraId="5FD0FAFE" w14:textId="77777777" w:rsidTr="001C692F">
        <w:trPr>
          <w:trHeight w:val="241"/>
        </w:trPr>
        <w:tc>
          <w:tcPr>
            <w:tcW w:w="5660" w:type="dxa"/>
            <w:vAlign w:val="center"/>
          </w:tcPr>
          <w:p w14:paraId="4725B687" w14:textId="4B499A19" w:rsidR="001C692F" w:rsidRPr="00E94992" w:rsidRDefault="001C692F" w:rsidP="001D71CA">
            <w:pPr>
              <w:jc w:val="center"/>
              <w:rPr>
                <w:rFonts w:ascii="Times New Roman" w:hAnsi="Times New Roman" w:cs="Times New Roman"/>
                <w:noProof/>
                <w:lang w:eastAsia="en-IN"/>
              </w:rPr>
            </w:pPr>
            <w:r>
              <w:rPr>
                <w:rFonts w:ascii="Times New Roman" w:hAnsi="Times New Roman" w:cs="Times New Roman"/>
                <w:noProof/>
                <w:lang w:eastAsia="en-IN"/>
              </w:rPr>
              <w:t>C</w:t>
            </w:r>
          </w:p>
        </w:tc>
        <w:tc>
          <w:tcPr>
            <w:tcW w:w="5616" w:type="dxa"/>
            <w:vAlign w:val="center"/>
          </w:tcPr>
          <w:p w14:paraId="0CD844B8" w14:textId="61A98AC5" w:rsidR="001C692F" w:rsidRPr="00E94992" w:rsidRDefault="001C692F" w:rsidP="001D71CA">
            <w:pPr>
              <w:jc w:val="center"/>
              <w:rPr>
                <w:rFonts w:ascii="Times New Roman" w:hAnsi="Times New Roman" w:cs="Times New Roman"/>
                <w:noProof/>
                <w:lang w:eastAsia="en-IN"/>
              </w:rPr>
            </w:pPr>
            <w:r>
              <w:rPr>
                <w:rFonts w:ascii="Times New Roman" w:hAnsi="Times New Roman" w:cs="Times New Roman"/>
                <w:noProof/>
                <w:lang w:eastAsia="en-IN"/>
              </w:rPr>
              <w:t>D</w:t>
            </w:r>
          </w:p>
        </w:tc>
      </w:tr>
      <w:tr w:rsidR="001D71CA" w:rsidRPr="00E94992" w14:paraId="2800E820" w14:textId="77777777" w:rsidTr="00F82305">
        <w:trPr>
          <w:trHeight w:val="241"/>
        </w:trPr>
        <w:tc>
          <w:tcPr>
            <w:tcW w:w="11276" w:type="dxa"/>
            <w:gridSpan w:val="2"/>
            <w:vAlign w:val="center"/>
          </w:tcPr>
          <w:p w14:paraId="2ECA7540" w14:textId="309A2780" w:rsidR="001D71CA" w:rsidRDefault="001D71CA" w:rsidP="001D71CA">
            <w:pPr>
              <w:jc w:val="center"/>
              <w:rPr>
                <w:rFonts w:ascii="Times New Roman" w:hAnsi="Times New Roman" w:cs="Times New Roman"/>
                <w:noProof/>
                <w:lang w:eastAsia="en-IN"/>
              </w:rPr>
            </w:pPr>
            <w:r>
              <w:rPr>
                <w:rFonts w:ascii="Times New Roman" w:hAnsi="Times New Roman" w:cs="Times New Roman"/>
                <w:noProof/>
                <w:lang w:eastAsia="en-IN"/>
              </w:rPr>
              <w:lastRenderedPageBreak/>
              <w:drawing>
                <wp:inline distT="0" distB="0" distL="0" distR="0" wp14:anchorId="2549E6BE" wp14:editId="08430954">
                  <wp:extent cx="3233733" cy="2426335"/>
                  <wp:effectExtent l="0" t="0" r="5080" b="0"/>
                  <wp:docPr id="21286476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64769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233733" cy="2426335"/>
                          </a:xfrm>
                          <a:prstGeom prst="rect">
                            <a:avLst/>
                          </a:prstGeom>
                          <a:noFill/>
                        </pic:spPr>
                      </pic:pic>
                    </a:graphicData>
                  </a:graphic>
                </wp:inline>
              </w:drawing>
            </w:r>
          </w:p>
        </w:tc>
      </w:tr>
      <w:tr w:rsidR="001D71CA" w:rsidRPr="00E94992" w14:paraId="5D8635BD" w14:textId="77777777" w:rsidTr="00667CBA">
        <w:trPr>
          <w:trHeight w:val="241"/>
        </w:trPr>
        <w:tc>
          <w:tcPr>
            <w:tcW w:w="11276" w:type="dxa"/>
            <w:gridSpan w:val="2"/>
            <w:vAlign w:val="center"/>
          </w:tcPr>
          <w:p w14:paraId="2F515066" w14:textId="4B50A9E8" w:rsidR="001D71CA" w:rsidRDefault="001D71CA" w:rsidP="001D71CA">
            <w:pPr>
              <w:jc w:val="center"/>
              <w:rPr>
                <w:rFonts w:ascii="Times New Roman" w:hAnsi="Times New Roman" w:cs="Times New Roman"/>
                <w:noProof/>
                <w:lang w:eastAsia="en-IN"/>
              </w:rPr>
            </w:pPr>
            <w:r>
              <w:rPr>
                <w:rFonts w:ascii="Times New Roman" w:hAnsi="Times New Roman" w:cs="Times New Roman"/>
                <w:noProof/>
                <w:lang w:eastAsia="en-IN"/>
              </w:rPr>
              <w:t>E</w:t>
            </w:r>
          </w:p>
        </w:tc>
      </w:tr>
      <w:tr w:rsidR="00AB1471" w:rsidRPr="00E94992" w14:paraId="655416E2" w14:textId="77777777" w:rsidTr="001C692F">
        <w:trPr>
          <w:trHeight w:val="295"/>
        </w:trPr>
        <w:tc>
          <w:tcPr>
            <w:tcW w:w="11276" w:type="dxa"/>
            <w:gridSpan w:val="2"/>
            <w:vAlign w:val="center"/>
          </w:tcPr>
          <w:p w14:paraId="5329E795" w14:textId="77777777" w:rsidR="00AB1471" w:rsidRPr="00E94992" w:rsidRDefault="00AB1471" w:rsidP="00B95BBC">
            <w:pPr>
              <w:rPr>
                <w:rFonts w:ascii="Times New Roman" w:hAnsi="Times New Roman" w:cs="Times New Roman"/>
                <w:noProof/>
                <w:sz w:val="20"/>
                <w:szCs w:val="20"/>
                <w:lang w:eastAsia="en-IN"/>
              </w:rPr>
            </w:pPr>
          </w:p>
          <w:p w14:paraId="43245EC2" w14:textId="415FC5BA" w:rsidR="00AB1471" w:rsidRPr="00E94992" w:rsidRDefault="00864CA3" w:rsidP="00B95BBC">
            <w:pPr>
              <w:rPr>
                <w:rFonts w:ascii="Times New Roman" w:hAnsi="Times New Roman" w:cs="Times New Roman"/>
                <w:noProof/>
                <w:sz w:val="20"/>
                <w:szCs w:val="20"/>
                <w:lang w:eastAsia="en-IN"/>
              </w:rPr>
            </w:pPr>
            <w:r w:rsidRPr="00864CA3">
              <w:rPr>
                <w:rFonts w:ascii="Times New Roman" w:hAnsi="Times New Roman" w:cs="Times New Roman"/>
                <w:noProof/>
                <w:sz w:val="20"/>
                <w:szCs w:val="20"/>
                <w:lang w:eastAsia="en-IN"/>
              </w:rPr>
              <w:t>Supplementary Figure S</w:t>
            </w:r>
            <w:r w:rsidR="00BD09E3">
              <w:rPr>
                <w:rFonts w:ascii="Times New Roman" w:hAnsi="Times New Roman" w:cs="Times New Roman"/>
                <w:noProof/>
                <w:sz w:val="20"/>
                <w:szCs w:val="20"/>
                <w:lang w:eastAsia="en-IN"/>
              </w:rPr>
              <w:t>1</w:t>
            </w:r>
            <w:r w:rsidRPr="00864CA3">
              <w:rPr>
                <w:rFonts w:ascii="Times New Roman" w:hAnsi="Times New Roman" w:cs="Times New Roman"/>
                <w:noProof/>
                <w:sz w:val="20"/>
                <w:szCs w:val="20"/>
                <w:lang w:eastAsia="en-IN"/>
              </w:rPr>
              <w:t xml:space="preserve">A–E. Leave-one-out sensitivity analyses of community-restricted pooled prevalence estimates. Panels present cognitive impairment (A), depression (B), polypharmacy (C), frailty (D), and falls (E). Each row shows the recalculated DerSimonian–Laird random-effects pooled prevalence after </w:t>
            </w:r>
            <w:r w:rsidR="005E4038">
              <w:rPr>
                <w:rFonts w:ascii="Times New Roman" w:hAnsi="Times New Roman" w:cs="Times New Roman"/>
                <w:noProof/>
                <w:sz w:val="20"/>
                <w:szCs w:val="20"/>
                <w:lang w:eastAsia="en-IN"/>
              </w:rPr>
              <w:t>sequentially omitting</w:t>
            </w:r>
            <w:r w:rsidRPr="00864CA3">
              <w:rPr>
                <w:rFonts w:ascii="Times New Roman" w:hAnsi="Times New Roman" w:cs="Times New Roman"/>
                <w:noProof/>
                <w:sz w:val="20"/>
                <w:szCs w:val="20"/>
                <w:lang w:eastAsia="en-IN"/>
              </w:rPr>
              <w:t xml:space="preserve"> the indicated study. Dark-red diamonds represent the recalculated pooled estimates, blue horizontal lines represent the corresponding 95% confidence intervals, and the green dashed vertical line indicates the original pooled prevalence before study exclusion. Estimates remained relatively stable for cognitive impairment, depression, frailty, and falls. Greater variation was observed for polypharmacy because only five studies contributed to that analysis</w:t>
            </w:r>
            <w:r w:rsidR="001D71CA" w:rsidRPr="001D71CA">
              <w:rPr>
                <w:rFonts w:ascii="Times New Roman" w:hAnsi="Times New Roman" w:cs="Times New Roman"/>
                <w:noProof/>
                <w:sz w:val="20"/>
                <w:szCs w:val="20"/>
                <w:lang w:eastAsia="en-IN"/>
              </w:rPr>
              <w:t>.</w:t>
            </w:r>
          </w:p>
        </w:tc>
      </w:tr>
    </w:tbl>
    <w:p w14:paraId="4E9BFC2E" w14:textId="77777777" w:rsidR="00455AD3" w:rsidRDefault="00455AD3" w:rsidP="00CF0142">
      <w:pPr>
        <w:rPr>
          <w:rFonts w:ascii="Times New Roman" w:hAnsi="Times New Roman" w:cs="Times New Roman"/>
          <w:b/>
          <w:bCs/>
          <w:noProof/>
          <w:sz w:val="20"/>
          <w:szCs w:val="20"/>
          <w:lang w:eastAsia="en-IN"/>
        </w:rPr>
      </w:pPr>
    </w:p>
    <w:p w14:paraId="6EAD92B2" w14:textId="3B86B7E4" w:rsidR="00CF0142" w:rsidRPr="00CF0142" w:rsidRDefault="00036FBF" w:rsidP="00CF0142">
      <w:pPr>
        <w:rPr>
          <w:rFonts w:ascii="Times New Roman" w:hAnsi="Times New Roman" w:cs="Times New Roman"/>
          <w:b/>
          <w:bCs/>
          <w:lang w:eastAsia="en-IN"/>
        </w:rPr>
      </w:pPr>
      <w:r>
        <w:rPr>
          <w:rFonts w:ascii="Times New Roman" w:hAnsi="Times New Roman" w:cs="Times New Roman"/>
          <w:b/>
          <w:bCs/>
          <w:noProof/>
          <w:sz w:val="20"/>
          <w:szCs w:val="20"/>
          <w:lang w:eastAsia="en-IN"/>
        </w:rPr>
        <w:t>8</w:t>
      </w:r>
      <w:r w:rsidR="00627509">
        <w:rPr>
          <w:rFonts w:ascii="Times New Roman" w:hAnsi="Times New Roman" w:cs="Times New Roman"/>
          <w:b/>
          <w:bCs/>
          <w:noProof/>
          <w:sz w:val="20"/>
          <w:szCs w:val="20"/>
          <w:lang w:eastAsia="en-IN"/>
        </w:rPr>
        <w:t xml:space="preserve">. </w:t>
      </w:r>
      <w:r w:rsidR="00627509" w:rsidRPr="00627509">
        <w:rPr>
          <w:rFonts w:ascii="Times New Roman" w:hAnsi="Times New Roman" w:cs="Times New Roman"/>
          <w:b/>
          <w:bCs/>
          <w:noProof/>
          <w:sz w:val="20"/>
          <w:szCs w:val="20"/>
          <w:lang w:eastAsia="en-IN"/>
        </w:rPr>
        <w:t>Supplementary Figure S</w:t>
      </w:r>
      <w:r w:rsidR="00025B7F">
        <w:rPr>
          <w:rFonts w:ascii="Times New Roman" w:hAnsi="Times New Roman" w:cs="Times New Roman"/>
          <w:b/>
          <w:bCs/>
          <w:noProof/>
          <w:sz w:val="20"/>
          <w:szCs w:val="20"/>
          <w:lang w:eastAsia="en-IN"/>
        </w:rPr>
        <w:t>2</w:t>
      </w:r>
      <w:r w:rsidR="00627509" w:rsidRPr="00627509">
        <w:rPr>
          <w:rFonts w:ascii="Times New Roman" w:hAnsi="Times New Roman" w:cs="Times New Roman"/>
          <w:b/>
          <w:bCs/>
          <w:noProof/>
          <w:sz w:val="20"/>
          <w:szCs w:val="20"/>
          <w:lang w:eastAsia="en-IN"/>
        </w:rPr>
        <w:t>A–D. Funnel plots</w:t>
      </w:r>
    </w:p>
    <w:tbl>
      <w:tblPr>
        <w:tblStyle w:val="TableGrid"/>
        <w:tblW w:w="10885" w:type="dxa"/>
        <w:tblInd w:w="-998" w:type="dxa"/>
        <w:tblLook w:val="04A0" w:firstRow="1" w:lastRow="0" w:firstColumn="1" w:lastColumn="0" w:noHBand="0" w:noVBand="1"/>
      </w:tblPr>
      <w:tblGrid>
        <w:gridCol w:w="5442"/>
        <w:gridCol w:w="8"/>
        <w:gridCol w:w="16"/>
        <w:gridCol w:w="5419"/>
      </w:tblGrid>
      <w:tr w:rsidR="00CF0142" w:rsidRPr="00CF0142" w14:paraId="65B2CFCB" w14:textId="77777777" w:rsidTr="00060E98">
        <w:trPr>
          <w:trHeight w:val="4825"/>
        </w:trPr>
        <w:tc>
          <w:tcPr>
            <w:tcW w:w="5450" w:type="dxa"/>
            <w:gridSpan w:val="2"/>
            <w:vAlign w:val="center"/>
          </w:tcPr>
          <w:p w14:paraId="13E1B0E0" w14:textId="418A37A2" w:rsidR="00CF0142" w:rsidRPr="00CF0142" w:rsidRDefault="003B4893" w:rsidP="00CF0142">
            <w:pPr>
              <w:jc w:val="center"/>
              <w:rPr>
                <w:rFonts w:ascii="Times New Roman" w:hAnsi="Times New Roman" w:cs="Times New Roman"/>
                <w:lang w:eastAsia="en-IN"/>
              </w:rPr>
            </w:pPr>
            <w:bookmarkStart w:id="1" w:name="_Hlk219484158"/>
            <w:r w:rsidRPr="00CF0142">
              <w:rPr>
                <w:rFonts w:ascii="Times New Roman" w:hAnsi="Times New Roman" w:cs="Times New Roman"/>
                <w:b/>
                <w:bCs/>
                <w:noProof/>
                <w:lang w:eastAsia="en-IN"/>
              </w:rPr>
              <w:drawing>
                <wp:anchor distT="0" distB="0" distL="114300" distR="114300" simplePos="0" relativeHeight="251659264" behindDoc="0" locked="0" layoutInCell="1" allowOverlap="1" wp14:anchorId="1CB014C3" wp14:editId="0AC3CC78">
                  <wp:simplePos x="0" y="0"/>
                  <wp:positionH relativeFrom="margin">
                    <wp:align>left</wp:align>
                  </wp:positionH>
                  <wp:positionV relativeFrom="margin">
                    <wp:align>top</wp:align>
                  </wp:positionV>
                  <wp:extent cx="2858770" cy="2145030"/>
                  <wp:effectExtent l="133350" t="114300" r="132080" b="140970"/>
                  <wp:wrapSquare wrapText="bothSides"/>
                  <wp:docPr id="165021299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212998"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858770" cy="21450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c>
          <w:tcPr>
            <w:tcW w:w="5435" w:type="dxa"/>
            <w:gridSpan w:val="2"/>
            <w:vAlign w:val="center"/>
          </w:tcPr>
          <w:p w14:paraId="544B3EBE" w14:textId="04E9E037" w:rsidR="00CF0142" w:rsidRPr="00CF0142" w:rsidRDefault="00CF0142" w:rsidP="00CF0142">
            <w:pPr>
              <w:jc w:val="center"/>
              <w:rPr>
                <w:rFonts w:ascii="Times New Roman" w:hAnsi="Times New Roman" w:cs="Times New Roman"/>
                <w:lang w:eastAsia="en-IN"/>
              </w:rPr>
            </w:pPr>
            <w:r w:rsidRPr="00CF0142">
              <w:rPr>
                <w:rFonts w:ascii="Times New Roman" w:hAnsi="Times New Roman" w:cs="Times New Roman"/>
                <w:noProof/>
                <w:lang w:eastAsia="en-IN"/>
              </w:rPr>
              <w:drawing>
                <wp:inline distT="0" distB="0" distL="0" distR="0" wp14:anchorId="23DAFF8A" wp14:editId="17B0F553">
                  <wp:extent cx="2841414" cy="2292016"/>
                  <wp:effectExtent l="133350" t="114300" r="111760" b="146685"/>
                  <wp:docPr id="54452192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521926" name="Picture 27"/>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846118" cy="22958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060E98" w:rsidRPr="00CF0142" w14:paraId="2D328BF0" w14:textId="77777777" w:rsidTr="00060E98">
        <w:trPr>
          <w:trHeight w:val="257"/>
        </w:trPr>
        <w:tc>
          <w:tcPr>
            <w:tcW w:w="5450" w:type="dxa"/>
            <w:gridSpan w:val="2"/>
            <w:vAlign w:val="center"/>
          </w:tcPr>
          <w:p w14:paraId="77BFF34F" w14:textId="3B079949" w:rsidR="00060E98" w:rsidRPr="00CF0142" w:rsidRDefault="00060E98" w:rsidP="00CF0142">
            <w:pPr>
              <w:jc w:val="center"/>
              <w:rPr>
                <w:rFonts w:ascii="Times New Roman" w:hAnsi="Times New Roman" w:cs="Times New Roman"/>
                <w:b/>
                <w:bCs/>
                <w:noProof/>
                <w:lang w:eastAsia="en-IN"/>
              </w:rPr>
            </w:pPr>
            <w:r>
              <w:rPr>
                <w:rFonts w:ascii="Times New Roman" w:hAnsi="Times New Roman" w:cs="Times New Roman"/>
                <w:b/>
                <w:bCs/>
                <w:noProof/>
                <w:lang w:eastAsia="en-IN"/>
              </w:rPr>
              <w:t>A</w:t>
            </w:r>
          </w:p>
        </w:tc>
        <w:tc>
          <w:tcPr>
            <w:tcW w:w="5435" w:type="dxa"/>
            <w:gridSpan w:val="2"/>
            <w:vAlign w:val="center"/>
          </w:tcPr>
          <w:p w14:paraId="19E62552" w14:textId="2D905F23" w:rsidR="00060E98" w:rsidRPr="00CF0142" w:rsidRDefault="00060E98" w:rsidP="00CF0142">
            <w:pPr>
              <w:jc w:val="center"/>
              <w:rPr>
                <w:rFonts w:ascii="Times New Roman" w:hAnsi="Times New Roman" w:cs="Times New Roman"/>
                <w:noProof/>
                <w:lang w:eastAsia="en-IN"/>
              </w:rPr>
            </w:pPr>
            <w:r>
              <w:rPr>
                <w:rFonts w:ascii="Times New Roman" w:hAnsi="Times New Roman" w:cs="Times New Roman"/>
                <w:noProof/>
                <w:lang w:eastAsia="en-IN"/>
              </w:rPr>
              <w:t>B</w:t>
            </w:r>
          </w:p>
        </w:tc>
      </w:tr>
      <w:tr w:rsidR="00060E98" w:rsidRPr="00CF0142" w14:paraId="5D81FE26" w14:textId="77777777" w:rsidTr="00060E98">
        <w:trPr>
          <w:trHeight w:val="295"/>
        </w:trPr>
        <w:tc>
          <w:tcPr>
            <w:tcW w:w="5466" w:type="dxa"/>
            <w:gridSpan w:val="3"/>
          </w:tcPr>
          <w:p w14:paraId="3A7A6335" w14:textId="77777777" w:rsidR="00060E98" w:rsidRPr="00CF0142" w:rsidRDefault="00060E98" w:rsidP="00CF0142">
            <w:pPr>
              <w:rPr>
                <w:rFonts w:ascii="Times New Roman" w:hAnsi="Times New Roman" w:cs="Times New Roman"/>
                <w:noProof/>
                <w:lang w:eastAsia="en-IN"/>
              </w:rPr>
            </w:pPr>
            <w:r w:rsidRPr="00CF0142">
              <w:rPr>
                <w:rFonts w:ascii="Times New Roman" w:hAnsi="Times New Roman" w:cs="Times New Roman"/>
                <w:noProof/>
                <w:lang w:eastAsia="en-IN"/>
              </w:rPr>
              <w:lastRenderedPageBreak/>
              <w:drawing>
                <wp:anchor distT="0" distB="0" distL="114300" distR="114300" simplePos="0" relativeHeight="251685888" behindDoc="0" locked="0" layoutInCell="1" allowOverlap="1" wp14:anchorId="02FEEDE8" wp14:editId="41D7C078">
                  <wp:simplePos x="0" y="0"/>
                  <wp:positionH relativeFrom="margin">
                    <wp:posOffset>247650</wp:posOffset>
                  </wp:positionH>
                  <wp:positionV relativeFrom="margin">
                    <wp:posOffset>114300</wp:posOffset>
                  </wp:positionV>
                  <wp:extent cx="2999740" cy="2251075"/>
                  <wp:effectExtent l="133350" t="114300" r="124460" b="149225"/>
                  <wp:wrapSquare wrapText="bothSides"/>
                  <wp:docPr id="90709081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090815" name="Picture 2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999740" cy="2251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c>
          <w:tcPr>
            <w:tcW w:w="5419" w:type="dxa"/>
          </w:tcPr>
          <w:p w14:paraId="7BF046B8" w14:textId="132A4D7F" w:rsidR="00060E98" w:rsidRPr="00CF0142" w:rsidRDefault="00771691" w:rsidP="00CF0142">
            <w:pPr>
              <w:rPr>
                <w:rFonts w:ascii="Times New Roman" w:hAnsi="Times New Roman" w:cs="Times New Roman"/>
                <w:noProof/>
                <w:lang w:eastAsia="en-IN"/>
              </w:rPr>
            </w:pPr>
            <w:r w:rsidRPr="00CF0142">
              <w:rPr>
                <w:rFonts w:ascii="Times New Roman" w:hAnsi="Times New Roman" w:cs="Times New Roman"/>
                <w:noProof/>
                <w:lang w:eastAsia="en-IN"/>
              </w:rPr>
              <w:drawing>
                <wp:anchor distT="0" distB="0" distL="114300" distR="114300" simplePos="0" relativeHeight="251687936" behindDoc="0" locked="0" layoutInCell="1" allowOverlap="1" wp14:anchorId="58EBB356" wp14:editId="5F1C0532">
                  <wp:simplePos x="0" y="0"/>
                  <wp:positionH relativeFrom="margin">
                    <wp:posOffset>70485</wp:posOffset>
                  </wp:positionH>
                  <wp:positionV relativeFrom="margin">
                    <wp:posOffset>274955</wp:posOffset>
                  </wp:positionV>
                  <wp:extent cx="2999740" cy="2250440"/>
                  <wp:effectExtent l="133350" t="114300" r="124460" b="149860"/>
                  <wp:wrapSquare wrapText="bothSides"/>
                  <wp:docPr id="327048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04824"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999740" cy="22504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r>
      <w:tr w:rsidR="00060E98" w:rsidRPr="00CF0142" w14:paraId="214DDCC0" w14:textId="77777777" w:rsidTr="00EC1C8A">
        <w:trPr>
          <w:trHeight w:val="295"/>
        </w:trPr>
        <w:tc>
          <w:tcPr>
            <w:tcW w:w="5442" w:type="dxa"/>
            <w:vAlign w:val="center"/>
          </w:tcPr>
          <w:p w14:paraId="2F827678" w14:textId="169E7E7C" w:rsidR="00060E98" w:rsidRPr="00060E98" w:rsidRDefault="00060E98" w:rsidP="00060E98">
            <w:pPr>
              <w:jc w:val="center"/>
              <w:rPr>
                <w:rFonts w:ascii="Times New Roman" w:hAnsi="Times New Roman" w:cs="Times New Roman"/>
                <w:b/>
                <w:bCs/>
                <w:noProof/>
                <w:lang w:eastAsia="en-IN"/>
              </w:rPr>
            </w:pPr>
            <w:r w:rsidRPr="00060E98">
              <w:rPr>
                <w:rFonts w:ascii="Times New Roman" w:hAnsi="Times New Roman" w:cs="Times New Roman"/>
                <w:b/>
                <w:bCs/>
                <w:noProof/>
                <w:lang w:eastAsia="en-IN"/>
              </w:rPr>
              <w:t>C</w:t>
            </w:r>
          </w:p>
        </w:tc>
        <w:tc>
          <w:tcPr>
            <w:tcW w:w="5443" w:type="dxa"/>
            <w:gridSpan w:val="3"/>
            <w:vAlign w:val="center"/>
          </w:tcPr>
          <w:p w14:paraId="69C40DAF" w14:textId="59671A6F" w:rsidR="00060E98" w:rsidRPr="00060E98" w:rsidRDefault="00060E98" w:rsidP="00060E98">
            <w:pPr>
              <w:jc w:val="center"/>
              <w:rPr>
                <w:rFonts w:ascii="Times New Roman" w:hAnsi="Times New Roman" w:cs="Times New Roman"/>
                <w:b/>
                <w:bCs/>
                <w:noProof/>
                <w:lang w:eastAsia="en-IN"/>
              </w:rPr>
            </w:pPr>
            <w:r w:rsidRPr="00060E98">
              <w:rPr>
                <w:rFonts w:ascii="Times New Roman" w:hAnsi="Times New Roman" w:cs="Times New Roman"/>
                <w:b/>
                <w:bCs/>
                <w:noProof/>
                <w:lang w:eastAsia="en-IN"/>
              </w:rPr>
              <w:t>D</w:t>
            </w:r>
          </w:p>
        </w:tc>
      </w:tr>
      <w:tr w:rsidR="00CF0142" w:rsidRPr="00CF0142" w14:paraId="194B1666" w14:textId="77777777" w:rsidTr="00060E98">
        <w:trPr>
          <w:trHeight w:val="295"/>
        </w:trPr>
        <w:tc>
          <w:tcPr>
            <w:tcW w:w="10885" w:type="dxa"/>
            <w:gridSpan w:val="4"/>
            <w:vAlign w:val="center"/>
          </w:tcPr>
          <w:p w14:paraId="5EFFE041" w14:textId="08810B60" w:rsidR="00CF0142" w:rsidRPr="00CF0142" w:rsidRDefault="00A10A0E" w:rsidP="00CF0142">
            <w:pPr>
              <w:rPr>
                <w:rFonts w:ascii="Times New Roman" w:hAnsi="Times New Roman" w:cs="Times New Roman"/>
                <w:noProof/>
                <w:sz w:val="20"/>
                <w:szCs w:val="20"/>
                <w:lang w:eastAsia="en-IN"/>
              </w:rPr>
            </w:pPr>
            <w:r w:rsidRPr="00A10A0E">
              <w:rPr>
                <w:rFonts w:ascii="Times New Roman" w:hAnsi="Times New Roman" w:cs="Times New Roman"/>
                <w:noProof/>
                <w:sz w:val="20"/>
                <w:szCs w:val="20"/>
                <w:lang w:eastAsia="en-IN"/>
              </w:rPr>
              <w:t>Supplementary Figure S</w:t>
            </w:r>
            <w:r w:rsidR="00BD09E3">
              <w:rPr>
                <w:rFonts w:ascii="Times New Roman" w:hAnsi="Times New Roman" w:cs="Times New Roman"/>
                <w:noProof/>
                <w:sz w:val="20"/>
                <w:szCs w:val="20"/>
                <w:lang w:eastAsia="en-IN"/>
              </w:rPr>
              <w:t>2</w:t>
            </w:r>
            <w:r w:rsidRPr="00A10A0E">
              <w:rPr>
                <w:rFonts w:ascii="Times New Roman" w:hAnsi="Times New Roman" w:cs="Times New Roman"/>
                <w:noProof/>
                <w:sz w:val="20"/>
                <w:szCs w:val="20"/>
                <w:lang w:eastAsia="en-IN"/>
              </w:rPr>
              <w:t>A–D. Funnel plots assessing small-study effects in community-restricted prevalence analyses. Separate plots are presented for cognitive impairment (A), depression (B), frailty (C), and falls (D). Dark-red circles represent individual study estimates, the green dashed vertical line represents the corresponding pooled prevalence estimate, and the blue dotted lines represent approximate 95% funnel limits. Prevalence is displayed as percentages on the logit scale along the horizontal axis, while study sample size is shown on the vertical axis. Egger’s regression suggested possible funnel-plot asymmetry for cognitive impairment and depression but showed no statistical evidence of asymmetry for frailty or falls. These findings were interpreted cautiously as possible small-study effects rather than definitive publication bias because substantial clinical and statistical heterogeneity remained. Polypharmacy was not assessed because fewer than 10 studies contributed to the analysis.</w:t>
            </w:r>
            <w:r w:rsidR="00CF0142" w:rsidRPr="00CF0142">
              <w:rPr>
                <w:rFonts w:ascii="Times New Roman" w:hAnsi="Times New Roman" w:cs="Times New Roman"/>
                <w:noProof/>
                <w:sz w:val="20"/>
                <w:szCs w:val="20"/>
                <w:lang w:eastAsia="en-IN"/>
              </w:rPr>
              <w:t>.</w:t>
            </w:r>
          </w:p>
        </w:tc>
      </w:tr>
      <w:bookmarkEnd w:id="1"/>
    </w:tbl>
    <w:p w14:paraId="5042F346" w14:textId="77777777" w:rsidR="00B30235" w:rsidRPr="00B30235" w:rsidRDefault="00B30235" w:rsidP="00B30235"/>
    <w:p w14:paraId="6A04AA99" w14:textId="062BC6B7" w:rsidR="00EE7015" w:rsidRDefault="0041508D" w:rsidP="0041508D">
      <w:r>
        <w:rPr>
          <w:noProof/>
        </w:rPr>
        <mc:AlternateContent>
          <mc:Choice Requires="wps">
            <w:drawing>
              <wp:anchor distT="0" distB="0" distL="114300" distR="114300" simplePos="0" relativeHeight="251688960" behindDoc="0" locked="0" layoutInCell="1" allowOverlap="1" wp14:anchorId="58731B4B" wp14:editId="27C81320">
                <wp:simplePos x="0" y="0"/>
                <wp:positionH relativeFrom="column">
                  <wp:posOffset>2415540</wp:posOffset>
                </wp:positionH>
                <wp:positionV relativeFrom="paragraph">
                  <wp:posOffset>875665</wp:posOffset>
                </wp:positionV>
                <wp:extent cx="746760" cy="7620"/>
                <wp:effectExtent l="38100" t="38100" r="72390" b="87630"/>
                <wp:wrapNone/>
                <wp:docPr id="1923495255" name="Straight Connector 1"/>
                <wp:cNvGraphicFramePr/>
                <a:graphic xmlns:a="http://schemas.openxmlformats.org/drawingml/2006/main">
                  <a:graphicData uri="http://schemas.microsoft.com/office/word/2010/wordprocessingShape">
                    <wps:wsp>
                      <wps:cNvCnPr/>
                      <wps:spPr>
                        <a:xfrm flipV="1">
                          <a:off x="0" y="0"/>
                          <a:ext cx="74676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C894E3" id="Straight Connector 1"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2pt,68.95pt" to="249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" strokecolor="black [3200]" strokeweight="2pt">
                <v:shadow on="t" color="black" opacity="24903f" origin=",.5" offset="0,.55556mm"/>
              </v:line>
            </w:pict>
          </mc:Fallback>
        </mc:AlternateContent>
      </w:r>
    </w:p>
    <w:sectPr w:rsidR="00EE70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87440" w14:textId="77777777" w:rsidR="00783BF1" w:rsidRDefault="00783BF1" w:rsidP="00F3703D">
      <w:pPr>
        <w:spacing w:after="0" w:line="240" w:lineRule="auto"/>
      </w:pPr>
      <w:r>
        <w:separator/>
      </w:r>
    </w:p>
  </w:endnote>
  <w:endnote w:type="continuationSeparator" w:id="0">
    <w:p w14:paraId="2B0BDA39" w14:textId="77777777" w:rsidR="00783BF1" w:rsidRDefault="00783BF1" w:rsidP="00F37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59066"/>
      <w:docPartObj>
        <w:docPartGallery w:val="Page Numbers (Bottom of Page)"/>
        <w:docPartUnique/>
      </w:docPartObj>
    </w:sdtPr>
    <w:sdtContent>
      <w:sdt>
        <w:sdtPr>
          <w:id w:val="1728636285"/>
          <w:docPartObj>
            <w:docPartGallery w:val="Page Numbers (Top of Page)"/>
            <w:docPartUnique/>
          </w:docPartObj>
        </w:sdtPr>
        <w:sdtContent>
          <w:p w14:paraId="0985DF29" w14:textId="3A728127" w:rsidR="00C2288F" w:rsidRDefault="00C2288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5C22D97" w14:textId="77777777" w:rsidR="00C2288F" w:rsidRDefault="00C228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924D0" w14:textId="77777777" w:rsidR="00783BF1" w:rsidRDefault="00783BF1" w:rsidP="00F3703D">
      <w:pPr>
        <w:spacing w:after="0" w:line="240" w:lineRule="auto"/>
      </w:pPr>
      <w:r>
        <w:separator/>
      </w:r>
    </w:p>
  </w:footnote>
  <w:footnote w:type="continuationSeparator" w:id="0">
    <w:p w14:paraId="5BA36AD6" w14:textId="77777777" w:rsidR="00783BF1" w:rsidRDefault="00783BF1" w:rsidP="00F370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B12279"/>
    <w:multiLevelType w:val="multilevel"/>
    <w:tmpl w:val="569E7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1F74EE"/>
    <w:multiLevelType w:val="multilevel"/>
    <w:tmpl w:val="45AE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DE5652"/>
    <w:multiLevelType w:val="multilevel"/>
    <w:tmpl w:val="85CEC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E449BF"/>
    <w:multiLevelType w:val="hybridMultilevel"/>
    <w:tmpl w:val="0220FF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35B73CD"/>
    <w:multiLevelType w:val="hybridMultilevel"/>
    <w:tmpl w:val="910AA29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E823204"/>
    <w:multiLevelType w:val="multilevel"/>
    <w:tmpl w:val="F12E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B7389B"/>
    <w:multiLevelType w:val="multilevel"/>
    <w:tmpl w:val="7D4E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A46CF0"/>
    <w:multiLevelType w:val="multilevel"/>
    <w:tmpl w:val="EB3CFF9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7" w15:restartNumberingAfterBreak="0">
    <w:nsid w:val="57617D20"/>
    <w:multiLevelType w:val="multilevel"/>
    <w:tmpl w:val="FADC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8E2A28"/>
    <w:multiLevelType w:val="multilevel"/>
    <w:tmpl w:val="049E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A97C94"/>
    <w:multiLevelType w:val="hybridMultilevel"/>
    <w:tmpl w:val="FE165426"/>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20" w15:restartNumberingAfterBreak="0">
    <w:nsid w:val="660A67E1"/>
    <w:multiLevelType w:val="multilevel"/>
    <w:tmpl w:val="EC8E9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CE02BB"/>
    <w:multiLevelType w:val="multilevel"/>
    <w:tmpl w:val="DC5A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F72BD5"/>
    <w:multiLevelType w:val="multilevel"/>
    <w:tmpl w:val="A70E4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7729198">
    <w:abstractNumId w:val="14"/>
  </w:num>
  <w:num w:numId="2" w16cid:durableId="1883205993">
    <w:abstractNumId w:val="22"/>
  </w:num>
  <w:num w:numId="3" w16cid:durableId="1477604797">
    <w:abstractNumId w:val="20"/>
  </w:num>
  <w:num w:numId="4" w16cid:durableId="422383023">
    <w:abstractNumId w:val="16"/>
  </w:num>
  <w:num w:numId="5" w16cid:durableId="1523083258">
    <w:abstractNumId w:val="9"/>
  </w:num>
  <w:num w:numId="6" w16cid:durableId="18163920">
    <w:abstractNumId w:val="17"/>
  </w:num>
  <w:num w:numId="7" w16cid:durableId="170684538">
    <w:abstractNumId w:val="15"/>
  </w:num>
  <w:num w:numId="8" w16cid:durableId="2137023052">
    <w:abstractNumId w:val="18"/>
  </w:num>
  <w:num w:numId="9" w16cid:durableId="1114711897">
    <w:abstractNumId w:val="21"/>
  </w:num>
  <w:num w:numId="10" w16cid:durableId="779229458">
    <w:abstractNumId w:val="10"/>
  </w:num>
  <w:num w:numId="11" w16cid:durableId="1168400248">
    <w:abstractNumId w:val="11"/>
  </w:num>
  <w:num w:numId="12" w16cid:durableId="2121144150">
    <w:abstractNumId w:val="19"/>
  </w:num>
  <w:num w:numId="13" w16cid:durableId="601837881">
    <w:abstractNumId w:val="13"/>
  </w:num>
  <w:num w:numId="14" w16cid:durableId="762527090">
    <w:abstractNumId w:val="12"/>
  </w:num>
  <w:num w:numId="15" w16cid:durableId="295070156">
    <w:abstractNumId w:val="8"/>
  </w:num>
  <w:num w:numId="16" w16cid:durableId="1411079987">
    <w:abstractNumId w:val="6"/>
  </w:num>
  <w:num w:numId="17" w16cid:durableId="2105807572">
    <w:abstractNumId w:val="5"/>
  </w:num>
  <w:num w:numId="18" w16cid:durableId="828520343">
    <w:abstractNumId w:val="4"/>
  </w:num>
  <w:num w:numId="19" w16cid:durableId="1184247903">
    <w:abstractNumId w:val="7"/>
  </w:num>
  <w:num w:numId="20" w16cid:durableId="1660234201">
    <w:abstractNumId w:val="3"/>
  </w:num>
  <w:num w:numId="21" w16cid:durableId="1776975706">
    <w:abstractNumId w:val="2"/>
  </w:num>
  <w:num w:numId="22" w16cid:durableId="976254927">
    <w:abstractNumId w:val="1"/>
  </w:num>
  <w:num w:numId="23" w16cid:durableId="1824006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142"/>
    <w:rsid w:val="00025B7F"/>
    <w:rsid w:val="00036FBF"/>
    <w:rsid w:val="00060E98"/>
    <w:rsid w:val="00063306"/>
    <w:rsid w:val="00065741"/>
    <w:rsid w:val="0009608F"/>
    <w:rsid w:val="00097C0B"/>
    <w:rsid w:val="000A1299"/>
    <w:rsid w:val="000A22C5"/>
    <w:rsid w:val="000C1EC2"/>
    <w:rsid w:val="000C5164"/>
    <w:rsid w:val="000F200E"/>
    <w:rsid w:val="000F7DCF"/>
    <w:rsid w:val="00100789"/>
    <w:rsid w:val="001136F2"/>
    <w:rsid w:val="00121748"/>
    <w:rsid w:val="00170906"/>
    <w:rsid w:val="00173249"/>
    <w:rsid w:val="00182B4C"/>
    <w:rsid w:val="00192814"/>
    <w:rsid w:val="001C149B"/>
    <w:rsid w:val="001C692F"/>
    <w:rsid w:val="001D71CA"/>
    <w:rsid w:val="001E4D2C"/>
    <w:rsid w:val="001E6430"/>
    <w:rsid w:val="0020210F"/>
    <w:rsid w:val="00211D90"/>
    <w:rsid w:val="00225AB6"/>
    <w:rsid w:val="00256E1F"/>
    <w:rsid w:val="00281703"/>
    <w:rsid w:val="002E5CE5"/>
    <w:rsid w:val="00301A90"/>
    <w:rsid w:val="00361339"/>
    <w:rsid w:val="00381D05"/>
    <w:rsid w:val="003B4893"/>
    <w:rsid w:val="003C2E7B"/>
    <w:rsid w:val="003C6C5C"/>
    <w:rsid w:val="003D57E1"/>
    <w:rsid w:val="00402DC2"/>
    <w:rsid w:val="00404685"/>
    <w:rsid w:val="0041508D"/>
    <w:rsid w:val="00455AD3"/>
    <w:rsid w:val="00455D96"/>
    <w:rsid w:val="00487ABC"/>
    <w:rsid w:val="0049553B"/>
    <w:rsid w:val="004E4BB3"/>
    <w:rsid w:val="004F1E43"/>
    <w:rsid w:val="00521E28"/>
    <w:rsid w:val="00522DBA"/>
    <w:rsid w:val="00545049"/>
    <w:rsid w:val="005562C2"/>
    <w:rsid w:val="0056505A"/>
    <w:rsid w:val="005673FA"/>
    <w:rsid w:val="00572D90"/>
    <w:rsid w:val="00584508"/>
    <w:rsid w:val="00594674"/>
    <w:rsid w:val="005C3F70"/>
    <w:rsid w:val="005D580B"/>
    <w:rsid w:val="005E0DB7"/>
    <w:rsid w:val="005E4038"/>
    <w:rsid w:val="005E432C"/>
    <w:rsid w:val="0062479D"/>
    <w:rsid w:val="00625015"/>
    <w:rsid w:val="00626054"/>
    <w:rsid w:val="00626798"/>
    <w:rsid w:val="00627509"/>
    <w:rsid w:val="0063268C"/>
    <w:rsid w:val="00675131"/>
    <w:rsid w:val="006903C9"/>
    <w:rsid w:val="00694786"/>
    <w:rsid w:val="006A4177"/>
    <w:rsid w:val="006B727C"/>
    <w:rsid w:val="006C7594"/>
    <w:rsid w:val="006F0790"/>
    <w:rsid w:val="0070238A"/>
    <w:rsid w:val="00771691"/>
    <w:rsid w:val="007819D0"/>
    <w:rsid w:val="00783BF1"/>
    <w:rsid w:val="00795517"/>
    <w:rsid w:val="007B58F7"/>
    <w:rsid w:val="007B6E1D"/>
    <w:rsid w:val="007C0F8A"/>
    <w:rsid w:val="007E60BB"/>
    <w:rsid w:val="00803516"/>
    <w:rsid w:val="00803FF7"/>
    <w:rsid w:val="00827671"/>
    <w:rsid w:val="00832EE7"/>
    <w:rsid w:val="00845110"/>
    <w:rsid w:val="008459E3"/>
    <w:rsid w:val="00845FAB"/>
    <w:rsid w:val="00864CA3"/>
    <w:rsid w:val="008D1AB8"/>
    <w:rsid w:val="00964A38"/>
    <w:rsid w:val="00982D58"/>
    <w:rsid w:val="009D73FE"/>
    <w:rsid w:val="009E6F77"/>
    <w:rsid w:val="009E72EC"/>
    <w:rsid w:val="009F4640"/>
    <w:rsid w:val="00A04B74"/>
    <w:rsid w:val="00A10A0E"/>
    <w:rsid w:val="00A124EB"/>
    <w:rsid w:val="00A44199"/>
    <w:rsid w:val="00A57FAA"/>
    <w:rsid w:val="00A63455"/>
    <w:rsid w:val="00A6511D"/>
    <w:rsid w:val="00AA189B"/>
    <w:rsid w:val="00AA76CE"/>
    <w:rsid w:val="00AB072B"/>
    <w:rsid w:val="00AB0E78"/>
    <w:rsid w:val="00AB1471"/>
    <w:rsid w:val="00AD2257"/>
    <w:rsid w:val="00AD2352"/>
    <w:rsid w:val="00B2671E"/>
    <w:rsid w:val="00B30235"/>
    <w:rsid w:val="00B32C65"/>
    <w:rsid w:val="00B612B9"/>
    <w:rsid w:val="00BA0289"/>
    <w:rsid w:val="00BA2D1C"/>
    <w:rsid w:val="00BB7DCD"/>
    <w:rsid w:val="00BD09E3"/>
    <w:rsid w:val="00BD16C4"/>
    <w:rsid w:val="00BF0408"/>
    <w:rsid w:val="00BF762F"/>
    <w:rsid w:val="00C11321"/>
    <w:rsid w:val="00C13BB0"/>
    <w:rsid w:val="00C149E4"/>
    <w:rsid w:val="00C2288F"/>
    <w:rsid w:val="00C3554A"/>
    <w:rsid w:val="00C46B07"/>
    <w:rsid w:val="00C46C6C"/>
    <w:rsid w:val="00C5139E"/>
    <w:rsid w:val="00C55845"/>
    <w:rsid w:val="00C62F29"/>
    <w:rsid w:val="00C9208C"/>
    <w:rsid w:val="00CB5B79"/>
    <w:rsid w:val="00CC337A"/>
    <w:rsid w:val="00CF0142"/>
    <w:rsid w:val="00D40239"/>
    <w:rsid w:val="00D46C56"/>
    <w:rsid w:val="00D86641"/>
    <w:rsid w:val="00D87943"/>
    <w:rsid w:val="00DA18AE"/>
    <w:rsid w:val="00DB5AFC"/>
    <w:rsid w:val="00DC59AD"/>
    <w:rsid w:val="00DC763A"/>
    <w:rsid w:val="00DF0DE9"/>
    <w:rsid w:val="00E26485"/>
    <w:rsid w:val="00E73E67"/>
    <w:rsid w:val="00E75993"/>
    <w:rsid w:val="00E853A7"/>
    <w:rsid w:val="00EE7015"/>
    <w:rsid w:val="00F0448C"/>
    <w:rsid w:val="00F078DF"/>
    <w:rsid w:val="00F12DD4"/>
    <w:rsid w:val="00F32F92"/>
    <w:rsid w:val="00F3703D"/>
    <w:rsid w:val="00FA4E1E"/>
    <w:rsid w:val="00FC79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0E2AC"/>
  <w15:chartTrackingRefBased/>
  <w15:docId w15:val="{3096894A-921D-4DB9-82C3-A3ADB4647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014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F014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CF014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F014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F014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F01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1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1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1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14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F014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CF014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F014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F014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F01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1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1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142"/>
    <w:rPr>
      <w:rFonts w:eastAsiaTheme="majorEastAsia" w:cstheme="majorBidi"/>
      <w:color w:val="272727" w:themeColor="text1" w:themeTint="D8"/>
    </w:rPr>
  </w:style>
  <w:style w:type="paragraph" w:styleId="Title">
    <w:name w:val="Title"/>
    <w:basedOn w:val="Normal"/>
    <w:next w:val="Normal"/>
    <w:link w:val="TitleChar"/>
    <w:uiPriority w:val="10"/>
    <w:qFormat/>
    <w:rsid w:val="00CF01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1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14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1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14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0142"/>
    <w:rPr>
      <w:i/>
      <w:iCs/>
      <w:color w:val="404040" w:themeColor="text1" w:themeTint="BF"/>
    </w:rPr>
  </w:style>
  <w:style w:type="paragraph" w:styleId="ListParagraph">
    <w:name w:val="List Paragraph"/>
    <w:basedOn w:val="Normal"/>
    <w:uiPriority w:val="34"/>
    <w:qFormat/>
    <w:rsid w:val="00CF0142"/>
    <w:pPr>
      <w:ind w:left="720"/>
      <w:contextualSpacing/>
    </w:pPr>
  </w:style>
  <w:style w:type="character" w:styleId="IntenseEmphasis">
    <w:name w:val="Intense Emphasis"/>
    <w:basedOn w:val="DefaultParagraphFont"/>
    <w:uiPriority w:val="21"/>
    <w:qFormat/>
    <w:rsid w:val="00CF0142"/>
    <w:rPr>
      <w:i/>
      <w:iCs/>
      <w:color w:val="365F91" w:themeColor="accent1" w:themeShade="BF"/>
    </w:rPr>
  </w:style>
  <w:style w:type="paragraph" w:styleId="IntenseQuote">
    <w:name w:val="Intense Quote"/>
    <w:basedOn w:val="Normal"/>
    <w:next w:val="Normal"/>
    <w:link w:val="IntenseQuoteChar"/>
    <w:uiPriority w:val="30"/>
    <w:qFormat/>
    <w:rsid w:val="00CF014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F0142"/>
    <w:rPr>
      <w:i/>
      <w:iCs/>
      <w:color w:val="365F91" w:themeColor="accent1" w:themeShade="BF"/>
    </w:rPr>
  </w:style>
  <w:style w:type="character" w:styleId="IntenseReference">
    <w:name w:val="Intense Reference"/>
    <w:basedOn w:val="DefaultParagraphFont"/>
    <w:uiPriority w:val="32"/>
    <w:qFormat/>
    <w:rsid w:val="00CF0142"/>
    <w:rPr>
      <w:b/>
      <w:bCs/>
      <w:smallCaps/>
      <w:color w:val="365F91" w:themeColor="accent1" w:themeShade="BF"/>
      <w:spacing w:val="5"/>
    </w:rPr>
  </w:style>
  <w:style w:type="table" w:styleId="TableGrid">
    <w:name w:val="Table Grid"/>
    <w:basedOn w:val="TableNormal"/>
    <w:uiPriority w:val="59"/>
    <w:rsid w:val="00CF0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F0142"/>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CF0142"/>
    <w:rPr>
      <w:b/>
      <w:bCs/>
    </w:rPr>
  </w:style>
  <w:style w:type="character" w:styleId="Emphasis">
    <w:name w:val="Emphasis"/>
    <w:basedOn w:val="DefaultParagraphFont"/>
    <w:uiPriority w:val="20"/>
    <w:qFormat/>
    <w:rsid w:val="00CF0142"/>
    <w:rPr>
      <w:i/>
      <w:iCs/>
    </w:rPr>
  </w:style>
  <w:style w:type="table" w:customStyle="1" w:styleId="TableGrid1">
    <w:name w:val="Table Grid1"/>
    <w:basedOn w:val="TableNormal"/>
    <w:next w:val="TableGrid"/>
    <w:uiPriority w:val="59"/>
    <w:rsid w:val="00CF0142"/>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01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0142"/>
  </w:style>
  <w:style w:type="paragraph" w:styleId="Footer">
    <w:name w:val="footer"/>
    <w:basedOn w:val="Normal"/>
    <w:link w:val="FooterChar"/>
    <w:uiPriority w:val="99"/>
    <w:unhideWhenUsed/>
    <w:rsid w:val="00CF01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0142"/>
  </w:style>
  <w:style w:type="character" w:styleId="CommentReference">
    <w:name w:val="annotation reference"/>
    <w:basedOn w:val="DefaultParagraphFont"/>
    <w:uiPriority w:val="99"/>
    <w:semiHidden/>
    <w:unhideWhenUsed/>
    <w:rsid w:val="00CF0142"/>
    <w:rPr>
      <w:sz w:val="16"/>
      <w:szCs w:val="16"/>
    </w:rPr>
  </w:style>
  <w:style w:type="paragraph" w:styleId="CommentText">
    <w:name w:val="annotation text"/>
    <w:basedOn w:val="Normal"/>
    <w:link w:val="CommentTextChar"/>
    <w:uiPriority w:val="99"/>
    <w:unhideWhenUsed/>
    <w:rsid w:val="00CF0142"/>
    <w:pPr>
      <w:spacing w:line="240" w:lineRule="auto"/>
    </w:pPr>
    <w:rPr>
      <w:sz w:val="20"/>
      <w:szCs w:val="20"/>
    </w:rPr>
  </w:style>
  <w:style w:type="character" w:customStyle="1" w:styleId="CommentTextChar">
    <w:name w:val="Comment Text Char"/>
    <w:basedOn w:val="DefaultParagraphFont"/>
    <w:link w:val="CommentText"/>
    <w:uiPriority w:val="99"/>
    <w:rsid w:val="00CF0142"/>
    <w:rPr>
      <w:sz w:val="20"/>
      <w:szCs w:val="20"/>
    </w:rPr>
  </w:style>
  <w:style w:type="paragraph" w:styleId="CommentSubject">
    <w:name w:val="annotation subject"/>
    <w:basedOn w:val="CommentText"/>
    <w:next w:val="CommentText"/>
    <w:link w:val="CommentSubjectChar"/>
    <w:uiPriority w:val="99"/>
    <w:semiHidden/>
    <w:unhideWhenUsed/>
    <w:rsid w:val="00CF0142"/>
    <w:rPr>
      <w:b/>
      <w:bCs/>
    </w:rPr>
  </w:style>
  <w:style w:type="character" w:customStyle="1" w:styleId="CommentSubjectChar">
    <w:name w:val="Comment Subject Char"/>
    <w:basedOn w:val="CommentTextChar"/>
    <w:link w:val="CommentSubject"/>
    <w:uiPriority w:val="99"/>
    <w:semiHidden/>
    <w:rsid w:val="00CF0142"/>
    <w:rPr>
      <w:b/>
      <w:bCs/>
      <w:sz w:val="20"/>
      <w:szCs w:val="20"/>
    </w:rPr>
  </w:style>
  <w:style w:type="table" w:styleId="TableGridLight">
    <w:name w:val="Grid Table Light"/>
    <w:basedOn w:val="TableNormal"/>
    <w:uiPriority w:val="40"/>
    <w:rsid w:val="00CF01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CF014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CF0142"/>
    <w:pPr>
      <w:tabs>
        <w:tab w:val="left" w:pos="384"/>
      </w:tabs>
      <w:spacing w:after="0" w:line="480" w:lineRule="auto"/>
      <w:ind w:left="384" w:hanging="384"/>
    </w:pPr>
  </w:style>
  <w:style w:type="character" w:styleId="Hyperlink">
    <w:name w:val="Hyperlink"/>
    <w:basedOn w:val="DefaultParagraphFont"/>
    <w:uiPriority w:val="99"/>
    <w:unhideWhenUsed/>
    <w:rsid w:val="006C7594"/>
    <w:rPr>
      <w:color w:val="0000FF" w:themeColor="hyperlink"/>
      <w:u w:val="single"/>
    </w:rPr>
  </w:style>
  <w:style w:type="character" w:styleId="UnresolvedMention">
    <w:name w:val="Unresolved Mention"/>
    <w:basedOn w:val="DefaultParagraphFont"/>
    <w:uiPriority w:val="99"/>
    <w:semiHidden/>
    <w:unhideWhenUsed/>
    <w:rsid w:val="006C7594"/>
    <w:rPr>
      <w:color w:val="605E5C"/>
      <w:shd w:val="clear" w:color="auto" w:fill="E1DFDD"/>
    </w:rPr>
  </w:style>
  <w:style w:type="character" w:styleId="FollowedHyperlink">
    <w:name w:val="FollowedHyperlink"/>
    <w:basedOn w:val="DefaultParagraphFont"/>
    <w:uiPriority w:val="99"/>
    <w:semiHidden/>
    <w:unhideWhenUsed/>
    <w:rsid w:val="006C7594"/>
    <w:rPr>
      <w:color w:val="800080" w:themeColor="followedHyperlink"/>
      <w:u w:val="single"/>
    </w:rPr>
  </w:style>
  <w:style w:type="paragraph" w:customStyle="1" w:styleId="msonormal0">
    <w:name w:val="msonormal"/>
    <w:basedOn w:val="Normal"/>
    <w:rsid w:val="005562C2"/>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customStyle="1" w:styleId="xl65">
    <w:name w:val="xl65"/>
    <w:basedOn w:val="Normal"/>
    <w:rsid w:val="005562C2"/>
    <w:pPr>
      <w:shd w:val="clear" w:color="000000" w:fill="2F5496"/>
      <w:spacing w:before="100" w:beforeAutospacing="1" w:after="100" w:afterAutospacing="1" w:line="240" w:lineRule="auto"/>
      <w:jc w:val="center"/>
      <w:textAlignment w:val="center"/>
    </w:pPr>
    <w:rPr>
      <w:rFonts w:ascii="Calibri" w:eastAsia="Times New Roman" w:hAnsi="Calibri" w:cs="Calibri"/>
      <w:b/>
      <w:bCs/>
      <w:color w:val="FFFFFF"/>
      <w:kern w:val="0"/>
      <w:sz w:val="18"/>
      <w:szCs w:val="18"/>
      <w:lang w:eastAsia="en-IN"/>
      <w14:ligatures w14:val="none"/>
    </w:rPr>
  </w:style>
  <w:style w:type="paragraph" w:customStyle="1" w:styleId="xl66">
    <w:name w:val="xl66"/>
    <w:basedOn w:val="Normal"/>
    <w:rsid w:val="005562C2"/>
    <w:pPr>
      <w:spacing w:before="100" w:beforeAutospacing="1" w:after="100" w:afterAutospacing="1" w:line="240" w:lineRule="auto"/>
      <w:jc w:val="center"/>
      <w:textAlignment w:val="center"/>
    </w:pPr>
    <w:rPr>
      <w:rFonts w:ascii="Calibri" w:eastAsia="Times New Roman" w:hAnsi="Calibri" w:cs="Calibri"/>
      <w:kern w:val="0"/>
      <w:sz w:val="18"/>
      <w:szCs w:val="18"/>
      <w:lang w:eastAsia="en-IN"/>
      <w14:ligatures w14:val="none"/>
    </w:rPr>
  </w:style>
  <w:style w:type="paragraph" w:customStyle="1" w:styleId="xl67">
    <w:name w:val="xl67"/>
    <w:basedOn w:val="Normal"/>
    <w:rsid w:val="005562C2"/>
    <w:pPr>
      <w:spacing w:before="100" w:beforeAutospacing="1" w:after="100" w:afterAutospacing="1" w:line="240" w:lineRule="auto"/>
      <w:textAlignment w:val="center"/>
    </w:pPr>
    <w:rPr>
      <w:rFonts w:ascii="Calibri" w:eastAsia="Times New Roman" w:hAnsi="Calibri" w:cs="Calibri"/>
      <w:kern w:val="0"/>
      <w:sz w:val="18"/>
      <w:szCs w:val="18"/>
      <w:lang w:eastAsia="en-IN"/>
      <w14:ligatures w14:val="none"/>
    </w:rPr>
  </w:style>
  <w:style w:type="paragraph" w:customStyle="1" w:styleId="xl68">
    <w:name w:val="xl68"/>
    <w:basedOn w:val="Normal"/>
    <w:rsid w:val="005562C2"/>
    <w:pPr>
      <w:pBdr>
        <w:top w:val="single" w:sz="4" w:space="0" w:color="FFFFFF"/>
        <w:left w:val="single" w:sz="4" w:space="0" w:color="FFFFFF"/>
        <w:bottom w:val="single" w:sz="4" w:space="0" w:color="FFFFFF"/>
        <w:right w:val="single" w:sz="4" w:space="0" w:color="FFFFFF"/>
      </w:pBdr>
      <w:shd w:val="clear" w:color="000000" w:fill="63BE7B"/>
      <w:spacing w:before="100" w:beforeAutospacing="1" w:after="100" w:afterAutospacing="1" w:line="240" w:lineRule="auto"/>
      <w:jc w:val="center"/>
      <w:textAlignment w:val="center"/>
    </w:pPr>
    <w:rPr>
      <w:rFonts w:ascii="Calibri" w:eastAsia="Times New Roman" w:hAnsi="Calibri" w:cs="Calibri"/>
      <w:kern w:val="0"/>
      <w:sz w:val="18"/>
      <w:szCs w:val="18"/>
      <w:lang w:eastAsia="en-IN"/>
      <w14:ligatures w14:val="none"/>
    </w:rPr>
  </w:style>
  <w:style w:type="paragraph" w:customStyle="1" w:styleId="xl69">
    <w:name w:val="xl69"/>
    <w:basedOn w:val="Normal"/>
    <w:rsid w:val="005562C2"/>
    <w:pPr>
      <w:shd w:val="clear" w:color="000000" w:fill="63BE7B"/>
      <w:spacing w:before="100" w:beforeAutospacing="1" w:after="100" w:afterAutospacing="1" w:line="240" w:lineRule="auto"/>
      <w:jc w:val="center"/>
      <w:textAlignment w:val="center"/>
    </w:pPr>
    <w:rPr>
      <w:rFonts w:ascii="Calibri" w:eastAsia="Times New Roman" w:hAnsi="Calibri" w:cs="Calibri"/>
      <w:b/>
      <w:bCs/>
      <w:kern w:val="0"/>
      <w:sz w:val="18"/>
      <w:szCs w:val="18"/>
      <w:lang w:eastAsia="en-IN"/>
      <w14:ligatures w14:val="none"/>
    </w:rPr>
  </w:style>
  <w:style w:type="paragraph" w:customStyle="1" w:styleId="xl70">
    <w:name w:val="xl70"/>
    <w:basedOn w:val="Normal"/>
    <w:rsid w:val="005562C2"/>
    <w:pPr>
      <w:pBdr>
        <w:top w:val="single" w:sz="4" w:space="0" w:color="FFFFFF"/>
        <w:left w:val="single" w:sz="4" w:space="0" w:color="FFFFFF"/>
        <w:bottom w:val="single" w:sz="4" w:space="0" w:color="FFFFFF"/>
        <w:right w:val="single" w:sz="4" w:space="0" w:color="FFFFFF"/>
      </w:pBdr>
      <w:shd w:val="clear" w:color="000000" w:fill="FFD666"/>
      <w:spacing w:before="100" w:beforeAutospacing="1" w:after="100" w:afterAutospacing="1" w:line="240" w:lineRule="auto"/>
      <w:jc w:val="center"/>
      <w:textAlignment w:val="center"/>
    </w:pPr>
    <w:rPr>
      <w:rFonts w:ascii="Calibri" w:eastAsia="Times New Roman" w:hAnsi="Calibri" w:cs="Calibri"/>
      <w:kern w:val="0"/>
      <w:sz w:val="18"/>
      <w:szCs w:val="18"/>
      <w:lang w:eastAsia="en-IN"/>
      <w14:ligatures w14:val="none"/>
    </w:rPr>
  </w:style>
  <w:style w:type="paragraph" w:customStyle="1" w:styleId="xl71">
    <w:name w:val="xl71"/>
    <w:basedOn w:val="Normal"/>
    <w:rsid w:val="005562C2"/>
    <w:pPr>
      <w:pBdr>
        <w:top w:val="single" w:sz="4" w:space="0" w:color="FFFFFF"/>
        <w:left w:val="single" w:sz="4" w:space="0" w:color="FFFFFF"/>
        <w:bottom w:val="single" w:sz="4" w:space="0" w:color="FFFFFF"/>
        <w:right w:val="single" w:sz="4" w:space="0" w:color="FFFFFF"/>
      </w:pBdr>
      <w:shd w:val="clear" w:color="000000" w:fill="F8696B"/>
      <w:spacing w:before="100" w:beforeAutospacing="1" w:after="100" w:afterAutospacing="1" w:line="240" w:lineRule="auto"/>
      <w:jc w:val="center"/>
      <w:textAlignment w:val="center"/>
    </w:pPr>
    <w:rPr>
      <w:rFonts w:ascii="Calibri" w:eastAsia="Times New Roman" w:hAnsi="Calibri" w:cs="Calibri"/>
      <w:kern w:val="0"/>
      <w:sz w:val="18"/>
      <w:szCs w:val="18"/>
      <w:lang w:eastAsia="en-IN"/>
      <w14:ligatures w14:val="none"/>
    </w:rPr>
  </w:style>
  <w:style w:type="paragraph" w:customStyle="1" w:styleId="xl72">
    <w:name w:val="xl72"/>
    <w:basedOn w:val="Normal"/>
    <w:rsid w:val="005562C2"/>
    <w:pPr>
      <w:shd w:val="clear" w:color="000000" w:fill="FFD666"/>
      <w:spacing w:before="100" w:beforeAutospacing="1" w:after="100" w:afterAutospacing="1" w:line="240" w:lineRule="auto"/>
      <w:jc w:val="center"/>
      <w:textAlignment w:val="center"/>
    </w:pPr>
    <w:rPr>
      <w:rFonts w:ascii="Calibri" w:eastAsia="Times New Roman" w:hAnsi="Calibri" w:cs="Calibri"/>
      <w:b/>
      <w:bCs/>
      <w:kern w:val="0"/>
      <w:sz w:val="18"/>
      <w:szCs w:val="18"/>
      <w:lang w:eastAsia="en-IN"/>
      <w14:ligatures w14:val="none"/>
    </w:rPr>
  </w:style>
  <w:style w:type="paragraph" w:customStyle="1" w:styleId="xl73">
    <w:name w:val="xl73"/>
    <w:basedOn w:val="Normal"/>
    <w:rsid w:val="005562C2"/>
    <w:pPr>
      <w:shd w:val="clear" w:color="000000" w:fill="F8696B"/>
      <w:spacing w:before="100" w:beforeAutospacing="1" w:after="100" w:afterAutospacing="1" w:line="240" w:lineRule="auto"/>
      <w:jc w:val="center"/>
      <w:textAlignment w:val="center"/>
    </w:pPr>
    <w:rPr>
      <w:rFonts w:ascii="Calibri" w:eastAsia="Times New Roman" w:hAnsi="Calibri" w:cs="Calibri"/>
      <w:b/>
      <w:bCs/>
      <w:kern w:val="0"/>
      <w:sz w:val="18"/>
      <w:szCs w:val="18"/>
      <w:lang w:eastAsia="en-IN"/>
      <w14:ligatures w14:val="none"/>
    </w:rPr>
  </w:style>
  <w:style w:type="paragraph" w:customStyle="1" w:styleId="xl74">
    <w:name w:val="xl74"/>
    <w:basedOn w:val="Normal"/>
    <w:rsid w:val="005562C2"/>
    <w:pPr>
      <w:spacing w:before="100" w:beforeAutospacing="1" w:after="100" w:afterAutospacing="1" w:line="240" w:lineRule="auto"/>
    </w:pPr>
    <w:rPr>
      <w:rFonts w:ascii="Calibri" w:eastAsia="Times New Roman" w:hAnsi="Calibri" w:cs="Calibri"/>
      <w:i/>
      <w:iCs/>
      <w:kern w:val="0"/>
      <w:sz w:val="16"/>
      <w:szCs w:val="16"/>
      <w:lang w:eastAsia="en-IN"/>
      <w14:ligatures w14:val="none"/>
    </w:rPr>
  </w:style>
  <w:style w:type="numbering" w:customStyle="1" w:styleId="NoList1">
    <w:name w:val="No List1"/>
    <w:next w:val="NoList"/>
    <w:uiPriority w:val="99"/>
    <w:semiHidden/>
    <w:unhideWhenUsed/>
    <w:rsid w:val="003D57E1"/>
  </w:style>
  <w:style w:type="paragraph" w:styleId="NoSpacing">
    <w:name w:val="No Spacing"/>
    <w:uiPriority w:val="1"/>
    <w:qFormat/>
    <w:rsid w:val="003D57E1"/>
    <w:pPr>
      <w:spacing w:after="0" w:line="240" w:lineRule="auto"/>
    </w:pPr>
    <w:rPr>
      <w:rFonts w:eastAsia="MS Mincho"/>
      <w:kern w:val="0"/>
      <w:lang w:val="en-US"/>
      <w14:ligatures w14:val="none"/>
    </w:rPr>
  </w:style>
  <w:style w:type="paragraph" w:styleId="BodyText">
    <w:name w:val="Body Text"/>
    <w:basedOn w:val="Normal"/>
    <w:link w:val="BodyTextChar"/>
    <w:uiPriority w:val="99"/>
    <w:unhideWhenUsed/>
    <w:rsid w:val="003D57E1"/>
    <w:pPr>
      <w:spacing w:after="120"/>
    </w:pPr>
    <w:rPr>
      <w:rFonts w:ascii="Calibri" w:eastAsia="MS Mincho" w:hAnsi="Calibri"/>
      <w:kern w:val="0"/>
      <w:sz w:val="18"/>
      <w:lang w:val="en-US"/>
      <w14:ligatures w14:val="none"/>
    </w:rPr>
  </w:style>
  <w:style w:type="character" w:customStyle="1" w:styleId="BodyTextChar">
    <w:name w:val="Body Text Char"/>
    <w:basedOn w:val="DefaultParagraphFont"/>
    <w:link w:val="BodyText"/>
    <w:uiPriority w:val="99"/>
    <w:rsid w:val="003D57E1"/>
    <w:rPr>
      <w:rFonts w:ascii="Calibri" w:eastAsia="MS Mincho" w:hAnsi="Calibri"/>
      <w:kern w:val="0"/>
      <w:sz w:val="18"/>
      <w:lang w:val="en-US"/>
      <w14:ligatures w14:val="none"/>
    </w:rPr>
  </w:style>
  <w:style w:type="paragraph" w:styleId="BodyText2">
    <w:name w:val="Body Text 2"/>
    <w:basedOn w:val="Normal"/>
    <w:link w:val="BodyText2Char"/>
    <w:uiPriority w:val="99"/>
    <w:unhideWhenUsed/>
    <w:rsid w:val="003D57E1"/>
    <w:pPr>
      <w:spacing w:after="120" w:line="480" w:lineRule="auto"/>
    </w:pPr>
    <w:rPr>
      <w:rFonts w:ascii="Calibri" w:eastAsia="MS Mincho" w:hAnsi="Calibri"/>
      <w:kern w:val="0"/>
      <w:sz w:val="18"/>
      <w:lang w:val="en-US"/>
      <w14:ligatures w14:val="none"/>
    </w:rPr>
  </w:style>
  <w:style w:type="character" w:customStyle="1" w:styleId="BodyText2Char">
    <w:name w:val="Body Text 2 Char"/>
    <w:basedOn w:val="DefaultParagraphFont"/>
    <w:link w:val="BodyText2"/>
    <w:uiPriority w:val="99"/>
    <w:rsid w:val="003D57E1"/>
    <w:rPr>
      <w:rFonts w:ascii="Calibri" w:eastAsia="MS Mincho" w:hAnsi="Calibri"/>
      <w:kern w:val="0"/>
      <w:sz w:val="18"/>
      <w:lang w:val="en-US"/>
      <w14:ligatures w14:val="none"/>
    </w:rPr>
  </w:style>
  <w:style w:type="paragraph" w:styleId="BodyText3">
    <w:name w:val="Body Text 3"/>
    <w:basedOn w:val="Normal"/>
    <w:link w:val="BodyText3Char"/>
    <w:uiPriority w:val="99"/>
    <w:unhideWhenUsed/>
    <w:rsid w:val="003D57E1"/>
    <w:pPr>
      <w:spacing w:after="120"/>
    </w:pPr>
    <w:rPr>
      <w:rFonts w:ascii="Calibri" w:eastAsia="MS Mincho" w:hAnsi="Calibri"/>
      <w:kern w:val="0"/>
      <w:sz w:val="16"/>
      <w:szCs w:val="16"/>
      <w:lang w:val="en-US"/>
      <w14:ligatures w14:val="none"/>
    </w:rPr>
  </w:style>
  <w:style w:type="character" w:customStyle="1" w:styleId="BodyText3Char">
    <w:name w:val="Body Text 3 Char"/>
    <w:basedOn w:val="DefaultParagraphFont"/>
    <w:link w:val="BodyText3"/>
    <w:uiPriority w:val="99"/>
    <w:rsid w:val="003D57E1"/>
    <w:rPr>
      <w:rFonts w:ascii="Calibri" w:eastAsia="MS Mincho" w:hAnsi="Calibri"/>
      <w:kern w:val="0"/>
      <w:sz w:val="16"/>
      <w:szCs w:val="16"/>
      <w:lang w:val="en-US"/>
      <w14:ligatures w14:val="none"/>
    </w:rPr>
  </w:style>
  <w:style w:type="paragraph" w:styleId="List">
    <w:name w:val="List"/>
    <w:basedOn w:val="Normal"/>
    <w:uiPriority w:val="99"/>
    <w:unhideWhenUsed/>
    <w:rsid w:val="003D57E1"/>
    <w:pPr>
      <w:ind w:left="360" w:hanging="360"/>
      <w:contextualSpacing/>
    </w:pPr>
    <w:rPr>
      <w:rFonts w:ascii="Calibri" w:eastAsia="MS Mincho" w:hAnsi="Calibri"/>
      <w:kern w:val="0"/>
      <w:sz w:val="18"/>
      <w:lang w:val="en-US"/>
      <w14:ligatures w14:val="none"/>
    </w:rPr>
  </w:style>
  <w:style w:type="paragraph" w:styleId="List2">
    <w:name w:val="List 2"/>
    <w:basedOn w:val="Normal"/>
    <w:uiPriority w:val="99"/>
    <w:unhideWhenUsed/>
    <w:rsid w:val="003D57E1"/>
    <w:pPr>
      <w:ind w:left="720" w:hanging="360"/>
      <w:contextualSpacing/>
    </w:pPr>
    <w:rPr>
      <w:rFonts w:ascii="Calibri" w:eastAsia="MS Mincho" w:hAnsi="Calibri"/>
      <w:kern w:val="0"/>
      <w:sz w:val="18"/>
      <w:lang w:val="en-US"/>
      <w14:ligatures w14:val="none"/>
    </w:rPr>
  </w:style>
  <w:style w:type="paragraph" w:styleId="List3">
    <w:name w:val="List 3"/>
    <w:basedOn w:val="Normal"/>
    <w:uiPriority w:val="99"/>
    <w:unhideWhenUsed/>
    <w:rsid w:val="003D57E1"/>
    <w:pPr>
      <w:ind w:left="1080" w:hanging="360"/>
      <w:contextualSpacing/>
    </w:pPr>
    <w:rPr>
      <w:rFonts w:ascii="Calibri" w:eastAsia="MS Mincho" w:hAnsi="Calibri"/>
      <w:kern w:val="0"/>
      <w:sz w:val="18"/>
      <w:lang w:val="en-US"/>
      <w14:ligatures w14:val="none"/>
    </w:rPr>
  </w:style>
  <w:style w:type="paragraph" w:styleId="ListBullet">
    <w:name w:val="List Bullet"/>
    <w:basedOn w:val="Normal"/>
    <w:uiPriority w:val="99"/>
    <w:unhideWhenUsed/>
    <w:rsid w:val="003D57E1"/>
    <w:pPr>
      <w:numPr>
        <w:numId w:val="15"/>
      </w:numPr>
      <w:tabs>
        <w:tab w:val="clear" w:pos="360"/>
      </w:tabs>
      <w:ind w:left="0" w:firstLine="0"/>
      <w:contextualSpacing/>
    </w:pPr>
    <w:rPr>
      <w:rFonts w:ascii="Calibri" w:eastAsia="MS Mincho" w:hAnsi="Calibri"/>
      <w:kern w:val="0"/>
      <w:sz w:val="18"/>
      <w:lang w:val="en-US"/>
      <w14:ligatures w14:val="none"/>
    </w:rPr>
  </w:style>
  <w:style w:type="paragraph" w:styleId="ListBullet2">
    <w:name w:val="List Bullet 2"/>
    <w:basedOn w:val="Normal"/>
    <w:uiPriority w:val="99"/>
    <w:unhideWhenUsed/>
    <w:rsid w:val="003D57E1"/>
    <w:pPr>
      <w:numPr>
        <w:numId w:val="16"/>
      </w:numPr>
      <w:tabs>
        <w:tab w:val="clear" w:pos="720"/>
      </w:tabs>
      <w:ind w:left="0" w:firstLine="0"/>
      <w:contextualSpacing/>
    </w:pPr>
    <w:rPr>
      <w:rFonts w:ascii="Calibri" w:eastAsia="MS Mincho" w:hAnsi="Calibri"/>
      <w:kern w:val="0"/>
      <w:sz w:val="18"/>
      <w:lang w:val="en-US"/>
      <w14:ligatures w14:val="none"/>
    </w:rPr>
  </w:style>
  <w:style w:type="paragraph" w:styleId="ListBullet3">
    <w:name w:val="List Bullet 3"/>
    <w:basedOn w:val="Normal"/>
    <w:uiPriority w:val="99"/>
    <w:unhideWhenUsed/>
    <w:rsid w:val="003D57E1"/>
    <w:pPr>
      <w:numPr>
        <w:numId w:val="17"/>
      </w:numPr>
      <w:tabs>
        <w:tab w:val="clear" w:pos="1080"/>
      </w:tabs>
      <w:ind w:left="0" w:firstLine="0"/>
      <w:contextualSpacing/>
    </w:pPr>
    <w:rPr>
      <w:rFonts w:ascii="Calibri" w:eastAsia="MS Mincho" w:hAnsi="Calibri"/>
      <w:kern w:val="0"/>
      <w:sz w:val="18"/>
      <w:lang w:val="en-US"/>
      <w14:ligatures w14:val="none"/>
    </w:rPr>
  </w:style>
  <w:style w:type="paragraph" w:styleId="ListNumber">
    <w:name w:val="List Number"/>
    <w:basedOn w:val="Normal"/>
    <w:uiPriority w:val="99"/>
    <w:unhideWhenUsed/>
    <w:rsid w:val="003D57E1"/>
    <w:pPr>
      <w:numPr>
        <w:numId w:val="19"/>
      </w:numPr>
      <w:tabs>
        <w:tab w:val="clear" w:pos="360"/>
      </w:tabs>
      <w:ind w:left="0" w:firstLine="0"/>
      <w:contextualSpacing/>
    </w:pPr>
    <w:rPr>
      <w:rFonts w:ascii="Calibri" w:eastAsia="MS Mincho" w:hAnsi="Calibri"/>
      <w:kern w:val="0"/>
      <w:sz w:val="18"/>
      <w:lang w:val="en-US"/>
      <w14:ligatures w14:val="none"/>
    </w:rPr>
  </w:style>
  <w:style w:type="paragraph" w:styleId="ListNumber2">
    <w:name w:val="List Number 2"/>
    <w:basedOn w:val="Normal"/>
    <w:uiPriority w:val="99"/>
    <w:unhideWhenUsed/>
    <w:rsid w:val="003D57E1"/>
    <w:pPr>
      <w:numPr>
        <w:numId w:val="20"/>
      </w:numPr>
      <w:tabs>
        <w:tab w:val="clear" w:pos="720"/>
      </w:tabs>
      <w:ind w:left="0" w:firstLine="0"/>
      <w:contextualSpacing/>
    </w:pPr>
    <w:rPr>
      <w:rFonts w:ascii="Calibri" w:eastAsia="MS Mincho" w:hAnsi="Calibri"/>
      <w:kern w:val="0"/>
      <w:sz w:val="18"/>
      <w:lang w:val="en-US"/>
      <w14:ligatures w14:val="none"/>
    </w:rPr>
  </w:style>
  <w:style w:type="paragraph" w:styleId="ListNumber3">
    <w:name w:val="List Number 3"/>
    <w:basedOn w:val="Normal"/>
    <w:uiPriority w:val="99"/>
    <w:unhideWhenUsed/>
    <w:rsid w:val="003D57E1"/>
    <w:pPr>
      <w:numPr>
        <w:numId w:val="21"/>
      </w:numPr>
      <w:tabs>
        <w:tab w:val="clear" w:pos="1080"/>
      </w:tabs>
      <w:ind w:left="0" w:firstLine="0"/>
      <w:contextualSpacing/>
    </w:pPr>
    <w:rPr>
      <w:rFonts w:ascii="Calibri" w:eastAsia="MS Mincho" w:hAnsi="Calibri"/>
      <w:kern w:val="0"/>
      <w:sz w:val="18"/>
      <w:lang w:val="en-US"/>
      <w14:ligatures w14:val="none"/>
    </w:rPr>
  </w:style>
  <w:style w:type="paragraph" w:styleId="ListContinue">
    <w:name w:val="List Continue"/>
    <w:basedOn w:val="Normal"/>
    <w:uiPriority w:val="99"/>
    <w:unhideWhenUsed/>
    <w:rsid w:val="003D57E1"/>
    <w:pPr>
      <w:spacing w:after="120"/>
      <w:ind w:left="360"/>
      <w:contextualSpacing/>
    </w:pPr>
    <w:rPr>
      <w:rFonts w:ascii="Calibri" w:eastAsia="MS Mincho" w:hAnsi="Calibri"/>
      <w:kern w:val="0"/>
      <w:sz w:val="18"/>
      <w:lang w:val="en-US"/>
      <w14:ligatures w14:val="none"/>
    </w:rPr>
  </w:style>
  <w:style w:type="paragraph" w:styleId="ListContinue2">
    <w:name w:val="List Continue 2"/>
    <w:basedOn w:val="Normal"/>
    <w:uiPriority w:val="99"/>
    <w:unhideWhenUsed/>
    <w:rsid w:val="003D57E1"/>
    <w:pPr>
      <w:spacing w:after="120"/>
      <w:ind w:left="720"/>
      <w:contextualSpacing/>
    </w:pPr>
    <w:rPr>
      <w:rFonts w:ascii="Calibri" w:eastAsia="MS Mincho" w:hAnsi="Calibri"/>
      <w:kern w:val="0"/>
      <w:sz w:val="18"/>
      <w:lang w:val="en-US"/>
      <w14:ligatures w14:val="none"/>
    </w:rPr>
  </w:style>
  <w:style w:type="paragraph" w:styleId="ListContinue3">
    <w:name w:val="List Continue 3"/>
    <w:basedOn w:val="Normal"/>
    <w:uiPriority w:val="99"/>
    <w:unhideWhenUsed/>
    <w:rsid w:val="003D57E1"/>
    <w:pPr>
      <w:spacing w:after="120"/>
      <w:ind w:left="1080"/>
      <w:contextualSpacing/>
    </w:pPr>
    <w:rPr>
      <w:rFonts w:ascii="Calibri" w:eastAsia="MS Mincho" w:hAnsi="Calibri"/>
      <w:kern w:val="0"/>
      <w:sz w:val="18"/>
      <w:lang w:val="en-US"/>
      <w14:ligatures w14:val="none"/>
    </w:rPr>
  </w:style>
  <w:style w:type="paragraph" w:styleId="MacroText">
    <w:name w:val="macro"/>
    <w:link w:val="MacroTextChar"/>
    <w:uiPriority w:val="99"/>
    <w:unhideWhenUsed/>
    <w:rsid w:val="003D57E1"/>
    <w:pPr>
      <w:tabs>
        <w:tab w:val="left" w:pos="576"/>
        <w:tab w:val="left" w:pos="1152"/>
        <w:tab w:val="left" w:pos="1728"/>
        <w:tab w:val="left" w:pos="2304"/>
        <w:tab w:val="left" w:pos="2880"/>
        <w:tab w:val="left" w:pos="3456"/>
        <w:tab w:val="left" w:pos="4032"/>
      </w:tabs>
    </w:pPr>
    <w:rPr>
      <w:rFonts w:ascii="Courier" w:eastAsia="MS Mincho" w:hAnsi="Courier"/>
      <w:kern w:val="0"/>
      <w:sz w:val="20"/>
      <w:szCs w:val="20"/>
      <w:lang w:val="en-US"/>
      <w14:ligatures w14:val="none"/>
    </w:rPr>
  </w:style>
  <w:style w:type="character" w:customStyle="1" w:styleId="MacroTextChar">
    <w:name w:val="Macro Text Char"/>
    <w:basedOn w:val="DefaultParagraphFont"/>
    <w:link w:val="MacroText"/>
    <w:uiPriority w:val="99"/>
    <w:rsid w:val="003D57E1"/>
    <w:rPr>
      <w:rFonts w:ascii="Courier" w:eastAsia="MS Mincho" w:hAnsi="Courier"/>
      <w:kern w:val="0"/>
      <w:sz w:val="20"/>
      <w:szCs w:val="20"/>
      <w:lang w:val="en-US"/>
      <w14:ligatures w14:val="none"/>
    </w:rPr>
  </w:style>
  <w:style w:type="paragraph" w:customStyle="1" w:styleId="Caption1">
    <w:name w:val="Caption1"/>
    <w:basedOn w:val="Normal"/>
    <w:next w:val="Normal"/>
    <w:uiPriority w:val="35"/>
    <w:semiHidden/>
    <w:unhideWhenUsed/>
    <w:qFormat/>
    <w:rsid w:val="003D57E1"/>
    <w:pPr>
      <w:spacing w:line="240" w:lineRule="auto"/>
    </w:pPr>
    <w:rPr>
      <w:rFonts w:ascii="Calibri" w:eastAsia="MS Mincho" w:hAnsi="Calibri"/>
      <w:b/>
      <w:bCs/>
      <w:color w:val="4F81BD"/>
      <w:kern w:val="0"/>
      <w:sz w:val="18"/>
      <w:szCs w:val="18"/>
      <w:lang w:val="en-US"/>
      <w14:ligatures w14:val="none"/>
    </w:rPr>
  </w:style>
  <w:style w:type="character" w:customStyle="1" w:styleId="SubtleEmphasis1">
    <w:name w:val="Subtle Emphasis1"/>
    <w:basedOn w:val="DefaultParagraphFont"/>
    <w:uiPriority w:val="19"/>
    <w:qFormat/>
    <w:rsid w:val="003D57E1"/>
    <w:rPr>
      <w:i/>
      <w:iCs/>
      <w:color w:val="808080"/>
    </w:rPr>
  </w:style>
  <w:style w:type="character" w:customStyle="1" w:styleId="SubtleReference1">
    <w:name w:val="Subtle Reference1"/>
    <w:basedOn w:val="DefaultParagraphFont"/>
    <w:uiPriority w:val="31"/>
    <w:qFormat/>
    <w:rsid w:val="003D57E1"/>
    <w:rPr>
      <w:smallCaps/>
      <w:color w:val="C0504D"/>
      <w:u w:val="single"/>
    </w:rPr>
  </w:style>
  <w:style w:type="character" w:styleId="BookTitle">
    <w:name w:val="Book Title"/>
    <w:basedOn w:val="DefaultParagraphFont"/>
    <w:uiPriority w:val="33"/>
    <w:qFormat/>
    <w:rsid w:val="003D57E1"/>
    <w:rPr>
      <w:b/>
      <w:bCs/>
      <w:smallCaps/>
      <w:spacing w:val="5"/>
    </w:rPr>
  </w:style>
  <w:style w:type="paragraph" w:styleId="TOCHeading">
    <w:name w:val="TOC Heading"/>
    <w:basedOn w:val="Heading1"/>
    <w:next w:val="Normal"/>
    <w:uiPriority w:val="39"/>
    <w:semiHidden/>
    <w:unhideWhenUsed/>
    <w:qFormat/>
    <w:rsid w:val="003D57E1"/>
    <w:pPr>
      <w:spacing w:before="480" w:after="0"/>
      <w:outlineLvl w:val="9"/>
    </w:pPr>
    <w:rPr>
      <w:b/>
      <w:bCs/>
      <w:kern w:val="0"/>
      <w:sz w:val="28"/>
      <w:szCs w:val="28"/>
      <w:lang w:val="en-US"/>
      <w14:ligatures w14:val="none"/>
    </w:rPr>
  </w:style>
  <w:style w:type="table" w:customStyle="1" w:styleId="TableGrid2">
    <w:name w:val="Table Grid2"/>
    <w:basedOn w:val="TableNormal"/>
    <w:next w:val="TableGrid"/>
    <w:uiPriority w:val="59"/>
    <w:rsid w:val="003D57E1"/>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3D57E1"/>
    <w:pPr>
      <w:spacing w:after="0" w:line="240" w:lineRule="auto"/>
    </w:pPr>
    <w:rPr>
      <w:rFonts w:eastAsia="MS Mincho"/>
      <w:color w:val="000000"/>
      <w:kern w:val="0"/>
      <w:lang w:val="en-US"/>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3D57E1"/>
    <w:pPr>
      <w:spacing w:after="0" w:line="240" w:lineRule="auto"/>
    </w:pPr>
    <w:rPr>
      <w:rFonts w:eastAsia="MS Mincho"/>
      <w:color w:val="365F91"/>
      <w:kern w:val="0"/>
      <w:lang w:val="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3D57E1"/>
    <w:pPr>
      <w:spacing w:after="0" w:line="240" w:lineRule="auto"/>
    </w:pPr>
    <w:rPr>
      <w:rFonts w:eastAsia="MS Mincho"/>
      <w:color w:val="943634"/>
      <w:kern w:val="0"/>
      <w:lang w:val="en-US"/>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3D57E1"/>
    <w:pPr>
      <w:spacing w:after="0" w:line="240" w:lineRule="auto"/>
    </w:pPr>
    <w:rPr>
      <w:rFonts w:eastAsia="MS Mincho"/>
      <w:color w:val="76923C"/>
      <w:kern w:val="0"/>
      <w:lang w:val="en-US"/>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3D57E1"/>
    <w:pPr>
      <w:spacing w:after="0" w:line="240" w:lineRule="auto"/>
    </w:pPr>
    <w:rPr>
      <w:rFonts w:eastAsia="MS Mincho"/>
      <w:color w:val="5F497A"/>
      <w:kern w:val="0"/>
      <w:lang w:val="en-US"/>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3D57E1"/>
    <w:pPr>
      <w:spacing w:after="0" w:line="240" w:lineRule="auto"/>
    </w:pPr>
    <w:rPr>
      <w:rFonts w:eastAsia="MS Mincho"/>
      <w:color w:val="31849B"/>
      <w:kern w:val="0"/>
      <w:lang w:val="en-US"/>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3D57E1"/>
    <w:pPr>
      <w:spacing w:after="0" w:line="240" w:lineRule="auto"/>
    </w:pPr>
    <w:rPr>
      <w:rFonts w:eastAsia="MS Mincho"/>
      <w:color w:val="E36C0A"/>
      <w:kern w:val="0"/>
      <w:lang w:val="en-US"/>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next w:val="LightList"/>
    <w:uiPriority w:val="61"/>
    <w:rsid w:val="003D57E1"/>
    <w:pPr>
      <w:spacing w:after="0" w:line="240" w:lineRule="auto"/>
    </w:pPr>
    <w:rPr>
      <w:rFonts w:eastAsia="MS Mincho"/>
      <w:kern w:val="0"/>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3D57E1"/>
    <w:pPr>
      <w:spacing w:after="0" w:line="240" w:lineRule="auto"/>
    </w:pPr>
    <w:rPr>
      <w:rFonts w:eastAsia="MS Mincho"/>
      <w:kern w:val="0"/>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3D57E1"/>
    <w:pPr>
      <w:spacing w:after="0" w:line="240" w:lineRule="auto"/>
    </w:pPr>
    <w:rPr>
      <w:rFonts w:eastAsia="MS Mincho"/>
      <w:kern w:val="0"/>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3D57E1"/>
    <w:pPr>
      <w:spacing w:after="0" w:line="240" w:lineRule="auto"/>
    </w:pPr>
    <w:rPr>
      <w:rFonts w:eastAsia="MS Mincho"/>
      <w:kern w:val="0"/>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3D57E1"/>
    <w:pPr>
      <w:spacing w:after="0" w:line="240" w:lineRule="auto"/>
    </w:pPr>
    <w:rPr>
      <w:rFonts w:eastAsia="MS Mincho"/>
      <w:kern w:val="0"/>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3D57E1"/>
    <w:pPr>
      <w:spacing w:after="0" w:line="240" w:lineRule="auto"/>
    </w:pPr>
    <w:rPr>
      <w:rFonts w:eastAsia="MS Mincho"/>
      <w:kern w:val="0"/>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3D57E1"/>
    <w:pPr>
      <w:spacing w:after="0" w:line="240" w:lineRule="auto"/>
    </w:pPr>
    <w:rPr>
      <w:rFonts w:eastAsia="MS Mincho"/>
      <w:kern w:val="0"/>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next w:val="LightGrid"/>
    <w:uiPriority w:val="62"/>
    <w:rsid w:val="003D57E1"/>
    <w:pPr>
      <w:spacing w:after="0" w:line="240" w:lineRule="auto"/>
    </w:pPr>
    <w:rPr>
      <w:rFonts w:eastAsia="MS Mincho"/>
      <w:kern w:val="0"/>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3D57E1"/>
    <w:pPr>
      <w:spacing w:after="0" w:line="240" w:lineRule="auto"/>
    </w:pPr>
    <w:rPr>
      <w:rFonts w:eastAsia="MS Mincho"/>
      <w:kern w:val="0"/>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3D57E1"/>
    <w:pPr>
      <w:spacing w:after="0" w:line="240" w:lineRule="auto"/>
    </w:pPr>
    <w:rPr>
      <w:rFonts w:eastAsia="MS Mincho"/>
      <w:kern w:val="0"/>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3D57E1"/>
    <w:pPr>
      <w:spacing w:after="0" w:line="240" w:lineRule="auto"/>
    </w:pPr>
    <w:rPr>
      <w:rFonts w:eastAsia="MS Mincho"/>
      <w:kern w:val="0"/>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3D57E1"/>
    <w:pPr>
      <w:spacing w:after="0" w:line="240" w:lineRule="auto"/>
    </w:pPr>
    <w:rPr>
      <w:rFonts w:eastAsia="MS Mincho"/>
      <w:kern w:val="0"/>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3D57E1"/>
    <w:pPr>
      <w:spacing w:after="0" w:line="240" w:lineRule="auto"/>
    </w:pPr>
    <w:rPr>
      <w:rFonts w:eastAsia="MS Mincho"/>
      <w:kern w:val="0"/>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3D57E1"/>
    <w:pPr>
      <w:spacing w:after="0" w:line="240" w:lineRule="auto"/>
    </w:pPr>
    <w:rPr>
      <w:rFonts w:eastAsia="MS Mincho"/>
      <w:kern w:val="0"/>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
    <w:name w:val="Medium Shading 11"/>
    <w:basedOn w:val="TableNormal"/>
    <w:next w:val="MediumShading1"/>
    <w:uiPriority w:val="63"/>
    <w:rsid w:val="003D57E1"/>
    <w:pPr>
      <w:spacing w:after="0" w:line="240" w:lineRule="auto"/>
    </w:pPr>
    <w:rPr>
      <w:rFonts w:eastAsia="MS Mincho"/>
      <w:kern w:val="0"/>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3D57E1"/>
    <w:pPr>
      <w:spacing w:after="0" w:line="240" w:lineRule="auto"/>
    </w:pPr>
    <w:rPr>
      <w:rFonts w:eastAsia="MS Mincho"/>
      <w:kern w:val="0"/>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3D57E1"/>
    <w:pPr>
      <w:spacing w:after="0" w:line="240" w:lineRule="auto"/>
    </w:pPr>
    <w:rPr>
      <w:rFonts w:eastAsia="MS Mincho"/>
      <w:kern w:val="0"/>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3D57E1"/>
    <w:pPr>
      <w:spacing w:after="0" w:line="240" w:lineRule="auto"/>
    </w:pPr>
    <w:rPr>
      <w:rFonts w:eastAsia="MS Mincho"/>
      <w:kern w:val="0"/>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3D57E1"/>
    <w:pPr>
      <w:spacing w:after="0" w:line="240" w:lineRule="auto"/>
    </w:pPr>
    <w:rPr>
      <w:rFonts w:eastAsia="MS Mincho"/>
      <w:kern w:val="0"/>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3D57E1"/>
    <w:pPr>
      <w:spacing w:after="0" w:line="240" w:lineRule="auto"/>
    </w:pPr>
    <w:rPr>
      <w:rFonts w:eastAsia="MS Mincho"/>
      <w:kern w:val="0"/>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3D57E1"/>
    <w:pPr>
      <w:spacing w:after="0" w:line="240" w:lineRule="auto"/>
    </w:pPr>
    <w:rPr>
      <w:rFonts w:eastAsia="MS Mincho"/>
      <w:kern w:val="0"/>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3D57E1"/>
    <w:pPr>
      <w:spacing w:after="0" w:line="240" w:lineRule="auto"/>
    </w:pPr>
    <w:rPr>
      <w:rFonts w:eastAsia="MS Mincho"/>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3D57E1"/>
    <w:pPr>
      <w:spacing w:after="0" w:line="240" w:lineRule="auto"/>
    </w:pPr>
    <w:rPr>
      <w:rFonts w:eastAsia="MS Mincho"/>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3D57E1"/>
    <w:pPr>
      <w:spacing w:after="0" w:line="240" w:lineRule="auto"/>
    </w:pPr>
    <w:rPr>
      <w:rFonts w:eastAsia="MS Mincho"/>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3D57E1"/>
    <w:pPr>
      <w:spacing w:after="0" w:line="240" w:lineRule="auto"/>
    </w:pPr>
    <w:rPr>
      <w:rFonts w:eastAsia="MS Mincho"/>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3D57E1"/>
    <w:pPr>
      <w:spacing w:after="0" w:line="240" w:lineRule="auto"/>
    </w:pPr>
    <w:rPr>
      <w:rFonts w:eastAsia="MS Mincho"/>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3D57E1"/>
    <w:pPr>
      <w:spacing w:after="0" w:line="240" w:lineRule="auto"/>
    </w:pPr>
    <w:rPr>
      <w:rFonts w:eastAsia="MS Mincho"/>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3D57E1"/>
    <w:pPr>
      <w:spacing w:after="0" w:line="240" w:lineRule="auto"/>
    </w:pPr>
    <w:rPr>
      <w:rFonts w:eastAsia="MS Mincho"/>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3D57E1"/>
    <w:pPr>
      <w:spacing w:after="0" w:line="240" w:lineRule="auto"/>
    </w:pPr>
    <w:rPr>
      <w:rFonts w:eastAsia="MS Mincho"/>
      <w:color w:val="000000"/>
      <w:kern w:val="0"/>
      <w:lang w:val="en-US"/>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3D57E1"/>
    <w:pPr>
      <w:spacing w:after="0" w:line="240" w:lineRule="auto"/>
    </w:pPr>
    <w:rPr>
      <w:rFonts w:eastAsia="MS Mincho"/>
      <w:color w:val="000000"/>
      <w:kern w:val="0"/>
      <w:lang w:val="en-US"/>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3D57E1"/>
    <w:pPr>
      <w:spacing w:after="0" w:line="240" w:lineRule="auto"/>
    </w:pPr>
    <w:rPr>
      <w:rFonts w:eastAsia="MS Mincho"/>
      <w:color w:val="000000"/>
      <w:kern w:val="0"/>
      <w:lang w:val="en-US"/>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3D57E1"/>
    <w:pPr>
      <w:spacing w:after="0" w:line="240" w:lineRule="auto"/>
    </w:pPr>
    <w:rPr>
      <w:rFonts w:eastAsia="MS Mincho"/>
      <w:color w:val="000000"/>
      <w:kern w:val="0"/>
      <w:lang w:val="en-US"/>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3D57E1"/>
    <w:pPr>
      <w:spacing w:after="0" w:line="240" w:lineRule="auto"/>
    </w:pPr>
    <w:rPr>
      <w:rFonts w:eastAsia="MS Mincho"/>
      <w:color w:val="000000"/>
      <w:kern w:val="0"/>
      <w:lang w:val="en-US"/>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3D57E1"/>
    <w:pPr>
      <w:spacing w:after="0" w:line="240" w:lineRule="auto"/>
    </w:pPr>
    <w:rPr>
      <w:rFonts w:eastAsia="MS Mincho"/>
      <w:color w:val="000000"/>
      <w:kern w:val="0"/>
      <w:lang w:val="en-US"/>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3D57E1"/>
    <w:pPr>
      <w:spacing w:after="0" w:line="240" w:lineRule="auto"/>
    </w:pPr>
    <w:rPr>
      <w:rFonts w:eastAsia="MS Mincho"/>
      <w:color w:val="000000"/>
      <w:kern w:val="0"/>
      <w:lang w:val="en-US"/>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3D57E1"/>
    <w:pPr>
      <w:spacing w:after="0" w:line="240" w:lineRule="auto"/>
    </w:pPr>
    <w:rPr>
      <w:rFonts w:ascii="Calibri" w:eastAsia="MS Gothic" w:hAnsi="Calibri" w:cs="Times New Roman"/>
      <w:color w:val="000000"/>
      <w:kern w:val="0"/>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3D57E1"/>
    <w:pPr>
      <w:spacing w:after="0" w:line="240" w:lineRule="auto"/>
    </w:pPr>
    <w:rPr>
      <w:rFonts w:ascii="Calibri" w:eastAsia="MS Gothic" w:hAnsi="Calibri" w:cs="Times New Roman"/>
      <w:color w:val="000000"/>
      <w:kern w:val="0"/>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3D57E1"/>
    <w:pPr>
      <w:spacing w:after="0" w:line="240" w:lineRule="auto"/>
    </w:pPr>
    <w:rPr>
      <w:rFonts w:ascii="Calibri" w:eastAsia="MS Gothic" w:hAnsi="Calibri" w:cs="Times New Roman"/>
      <w:color w:val="000000"/>
      <w:kern w:val="0"/>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3D57E1"/>
    <w:pPr>
      <w:spacing w:after="0" w:line="240" w:lineRule="auto"/>
    </w:pPr>
    <w:rPr>
      <w:rFonts w:ascii="Calibri" w:eastAsia="MS Gothic" w:hAnsi="Calibri" w:cs="Times New Roman"/>
      <w:color w:val="000000"/>
      <w:kern w:val="0"/>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3D57E1"/>
    <w:pPr>
      <w:spacing w:after="0" w:line="240" w:lineRule="auto"/>
    </w:pPr>
    <w:rPr>
      <w:rFonts w:ascii="Calibri" w:eastAsia="MS Gothic" w:hAnsi="Calibri" w:cs="Times New Roman"/>
      <w:color w:val="000000"/>
      <w:kern w:val="0"/>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3D57E1"/>
    <w:pPr>
      <w:spacing w:after="0" w:line="240" w:lineRule="auto"/>
    </w:pPr>
    <w:rPr>
      <w:rFonts w:ascii="Calibri" w:eastAsia="MS Gothic" w:hAnsi="Calibri" w:cs="Times New Roman"/>
      <w:color w:val="000000"/>
      <w:kern w:val="0"/>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3D57E1"/>
    <w:pPr>
      <w:spacing w:after="0" w:line="240" w:lineRule="auto"/>
    </w:pPr>
    <w:rPr>
      <w:rFonts w:ascii="Calibri" w:eastAsia="MS Gothic" w:hAnsi="Calibri" w:cs="Times New Roman"/>
      <w:color w:val="000000"/>
      <w:kern w:val="0"/>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rsid w:val="003D57E1"/>
    <w:pPr>
      <w:spacing w:after="0" w:line="240" w:lineRule="auto"/>
    </w:pPr>
    <w:rPr>
      <w:rFonts w:eastAsia="MS Mincho"/>
      <w:kern w:val="0"/>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3D57E1"/>
    <w:pPr>
      <w:spacing w:after="0" w:line="240" w:lineRule="auto"/>
    </w:pPr>
    <w:rPr>
      <w:rFonts w:eastAsia="MS Mincho"/>
      <w:kern w:val="0"/>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3D57E1"/>
    <w:pPr>
      <w:spacing w:after="0" w:line="240" w:lineRule="auto"/>
    </w:pPr>
    <w:rPr>
      <w:rFonts w:eastAsia="MS Mincho"/>
      <w:kern w:val="0"/>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3D57E1"/>
    <w:pPr>
      <w:spacing w:after="0" w:line="240" w:lineRule="auto"/>
    </w:pPr>
    <w:rPr>
      <w:rFonts w:eastAsia="MS Mincho"/>
      <w:kern w:val="0"/>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3D57E1"/>
    <w:pPr>
      <w:spacing w:after="0" w:line="240" w:lineRule="auto"/>
    </w:pPr>
    <w:rPr>
      <w:rFonts w:eastAsia="MS Mincho"/>
      <w:kern w:val="0"/>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3D57E1"/>
    <w:pPr>
      <w:spacing w:after="0" w:line="240" w:lineRule="auto"/>
    </w:pPr>
    <w:rPr>
      <w:rFonts w:eastAsia="MS Mincho"/>
      <w:kern w:val="0"/>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3D57E1"/>
    <w:pPr>
      <w:spacing w:after="0" w:line="240" w:lineRule="auto"/>
    </w:pPr>
    <w:rPr>
      <w:rFonts w:eastAsia="MS Mincho"/>
      <w:kern w:val="0"/>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3D57E1"/>
    <w:pPr>
      <w:spacing w:after="0" w:line="240" w:lineRule="auto"/>
    </w:pPr>
    <w:rPr>
      <w:rFonts w:ascii="Calibri" w:eastAsia="MS Gothic" w:hAnsi="Calibri" w:cs="Times New Roman"/>
      <w:color w:val="000000"/>
      <w:kern w:val="0"/>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3D57E1"/>
    <w:pPr>
      <w:spacing w:after="0" w:line="240" w:lineRule="auto"/>
    </w:pPr>
    <w:rPr>
      <w:rFonts w:ascii="Calibri" w:eastAsia="MS Gothic" w:hAnsi="Calibri" w:cs="Times New Roman"/>
      <w:color w:val="000000"/>
      <w:kern w:val="0"/>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3D57E1"/>
    <w:pPr>
      <w:spacing w:after="0" w:line="240" w:lineRule="auto"/>
    </w:pPr>
    <w:rPr>
      <w:rFonts w:ascii="Calibri" w:eastAsia="MS Gothic" w:hAnsi="Calibri" w:cs="Times New Roman"/>
      <w:color w:val="000000"/>
      <w:kern w:val="0"/>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3D57E1"/>
    <w:pPr>
      <w:spacing w:after="0" w:line="240" w:lineRule="auto"/>
    </w:pPr>
    <w:rPr>
      <w:rFonts w:ascii="Calibri" w:eastAsia="MS Gothic" w:hAnsi="Calibri" w:cs="Times New Roman"/>
      <w:color w:val="000000"/>
      <w:kern w:val="0"/>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3D57E1"/>
    <w:pPr>
      <w:spacing w:after="0" w:line="240" w:lineRule="auto"/>
    </w:pPr>
    <w:rPr>
      <w:rFonts w:ascii="Calibri" w:eastAsia="MS Gothic" w:hAnsi="Calibri" w:cs="Times New Roman"/>
      <w:color w:val="000000"/>
      <w:kern w:val="0"/>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3D57E1"/>
    <w:pPr>
      <w:spacing w:after="0" w:line="240" w:lineRule="auto"/>
    </w:pPr>
    <w:rPr>
      <w:rFonts w:ascii="Calibri" w:eastAsia="MS Gothic" w:hAnsi="Calibri" w:cs="Times New Roman"/>
      <w:color w:val="000000"/>
      <w:kern w:val="0"/>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3D57E1"/>
    <w:pPr>
      <w:spacing w:after="0" w:line="240" w:lineRule="auto"/>
    </w:pPr>
    <w:rPr>
      <w:rFonts w:ascii="Calibri" w:eastAsia="MS Gothic" w:hAnsi="Calibri" w:cs="Times New Roman"/>
      <w:color w:val="000000"/>
      <w:kern w:val="0"/>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3D57E1"/>
    <w:pPr>
      <w:spacing w:after="0" w:line="240" w:lineRule="auto"/>
    </w:pPr>
    <w:rPr>
      <w:rFonts w:eastAsia="MS Mincho"/>
      <w:kern w:val="0"/>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3D57E1"/>
    <w:pPr>
      <w:spacing w:after="0" w:line="240" w:lineRule="auto"/>
    </w:pPr>
    <w:rPr>
      <w:rFonts w:eastAsia="MS Mincho"/>
      <w:kern w:val="0"/>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3D57E1"/>
    <w:pPr>
      <w:spacing w:after="0" w:line="240" w:lineRule="auto"/>
    </w:pPr>
    <w:rPr>
      <w:rFonts w:eastAsia="MS Mincho"/>
      <w:kern w:val="0"/>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3D57E1"/>
    <w:pPr>
      <w:spacing w:after="0" w:line="240" w:lineRule="auto"/>
    </w:pPr>
    <w:rPr>
      <w:rFonts w:eastAsia="MS Mincho"/>
      <w:kern w:val="0"/>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3D57E1"/>
    <w:pPr>
      <w:spacing w:after="0" w:line="240" w:lineRule="auto"/>
    </w:pPr>
    <w:rPr>
      <w:rFonts w:eastAsia="MS Mincho"/>
      <w:kern w:val="0"/>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3D57E1"/>
    <w:pPr>
      <w:spacing w:after="0" w:line="240" w:lineRule="auto"/>
    </w:pPr>
    <w:rPr>
      <w:rFonts w:eastAsia="MS Mincho"/>
      <w:kern w:val="0"/>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3D57E1"/>
    <w:pPr>
      <w:spacing w:after="0" w:line="240" w:lineRule="auto"/>
    </w:pPr>
    <w:rPr>
      <w:rFonts w:eastAsia="MS Mincho"/>
      <w:kern w:val="0"/>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next w:val="DarkList"/>
    <w:uiPriority w:val="70"/>
    <w:rsid w:val="003D57E1"/>
    <w:pPr>
      <w:spacing w:after="0" w:line="240" w:lineRule="auto"/>
    </w:pPr>
    <w:rPr>
      <w:rFonts w:eastAsia="MS Mincho"/>
      <w:color w:val="FFFFFF"/>
      <w:kern w:val="0"/>
      <w:lang w:val="en-US"/>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3D57E1"/>
    <w:pPr>
      <w:spacing w:after="0" w:line="240" w:lineRule="auto"/>
    </w:pPr>
    <w:rPr>
      <w:rFonts w:eastAsia="MS Mincho"/>
      <w:color w:val="FFFFFF"/>
      <w:kern w:val="0"/>
      <w:lang w:val="en-US"/>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3D57E1"/>
    <w:pPr>
      <w:spacing w:after="0" w:line="240" w:lineRule="auto"/>
    </w:pPr>
    <w:rPr>
      <w:rFonts w:eastAsia="MS Mincho"/>
      <w:color w:val="FFFFFF"/>
      <w:kern w:val="0"/>
      <w:lang w:val="en-US"/>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3D57E1"/>
    <w:pPr>
      <w:spacing w:after="0" w:line="240" w:lineRule="auto"/>
    </w:pPr>
    <w:rPr>
      <w:rFonts w:eastAsia="MS Mincho"/>
      <w:color w:val="FFFFFF"/>
      <w:kern w:val="0"/>
      <w:lang w:val="en-US"/>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3D57E1"/>
    <w:pPr>
      <w:spacing w:after="0" w:line="240" w:lineRule="auto"/>
    </w:pPr>
    <w:rPr>
      <w:rFonts w:eastAsia="MS Mincho"/>
      <w:color w:val="FFFFFF"/>
      <w:kern w:val="0"/>
      <w:lang w:val="en-US"/>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3D57E1"/>
    <w:pPr>
      <w:spacing w:after="0" w:line="240" w:lineRule="auto"/>
    </w:pPr>
    <w:rPr>
      <w:rFonts w:eastAsia="MS Mincho"/>
      <w:color w:val="FFFFFF"/>
      <w:kern w:val="0"/>
      <w:lang w:val="en-US"/>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3D57E1"/>
    <w:pPr>
      <w:spacing w:after="0" w:line="240" w:lineRule="auto"/>
    </w:pPr>
    <w:rPr>
      <w:rFonts w:eastAsia="MS Mincho"/>
      <w:color w:val="FFFFFF"/>
      <w:kern w:val="0"/>
      <w:lang w:val="en-US"/>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
    <w:name w:val="Colorful Shading1"/>
    <w:basedOn w:val="TableNormal"/>
    <w:next w:val="ColorfulShading"/>
    <w:uiPriority w:val="71"/>
    <w:rsid w:val="003D57E1"/>
    <w:pPr>
      <w:spacing w:after="0" w:line="240" w:lineRule="auto"/>
    </w:pPr>
    <w:rPr>
      <w:rFonts w:eastAsia="MS Mincho"/>
      <w:color w:val="000000"/>
      <w:kern w:val="0"/>
      <w:lang w:val="en-US"/>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3D57E1"/>
    <w:pPr>
      <w:spacing w:after="0" w:line="240" w:lineRule="auto"/>
    </w:pPr>
    <w:rPr>
      <w:rFonts w:eastAsia="MS Mincho"/>
      <w:color w:val="000000"/>
      <w:kern w:val="0"/>
      <w:lang w:val="en-US"/>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3D57E1"/>
    <w:pPr>
      <w:spacing w:after="0" w:line="240" w:lineRule="auto"/>
    </w:pPr>
    <w:rPr>
      <w:rFonts w:eastAsia="MS Mincho"/>
      <w:color w:val="000000"/>
      <w:kern w:val="0"/>
      <w:lang w:val="en-US"/>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3D57E1"/>
    <w:pPr>
      <w:spacing w:after="0" w:line="240" w:lineRule="auto"/>
    </w:pPr>
    <w:rPr>
      <w:rFonts w:eastAsia="MS Mincho"/>
      <w:color w:val="000000"/>
      <w:kern w:val="0"/>
      <w:lang w:val="en-US"/>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3D57E1"/>
    <w:pPr>
      <w:spacing w:after="0" w:line="240" w:lineRule="auto"/>
    </w:pPr>
    <w:rPr>
      <w:rFonts w:eastAsia="MS Mincho"/>
      <w:color w:val="000000"/>
      <w:kern w:val="0"/>
      <w:lang w:val="en-US"/>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3D57E1"/>
    <w:pPr>
      <w:spacing w:after="0" w:line="240" w:lineRule="auto"/>
    </w:pPr>
    <w:rPr>
      <w:rFonts w:eastAsia="MS Mincho"/>
      <w:color w:val="000000"/>
      <w:kern w:val="0"/>
      <w:lang w:val="en-US"/>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3D57E1"/>
    <w:pPr>
      <w:spacing w:after="0" w:line="240" w:lineRule="auto"/>
    </w:pPr>
    <w:rPr>
      <w:rFonts w:eastAsia="MS Mincho"/>
      <w:color w:val="000000"/>
      <w:kern w:val="0"/>
      <w:lang w:val="en-US"/>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
    <w:name w:val="Colorful List1"/>
    <w:basedOn w:val="TableNormal"/>
    <w:next w:val="ColorfulList"/>
    <w:uiPriority w:val="72"/>
    <w:rsid w:val="003D57E1"/>
    <w:pPr>
      <w:spacing w:after="0" w:line="240" w:lineRule="auto"/>
    </w:pPr>
    <w:rPr>
      <w:rFonts w:eastAsia="MS Mincho"/>
      <w:color w:val="000000"/>
      <w:kern w:val="0"/>
      <w:lang w:val="en-US"/>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3D57E1"/>
    <w:pPr>
      <w:spacing w:after="0" w:line="240" w:lineRule="auto"/>
    </w:pPr>
    <w:rPr>
      <w:rFonts w:eastAsia="MS Mincho"/>
      <w:color w:val="000000"/>
      <w:kern w:val="0"/>
      <w:lang w:val="en-US"/>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3D57E1"/>
    <w:pPr>
      <w:spacing w:after="0" w:line="240" w:lineRule="auto"/>
    </w:pPr>
    <w:rPr>
      <w:rFonts w:eastAsia="MS Mincho"/>
      <w:color w:val="000000"/>
      <w:kern w:val="0"/>
      <w:lang w:val="en-US"/>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3D57E1"/>
    <w:pPr>
      <w:spacing w:after="0" w:line="240" w:lineRule="auto"/>
    </w:pPr>
    <w:rPr>
      <w:rFonts w:eastAsia="MS Mincho"/>
      <w:color w:val="000000"/>
      <w:kern w:val="0"/>
      <w:lang w:val="en-US"/>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3D57E1"/>
    <w:pPr>
      <w:spacing w:after="0" w:line="240" w:lineRule="auto"/>
    </w:pPr>
    <w:rPr>
      <w:rFonts w:eastAsia="MS Mincho"/>
      <w:color w:val="000000"/>
      <w:kern w:val="0"/>
      <w:lang w:val="en-US"/>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3D57E1"/>
    <w:pPr>
      <w:spacing w:after="0" w:line="240" w:lineRule="auto"/>
    </w:pPr>
    <w:rPr>
      <w:rFonts w:eastAsia="MS Mincho"/>
      <w:color w:val="000000"/>
      <w:kern w:val="0"/>
      <w:lang w:val="en-US"/>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3D57E1"/>
    <w:pPr>
      <w:spacing w:after="0" w:line="240" w:lineRule="auto"/>
    </w:pPr>
    <w:rPr>
      <w:rFonts w:eastAsia="MS Mincho"/>
      <w:color w:val="000000"/>
      <w:kern w:val="0"/>
      <w:lang w:val="en-US"/>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
    <w:name w:val="Colorful Grid1"/>
    <w:basedOn w:val="TableNormal"/>
    <w:next w:val="ColorfulGrid"/>
    <w:uiPriority w:val="73"/>
    <w:rsid w:val="003D57E1"/>
    <w:pPr>
      <w:spacing w:after="0" w:line="240" w:lineRule="auto"/>
    </w:pPr>
    <w:rPr>
      <w:rFonts w:eastAsia="MS Mincho"/>
      <w:color w:val="000000"/>
      <w:kern w:val="0"/>
      <w:lang w:val="en-US"/>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3D57E1"/>
    <w:pPr>
      <w:spacing w:after="0" w:line="240" w:lineRule="auto"/>
    </w:pPr>
    <w:rPr>
      <w:rFonts w:eastAsia="MS Mincho"/>
      <w:color w:val="000000"/>
      <w:kern w:val="0"/>
      <w:lang w:val="en-US"/>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3D57E1"/>
    <w:pPr>
      <w:spacing w:after="0" w:line="240" w:lineRule="auto"/>
    </w:pPr>
    <w:rPr>
      <w:rFonts w:eastAsia="MS Mincho"/>
      <w:color w:val="000000"/>
      <w:kern w:val="0"/>
      <w:lang w:val="en-US"/>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3D57E1"/>
    <w:pPr>
      <w:spacing w:after="0" w:line="240" w:lineRule="auto"/>
    </w:pPr>
    <w:rPr>
      <w:rFonts w:eastAsia="MS Mincho"/>
      <w:color w:val="000000"/>
      <w:kern w:val="0"/>
      <w:lang w:val="en-US"/>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3D57E1"/>
    <w:pPr>
      <w:spacing w:after="0" w:line="240" w:lineRule="auto"/>
    </w:pPr>
    <w:rPr>
      <w:rFonts w:eastAsia="MS Mincho"/>
      <w:color w:val="000000"/>
      <w:kern w:val="0"/>
      <w:lang w:val="en-US"/>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3D57E1"/>
    <w:pPr>
      <w:spacing w:after="0" w:line="240" w:lineRule="auto"/>
    </w:pPr>
    <w:rPr>
      <w:rFonts w:eastAsia="MS Mincho"/>
      <w:color w:val="000000"/>
      <w:kern w:val="0"/>
      <w:lang w:val="en-US"/>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3D57E1"/>
    <w:pPr>
      <w:spacing w:after="0" w:line="240" w:lineRule="auto"/>
    </w:pPr>
    <w:rPr>
      <w:rFonts w:eastAsia="MS Mincho"/>
      <w:color w:val="000000"/>
      <w:kern w:val="0"/>
      <w:lang w:val="en-US"/>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SubtleEmphasis">
    <w:name w:val="Subtle Emphasis"/>
    <w:basedOn w:val="DefaultParagraphFont"/>
    <w:uiPriority w:val="19"/>
    <w:qFormat/>
    <w:rsid w:val="003D57E1"/>
    <w:rPr>
      <w:i/>
      <w:iCs/>
      <w:color w:val="404040" w:themeColor="text1" w:themeTint="BF"/>
    </w:rPr>
  </w:style>
  <w:style w:type="character" w:styleId="SubtleReference">
    <w:name w:val="Subtle Reference"/>
    <w:basedOn w:val="DefaultParagraphFont"/>
    <w:uiPriority w:val="31"/>
    <w:qFormat/>
    <w:rsid w:val="003D57E1"/>
    <w:rPr>
      <w:smallCaps/>
      <w:color w:val="5A5A5A" w:themeColor="text1" w:themeTint="A5"/>
    </w:rPr>
  </w:style>
  <w:style w:type="table" w:styleId="LightShading">
    <w:name w:val="Light Shading"/>
    <w:basedOn w:val="TableNormal"/>
    <w:uiPriority w:val="60"/>
    <w:semiHidden/>
    <w:unhideWhenUsed/>
    <w:rsid w:val="003D57E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D57E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3D57E1"/>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3D57E1"/>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3D57E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3D57E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3D57E1"/>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semiHidden/>
    <w:unhideWhenUsed/>
    <w:rsid w:val="003D57E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D57E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3D57E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3D57E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3D57E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3D57E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3D57E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semiHidden/>
    <w:unhideWhenUsed/>
    <w:rsid w:val="003D57E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D57E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3D57E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3D57E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3D57E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3D57E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3D57E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semiHidden/>
    <w:unhideWhenUsed/>
    <w:rsid w:val="003D57E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D57E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D57E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D57E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D57E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D57E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D57E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D57E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3D57E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3D57E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3D57E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3D57E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3D57E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3D57E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3D57E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D57E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3D57E1"/>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3D57E1"/>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3D57E1"/>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3D57E1"/>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3D57E1"/>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3D57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D57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D57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D57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D57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D57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D57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semiHidden/>
    <w:unhideWhenUsed/>
    <w:rsid w:val="003D57E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D57E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3D57E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3D57E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3D57E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3D57E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3D57E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3D57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D57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D57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D57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D57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D57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D57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D57E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D57E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3D57E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3D57E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3D57E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3D57E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3D57E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semiHidden/>
    <w:unhideWhenUsed/>
    <w:rsid w:val="003D57E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D57E1"/>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3D57E1"/>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3D57E1"/>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3D57E1"/>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3D57E1"/>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3D57E1"/>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semiHidden/>
    <w:unhideWhenUsed/>
    <w:rsid w:val="003D57E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D57E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D57E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D57E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3D57E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D57E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D57E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semiHidden/>
    <w:unhideWhenUsed/>
    <w:rsid w:val="003D57E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D57E1"/>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3D57E1"/>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3D57E1"/>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3D57E1"/>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3D57E1"/>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3D57E1"/>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semiHidden/>
    <w:unhideWhenUsed/>
    <w:rsid w:val="003D57E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D57E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3D57E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3D57E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3D57E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3D57E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3D57E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14</Pages>
  <Words>6407</Words>
  <Characters>36524</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Prashansa Rath</dc:creator>
  <cp:keywords/>
  <dc:description/>
  <cp:lastModifiedBy>Prashansa Rath</cp:lastModifiedBy>
  <cp:revision>6</cp:revision>
  <dcterms:created xsi:type="dcterms:W3CDTF">2026-08-06T15:40:00Z</dcterms:created>
  <dcterms:modified xsi:type="dcterms:W3CDTF">2026-08-08T14:36:00Z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ffcb3cd5-29a8-4fb6-9ccf-bebb57074714</vt:lpwstr>
  </property>
  <property fmtid="{D5CDD505-2E9C-101B-9397-08002B2CF9AE}" pid="3" name="ZOTERO_PREF_1">
    <vt:lpwstr>&lt;data data-version="3" zotero-version="9.0.6"&gt;&lt;session id="xTezSDZL"/&gt;&lt;style id="http://www.zotero.org/styles/nlm-citation-sequence" locale="en-US" hasBibliography="1" bibliographyStyleHasBeenSet="0"/&gt;&lt;prefs&gt;&lt;pref name="fieldType" value="Field"/&gt;&lt;pref nam</vt:lpwstr>
  </property>
  <property fmtid="{D5CDD505-2E9C-101B-9397-08002B2CF9AE}" pid="4" name="ZOTERO_PREF_2">
    <vt:lpwstr>e="dontAskDelayCitationUpdates" value="true"/&gt;&lt;/prefs&gt;&lt;/data&gt;</vt:lpwstr>
  </property>
</Properties>
</file>