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B63E5" w14:textId="73407758" w:rsidR="000E25D9" w:rsidRPr="001B7282" w:rsidRDefault="000E25D9" w:rsidP="001B7282">
      <w:pPr>
        <w:rPr>
          <w:rFonts w:ascii="Calibri Light" w:eastAsia="Calibri Light" w:hAnsi="Calibri Light" w:cs="Calibri Light"/>
          <w:b/>
          <w:bCs/>
          <w:sz w:val="28"/>
          <w:szCs w:val="28"/>
        </w:rPr>
      </w:pPr>
      <w:r w:rsidRPr="001B7282">
        <w:rPr>
          <w:rFonts w:ascii="Calibri Light" w:eastAsia="Calibri Light" w:hAnsi="Calibri Light" w:cs="Calibri Light"/>
          <w:b/>
          <w:bCs/>
          <w:sz w:val="28"/>
          <w:szCs w:val="28"/>
        </w:rPr>
        <w:t>Appendices</w:t>
      </w:r>
    </w:p>
    <w:p w14:paraId="54547D9D" w14:textId="70E62DFD" w:rsidR="000E25D9" w:rsidRPr="000E25D9" w:rsidRDefault="000E25D9" w:rsidP="000E25D9">
      <w:pPr>
        <w:spacing w:line="240" w:lineRule="auto"/>
        <w:jc w:val="both"/>
        <w:rPr>
          <w:rFonts w:ascii="Calibri Light" w:eastAsia="Calibri Light" w:hAnsi="Calibri Light" w:cs="Calibri Light"/>
          <w:b/>
          <w:bCs/>
          <w:sz w:val="21"/>
          <w:szCs w:val="21"/>
        </w:rPr>
      </w:pPr>
      <w:r w:rsidRPr="000E25D9">
        <w:rPr>
          <w:rFonts w:ascii="Calibri Light" w:eastAsia="Calibri Light" w:hAnsi="Calibri Light" w:cs="Calibri Light"/>
          <w:b/>
          <w:bCs/>
          <w:sz w:val="21"/>
          <w:szCs w:val="21"/>
        </w:rPr>
        <w:t xml:space="preserve">Appendix 1 </w:t>
      </w:r>
      <w:r w:rsidRPr="000E25D9">
        <w:rPr>
          <w:rFonts w:ascii="Calibri Light" w:eastAsia="Calibri Light" w:hAnsi="Calibri Light" w:cs="Calibri Light"/>
          <w:sz w:val="21"/>
          <w:szCs w:val="21"/>
        </w:rPr>
        <w:t xml:space="preserve">| </w:t>
      </w:r>
      <w:r w:rsidRPr="000E25D9">
        <w:rPr>
          <w:rFonts w:ascii="Calibri Light" w:eastAsia="Calibri Light" w:hAnsi="Calibri Light" w:cs="Calibri Light"/>
          <w:i/>
          <w:iCs/>
          <w:sz w:val="21"/>
          <w:szCs w:val="21"/>
        </w:rPr>
        <w:t>Search strategy</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0"/>
        <w:gridCol w:w="975"/>
        <w:gridCol w:w="6849"/>
      </w:tblGrid>
      <w:tr w:rsidR="000E25D9" w:rsidRPr="000E25D9" w14:paraId="3832FD50" w14:textId="77777777" w:rsidTr="000E25D9">
        <w:trPr>
          <w:trHeight w:val="435"/>
        </w:trPr>
        <w:tc>
          <w:tcPr>
            <w:tcW w:w="9344" w:type="dxa"/>
            <w:gridSpan w:val="3"/>
            <w:tcBorders>
              <w:top w:val="single" w:sz="6" w:space="0" w:color="FFFFFF"/>
              <w:left w:val="single" w:sz="6" w:space="0" w:color="FFFFFF"/>
              <w:bottom w:val="single" w:sz="24" w:space="0" w:color="FFFFFF"/>
              <w:right w:val="single" w:sz="6" w:space="0" w:color="FFFFFF"/>
            </w:tcBorders>
            <w:shd w:val="clear" w:color="auto" w:fill="5B9BD5"/>
            <w:hideMark/>
          </w:tcPr>
          <w:p w14:paraId="4863D018" w14:textId="6046C9D1"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 xml:space="preserve">NAME OF DATABASE (interface): </w:t>
            </w:r>
            <w:r>
              <w:rPr>
                <w:rFonts w:ascii="Calibri Light" w:eastAsia="Times New Roman" w:hAnsi="Calibri Light" w:cs="Calibri Light"/>
                <w:color w:val="000000"/>
                <w:sz w:val="22"/>
                <w:szCs w:val="22"/>
                <w:lang w:val="en-GB" w:eastAsia="en-GB"/>
              </w:rPr>
              <w:t xml:space="preserve">MEDLINE </w:t>
            </w:r>
            <w:r w:rsidRPr="000E25D9">
              <w:rPr>
                <w:rFonts w:ascii="Calibri Light" w:eastAsia="Times New Roman" w:hAnsi="Calibri Light" w:cs="Calibri Light"/>
                <w:color w:val="000000"/>
                <w:sz w:val="22"/>
                <w:szCs w:val="22"/>
                <w:lang w:val="en-GB" w:eastAsia="en-GB"/>
              </w:rPr>
              <w:t>(via the PubMed interface)</w:t>
            </w:r>
            <w:r w:rsidRPr="000E25D9">
              <w:rPr>
                <w:rFonts w:ascii="Calibri Light" w:eastAsia="Times New Roman" w:hAnsi="Calibri Light" w:cs="Calibri Light"/>
                <w:color w:val="000000"/>
                <w:sz w:val="22"/>
                <w:szCs w:val="22"/>
                <w:lang w:eastAsia="en-GB"/>
              </w:rPr>
              <w:t> </w:t>
            </w:r>
          </w:p>
        </w:tc>
      </w:tr>
      <w:tr w:rsidR="000E25D9" w:rsidRPr="000E25D9" w14:paraId="39660A9D" w14:textId="77777777" w:rsidTr="000E25D9">
        <w:trPr>
          <w:trHeight w:val="435"/>
        </w:trPr>
        <w:tc>
          <w:tcPr>
            <w:tcW w:w="1520" w:type="dxa"/>
            <w:tcBorders>
              <w:top w:val="single" w:sz="6" w:space="0" w:color="FFFFFF"/>
              <w:left w:val="single" w:sz="6" w:space="0" w:color="FFFFFF"/>
              <w:bottom w:val="single" w:sz="24" w:space="0" w:color="FFFFFF"/>
              <w:right w:val="single" w:sz="6" w:space="0" w:color="FFFFFF"/>
            </w:tcBorders>
            <w:shd w:val="clear" w:color="auto" w:fill="5B9BD5"/>
            <w:hideMark/>
          </w:tcPr>
          <w:p w14:paraId="172CC2AD"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Concept </w:t>
            </w:r>
            <w:r w:rsidRPr="000E25D9">
              <w:rPr>
                <w:rFonts w:ascii="Calibri Light" w:eastAsia="Times New Roman" w:hAnsi="Calibri Light" w:cs="Calibri Light"/>
                <w:color w:val="000000"/>
                <w:sz w:val="22"/>
                <w:szCs w:val="22"/>
                <w:lang w:eastAsia="en-GB"/>
              </w:rPr>
              <w:t> </w:t>
            </w:r>
          </w:p>
        </w:tc>
        <w:tc>
          <w:tcPr>
            <w:tcW w:w="975" w:type="dxa"/>
            <w:tcBorders>
              <w:top w:val="single" w:sz="6" w:space="0" w:color="FFFFFF"/>
              <w:left w:val="single" w:sz="6" w:space="0" w:color="FFFFFF"/>
              <w:bottom w:val="single" w:sz="24" w:space="0" w:color="FFFFFF"/>
              <w:right w:val="single" w:sz="6" w:space="0" w:color="FFFFFF"/>
            </w:tcBorders>
            <w:shd w:val="clear" w:color="auto" w:fill="5B9BD5"/>
            <w:hideMark/>
          </w:tcPr>
          <w:p w14:paraId="2B352DCE"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Line number</w:t>
            </w:r>
            <w:r w:rsidRPr="000E25D9">
              <w:rPr>
                <w:rFonts w:ascii="Calibri Light" w:eastAsia="Times New Roman" w:hAnsi="Calibri Light" w:cs="Calibri Light"/>
                <w:color w:val="000000"/>
                <w:sz w:val="22"/>
                <w:szCs w:val="22"/>
                <w:lang w:eastAsia="en-GB"/>
              </w:rPr>
              <w:t> </w:t>
            </w:r>
          </w:p>
        </w:tc>
        <w:tc>
          <w:tcPr>
            <w:tcW w:w="6849" w:type="dxa"/>
            <w:tcBorders>
              <w:top w:val="single" w:sz="6" w:space="0" w:color="FFFFFF"/>
              <w:left w:val="single" w:sz="6" w:space="0" w:color="FFFFFF"/>
              <w:bottom w:val="single" w:sz="24" w:space="0" w:color="FFFFFF"/>
              <w:right w:val="single" w:sz="6" w:space="0" w:color="FFFFFF"/>
            </w:tcBorders>
            <w:shd w:val="clear" w:color="auto" w:fill="5B9BD5"/>
            <w:hideMark/>
          </w:tcPr>
          <w:p w14:paraId="322B1233"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 xml:space="preserve">Search strategy </w:t>
            </w:r>
            <w:proofErr w:type="spellStart"/>
            <w:r w:rsidRPr="000E25D9">
              <w:rPr>
                <w:rFonts w:ascii="Calibri Light" w:eastAsia="Times New Roman" w:hAnsi="Calibri Light" w:cs="Calibri Light"/>
                <w:b/>
                <w:bCs/>
                <w:color w:val="000000"/>
                <w:sz w:val="17"/>
                <w:szCs w:val="17"/>
                <w:vertAlign w:val="superscript"/>
                <w:lang w:val="en-GB" w:eastAsia="en-GB"/>
              </w:rPr>
              <w:t>i</w:t>
            </w:r>
            <w:proofErr w:type="spellEnd"/>
            <w:r w:rsidRPr="000E25D9">
              <w:rPr>
                <w:rFonts w:ascii="Calibri Light" w:eastAsia="Times New Roman" w:hAnsi="Calibri Light" w:cs="Calibri Light"/>
                <w:color w:val="000000"/>
                <w:sz w:val="22"/>
                <w:szCs w:val="22"/>
                <w:lang w:eastAsia="en-GB"/>
              </w:rPr>
              <w:t> </w:t>
            </w:r>
          </w:p>
        </w:tc>
      </w:tr>
      <w:tr w:rsidR="000E25D9" w:rsidRPr="000E25D9" w14:paraId="5B983282" w14:textId="77777777" w:rsidTr="000E25D9">
        <w:trPr>
          <w:trHeight w:val="795"/>
        </w:trPr>
        <w:tc>
          <w:tcPr>
            <w:tcW w:w="1520" w:type="dxa"/>
            <w:tcBorders>
              <w:top w:val="single" w:sz="24" w:space="0" w:color="FFFFFF"/>
              <w:left w:val="single" w:sz="6" w:space="0" w:color="FFFFFF"/>
              <w:bottom w:val="single" w:sz="6" w:space="0" w:color="FFFFFF"/>
              <w:right w:val="single" w:sz="6" w:space="0" w:color="FFFFFF"/>
            </w:tcBorders>
            <w:shd w:val="clear" w:color="auto" w:fill="D9E2F3"/>
            <w:hideMark/>
          </w:tcPr>
          <w:p w14:paraId="1AB20BF1" w14:textId="340EBEBD"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Concept 1:</w:t>
            </w:r>
            <w:r>
              <w:rPr>
                <w:rFonts w:ascii="Calibri Light" w:eastAsia="Times New Roman" w:hAnsi="Calibri Light" w:cs="Calibri Light"/>
                <w:color w:val="000000"/>
                <w:sz w:val="22"/>
                <w:szCs w:val="22"/>
                <w:lang w:val="en-GB" w:eastAsia="en-GB"/>
              </w:rPr>
              <w:t xml:space="preserve"> heat</w:t>
            </w:r>
            <w:r w:rsidRPr="000E25D9">
              <w:rPr>
                <w:rFonts w:ascii="Calibri Light" w:eastAsia="Times New Roman" w:hAnsi="Calibri Light" w:cs="Calibri Light"/>
                <w:color w:val="000000"/>
                <w:sz w:val="22"/>
                <w:szCs w:val="22"/>
                <w:lang w:eastAsia="en-GB"/>
              </w:rPr>
              <w:t> </w:t>
            </w:r>
          </w:p>
        </w:tc>
        <w:tc>
          <w:tcPr>
            <w:tcW w:w="975" w:type="dxa"/>
            <w:tcBorders>
              <w:top w:val="single" w:sz="24" w:space="0" w:color="FFFFFF"/>
              <w:left w:val="single" w:sz="6" w:space="0" w:color="FFFFFF"/>
              <w:bottom w:val="single" w:sz="6" w:space="0" w:color="FFFFFF"/>
              <w:right w:val="single" w:sz="6" w:space="0" w:color="FFFFFF"/>
            </w:tcBorders>
            <w:shd w:val="clear" w:color="auto" w:fill="D9E2F3"/>
            <w:hideMark/>
          </w:tcPr>
          <w:p w14:paraId="3B80ED66"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1</w:t>
            </w:r>
            <w:r w:rsidRPr="000E25D9">
              <w:rPr>
                <w:rFonts w:ascii="Calibri Light" w:eastAsia="Times New Roman" w:hAnsi="Calibri Light" w:cs="Calibri Light"/>
                <w:color w:val="000000"/>
                <w:sz w:val="22"/>
                <w:szCs w:val="22"/>
                <w:lang w:eastAsia="en-GB"/>
              </w:rPr>
              <w:t> </w:t>
            </w:r>
          </w:p>
        </w:tc>
        <w:tc>
          <w:tcPr>
            <w:tcW w:w="6849" w:type="dxa"/>
            <w:tcBorders>
              <w:top w:val="single" w:sz="24" w:space="0" w:color="FFFFFF"/>
              <w:left w:val="single" w:sz="6" w:space="0" w:color="FFFFFF"/>
              <w:bottom w:val="single" w:sz="6" w:space="0" w:color="FFFFFF"/>
              <w:right w:val="single" w:sz="6" w:space="0" w:color="FFFFFF"/>
            </w:tcBorders>
            <w:shd w:val="clear" w:color="auto" w:fill="D9E2F3"/>
            <w:hideMark/>
          </w:tcPr>
          <w:p w14:paraId="5C203B85"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val="en-GB" w:eastAsia="en-GB"/>
              </w:rPr>
              <w:t>("Hot Temperature"[Mesh] OR "Extreme Heat"[Mesh] OR “heat” [TIAB] OR “hot temperature*” [TIAB] OR “high temperature*” [TIAB] OR “hot climate*” [TIAB] OR “heatwave*” [TIAB])</w:t>
            </w:r>
            <w:r w:rsidRPr="000E25D9">
              <w:rPr>
                <w:rFonts w:ascii="Calibri Light" w:eastAsia="Times New Roman" w:hAnsi="Calibri Light" w:cs="Calibri Light"/>
                <w:color w:val="000000"/>
                <w:sz w:val="16"/>
                <w:szCs w:val="16"/>
                <w:lang w:eastAsia="en-GB"/>
              </w:rPr>
              <w:t> </w:t>
            </w:r>
          </w:p>
        </w:tc>
      </w:tr>
      <w:tr w:rsidR="000E25D9" w:rsidRPr="000E25D9" w14:paraId="7C7A9AB9" w14:textId="77777777" w:rsidTr="000E25D9">
        <w:trPr>
          <w:trHeight w:val="390"/>
        </w:trPr>
        <w:tc>
          <w:tcPr>
            <w:tcW w:w="1520" w:type="dxa"/>
            <w:tcBorders>
              <w:top w:val="single" w:sz="6" w:space="0" w:color="FFFFFF"/>
              <w:left w:val="single" w:sz="6" w:space="0" w:color="FFFFFF"/>
              <w:bottom w:val="single" w:sz="6" w:space="0" w:color="FFFFFF"/>
              <w:right w:val="single" w:sz="6" w:space="0" w:color="FFFFFF"/>
            </w:tcBorders>
            <w:shd w:val="clear" w:color="auto" w:fill="D9E2F3"/>
            <w:hideMark/>
          </w:tcPr>
          <w:p w14:paraId="5ADABE0F" w14:textId="6F12F713"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Concept</w:t>
            </w:r>
            <w:r>
              <w:rPr>
                <w:rFonts w:ascii="Calibri Light" w:eastAsia="Times New Roman" w:hAnsi="Calibri Light" w:cs="Calibri Light"/>
                <w:color w:val="000000"/>
                <w:sz w:val="22"/>
                <w:szCs w:val="22"/>
                <w:lang w:val="en-GB" w:eastAsia="en-GB"/>
              </w:rPr>
              <w:t xml:space="preserve"> 2: </w:t>
            </w:r>
            <w:r>
              <w:rPr>
                <w:rFonts w:ascii="Calibri Light" w:eastAsia="Times New Roman" w:hAnsi="Calibri Light" w:cs="Calibri Light"/>
                <w:color w:val="000000"/>
                <w:sz w:val="22"/>
                <w:szCs w:val="22"/>
                <w:lang w:eastAsia="en-GB"/>
              </w:rPr>
              <w:t>neonatal health outcomes</w:t>
            </w:r>
          </w:p>
        </w:tc>
        <w:tc>
          <w:tcPr>
            <w:tcW w:w="975" w:type="dxa"/>
            <w:tcBorders>
              <w:top w:val="single" w:sz="6" w:space="0" w:color="FFFFFF"/>
              <w:left w:val="single" w:sz="6" w:space="0" w:color="FFFFFF"/>
              <w:bottom w:val="single" w:sz="6" w:space="0" w:color="FFFFFF"/>
              <w:right w:val="single" w:sz="6" w:space="0" w:color="FFFFFF"/>
            </w:tcBorders>
            <w:shd w:val="clear" w:color="auto" w:fill="D9E2F3"/>
            <w:hideMark/>
          </w:tcPr>
          <w:p w14:paraId="14BA22E3"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2</w:t>
            </w:r>
            <w:r w:rsidRPr="000E25D9">
              <w:rPr>
                <w:rFonts w:ascii="Calibri Light" w:eastAsia="Times New Roman" w:hAnsi="Calibri Light" w:cs="Calibri Light"/>
                <w:color w:val="000000"/>
                <w:sz w:val="22"/>
                <w:szCs w:val="22"/>
                <w:lang w:eastAsia="en-GB"/>
              </w:rPr>
              <w:t> </w:t>
            </w:r>
          </w:p>
        </w:tc>
        <w:tc>
          <w:tcPr>
            <w:tcW w:w="6849" w:type="dxa"/>
            <w:tcBorders>
              <w:top w:val="single" w:sz="6" w:space="0" w:color="FFFFFF"/>
              <w:left w:val="single" w:sz="6" w:space="0" w:color="FFFFFF"/>
              <w:bottom w:val="single" w:sz="6" w:space="0" w:color="FFFFFF"/>
              <w:right w:val="single" w:sz="6" w:space="0" w:color="FFFFFF"/>
            </w:tcBorders>
            <w:shd w:val="clear" w:color="auto" w:fill="D9E2F3"/>
            <w:hideMark/>
          </w:tcPr>
          <w:p w14:paraId="43D92559"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eastAsia="en-GB"/>
              </w:rPr>
              <w:t>("Infant, Newborn"[Mesh] OR "Perinatal Mortality"[Mesh] OR “neonate</w:t>
            </w:r>
            <w:r w:rsidRPr="000E25D9">
              <w:rPr>
                <w:rFonts w:ascii="Calibri Light" w:eastAsia="Times New Roman" w:hAnsi="Calibri Light" w:cs="Calibri Light"/>
                <w:color w:val="000000"/>
                <w:sz w:val="16"/>
                <w:szCs w:val="16"/>
                <w:lang w:val="en-GB" w:eastAsia="en-GB"/>
              </w:rPr>
              <w:t>*” [TIAB] OR “neonatal” [TIAB] OR “neonatal mortality” [TIAB] OR “newborn*” [TIAB] OR “preterm birth*” [TIAB] OR “low birth weight*” [TIAB] OR “birth asphyxia*” [TIAB] OR “neonatal infection*” [TIAB] OR “congenital infection*”)</w:t>
            </w:r>
            <w:r w:rsidRPr="000E25D9">
              <w:rPr>
                <w:rFonts w:ascii="Calibri Light" w:eastAsia="Times New Roman" w:hAnsi="Calibri Light" w:cs="Calibri Light"/>
                <w:color w:val="000000"/>
                <w:sz w:val="16"/>
                <w:szCs w:val="16"/>
                <w:lang w:eastAsia="en-GB"/>
              </w:rPr>
              <w:t> </w:t>
            </w:r>
          </w:p>
        </w:tc>
      </w:tr>
      <w:tr w:rsidR="000E25D9" w:rsidRPr="000E25D9" w14:paraId="1DB8B867" w14:textId="77777777" w:rsidTr="000E25D9">
        <w:trPr>
          <w:trHeight w:val="945"/>
        </w:trPr>
        <w:tc>
          <w:tcPr>
            <w:tcW w:w="1520" w:type="dxa"/>
            <w:tcBorders>
              <w:top w:val="single" w:sz="6" w:space="0" w:color="FFFFFF"/>
              <w:left w:val="single" w:sz="6" w:space="0" w:color="FFFFFF"/>
              <w:bottom w:val="single" w:sz="6" w:space="0" w:color="FFFFFF"/>
              <w:right w:val="single" w:sz="6" w:space="0" w:color="FFFFFF"/>
            </w:tcBorders>
            <w:shd w:val="clear" w:color="auto" w:fill="D9E2F3"/>
            <w:hideMark/>
          </w:tcPr>
          <w:p w14:paraId="69A3F842"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Combination of concepts</w:t>
            </w:r>
            <w:r w:rsidRPr="000E25D9">
              <w:rPr>
                <w:rFonts w:ascii="Calibri Light" w:eastAsia="Times New Roman" w:hAnsi="Calibri Light" w:cs="Calibri Light"/>
                <w:color w:val="000000"/>
                <w:sz w:val="22"/>
                <w:szCs w:val="22"/>
                <w:lang w:eastAsia="en-GB"/>
              </w:rPr>
              <w:t> </w:t>
            </w:r>
          </w:p>
        </w:tc>
        <w:tc>
          <w:tcPr>
            <w:tcW w:w="975" w:type="dxa"/>
            <w:tcBorders>
              <w:top w:val="single" w:sz="6" w:space="0" w:color="FFFFFF"/>
              <w:left w:val="single" w:sz="6" w:space="0" w:color="FFFFFF"/>
              <w:bottom w:val="single" w:sz="6" w:space="0" w:color="FFFFFF"/>
              <w:right w:val="single" w:sz="6" w:space="0" w:color="FFFFFF"/>
            </w:tcBorders>
            <w:shd w:val="clear" w:color="auto" w:fill="D9E2F3"/>
            <w:hideMark/>
          </w:tcPr>
          <w:p w14:paraId="5277E2A1" w14:textId="412846DE" w:rsidR="000E25D9" w:rsidRPr="000E25D9" w:rsidRDefault="000E25D9" w:rsidP="000E25D9">
            <w:pPr>
              <w:spacing w:after="0" w:line="240" w:lineRule="auto"/>
              <w:textAlignment w:val="baseline"/>
              <w:rPr>
                <w:rFonts w:ascii="Calibri" w:eastAsia="Times New Roman" w:hAnsi="Calibri" w:cs="Calibri"/>
                <w:lang w:eastAsia="en-GB"/>
              </w:rPr>
            </w:pPr>
            <w:r w:rsidRPr="000E25D9">
              <w:rPr>
                <w:rFonts w:ascii="Calibri" w:eastAsia="Times New Roman" w:hAnsi="Calibri" w:cs="Calibri"/>
                <w:sz w:val="22"/>
                <w:szCs w:val="22"/>
                <w:lang w:eastAsia="en-GB"/>
              </w:rPr>
              <w:t>3</w:t>
            </w:r>
          </w:p>
        </w:tc>
        <w:tc>
          <w:tcPr>
            <w:tcW w:w="6849" w:type="dxa"/>
            <w:tcBorders>
              <w:top w:val="single" w:sz="6" w:space="0" w:color="FFFFFF"/>
              <w:left w:val="single" w:sz="6" w:space="0" w:color="FFFFFF"/>
              <w:bottom w:val="single" w:sz="6" w:space="0" w:color="FFFFFF"/>
              <w:right w:val="single" w:sz="6" w:space="0" w:color="FFFFFF"/>
            </w:tcBorders>
            <w:shd w:val="clear" w:color="auto" w:fill="D9E2F3"/>
            <w:hideMark/>
          </w:tcPr>
          <w:p w14:paraId="5C3E0E7B"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val="en-GB" w:eastAsia="en-GB"/>
              </w:rPr>
              <w:t>1 AND 2</w:t>
            </w:r>
            <w:r w:rsidRPr="000E25D9">
              <w:rPr>
                <w:rFonts w:ascii="Calibri Light" w:eastAsia="Times New Roman" w:hAnsi="Calibri Light" w:cs="Calibri Light"/>
                <w:color w:val="000000"/>
                <w:sz w:val="16"/>
                <w:szCs w:val="16"/>
                <w:lang w:eastAsia="en-GB"/>
              </w:rPr>
              <w:t> </w:t>
            </w:r>
          </w:p>
          <w:p w14:paraId="6FB21411" w14:textId="4C748C91"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i/>
                <w:iCs/>
                <w:color w:val="000000"/>
                <w:sz w:val="16"/>
                <w:szCs w:val="16"/>
                <w:lang w:val="en-GB" w:eastAsia="en-GB"/>
              </w:rPr>
              <w:t>= 4.523 results on 16/07/2025</w:t>
            </w:r>
            <w:r w:rsidRPr="000E25D9">
              <w:rPr>
                <w:rFonts w:ascii="Calibri Light" w:eastAsia="Times New Roman" w:hAnsi="Calibri Light" w:cs="Calibri Light"/>
                <w:color w:val="000000"/>
                <w:sz w:val="16"/>
                <w:szCs w:val="16"/>
                <w:lang w:eastAsia="en-GB"/>
              </w:rPr>
              <w:t>  </w:t>
            </w:r>
          </w:p>
        </w:tc>
      </w:tr>
      <w:tr w:rsidR="000E25D9" w:rsidRPr="000E25D9" w14:paraId="232548E5" w14:textId="77777777" w:rsidTr="000E25D9">
        <w:trPr>
          <w:trHeight w:val="435"/>
        </w:trPr>
        <w:tc>
          <w:tcPr>
            <w:tcW w:w="9344" w:type="dxa"/>
            <w:gridSpan w:val="3"/>
            <w:tcBorders>
              <w:top w:val="single" w:sz="6" w:space="0" w:color="FFFFFF"/>
              <w:left w:val="single" w:sz="6" w:space="0" w:color="FFFFFF"/>
              <w:bottom w:val="single" w:sz="24" w:space="0" w:color="FFFFFF"/>
              <w:right w:val="single" w:sz="6" w:space="0" w:color="FFFFFF"/>
            </w:tcBorders>
            <w:shd w:val="clear" w:color="auto" w:fill="5B9BD5"/>
            <w:hideMark/>
          </w:tcPr>
          <w:p w14:paraId="5287145E" w14:textId="4D5388C5"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NAME OF DATABASE (interface):</w:t>
            </w:r>
            <w:r w:rsidR="00D704C7">
              <w:rPr>
                <w:rFonts w:ascii="Calibri Light" w:eastAsia="Times New Roman" w:hAnsi="Calibri Light" w:cs="Calibri Light"/>
                <w:b/>
                <w:bCs/>
                <w:color w:val="000000"/>
                <w:sz w:val="22"/>
                <w:szCs w:val="22"/>
                <w:lang w:val="en-GB" w:eastAsia="en-GB"/>
              </w:rPr>
              <w:t xml:space="preserve"> </w:t>
            </w:r>
            <w:r w:rsidR="00D704C7" w:rsidRPr="00D704C7">
              <w:rPr>
                <w:rFonts w:ascii="Calibri Light" w:eastAsia="Times New Roman" w:hAnsi="Calibri Light" w:cs="Calibri Light"/>
                <w:color w:val="000000"/>
                <w:sz w:val="22"/>
                <w:szCs w:val="22"/>
                <w:lang w:val="en-GB" w:eastAsia="en-GB"/>
              </w:rPr>
              <w:t>Embase</w:t>
            </w:r>
          </w:p>
        </w:tc>
      </w:tr>
      <w:tr w:rsidR="000E25D9" w:rsidRPr="000E25D9" w14:paraId="39094333" w14:textId="77777777" w:rsidTr="000E25D9">
        <w:trPr>
          <w:trHeight w:val="435"/>
        </w:trPr>
        <w:tc>
          <w:tcPr>
            <w:tcW w:w="1520" w:type="dxa"/>
            <w:tcBorders>
              <w:top w:val="single" w:sz="6" w:space="0" w:color="FFFFFF"/>
              <w:left w:val="single" w:sz="6" w:space="0" w:color="FFFFFF"/>
              <w:bottom w:val="single" w:sz="24" w:space="0" w:color="FFFFFF"/>
              <w:right w:val="single" w:sz="6" w:space="0" w:color="FFFFFF"/>
            </w:tcBorders>
            <w:shd w:val="clear" w:color="auto" w:fill="5B9BD5"/>
            <w:hideMark/>
          </w:tcPr>
          <w:p w14:paraId="686A3E7F"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Concept </w:t>
            </w:r>
            <w:r w:rsidRPr="000E25D9">
              <w:rPr>
                <w:rFonts w:ascii="Calibri Light" w:eastAsia="Times New Roman" w:hAnsi="Calibri Light" w:cs="Calibri Light"/>
                <w:color w:val="000000"/>
                <w:sz w:val="22"/>
                <w:szCs w:val="22"/>
                <w:lang w:eastAsia="en-GB"/>
              </w:rPr>
              <w:t> </w:t>
            </w:r>
          </w:p>
        </w:tc>
        <w:tc>
          <w:tcPr>
            <w:tcW w:w="975" w:type="dxa"/>
            <w:tcBorders>
              <w:top w:val="single" w:sz="6" w:space="0" w:color="FFFFFF"/>
              <w:left w:val="single" w:sz="6" w:space="0" w:color="FFFFFF"/>
              <w:bottom w:val="single" w:sz="24" w:space="0" w:color="FFFFFF"/>
              <w:right w:val="single" w:sz="6" w:space="0" w:color="FFFFFF"/>
            </w:tcBorders>
            <w:shd w:val="clear" w:color="auto" w:fill="5B9BD5"/>
            <w:hideMark/>
          </w:tcPr>
          <w:p w14:paraId="4EEC8F03"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Line number</w:t>
            </w:r>
            <w:r w:rsidRPr="000E25D9">
              <w:rPr>
                <w:rFonts w:ascii="Calibri Light" w:eastAsia="Times New Roman" w:hAnsi="Calibri Light" w:cs="Calibri Light"/>
                <w:color w:val="000000"/>
                <w:sz w:val="22"/>
                <w:szCs w:val="22"/>
                <w:lang w:eastAsia="en-GB"/>
              </w:rPr>
              <w:t> </w:t>
            </w:r>
          </w:p>
        </w:tc>
        <w:tc>
          <w:tcPr>
            <w:tcW w:w="6849" w:type="dxa"/>
            <w:tcBorders>
              <w:top w:val="single" w:sz="6" w:space="0" w:color="FFFFFF"/>
              <w:left w:val="single" w:sz="6" w:space="0" w:color="FFFFFF"/>
              <w:bottom w:val="single" w:sz="24" w:space="0" w:color="FFFFFF"/>
              <w:right w:val="single" w:sz="6" w:space="0" w:color="FFFFFF"/>
            </w:tcBorders>
            <w:shd w:val="clear" w:color="auto" w:fill="5B9BD5"/>
            <w:hideMark/>
          </w:tcPr>
          <w:p w14:paraId="6437501D"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 xml:space="preserve">Search strategy </w:t>
            </w:r>
            <w:r w:rsidRPr="000E25D9">
              <w:rPr>
                <w:rFonts w:ascii="Calibri Light" w:eastAsia="Times New Roman" w:hAnsi="Calibri Light" w:cs="Calibri Light"/>
                <w:b/>
                <w:bCs/>
                <w:color w:val="000000"/>
                <w:sz w:val="17"/>
                <w:szCs w:val="17"/>
                <w:vertAlign w:val="superscript"/>
                <w:lang w:val="en-GB" w:eastAsia="en-GB"/>
              </w:rPr>
              <w:t>ii</w:t>
            </w:r>
            <w:r w:rsidRPr="000E25D9">
              <w:rPr>
                <w:rFonts w:ascii="Calibri Light" w:eastAsia="Times New Roman" w:hAnsi="Calibri Light" w:cs="Calibri Light"/>
                <w:color w:val="000000"/>
                <w:sz w:val="22"/>
                <w:szCs w:val="22"/>
                <w:lang w:eastAsia="en-GB"/>
              </w:rPr>
              <w:t> </w:t>
            </w:r>
          </w:p>
        </w:tc>
      </w:tr>
      <w:tr w:rsidR="000E25D9" w:rsidRPr="000E25D9" w14:paraId="2F816022" w14:textId="77777777" w:rsidTr="000E25D9">
        <w:trPr>
          <w:trHeight w:val="795"/>
        </w:trPr>
        <w:tc>
          <w:tcPr>
            <w:tcW w:w="1520" w:type="dxa"/>
            <w:tcBorders>
              <w:top w:val="single" w:sz="24" w:space="0" w:color="FFFFFF"/>
              <w:left w:val="single" w:sz="6" w:space="0" w:color="FFFFFF"/>
              <w:bottom w:val="single" w:sz="6" w:space="0" w:color="FFFFFF"/>
              <w:right w:val="single" w:sz="6" w:space="0" w:color="FFFFFF"/>
            </w:tcBorders>
            <w:shd w:val="clear" w:color="auto" w:fill="D9E2F3"/>
            <w:hideMark/>
          </w:tcPr>
          <w:p w14:paraId="3363CD20" w14:textId="12379961"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Concept 1:</w:t>
            </w:r>
            <w:r>
              <w:rPr>
                <w:rFonts w:ascii="Calibri Light" w:eastAsia="Times New Roman" w:hAnsi="Calibri Light" w:cs="Calibri Light"/>
                <w:color w:val="000000"/>
                <w:sz w:val="22"/>
                <w:szCs w:val="22"/>
                <w:lang w:val="en-GB" w:eastAsia="en-GB"/>
              </w:rPr>
              <w:t xml:space="preserve"> heat</w:t>
            </w:r>
            <w:r w:rsidRPr="000E25D9">
              <w:rPr>
                <w:rFonts w:ascii="Calibri Light" w:eastAsia="Times New Roman" w:hAnsi="Calibri Light" w:cs="Calibri Light"/>
                <w:color w:val="000000"/>
                <w:sz w:val="22"/>
                <w:szCs w:val="22"/>
                <w:lang w:eastAsia="en-GB"/>
              </w:rPr>
              <w:t> </w:t>
            </w:r>
          </w:p>
        </w:tc>
        <w:tc>
          <w:tcPr>
            <w:tcW w:w="975" w:type="dxa"/>
            <w:tcBorders>
              <w:top w:val="single" w:sz="24" w:space="0" w:color="FFFFFF"/>
              <w:left w:val="single" w:sz="6" w:space="0" w:color="FFFFFF"/>
              <w:bottom w:val="single" w:sz="6" w:space="0" w:color="FFFFFF"/>
              <w:right w:val="single" w:sz="6" w:space="0" w:color="FFFFFF"/>
            </w:tcBorders>
            <w:shd w:val="clear" w:color="auto" w:fill="D9E2F3"/>
            <w:hideMark/>
          </w:tcPr>
          <w:p w14:paraId="16C1170D"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1</w:t>
            </w:r>
            <w:r w:rsidRPr="000E25D9">
              <w:rPr>
                <w:rFonts w:ascii="Calibri Light" w:eastAsia="Times New Roman" w:hAnsi="Calibri Light" w:cs="Calibri Light"/>
                <w:color w:val="000000"/>
                <w:sz w:val="22"/>
                <w:szCs w:val="22"/>
                <w:lang w:eastAsia="en-GB"/>
              </w:rPr>
              <w:t> </w:t>
            </w:r>
          </w:p>
        </w:tc>
        <w:tc>
          <w:tcPr>
            <w:tcW w:w="6849" w:type="dxa"/>
            <w:tcBorders>
              <w:top w:val="single" w:sz="24" w:space="0" w:color="FFFFFF"/>
              <w:left w:val="single" w:sz="6" w:space="0" w:color="FFFFFF"/>
              <w:bottom w:val="single" w:sz="6" w:space="0" w:color="FFFFFF"/>
              <w:right w:val="single" w:sz="6" w:space="0" w:color="FFFFFF"/>
            </w:tcBorders>
            <w:shd w:val="clear" w:color="auto" w:fill="D9E2F3"/>
            <w:hideMark/>
          </w:tcPr>
          <w:p w14:paraId="089DF9B6"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val="en-GB" w:eastAsia="en-GB"/>
              </w:rPr>
              <w:t xml:space="preserve">('heat'/exp OR 'high temperature'/exp OR 'heat wave'/exp OR 'extreme hot weather'/exp OR </w:t>
            </w:r>
            <w:proofErr w:type="spellStart"/>
            <w:proofErr w:type="gramStart"/>
            <w:r w:rsidRPr="000E25D9">
              <w:rPr>
                <w:rFonts w:ascii="Calibri Light" w:eastAsia="Times New Roman" w:hAnsi="Calibri Light" w:cs="Calibri Light"/>
                <w:color w:val="000000"/>
                <w:sz w:val="16"/>
                <w:szCs w:val="16"/>
                <w:lang w:val="en-GB" w:eastAsia="en-GB"/>
              </w:rPr>
              <w:t>heat:ti</w:t>
            </w:r>
            <w:proofErr w:type="gramEnd"/>
            <w:r w:rsidRPr="000E25D9">
              <w:rPr>
                <w:rFonts w:ascii="Calibri Light" w:eastAsia="Times New Roman" w:hAnsi="Calibri Light" w:cs="Calibri Light"/>
                <w:color w:val="000000"/>
                <w:sz w:val="16"/>
                <w:szCs w:val="16"/>
                <w:lang w:val="en-GB" w:eastAsia="en-GB"/>
              </w:rPr>
              <w:t>,ab</w:t>
            </w:r>
            <w:proofErr w:type="spellEnd"/>
            <w:r w:rsidRPr="000E25D9">
              <w:rPr>
                <w:rFonts w:ascii="Calibri Light" w:eastAsia="Times New Roman" w:hAnsi="Calibri Light" w:cs="Calibri Light"/>
                <w:color w:val="000000"/>
                <w:sz w:val="16"/>
                <w:szCs w:val="16"/>
                <w:lang w:val="en-GB" w:eastAsia="en-GB"/>
              </w:rPr>
              <w:t xml:space="preserve"> OR 'hot temperature*</w:t>
            </w:r>
            <w:proofErr w:type="gramStart"/>
            <w:r w:rsidRPr="000E25D9">
              <w:rPr>
                <w:rFonts w:ascii="Calibri Light" w:eastAsia="Times New Roman" w:hAnsi="Calibri Light" w:cs="Calibri Light"/>
                <w:color w:val="000000"/>
                <w:sz w:val="16"/>
                <w:szCs w:val="16"/>
                <w:lang w:val="en-GB" w:eastAsia="en-GB"/>
              </w:rPr>
              <w:t>':</w:t>
            </w:r>
            <w:proofErr w:type="spellStart"/>
            <w:r w:rsidRPr="000E25D9">
              <w:rPr>
                <w:rFonts w:ascii="Calibri Light" w:eastAsia="Times New Roman" w:hAnsi="Calibri Light" w:cs="Calibri Light"/>
                <w:color w:val="000000"/>
                <w:sz w:val="16"/>
                <w:szCs w:val="16"/>
                <w:lang w:val="en-GB" w:eastAsia="en-GB"/>
              </w:rPr>
              <w:t>ti</w:t>
            </w:r>
            <w:proofErr w:type="gramEnd"/>
            <w:r w:rsidRPr="000E25D9">
              <w:rPr>
                <w:rFonts w:ascii="Calibri Light" w:eastAsia="Times New Roman" w:hAnsi="Calibri Light" w:cs="Calibri Light"/>
                <w:color w:val="000000"/>
                <w:sz w:val="16"/>
                <w:szCs w:val="16"/>
                <w:lang w:val="en-GB" w:eastAsia="en-GB"/>
              </w:rPr>
              <w:t>,ab</w:t>
            </w:r>
            <w:proofErr w:type="spellEnd"/>
            <w:r w:rsidRPr="000E25D9">
              <w:rPr>
                <w:rFonts w:ascii="Calibri Light" w:eastAsia="Times New Roman" w:hAnsi="Calibri Light" w:cs="Calibri Light"/>
                <w:color w:val="000000"/>
                <w:sz w:val="16"/>
                <w:szCs w:val="16"/>
                <w:lang w:val="en-GB" w:eastAsia="en-GB"/>
              </w:rPr>
              <w:t xml:space="preserve"> OR 'high temperature*</w:t>
            </w:r>
            <w:proofErr w:type="gramStart"/>
            <w:r w:rsidRPr="000E25D9">
              <w:rPr>
                <w:rFonts w:ascii="Calibri Light" w:eastAsia="Times New Roman" w:hAnsi="Calibri Light" w:cs="Calibri Light"/>
                <w:color w:val="000000"/>
                <w:sz w:val="16"/>
                <w:szCs w:val="16"/>
                <w:lang w:val="en-GB" w:eastAsia="en-GB"/>
              </w:rPr>
              <w:t>':</w:t>
            </w:r>
            <w:proofErr w:type="spellStart"/>
            <w:r w:rsidRPr="000E25D9">
              <w:rPr>
                <w:rFonts w:ascii="Calibri Light" w:eastAsia="Times New Roman" w:hAnsi="Calibri Light" w:cs="Calibri Light"/>
                <w:color w:val="000000"/>
                <w:sz w:val="16"/>
                <w:szCs w:val="16"/>
                <w:lang w:val="en-GB" w:eastAsia="en-GB"/>
              </w:rPr>
              <w:t>ti</w:t>
            </w:r>
            <w:proofErr w:type="gramEnd"/>
            <w:r w:rsidRPr="000E25D9">
              <w:rPr>
                <w:rFonts w:ascii="Calibri Light" w:eastAsia="Times New Roman" w:hAnsi="Calibri Light" w:cs="Calibri Light"/>
                <w:color w:val="000000"/>
                <w:sz w:val="16"/>
                <w:szCs w:val="16"/>
                <w:lang w:val="en-GB" w:eastAsia="en-GB"/>
              </w:rPr>
              <w:t>,ab</w:t>
            </w:r>
            <w:proofErr w:type="spellEnd"/>
            <w:r w:rsidRPr="000E25D9">
              <w:rPr>
                <w:rFonts w:ascii="Calibri Light" w:eastAsia="Times New Roman" w:hAnsi="Calibri Light" w:cs="Calibri Light"/>
                <w:color w:val="000000"/>
                <w:sz w:val="16"/>
                <w:szCs w:val="16"/>
                <w:lang w:val="en-GB" w:eastAsia="en-GB"/>
              </w:rPr>
              <w:t xml:space="preserve"> OR 'hot climate*</w:t>
            </w:r>
            <w:proofErr w:type="gramStart"/>
            <w:r w:rsidRPr="000E25D9">
              <w:rPr>
                <w:rFonts w:ascii="Calibri Light" w:eastAsia="Times New Roman" w:hAnsi="Calibri Light" w:cs="Calibri Light"/>
                <w:color w:val="000000"/>
                <w:sz w:val="16"/>
                <w:szCs w:val="16"/>
                <w:lang w:val="en-GB" w:eastAsia="en-GB"/>
              </w:rPr>
              <w:t>':</w:t>
            </w:r>
            <w:proofErr w:type="spellStart"/>
            <w:r w:rsidRPr="000E25D9">
              <w:rPr>
                <w:rFonts w:ascii="Calibri Light" w:eastAsia="Times New Roman" w:hAnsi="Calibri Light" w:cs="Calibri Light"/>
                <w:color w:val="000000"/>
                <w:sz w:val="16"/>
                <w:szCs w:val="16"/>
                <w:lang w:val="en-GB" w:eastAsia="en-GB"/>
              </w:rPr>
              <w:t>ti</w:t>
            </w:r>
            <w:proofErr w:type="gramEnd"/>
            <w:r w:rsidRPr="000E25D9">
              <w:rPr>
                <w:rFonts w:ascii="Calibri Light" w:eastAsia="Times New Roman" w:hAnsi="Calibri Light" w:cs="Calibri Light"/>
                <w:color w:val="000000"/>
                <w:sz w:val="16"/>
                <w:szCs w:val="16"/>
                <w:lang w:val="en-GB" w:eastAsia="en-GB"/>
              </w:rPr>
              <w:t>,ab</w:t>
            </w:r>
            <w:proofErr w:type="spellEnd"/>
            <w:r w:rsidRPr="000E25D9">
              <w:rPr>
                <w:rFonts w:ascii="Calibri Light" w:eastAsia="Times New Roman" w:hAnsi="Calibri Light" w:cs="Calibri Light"/>
                <w:color w:val="000000"/>
                <w:sz w:val="16"/>
                <w:szCs w:val="16"/>
                <w:lang w:val="en-GB" w:eastAsia="en-GB"/>
              </w:rPr>
              <w:t xml:space="preserve"> OR heatwave</w:t>
            </w:r>
            <w:proofErr w:type="gramStart"/>
            <w:r w:rsidRPr="000E25D9">
              <w:rPr>
                <w:rFonts w:ascii="Calibri Light" w:eastAsia="Times New Roman" w:hAnsi="Calibri Light" w:cs="Calibri Light"/>
                <w:color w:val="000000"/>
                <w:sz w:val="16"/>
                <w:szCs w:val="16"/>
                <w:lang w:val="en-GB" w:eastAsia="en-GB"/>
              </w:rPr>
              <w:t>*:</w:t>
            </w:r>
            <w:proofErr w:type="spellStart"/>
            <w:r w:rsidRPr="000E25D9">
              <w:rPr>
                <w:rFonts w:ascii="Calibri Light" w:eastAsia="Times New Roman" w:hAnsi="Calibri Light" w:cs="Calibri Light"/>
                <w:color w:val="000000"/>
                <w:sz w:val="16"/>
                <w:szCs w:val="16"/>
                <w:lang w:val="en-GB" w:eastAsia="en-GB"/>
              </w:rPr>
              <w:t>ti</w:t>
            </w:r>
            <w:proofErr w:type="gramEnd"/>
            <w:r w:rsidRPr="000E25D9">
              <w:rPr>
                <w:rFonts w:ascii="Calibri Light" w:eastAsia="Times New Roman" w:hAnsi="Calibri Light" w:cs="Calibri Light"/>
                <w:color w:val="000000"/>
                <w:sz w:val="16"/>
                <w:szCs w:val="16"/>
                <w:lang w:val="en-GB" w:eastAsia="en-GB"/>
              </w:rPr>
              <w:t>,ab</w:t>
            </w:r>
            <w:proofErr w:type="spellEnd"/>
            <w:r w:rsidRPr="000E25D9">
              <w:rPr>
                <w:rFonts w:ascii="Calibri Light" w:eastAsia="Times New Roman" w:hAnsi="Calibri Light" w:cs="Calibri Light"/>
                <w:color w:val="000000"/>
                <w:sz w:val="16"/>
                <w:szCs w:val="16"/>
                <w:lang w:val="en-GB" w:eastAsia="en-GB"/>
              </w:rPr>
              <w:t>)</w:t>
            </w:r>
            <w:r w:rsidRPr="000E25D9">
              <w:rPr>
                <w:rFonts w:ascii="Calibri Light" w:eastAsia="Times New Roman" w:hAnsi="Calibri Light" w:cs="Calibri Light"/>
                <w:color w:val="000000"/>
                <w:sz w:val="16"/>
                <w:szCs w:val="16"/>
                <w:lang w:eastAsia="en-GB"/>
              </w:rPr>
              <w:t> </w:t>
            </w:r>
          </w:p>
        </w:tc>
      </w:tr>
      <w:tr w:rsidR="000E25D9" w:rsidRPr="000E25D9" w14:paraId="139E86C9" w14:textId="77777777" w:rsidTr="000E25D9">
        <w:trPr>
          <w:trHeight w:val="390"/>
        </w:trPr>
        <w:tc>
          <w:tcPr>
            <w:tcW w:w="1520" w:type="dxa"/>
            <w:tcBorders>
              <w:top w:val="single" w:sz="6" w:space="0" w:color="FFFFFF"/>
              <w:left w:val="single" w:sz="6" w:space="0" w:color="FFFFFF"/>
              <w:bottom w:val="single" w:sz="6" w:space="0" w:color="FFFFFF"/>
              <w:right w:val="single" w:sz="6" w:space="0" w:color="FFFFFF"/>
            </w:tcBorders>
            <w:shd w:val="clear" w:color="auto" w:fill="D9E2F3"/>
            <w:hideMark/>
          </w:tcPr>
          <w:p w14:paraId="7311BBC3" w14:textId="77777777" w:rsidR="000E25D9" w:rsidRDefault="000E25D9" w:rsidP="000E25D9">
            <w:pPr>
              <w:spacing w:after="0" w:line="240" w:lineRule="auto"/>
              <w:textAlignment w:val="baseline"/>
              <w:rPr>
                <w:rFonts w:ascii="Calibri Light" w:eastAsia="Times New Roman" w:hAnsi="Calibri Light" w:cs="Calibri Light"/>
                <w:color w:val="000000"/>
                <w:sz w:val="22"/>
                <w:szCs w:val="22"/>
                <w:lang w:val="en-GB" w:eastAsia="en-GB"/>
              </w:rPr>
            </w:pPr>
            <w:r w:rsidRPr="000E25D9">
              <w:rPr>
                <w:rFonts w:ascii="Calibri Light" w:eastAsia="Times New Roman" w:hAnsi="Calibri Light" w:cs="Calibri Light"/>
                <w:color w:val="000000"/>
                <w:sz w:val="22"/>
                <w:szCs w:val="22"/>
                <w:lang w:val="en-GB" w:eastAsia="en-GB"/>
              </w:rPr>
              <w:t>Concept</w:t>
            </w:r>
            <w:r>
              <w:rPr>
                <w:rFonts w:ascii="Calibri Light" w:eastAsia="Times New Roman" w:hAnsi="Calibri Light" w:cs="Calibri Light"/>
                <w:color w:val="000000"/>
                <w:sz w:val="22"/>
                <w:szCs w:val="22"/>
                <w:lang w:val="en-GB" w:eastAsia="en-GB"/>
              </w:rPr>
              <w:t xml:space="preserve"> </w:t>
            </w:r>
            <w:r w:rsidRPr="000E25D9">
              <w:rPr>
                <w:rFonts w:ascii="Calibri Light" w:eastAsia="Times New Roman" w:hAnsi="Calibri Light" w:cs="Calibri Light"/>
                <w:color w:val="000000"/>
                <w:sz w:val="22"/>
                <w:szCs w:val="22"/>
                <w:lang w:val="en-GB" w:eastAsia="en-GB"/>
              </w:rPr>
              <w:t>2</w:t>
            </w:r>
            <w:r>
              <w:rPr>
                <w:rFonts w:ascii="Calibri Light" w:eastAsia="Times New Roman" w:hAnsi="Calibri Light" w:cs="Calibri Light"/>
                <w:color w:val="000000"/>
                <w:sz w:val="22"/>
                <w:szCs w:val="22"/>
                <w:lang w:val="en-GB" w:eastAsia="en-GB"/>
              </w:rPr>
              <w:t>:</w:t>
            </w:r>
          </w:p>
          <w:p w14:paraId="096CC553" w14:textId="130AC3E2" w:rsidR="000E25D9" w:rsidRPr="000E25D9" w:rsidRDefault="000E25D9" w:rsidP="000E25D9">
            <w:pPr>
              <w:spacing w:after="0" w:line="240" w:lineRule="auto"/>
              <w:textAlignment w:val="baseline"/>
              <w:rPr>
                <w:rFonts w:ascii="Times New Roman" w:eastAsia="Times New Roman" w:hAnsi="Times New Roman" w:cs="Times New Roman"/>
                <w:lang w:eastAsia="en-GB"/>
              </w:rPr>
            </w:pPr>
            <w:r>
              <w:rPr>
                <w:rFonts w:ascii="Calibri Light" w:eastAsia="Times New Roman" w:hAnsi="Calibri Light" w:cs="Calibri Light"/>
                <w:color w:val="000000"/>
                <w:sz w:val="22"/>
                <w:szCs w:val="22"/>
                <w:lang w:eastAsia="en-GB"/>
              </w:rPr>
              <w:t>neonatal health outcomes</w:t>
            </w:r>
          </w:p>
        </w:tc>
        <w:tc>
          <w:tcPr>
            <w:tcW w:w="975" w:type="dxa"/>
            <w:tcBorders>
              <w:top w:val="single" w:sz="6" w:space="0" w:color="FFFFFF"/>
              <w:left w:val="single" w:sz="6" w:space="0" w:color="FFFFFF"/>
              <w:bottom w:val="single" w:sz="6" w:space="0" w:color="FFFFFF"/>
              <w:right w:val="single" w:sz="6" w:space="0" w:color="FFFFFF"/>
            </w:tcBorders>
            <w:shd w:val="clear" w:color="auto" w:fill="D9E2F3"/>
            <w:hideMark/>
          </w:tcPr>
          <w:p w14:paraId="2CDAAD70"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2</w:t>
            </w:r>
            <w:r w:rsidRPr="000E25D9">
              <w:rPr>
                <w:rFonts w:ascii="Calibri Light" w:eastAsia="Times New Roman" w:hAnsi="Calibri Light" w:cs="Calibri Light"/>
                <w:color w:val="000000"/>
                <w:sz w:val="22"/>
                <w:szCs w:val="22"/>
                <w:lang w:eastAsia="en-GB"/>
              </w:rPr>
              <w:t> </w:t>
            </w:r>
          </w:p>
        </w:tc>
        <w:tc>
          <w:tcPr>
            <w:tcW w:w="6849" w:type="dxa"/>
            <w:tcBorders>
              <w:top w:val="single" w:sz="6" w:space="0" w:color="FFFFFF"/>
              <w:left w:val="single" w:sz="6" w:space="0" w:color="FFFFFF"/>
              <w:bottom w:val="single" w:sz="6" w:space="0" w:color="FFFFFF"/>
              <w:right w:val="single" w:sz="6" w:space="0" w:color="FFFFFF"/>
            </w:tcBorders>
            <w:shd w:val="clear" w:color="auto" w:fill="D9E2F3"/>
            <w:hideMark/>
          </w:tcPr>
          <w:p w14:paraId="5C3C6293"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eastAsia="en-GB"/>
              </w:rPr>
              <w:t>('newborn'/exp OR ‘newborn mortality'/exp OR neonate*:</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w:t>
            </w:r>
            <w:proofErr w:type="spellStart"/>
            <w:r w:rsidRPr="000E25D9">
              <w:rPr>
                <w:rFonts w:ascii="Calibri Light" w:eastAsia="Times New Roman" w:hAnsi="Calibri Light" w:cs="Calibri Light"/>
                <w:color w:val="000000"/>
                <w:sz w:val="16"/>
                <w:szCs w:val="16"/>
                <w:lang w:eastAsia="en-GB"/>
              </w:rPr>
              <w:t>neonatal:ti,ab</w:t>
            </w:r>
            <w:proofErr w:type="spellEnd"/>
            <w:r w:rsidRPr="000E25D9">
              <w:rPr>
                <w:rFonts w:ascii="Calibri Light" w:eastAsia="Times New Roman" w:hAnsi="Calibri Light" w:cs="Calibri Light"/>
                <w:color w:val="000000"/>
                <w:sz w:val="16"/>
                <w:szCs w:val="16"/>
                <w:lang w:eastAsia="en-GB"/>
              </w:rPr>
              <w:t xml:space="preserve"> OR 'neonatal mortality':</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newborn*:</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'preterm birth*':</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'low birth weight*':</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'birth asphyxia*':</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'neonatal infection*':</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xml:space="preserve"> OR 'congenital infection*':</w:t>
            </w:r>
            <w:proofErr w:type="spellStart"/>
            <w:r w:rsidRPr="000E25D9">
              <w:rPr>
                <w:rFonts w:ascii="Calibri Light" w:eastAsia="Times New Roman" w:hAnsi="Calibri Light" w:cs="Calibri Light"/>
                <w:color w:val="000000"/>
                <w:sz w:val="16"/>
                <w:szCs w:val="16"/>
                <w:lang w:eastAsia="en-GB"/>
              </w:rPr>
              <w:t>ti,ab</w:t>
            </w:r>
            <w:proofErr w:type="spellEnd"/>
            <w:r w:rsidRPr="000E25D9">
              <w:rPr>
                <w:rFonts w:ascii="Calibri Light" w:eastAsia="Times New Roman" w:hAnsi="Calibri Light" w:cs="Calibri Light"/>
                <w:color w:val="000000"/>
                <w:sz w:val="16"/>
                <w:szCs w:val="16"/>
                <w:lang w:eastAsia="en-GB"/>
              </w:rPr>
              <w:t>) </w:t>
            </w:r>
          </w:p>
        </w:tc>
      </w:tr>
      <w:tr w:rsidR="000E25D9" w:rsidRPr="000E25D9" w14:paraId="3CE67AF3" w14:textId="77777777" w:rsidTr="000E25D9">
        <w:trPr>
          <w:trHeight w:val="945"/>
        </w:trPr>
        <w:tc>
          <w:tcPr>
            <w:tcW w:w="1520" w:type="dxa"/>
            <w:tcBorders>
              <w:top w:val="single" w:sz="6" w:space="0" w:color="FFFFFF"/>
              <w:left w:val="single" w:sz="6" w:space="0" w:color="FFFFFF"/>
              <w:bottom w:val="single" w:sz="6" w:space="0" w:color="FFFFFF"/>
              <w:right w:val="single" w:sz="6" w:space="0" w:color="FFFFFF"/>
            </w:tcBorders>
            <w:shd w:val="clear" w:color="auto" w:fill="D9E2F3"/>
            <w:hideMark/>
          </w:tcPr>
          <w:p w14:paraId="5421148D"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Combination of concepts</w:t>
            </w:r>
            <w:r w:rsidRPr="000E25D9">
              <w:rPr>
                <w:rFonts w:ascii="Calibri Light" w:eastAsia="Times New Roman" w:hAnsi="Calibri Light" w:cs="Calibri Light"/>
                <w:color w:val="000000"/>
                <w:sz w:val="22"/>
                <w:szCs w:val="22"/>
                <w:lang w:eastAsia="en-GB"/>
              </w:rPr>
              <w:t> </w:t>
            </w:r>
          </w:p>
        </w:tc>
        <w:tc>
          <w:tcPr>
            <w:tcW w:w="975" w:type="dxa"/>
            <w:tcBorders>
              <w:top w:val="single" w:sz="6" w:space="0" w:color="FFFFFF"/>
              <w:left w:val="single" w:sz="6" w:space="0" w:color="FFFFFF"/>
              <w:bottom w:val="single" w:sz="6" w:space="0" w:color="FFFFFF"/>
              <w:right w:val="single" w:sz="6" w:space="0" w:color="FFFFFF"/>
            </w:tcBorders>
            <w:shd w:val="clear" w:color="auto" w:fill="D9E2F3"/>
            <w:hideMark/>
          </w:tcPr>
          <w:p w14:paraId="141E3DDE" w14:textId="20CA014C" w:rsidR="000E25D9" w:rsidRPr="000E25D9" w:rsidRDefault="000E25D9" w:rsidP="000E25D9">
            <w:pPr>
              <w:spacing w:after="0" w:line="240" w:lineRule="auto"/>
              <w:textAlignment w:val="baseline"/>
              <w:rPr>
                <w:rFonts w:ascii="Calibri Light" w:eastAsia="Times New Roman" w:hAnsi="Calibri Light" w:cs="Calibri Light"/>
                <w:sz w:val="22"/>
                <w:szCs w:val="22"/>
                <w:lang w:eastAsia="en-GB"/>
              </w:rPr>
            </w:pPr>
            <w:r w:rsidRPr="00D704C7">
              <w:rPr>
                <w:rFonts w:ascii="Calibri Light" w:eastAsia="Times New Roman" w:hAnsi="Calibri Light" w:cs="Calibri Light"/>
                <w:sz w:val="22"/>
                <w:szCs w:val="22"/>
                <w:lang w:eastAsia="en-GB"/>
              </w:rPr>
              <w:t>3</w:t>
            </w:r>
          </w:p>
        </w:tc>
        <w:tc>
          <w:tcPr>
            <w:tcW w:w="6849" w:type="dxa"/>
            <w:tcBorders>
              <w:top w:val="single" w:sz="6" w:space="0" w:color="FFFFFF"/>
              <w:left w:val="single" w:sz="6" w:space="0" w:color="FFFFFF"/>
              <w:bottom w:val="single" w:sz="6" w:space="0" w:color="FFFFFF"/>
              <w:right w:val="single" w:sz="6" w:space="0" w:color="FFFFFF"/>
            </w:tcBorders>
            <w:shd w:val="clear" w:color="auto" w:fill="D9E2F3"/>
            <w:hideMark/>
          </w:tcPr>
          <w:p w14:paraId="67381C8D"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val="en-GB" w:eastAsia="en-GB"/>
              </w:rPr>
              <w:t>1 AND 2</w:t>
            </w:r>
            <w:r w:rsidRPr="000E25D9">
              <w:rPr>
                <w:rFonts w:ascii="Calibri Light" w:eastAsia="Times New Roman" w:hAnsi="Calibri Light" w:cs="Calibri Light"/>
                <w:color w:val="000000"/>
                <w:sz w:val="16"/>
                <w:szCs w:val="16"/>
                <w:lang w:eastAsia="en-GB"/>
              </w:rPr>
              <w:t> </w:t>
            </w:r>
          </w:p>
          <w:p w14:paraId="08082E57" w14:textId="26412E36"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i/>
                <w:iCs/>
                <w:color w:val="000000"/>
                <w:sz w:val="16"/>
                <w:szCs w:val="16"/>
                <w:lang w:val="en-GB" w:eastAsia="en-GB"/>
              </w:rPr>
              <w:t>= 5.553 results on 16/07/2025</w:t>
            </w:r>
            <w:r w:rsidRPr="000E25D9">
              <w:rPr>
                <w:rFonts w:ascii="Calibri Light" w:eastAsia="Times New Roman" w:hAnsi="Calibri Light" w:cs="Calibri Light"/>
                <w:color w:val="000000"/>
                <w:sz w:val="16"/>
                <w:szCs w:val="16"/>
                <w:lang w:eastAsia="en-GB"/>
              </w:rPr>
              <w:t>  </w:t>
            </w:r>
          </w:p>
        </w:tc>
      </w:tr>
    </w:tbl>
    <w:p w14:paraId="710790B8" w14:textId="18B2D5DF" w:rsidR="000E25D9" w:rsidRPr="000E25D9" w:rsidRDefault="000E25D9" w:rsidP="000E25D9">
      <w:pPr>
        <w:spacing w:after="0" w:line="240" w:lineRule="auto"/>
        <w:textAlignment w:val="baseline"/>
        <w:rPr>
          <w:rFonts w:ascii="Segoe UI" w:eastAsia="Times New Roman" w:hAnsi="Segoe UI" w:cs="Segoe UI"/>
          <w:sz w:val="18"/>
          <w:szCs w:val="18"/>
          <w:lang w:eastAsia="en-GB"/>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0"/>
        <w:gridCol w:w="976"/>
        <w:gridCol w:w="6848"/>
      </w:tblGrid>
      <w:tr w:rsidR="000E25D9" w:rsidRPr="000E25D9" w14:paraId="4131C84D" w14:textId="77777777" w:rsidTr="00D704C7">
        <w:trPr>
          <w:trHeight w:val="435"/>
        </w:trPr>
        <w:tc>
          <w:tcPr>
            <w:tcW w:w="9344" w:type="dxa"/>
            <w:gridSpan w:val="3"/>
            <w:tcBorders>
              <w:top w:val="single" w:sz="6" w:space="0" w:color="FFFFFF"/>
              <w:left w:val="single" w:sz="6" w:space="0" w:color="FFFFFF"/>
              <w:bottom w:val="single" w:sz="24" w:space="0" w:color="FFFFFF"/>
              <w:right w:val="single" w:sz="6" w:space="0" w:color="FFFFFF"/>
            </w:tcBorders>
            <w:shd w:val="clear" w:color="auto" w:fill="5B9BD5"/>
            <w:hideMark/>
          </w:tcPr>
          <w:p w14:paraId="4A47D7E2" w14:textId="463E815E"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NAME OF DATABASE (interface):</w:t>
            </w:r>
            <w:r w:rsidR="00D704C7">
              <w:rPr>
                <w:rFonts w:ascii="Calibri Light" w:eastAsia="Times New Roman" w:hAnsi="Calibri Light" w:cs="Calibri Light"/>
                <w:b/>
                <w:bCs/>
                <w:color w:val="000000"/>
                <w:sz w:val="22"/>
                <w:szCs w:val="22"/>
                <w:lang w:val="en-GB" w:eastAsia="en-GB"/>
              </w:rPr>
              <w:t xml:space="preserve"> </w:t>
            </w:r>
            <w:r w:rsidR="00D704C7" w:rsidRPr="00D704C7">
              <w:rPr>
                <w:rFonts w:ascii="Calibri Light" w:eastAsia="Times New Roman" w:hAnsi="Calibri Light" w:cs="Calibri Light"/>
                <w:color w:val="000000"/>
                <w:sz w:val="22"/>
                <w:szCs w:val="22"/>
                <w:lang w:val="en-GB" w:eastAsia="en-GB"/>
              </w:rPr>
              <w:t>Scopus</w:t>
            </w:r>
          </w:p>
        </w:tc>
      </w:tr>
      <w:tr w:rsidR="000E25D9" w:rsidRPr="000E25D9" w14:paraId="2749060E" w14:textId="77777777" w:rsidTr="00D704C7">
        <w:trPr>
          <w:trHeight w:val="435"/>
        </w:trPr>
        <w:tc>
          <w:tcPr>
            <w:tcW w:w="1520" w:type="dxa"/>
            <w:tcBorders>
              <w:top w:val="single" w:sz="6" w:space="0" w:color="FFFFFF"/>
              <w:left w:val="single" w:sz="6" w:space="0" w:color="FFFFFF"/>
              <w:bottom w:val="single" w:sz="24" w:space="0" w:color="FFFFFF"/>
              <w:right w:val="single" w:sz="6" w:space="0" w:color="FFFFFF"/>
            </w:tcBorders>
            <w:shd w:val="clear" w:color="auto" w:fill="5B9BD5"/>
            <w:hideMark/>
          </w:tcPr>
          <w:p w14:paraId="2DDE0B97"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Concept </w:t>
            </w:r>
            <w:r w:rsidRPr="000E25D9">
              <w:rPr>
                <w:rFonts w:ascii="Calibri Light" w:eastAsia="Times New Roman" w:hAnsi="Calibri Light" w:cs="Calibri Light"/>
                <w:color w:val="000000"/>
                <w:sz w:val="22"/>
                <w:szCs w:val="22"/>
                <w:lang w:eastAsia="en-GB"/>
              </w:rPr>
              <w:t> </w:t>
            </w:r>
          </w:p>
        </w:tc>
        <w:tc>
          <w:tcPr>
            <w:tcW w:w="976" w:type="dxa"/>
            <w:tcBorders>
              <w:top w:val="single" w:sz="6" w:space="0" w:color="FFFFFF"/>
              <w:left w:val="single" w:sz="6" w:space="0" w:color="FFFFFF"/>
              <w:bottom w:val="single" w:sz="24" w:space="0" w:color="FFFFFF"/>
              <w:right w:val="single" w:sz="6" w:space="0" w:color="FFFFFF"/>
            </w:tcBorders>
            <w:shd w:val="clear" w:color="auto" w:fill="5B9BD5"/>
            <w:hideMark/>
          </w:tcPr>
          <w:p w14:paraId="3A6F5C9F"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Line number</w:t>
            </w:r>
            <w:r w:rsidRPr="000E25D9">
              <w:rPr>
                <w:rFonts w:ascii="Calibri Light" w:eastAsia="Times New Roman" w:hAnsi="Calibri Light" w:cs="Calibri Light"/>
                <w:color w:val="000000"/>
                <w:sz w:val="22"/>
                <w:szCs w:val="22"/>
                <w:lang w:eastAsia="en-GB"/>
              </w:rPr>
              <w:t> </w:t>
            </w:r>
          </w:p>
        </w:tc>
        <w:tc>
          <w:tcPr>
            <w:tcW w:w="6848" w:type="dxa"/>
            <w:tcBorders>
              <w:top w:val="single" w:sz="6" w:space="0" w:color="FFFFFF"/>
              <w:left w:val="single" w:sz="6" w:space="0" w:color="FFFFFF"/>
              <w:bottom w:val="single" w:sz="24" w:space="0" w:color="FFFFFF"/>
              <w:right w:val="single" w:sz="6" w:space="0" w:color="FFFFFF"/>
            </w:tcBorders>
            <w:shd w:val="clear" w:color="auto" w:fill="5B9BD5"/>
            <w:hideMark/>
          </w:tcPr>
          <w:p w14:paraId="5D412583"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b/>
                <w:bCs/>
                <w:color w:val="000000"/>
                <w:sz w:val="22"/>
                <w:szCs w:val="22"/>
                <w:lang w:val="en-GB" w:eastAsia="en-GB"/>
              </w:rPr>
              <w:t xml:space="preserve">Search strategy </w:t>
            </w:r>
            <w:r w:rsidRPr="000E25D9">
              <w:rPr>
                <w:rFonts w:ascii="Calibri Light" w:eastAsia="Times New Roman" w:hAnsi="Calibri Light" w:cs="Calibri Light"/>
                <w:b/>
                <w:bCs/>
                <w:color w:val="000000"/>
                <w:sz w:val="17"/>
                <w:szCs w:val="17"/>
                <w:vertAlign w:val="superscript"/>
                <w:lang w:val="en-GB" w:eastAsia="en-GB"/>
              </w:rPr>
              <w:t>iii</w:t>
            </w:r>
            <w:r w:rsidRPr="000E25D9">
              <w:rPr>
                <w:rFonts w:ascii="Calibri Light" w:eastAsia="Times New Roman" w:hAnsi="Calibri Light" w:cs="Calibri Light"/>
                <w:color w:val="000000"/>
                <w:sz w:val="22"/>
                <w:szCs w:val="22"/>
                <w:lang w:eastAsia="en-GB"/>
              </w:rPr>
              <w:t> </w:t>
            </w:r>
          </w:p>
        </w:tc>
      </w:tr>
      <w:tr w:rsidR="000E25D9" w:rsidRPr="000E25D9" w14:paraId="799D4EB2" w14:textId="77777777" w:rsidTr="00D704C7">
        <w:trPr>
          <w:trHeight w:val="795"/>
        </w:trPr>
        <w:tc>
          <w:tcPr>
            <w:tcW w:w="1520" w:type="dxa"/>
            <w:tcBorders>
              <w:top w:val="single" w:sz="24" w:space="0" w:color="FFFFFF"/>
              <w:left w:val="single" w:sz="6" w:space="0" w:color="FFFFFF"/>
              <w:bottom w:val="single" w:sz="6" w:space="0" w:color="FFFFFF"/>
              <w:right w:val="single" w:sz="6" w:space="0" w:color="FFFFFF"/>
            </w:tcBorders>
            <w:shd w:val="clear" w:color="auto" w:fill="D9E2F3"/>
            <w:hideMark/>
          </w:tcPr>
          <w:p w14:paraId="377A1D67" w14:textId="4515410D"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Concept 1:</w:t>
            </w:r>
            <w:r w:rsidR="00D704C7">
              <w:rPr>
                <w:rFonts w:ascii="Calibri Light" w:eastAsia="Times New Roman" w:hAnsi="Calibri Light" w:cs="Calibri Light"/>
                <w:color w:val="000000"/>
                <w:sz w:val="22"/>
                <w:szCs w:val="22"/>
                <w:lang w:val="en-GB" w:eastAsia="en-GB"/>
              </w:rPr>
              <w:t xml:space="preserve"> heat</w:t>
            </w:r>
          </w:p>
        </w:tc>
        <w:tc>
          <w:tcPr>
            <w:tcW w:w="976" w:type="dxa"/>
            <w:tcBorders>
              <w:top w:val="single" w:sz="24" w:space="0" w:color="FFFFFF"/>
              <w:left w:val="single" w:sz="6" w:space="0" w:color="FFFFFF"/>
              <w:bottom w:val="single" w:sz="6" w:space="0" w:color="FFFFFF"/>
              <w:right w:val="single" w:sz="6" w:space="0" w:color="FFFFFF"/>
            </w:tcBorders>
            <w:shd w:val="clear" w:color="auto" w:fill="D9E2F3"/>
            <w:hideMark/>
          </w:tcPr>
          <w:p w14:paraId="62C6DBD9"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1</w:t>
            </w:r>
            <w:r w:rsidRPr="000E25D9">
              <w:rPr>
                <w:rFonts w:ascii="Calibri Light" w:eastAsia="Times New Roman" w:hAnsi="Calibri Light" w:cs="Calibri Light"/>
                <w:color w:val="000000"/>
                <w:sz w:val="22"/>
                <w:szCs w:val="22"/>
                <w:lang w:eastAsia="en-GB"/>
              </w:rPr>
              <w:t> </w:t>
            </w:r>
          </w:p>
        </w:tc>
        <w:tc>
          <w:tcPr>
            <w:tcW w:w="6848" w:type="dxa"/>
            <w:tcBorders>
              <w:top w:val="single" w:sz="24" w:space="0" w:color="FFFFFF"/>
              <w:left w:val="single" w:sz="6" w:space="0" w:color="FFFFFF"/>
              <w:bottom w:val="single" w:sz="6" w:space="0" w:color="FFFFFF"/>
              <w:right w:val="single" w:sz="6" w:space="0" w:color="FFFFFF"/>
            </w:tcBorders>
            <w:shd w:val="clear" w:color="auto" w:fill="D9E2F3"/>
            <w:hideMark/>
          </w:tcPr>
          <w:p w14:paraId="01ECEF19"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val="en-GB" w:eastAsia="en-GB"/>
              </w:rPr>
              <w:t>(TITLE-ABS-KEY("heat") OR TITLE-ABS-</w:t>
            </w:r>
            <w:proofErr w:type="gramStart"/>
            <w:r w:rsidRPr="000E25D9">
              <w:rPr>
                <w:rFonts w:ascii="Calibri Light" w:eastAsia="Times New Roman" w:hAnsi="Calibri Light" w:cs="Calibri Light"/>
                <w:color w:val="000000"/>
                <w:sz w:val="16"/>
                <w:szCs w:val="16"/>
                <w:lang w:val="en-GB" w:eastAsia="en-GB"/>
              </w:rPr>
              <w:t>KEY(</w:t>
            </w:r>
            <w:proofErr w:type="gramEnd"/>
            <w:r w:rsidRPr="000E25D9">
              <w:rPr>
                <w:rFonts w:ascii="Calibri Light" w:eastAsia="Times New Roman" w:hAnsi="Calibri Light" w:cs="Calibri Light"/>
                <w:color w:val="000000"/>
                <w:sz w:val="16"/>
                <w:szCs w:val="16"/>
                <w:lang w:val="en-GB" w:eastAsia="en-GB"/>
              </w:rPr>
              <w:t>"hot temperature*") OR TITLE-ABS-</w:t>
            </w:r>
            <w:proofErr w:type="gramStart"/>
            <w:r w:rsidRPr="000E25D9">
              <w:rPr>
                <w:rFonts w:ascii="Calibri Light" w:eastAsia="Times New Roman" w:hAnsi="Calibri Light" w:cs="Calibri Light"/>
                <w:color w:val="000000"/>
                <w:sz w:val="16"/>
                <w:szCs w:val="16"/>
                <w:lang w:val="en-GB" w:eastAsia="en-GB"/>
              </w:rPr>
              <w:t>KEY(</w:t>
            </w:r>
            <w:proofErr w:type="gramEnd"/>
            <w:r w:rsidRPr="000E25D9">
              <w:rPr>
                <w:rFonts w:ascii="Calibri Light" w:eastAsia="Times New Roman" w:hAnsi="Calibri Light" w:cs="Calibri Light"/>
                <w:color w:val="000000"/>
                <w:sz w:val="16"/>
                <w:szCs w:val="16"/>
                <w:lang w:val="en-GB" w:eastAsia="en-GB"/>
              </w:rPr>
              <w:t>"high temperature*") OR TITLE-ABS-</w:t>
            </w:r>
            <w:proofErr w:type="gramStart"/>
            <w:r w:rsidRPr="000E25D9">
              <w:rPr>
                <w:rFonts w:ascii="Calibri Light" w:eastAsia="Times New Roman" w:hAnsi="Calibri Light" w:cs="Calibri Light"/>
                <w:color w:val="000000"/>
                <w:sz w:val="16"/>
                <w:szCs w:val="16"/>
                <w:lang w:val="en-GB" w:eastAsia="en-GB"/>
              </w:rPr>
              <w:t>KEY(</w:t>
            </w:r>
            <w:proofErr w:type="gramEnd"/>
            <w:r w:rsidRPr="000E25D9">
              <w:rPr>
                <w:rFonts w:ascii="Calibri Light" w:eastAsia="Times New Roman" w:hAnsi="Calibri Light" w:cs="Calibri Light"/>
                <w:color w:val="000000"/>
                <w:sz w:val="16"/>
                <w:szCs w:val="16"/>
                <w:lang w:val="en-GB" w:eastAsia="en-GB"/>
              </w:rPr>
              <w:t>"hot climate*") OR TITLE-ABS-KEY("heatwave*") OR TITLE-ABS-</w:t>
            </w:r>
            <w:proofErr w:type="gramStart"/>
            <w:r w:rsidRPr="000E25D9">
              <w:rPr>
                <w:rFonts w:ascii="Calibri Light" w:eastAsia="Times New Roman" w:hAnsi="Calibri Light" w:cs="Calibri Light"/>
                <w:color w:val="000000"/>
                <w:sz w:val="16"/>
                <w:szCs w:val="16"/>
                <w:lang w:val="en-GB" w:eastAsia="en-GB"/>
              </w:rPr>
              <w:t>KEY(</w:t>
            </w:r>
            <w:proofErr w:type="gramEnd"/>
            <w:r w:rsidRPr="000E25D9">
              <w:rPr>
                <w:rFonts w:ascii="Calibri Light" w:eastAsia="Times New Roman" w:hAnsi="Calibri Light" w:cs="Calibri Light"/>
                <w:color w:val="000000"/>
                <w:sz w:val="16"/>
                <w:szCs w:val="16"/>
                <w:lang w:val="en-GB" w:eastAsia="en-GB"/>
              </w:rPr>
              <w:t>"heat wave") OR TITLE-ABS-</w:t>
            </w:r>
            <w:proofErr w:type="gramStart"/>
            <w:r w:rsidRPr="000E25D9">
              <w:rPr>
                <w:rFonts w:ascii="Calibri Light" w:eastAsia="Times New Roman" w:hAnsi="Calibri Light" w:cs="Calibri Light"/>
                <w:color w:val="000000"/>
                <w:sz w:val="16"/>
                <w:szCs w:val="16"/>
                <w:lang w:val="en-GB" w:eastAsia="en-GB"/>
              </w:rPr>
              <w:t>KEY(</w:t>
            </w:r>
            <w:proofErr w:type="gramEnd"/>
            <w:r w:rsidRPr="000E25D9">
              <w:rPr>
                <w:rFonts w:ascii="Calibri Light" w:eastAsia="Times New Roman" w:hAnsi="Calibri Light" w:cs="Calibri Light"/>
                <w:color w:val="000000"/>
                <w:sz w:val="16"/>
                <w:szCs w:val="16"/>
                <w:lang w:val="en-GB" w:eastAsia="en-GB"/>
              </w:rPr>
              <w:t>"extreme hot weather"))</w:t>
            </w:r>
            <w:r w:rsidRPr="000E25D9">
              <w:rPr>
                <w:rFonts w:ascii="Calibri Light" w:eastAsia="Times New Roman" w:hAnsi="Calibri Light" w:cs="Calibri Light"/>
                <w:color w:val="000000"/>
                <w:sz w:val="16"/>
                <w:szCs w:val="16"/>
                <w:lang w:eastAsia="en-GB"/>
              </w:rPr>
              <w:t> </w:t>
            </w:r>
          </w:p>
        </w:tc>
      </w:tr>
      <w:tr w:rsidR="000E25D9" w:rsidRPr="000E25D9" w14:paraId="7B301F05" w14:textId="77777777" w:rsidTr="00D704C7">
        <w:trPr>
          <w:trHeight w:val="390"/>
        </w:trPr>
        <w:tc>
          <w:tcPr>
            <w:tcW w:w="1520" w:type="dxa"/>
            <w:tcBorders>
              <w:top w:val="single" w:sz="6" w:space="0" w:color="FFFFFF"/>
              <w:left w:val="single" w:sz="6" w:space="0" w:color="FFFFFF"/>
              <w:bottom w:val="single" w:sz="6" w:space="0" w:color="FFFFFF"/>
              <w:right w:val="single" w:sz="6" w:space="0" w:color="FFFFFF"/>
            </w:tcBorders>
            <w:shd w:val="clear" w:color="auto" w:fill="D9E2F3"/>
            <w:hideMark/>
          </w:tcPr>
          <w:p w14:paraId="2BF5B412" w14:textId="77777777" w:rsidR="00D704C7" w:rsidRDefault="000E25D9" w:rsidP="000E25D9">
            <w:pPr>
              <w:spacing w:after="0" w:line="240" w:lineRule="auto"/>
              <w:textAlignment w:val="baseline"/>
              <w:rPr>
                <w:rFonts w:ascii="Calibri Light" w:eastAsia="Times New Roman" w:hAnsi="Calibri Light" w:cs="Calibri Light"/>
                <w:color w:val="000000"/>
                <w:sz w:val="22"/>
                <w:szCs w:val="22"/>
                <w:lang w:val="en-GB" w:eastAsia="en-GB"/>
              </w:rPr>
            </w:pPr>
            <w:r w:rsidRPr="000E25D9">
              <w:rPr>
                <w:rFonts w:ascii="Calibri Light" w:eastAsia="Times New Roman" w:hAnsi="Calibri Light" w:cs="Calibri Light"/>
                <w:color w:val="000000"/>
                <w:sz w:val="22"/>
                <w:szCs w:val="22"/>
                <w:lang w:val="en-GB" w:eastAsia="en-GB"/>
              </w:rPr>
              <w:t>Concept 2:</w:t>
            </w:r>
          </w:p>
          <w:p w14:paraId="2CEA4ABE" w14:textId="0AD416EA" w:rsidR="000E25D9" w:rsidRPr="000E25D9" w:rsidRDefault="00D704C7" w:rsidP="000E25D9">
            <w:pPr>
              <w:spacing w:after="0" w:line="240" w:lineRule="auto"/>
              <w:textAlignment w:val="baseline"/>
              <w:rPr>
                <w:rFonts w:ascii="Times New Roman" w:eastAsia="Times New Roman" w:hAnsi="Times New Roman" w:cs="Times New Roman"/>
                <w:lang w:eastAsia="en-GB"/>
              </w:rPr>
            </w:pPr>
            <w:r>
              <w:rPr>
                <w:rFonts w:ascii="Calibri Light" w:eastAsia="Times New Roman" w:hAnsi="Calibri Light" w:cs="Calibri Light"/>
                <w:color w:val="000000"/>
                <w:sz w:val="22"/>
                <w:szCs w:val="22"/>
                <w:lang w:eastAsia="en-GB"/>
              </w:rPr>
              <w:t>neonatal health outcomes</w:t>
            </w:r>
          </w:p>
        </w:tc>
        <w:tc>
          <w:tcPr>
            <w:tcW w:w="976" w:type="dxa"/>
            <w:tcBorders>
              <w:top w:val="single" w:sz="6" w:space="0" w:color="FFFFFF"/>
              <w:left w:val="single" w:sz="6" w:space="0" w:color="FFFFFF"/>
              <w:bottom w:val="single" w:sz="6" w:space="0" w:color="FFFFFF"/>
              <w:right w:val="single" w:sz="6" w:space="0" w:color="FFFFFF"/>
            </w:tcBorders>
            <w:shd w:val="clear" w:color="auto" w:fill="D9E2F3"/>
            <w:hideMark/>
          </w:tcPr>
          <w:p w14:paraId="3342208F"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22"/>
                <w:szCs w:val="22"/>
                <w:lang w:val="en-GB" w:eastAsia="en-GB"/>
              </w:rPr>
              <w:t>2</w:t>
            </w:r>
            <w:r w:rsidRPr="000E25D9">
              <w:rPr>
                <w:rFonts w:ascii="Calibri Light" w:eastAsia="Times New Roman" w:hAnsi="Calibri Light" w:cs="Calibri Light"/>
                <w:color w:val="000000"/>
                <w:sz w:val="22"/>
                <w:szCs w:val="22"/>
                <w:lang w:eastAsia="en-GB"/>
              </w:rPr>
              <w:t> </w:t>
            </w:r>
          </w:p>
        </w:tc>
        <w:tc>
          <w:tcPr>
            <w:tcW w:w="6848" w:type="dxa"/>
            <w:tcBorders>
              <w:top w:val="single" w:sz="6" w:space="0" w:color="FFFFFF"/>
              <w:left w:val="single" w:sz="6" w:space="0" w:color="FFFFFF"/>
              <w:bottom w:val="single" w:sz="6" w:space="0" w:color="FFFFFF"/>
              <w:right w:val="single" w:sz="6" w:space="0" w:color="FFFFFF"/>
            </w:tcBorders>
            <w:shd w:val="clear" w:color="auto" w:fill="D9E2F3"/>
            <w:hideMark/>
          </w:tcPr>
          <w:p w14:paraId="0AE7D702"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eastAsia="en-GB"/>
              </w:rPr>
              <w:t>(TITLE-ABS-KEY("neonate*") OR TITLE-ABS-KEY("neonatal") OR TITLE-ABS-KEY("neonatal mortality") OR TITLE-ABS-KEY("newborn*") OR TITLE-ABS-KEY("newborn mortality") OR TITLE-ABS-KEY("preterm birth*") OR TITLE-ABS-KEY("low birth weight*") OR TITLE-ABS-KEY("birth asphyxia*") OR TITLE-ABS-KEY("neonatal infection*") OR TITLE-ABS-KEY("congenital infection*")) </w:t>
            </w:r>
          </w:p>
        </w:tc>
      </w:tr>
      <w:tr w:rsidR="000E25D9" w:rsidRPr="000E25D9" w14:paraId="75063F39" w14:textId="77777777" w:rsidTr="00D704C7">
        <w:trPr>
          <w:trHeight w:val="945"/>
        </w:trPr>
        <w:tc>
          <w:tcPr>
            <w:tcW w:w="1520" w:type="dxa"/>
            <w:tcBorders>
              <w:top w:val="single" w:sz="6" w:space="0" w:color="FFFFFF"/>
              <w:left w:val="single" w:sz="6" w:space="0" w:color="FFFFFF"/>
              <w:bottom w:val="single" w:sz="6" w:space="0" w:color="FFFFFF"/>
              <w:right w:val="single" w:sz="6" w:space="0" w:color="FFFFFF"/>
            </w:tcBorders>
            <w:shd w:val="clear" w:color="auto" w:fill="D9E2F3"/>
            <w:hideMark/>
          </w:tcPr>
          <w:p w14:paraId="1C367A94" w14:textId="77777777" w:rsidR="000E25D9" w:rsidRPr="000E25D9" w:rsidRDefault="000E25D9" w:rsidP="000E25D9">
            <w:pPr>
              <w:spacing w:after="0" w:line="240" w:lineRule="auto"/>
              <w:textAlignment w:val="baseline"/>
              <w:rPr>
                <w:rFonts w:ascii="Calibri Light" w:eastAsia="Times New Roman" w:hAnsi="Calibri Light" w:cs="Calibri Light"/>
                <w:lang w:eastAsia="en-GB"/>
              </w:rPr>
            </w:pPr>
            <w:r w:rsidRPr="000E25D9">
              <w:rPr>
                <w:rFonts w:ascii="Calibri Light" w:eastAsia="Times New Roman" w:hAnsi="Calibri Light" w:cs="Calibri Light"/>
                <w:color w:val="000000"/>
                <w:sz w:val="22"/>
                <w:szCs w:val="22"/>
                <w:lang w:val="en-GB" w:eastAsia="en-GB"/>
              </w:rPr>
              <w:t>Combination of concepts</w:t>
            </w:r>
            <w:r w:rsidRPr="000E25D9">
              <w:rPr>
                <w:rFonts w:ascii="Calibri Light" w:eastAsia="Times New Roman" w:hAnsi="Calibri Light" w:cs="Calibri Light"/>
                <w:color w:val="000000"/>
                <w:sz w:val="22"/>
                <w:szCs w:val="22"/>
                <w:lang w:eastAsia="en-GB"/>
              </w:rPr>
              <w:t> </w:t>
            </w:r>
          </w:p>
        </w:tc>
        <w:tc>
          <w:tcPr>
            <w:tcW w:w="976" w:type="dxa"/>
            <w:tcBorders>
              <w:top w:val="single" w:sz="6" w:space="0" w:color="FFFFFF"/>
              <w:left w:val="single" w:sz="6" w:space="0" w:color="FFFFFF"/>
              <w:bottom w:val="single" w:sz="6" w:space="0" w:color="FFFFFF"/>
              <w:right w:val="single" w:sz="6" w:space="0" w:color="FFFFFF"/>
            </w:tcBorders>
            <w:shd w:val="clear" w:color="auto" w:fill="D9E2F3"/>
            <w:hideMark/>
          </w:tcPr>
          <w:p w14:paraId="71095196" w14:textId="02946451" w:rsidR="000E25D9" w:rsidRPr="000E25D9" w:rsidRDefault="00D704C7" w:rsidP="000E25D9">
            <w:pPr>
              <w:spacing w:after="0" w:line="240" w:lineRule="auto"/>
              <w:textAlignment w:val="baseline"/>
              <w:rPr>
                <w:rFonts w:ascii="Calibri Light" w:eastAsia="Times New Roman" w:hAnsi="Calibri Light" w:cs="Calibri Light"/>
                <w:lang w:eastAsia="en-GB"/>
              </w:rPr>
            </w:pPr>
            <w:r w:rsidRPr="00D704C7">
              <w:rPr>
                <w:rFonts w:ascii="Calibri Light" w:eastAsia="Times New Roman" w:hAnsi="Calibri Light" w:cs="Calibri Light"/>
                <w:sz w:val="22"/>
                <w:szCs w:val="22"/>
                <w:lang w:eastAsia="en-GB"/>
              </w:rPr>
              <w:t>3</w:t>
            </w:r>
          </w:p>
        </w:tc>
        <w:tc>
          <w:tcPr>
            <w:tcW w:w="6848" w:type="dxa"/>
            <w:tcBorders>
              <w:top w:val="single" w:sz="6" w:space="0" w:color="FFFFFF"/>
              <w:left w:val="single" w:sz="6" w:space="0" w:color="FFFFFF"/>
              <w:bottom w:val="single" w:sz="6" w:space="0" w:color="FFFFFF"/>
              <w:right w:val="single" w:sz="6" w:space="0" w:color="FFFFFF"/>
            </w:tcBorders>
            <w:shd w:val="clear" w:color="auto" w:fill="D9E2F3"/>
            <w:hideMark/>
          </w:tcPr>
          <w:p w14:paraId="0D8BCED2" w14:textId="77777777" w:rsidR="000E25D9" w:rsidRPr="000E25D9" w:rsidRDefault="000E25D9" w:rsidP="000E25D9">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color w:val="000000"/>
                <w:sz w:val="16"/>
                <w:szCs w:val="16"/>
                <w:lang w:val="en-GB" w:eastAsia="en-GB"/>
              </w:rPr>
              <w:t>1 AND 2</w:t>
            </w:r>
            <w:r w:rsidRPr="000E25D9">
              <w:rPr>
                <w:rFonts w:ascii="Calibri Light" w:eastAsia="Times New Roman" w:hAnsi="Calibri Light" w:cs="Calibri Light"/>
                <w:color w:val="000000"/>
                <w:sz w:val="16"/>
                <w:szCs w:val="16"/>
                <w:lang w:eastAsia="en-GB"/>
              </w:rPr>
              <w:t> </w:t>
            </w:r>
          </w:p>
          <w:p w14:paraId="63BA16B6" w14:textId="0BEE3C91" w:rsidR="000E25D9" w:rsidRPr="000E25D9" w:rsidRDefault="000E25D9" w:rsidP="00D704C7">
            <w:pPr>
              <w:spacing w:after="0" w:line="240" w:lineRule="auto"/>
              <w:textAlignment w:val="baseline"/>
              <w:rPr>
                <w:rFonts w:ascii="Times New Roman" w:eastAsia="Times New Roman" w:hAnsi="Times New Roman" w:cs="Times New Roman"/>
                <w:lang w:eastAsia="en-GB"/>
              </w:rPr>
            </w:pPr>
            <w:r w:rsidRPr="000E25D9">
              <w:rPr>
                <w:rFonts w:ascii="Calibri Light" w:eastAsia="Times New Roman" w:hAnsi="Calibri Light" w:cs="Calibri Light"/>
                <w:i/>
                <w:iCs/>
                <w:color w:val="000000"/>
                <w:sz w:val="16"/>
                <w:szCs w:val="16"/>
                <w:lang w:val="en-GB" w:eastAsia="en-GB"/>
              </w:rPr>
              <w:t>= 8.263 results on 16/07/2025</w:t>
            </w:r>
            <w:r w:rsidRPr="000E25D9">
              <w:rPr>
                <w:rFonts w:ascii="Calibri Light" w:eastAsia="Times New Roman" w:hAnsi="Calibri Light" w:cs="Calibri Light"/>
                <w:color w:val="000000"/>
                <w:sz w:val="16"/>
                <w:szCs w:val="16"/>
                <w:lang w:eastAsia="en-GB"/>
              </w:rPr>
              <w:t> </w:t>
            </w:r>
          </w:p>
        </w:tc>
      </w:tr>
    </w:tbl>
    <w:p w14:paraId="0BB45842" w14:textId="77777777" w:rsidR="000E25D9" w:rsidRPr="000E25D9" w:rsidRDefault="000E25D9" w:rsidP="000E25D9">
      <w:pPr>
        <w:spacing w:after="0" w:line="240" w:lineRule="auto"/>
        <w:textAlignment w:val="baseline"/>
        <w:rPr>
          <w:rFonts w:ascii="Segoe UI" w:eastAsia="Times New Roman" w:hAnsi="Segoe UI" w:cs="Segoe UI"/>
          <w:sz w:val="18"/>
          <w:szCs w:val="18"/>
          <w:lang w:eastAsia="en-GB"/>
        </w:rPr>
      </w:pPr>
      <w:r w:rsidRPr="000E25D9">
        <w:rPr>
          <w:rFonts w:ascii="Calibri" w:eastAsia="Times New Roman" w:hAnsi="Calibri" w:cs="Calibri"/>
          <w:sz w:val="22"/>
          <w:szCs w:val="22"/>
          <w:lang w:eastAsia="en-GB"/>
        </w:rPr>
        <w:t> </w:t>
      </w:r>
    </w:p>
    <w:p w14:paraId="491D7897" w14:textId="77777777" w:rsidR="00D704C7" w:rsidRDefault="00D704C7">
      <w:pPr>
        <w:rPr>
          <w:rFonts w:ascii="Calibri Light" w:eastAsia="Calibri Light" w:hAnsi="Calibri Light" w:cs="Calibri Light"/>
          <w:b/>
          <w:bCs/>
          <w:sz w:val="21"/>
          <w:szCs w:val="21"/>
        </w:rPr>
      </w:pPr>
      <w:r>
        <w:rPr>
          <w:rFonts w:ascii="Calibri Light" w:eastAsia="Calibri Light" w:hAnsi="Calibri Light" w:cs="Calibri Light"/>
          <w:b/>
          <w:bCs/>
          <w:sz w:val="21"/>
          <w:szCs w:val="21"/>
        </w:rPr>
        <w:br w:type="page"/>
      </w:r>
    </w:p>
    <w:p w14:paraId="7D03E40D" w14:textId="18070E8E" w:rsidR="00D704C7" w:rsidRDefault="00D704C7" w:rsidP="00D704C7">
      <w:pPr>
        <w:spacing w:line="240" w:lineRule="auto"/>
        <w:jc w:val="both"/>
        <w:rPr>
          <w:rFonts w:ascii="Calibri Light" w:eastAsia="Calibri Light" w:hAnsi="Calibri Light" w:cs="Calibri Light"/>
          <w:i/>
          <w:iCs/>
          <w:sz w:val="21"/>
          <w:szCs w:val="21"/>
        </w:rPr>
      </w:pPr>
      <w:r w:rsidRPr="000E25D9">
        <w:rPr>
          <w:rFonts w:ascii="Calibri Light" w:eastAsia="Calibri Light" w:hAnsi="Calibri Light" w:cs="Calibri Light"/>
          <w:b/>
          <w:bCs/>
          <w:sz w:val="21"/>
          <w:szCs w:val="21"/>
        </w:rPr>
        <w:lastRenderedPageBreak/>
        <w:t xml:space="preserve">Appendix </w:t>
      </w:r>
      <w:r>
        <w:rPr>
          <w:rFonts w:ascii="Calibri Light" w:eastAsia="Calibri Light" w:hAnsi="Calibri Light" w:cs="Calibri Light"/>
          <w:b/>
          <w:bCs/>
          <w:sz w:val="21"/>
          <w:szCs w:val="21"/>
        </w:rPr>
        <w:t>2</w:t>
      </w:r>
      <w:r w:rsidRPr="000E25D9">
        <w:rPr>
          <w:rFonts w:ascii="Calibri Light" w:eastAsia="Calibri Light" w:hAnsi="Calibri Light" w:cs="Calibri Light"/>
          <w:b/>
          <w:bCs/>
          <w:sz w:val="21"/>
          <w:szCs w:val="21"/>
        </w:rPr>
        <w:t xml:space="preserve"> </w:t>
      </w:r>
      <w:r w:rsidRPr="000E25D9">
        <w:rPr>
          <w:rFonts w:ascii="Calibri Light" w:eastAsia="Calibri Light" w:hAnsi="Calibri Light" w:cs="Calibri Light"/>
          <w:sz w:val="21"/>
          <w:szCs w:val="21"/>
        </w:rPr>
        <w:t xml:space="preserve">| </w:t>
      </w:r>
      <w:r w:rsidRPr="00D704C7">
        <w:rPr>
          <w:rFonts w:ascii="Calibri Light" w:eastAsia="Calibri Light" w:hAnsi="Calibri Light" w:cs="Calibri Light"/>
          <w:i/>
          <w:iCs/>
          <w:sz w:val="21"/>
          <w:szCs w:val="21"/>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1857"/>
        <w:gridCol w:w="526"/>
        <w:gridCol w:w="5922"/>
        <w:gridCol w:w="1045"/>
      </w:tblGrid>
      <w:tr w:rsidR="00D704C7" w:rsidRPr="00D704C7" w14:paraId="278A94F2" w14:textId="77777777" w:rsidTr="00D704A0">
        <w:trPr>
          <w:tblHeader/>
        </w:trPr>
        <w:tc>
          <w:tcPr>
            <w:tcW w:w="0" w:type="auto"/>
            <w:shd w:val="clear" w:color="auto" w:fill="156082" w:themeFill="accent1"/>
            <w:vAlign w:val="center"/>
          </w:tcPr>
          <w:p w14:paraId="4BCD93F9" w14:textId="77777777" w:rsidR="00D704C7" w:rsidRPr="00D704C7" w:rsidRDefault="00D704C7" w:rsidP="00D704A0">
            <w:pPr>
              <w:rPr>
                <w:rFonts w:ascii="Calibri Light" w:hAnsi="Calibri Light" w:cs="Calibri Light"/>
                <w:color w:val="F2F2F2" w:themeColor="background1" w:themeShade="F2"/>
                <w:sz w:val="15"/>
                <w:szCs w:val="15"/>
              </w:rPr>
            </w:pPr>
            <w:r w:rsidRPr="00D704C7">
              <w:rPr>
                <w:rFonts w:ascii="Calibri Light" w:hAnsi="Calibri Light" w:cs="Calibri Light"/>
                <w:color w:val="F2F2F2" w:themeColor="background1" w:themeShade="F2"/>
                <w:sz w:val="15"/>
                <w:szCs w:val="15"/>
              </w:rPr>
              <w:t>SECTION</w:t>
            </w:r>
          </w:p>
        </w:tc>
        <w:tc>
          <w:tcPr>
            <w:tcW w:w="0" w:type="auto"/>
            <w:shd w:val="clear" w:color="auto" w:fill="156082" w:themeFill="accent1"/>
            <w:vAlign w:val="center"/>
          </w:tcPr>
          <w:p w14:paraId="28B29844" w14:textId="77777777" w:rsidR="00D704C7" w:rsidRPr="00D704C7" w:rsidRDefault="00D704C7" w:rsidP="00D704A0">
            <w:pPr>
              <w:autoSpaceDE w:val="0"/>
              <w:autoSpaceDN w:val="0"/>
              <w:adjustRightInd w:val="0"/>
              <w:jc w:val="center"/>
              <w:rPr>
                <w:rFonts w:ascii="Calibri Light" w:hAnsi="Calibri Light" w:cs="Calibri Light"/>
                <w:color w:val="F2F2F2" w:themeColor="background1" w:themeShade="F2"/>
                <w:sz w:val="15"/>
                <w:szCs w:val="15"/>
              </w:rPr>
            </w:pPr>
            <w:r w:rsidRPr="00D704C7">
              <w:rPr>
                <w:rFonts w:ascii="Calibri Light" w:hAnsi="Calibri Light" w:cs="Calibri Light"/>
                <w:color w:val="F2F2F2" w:themeColor="background1" w:themeShade="F2"/>
                <w:sz w:val="15"/>
                <w:szCs w:val="15"/>
              </w:rPr>
              <w:t>ITEM</w:t>
            </w:r>
          </w:p>
        </w:tc>
        <w:tc>
          <w:tcPr>
            <w:tcW w:w="0" w:type="auto"/>
            <w:shd w:val="clear" w:color="auto" w:fill="156082" w:themeFill="accent1"/>
            <w:vAlign w:val="center"/>
          </w:tcPr>
          <w:p w14:paraId="66883640" w14:textId="77777777" w:rsidR="00D704C7" w:rsidRPr="00D704C7" w:rsidRDefault="00D704C7" w:rsidP="00D704A0">
            <w:pPr>
              <w:rPr>
                <w:rFonts w:ascii="Calibri Light" w:hAnsi="Calibri Light" w:cs="Calibri Light"/>
                <w:color w:val="F2F2F2" w:themeColor="background1" w:themeShade="F2"/>
                <w:sz w:val="15"/>
                <w:szCs w:val="15"/>
              </w:rPr>
            </w:pPr>
            <w:r w:rsidRPr="00D704C7">
              <w:rPr>
                <w:rFonts w:ascii="Calibri Light" w:hAnsi="Calibri Light" w:cs="Calibri Light"/>
                <w:color w:val="F2F2F2" w:themeColor="background1" w:themeShade="F2"/>
                <w:sz w:val="15"/>
                <w:szCs w:val="15"/>
              </w:rPr>
              <w:t>PRISMA-ScR CHECKLIST ITEM</w:t>
            </w:r>
          </w:p>
        </w:tc>
        <w:tc>
          <w:tcPr>
            <w:tcW w:w="0" w:type="auto"/>
            <w:shd w:val="clear" w:color="auto" w:fill="156082" w:themeFill="accent1"/>
            <w:vAlign w:val="center"/>
          </w:tcPr>
          <w:p w14:paraId="12963561" w14:textId="77777777" w:rsidR="00D704C7" w:rsidRPr="00D704C7" w:rsidRDefault="00D704C7" w:rsidP="00D704A0">
            <w:pPr>
              <w:rPr>
                <w:rFonts w:ascii="Calibri Light" w:hAnsi="Calibri Light" w:cs="Calibri Light"/>
                <w:color w:val="F2F2F2" w:themeColor="background1" w:themeShade="F2"/>
                <w:sz w:val="15"/>
                <w:szCs w:val="15"/>
              </w:rPr>
            </w:pPr>
            <w:r w:rsidRPr="00D704C7">
              <w:rPr>
                <w:rFonts w:ascii="Calibri Light" w:hAnsi="Calibri Light" w:cs="Calibri Light"/>
                <w:color w:val="F2F2F2" w:themeColor="background1" w:themeShade="F2"/>
                <w:sz w:val="15"/>
                <w:szCs w:val="15"/>
              </w:rPr>
              <w:t>REPORTED ON PAGE #</w:t>
            </w:r>
          </w:p>
        </w:tc>
      </w:tr>
      <w:tr w:rsidR="00D704C7" w:rsidRPr="00D704C7" w14:paraId="082E96AB" w14:textId="77777777" w:rsidTr="00D704A0">
        <w:tc>
          <w:tcPr>
            <w:tcW w:w="0" w:type="auto"/>
            <w:gridSpan w:val="4"/>
            <w:shd w:val="clear" w:color="auto" w:fill="C1E4F5" w:themeFill="accent1" w:themeFillTint="33"/>
            <w:vAlign w:val="center"/>
          </w:tcPr>
          <w:p w14:paraId="0A80BF11"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TITLE</w:t>
            </w:r>
          </w:p>
        </w:tc>
      </w:tr>
      <w:tr w:rsidR="00D704C7" w:rsidRPr="00D704C7" w14:paraId="52D9C678" w14:textId="77777777" w:rsidTr="00D704A0">
        <w:tc>
          <w:tcPr>
            <w:tcW w:w="0" w:type="auto"/>
            <w:vAlign w:val="center"/>
          </w:tcPr>
          <w:p w14:paraId="7E56C707"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Title</w:t>
            </w:r>
          </w:p>
        </w:tc>
        <w:tc>
          <w:tcPr>
            <w:tcW w:w="0" w:type="auto"/>
            <w:vAlign w:val="center"/>
          </w:tcPr>
          <w:p w14:paraId="621E5E7D"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w:t>
            </w:r>
          </w:p>
        </w:tc>
        <w:tc>
          <w:tcPr>
            <w:tcW w:w="0" w:type="auto"/>
            <w:vAlign w:val="center"/>
          </w:tcPr>
          <w:p w14:paraId="421BC07F"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Identify the report as a scoping review.</w:t>
            </w:r>
          </w:p>
        </w:tc>
        <w:sdt>
          <w:sdtPr>
            <w:rPr>
              <w:rFonts w:ascii="Calibri Light" w:hAnsi="Calibri Light" w:cs="Calibri Light"/>
              <w:sz w:val="15"/>
              <w:szCs w:val="15"/>
            </w:rPr>
            <w:id w:val="-1886790070"/>
            <w:placeholder>
              <w:docPart w:val="0376583F93DBAA4BB06B969563A0E3F9"/>
            </w:placeholder>
          </w:sdtPr>
          <w:sdtContent>
            <w:tc>
              <w:tcPr>
                <w:tcW w:w="0" w:type="auto"/>
                <w:vAlign w:val="center"/>
              </w:tcPr>
              <w:p w14:paraId="3DB48EDF" w14:textId="1D80326D"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1</w:t>
                </w:r>
              </w:p>
            </w:tc>
          </w:sdtContent>
        </w:sdt>
      </w:tr>
      <w:tr w:rsidR="00D704C7" w:rsidRPr="00D704C7" w14:paraId="1949D1C8" w14:textId="77777777" w:rsidTr="00D704A0">
        <w:tc>
          <w:tcPr>
            <w:tcW w:w="0" w:type="auto"/>
            <w:gridSpan w:val="4"/>
            <w:shd w:val="clear" w:color="auto" w:fill="C1E4F5" w:themeFill="accent1" w:themeFillTint="33"/>
            <w:vAlign w:val="center"/>
          </w:tcPr>
          <w:p w14:paraId="079FD20C"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ABSTRACT</w:t>
            </w:r>
          </w:p>
        </w:tc>
      </w:tr>
      <w:tr w:rsidR="00D704C7" w:rsidRPr="00D704C7" w14:paraId="76B0AC34" w14:textId="77777777" w:rsidTr="00D704A0">
        <w:tc>
          <w:tcPr>
            <w:tcW w:w="0" w:type="auto"/>
            <w:vAlign w:val="center"/>
          </w:tcPr>
          <w:p w14:paraId="40019AB5"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Structured summary</w:t>
            </w:r>
          </w:p>
        </w:tc>
        <w:tc>
          <w:tcPr>
            <w:tcW w:w="0" w:type="auto"/>
            <w:vAlign w:val="center"/>
          </w:tcPr>
          <w:p w14:paraId="1898DC4F"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2</w:t>
            </w:r>
          </w:p>
        </w:tc>
        <w:tc>
          <w:tcPr>
            <w:tcW w:w="0" w:type="auto"/>
            <w:vAlign w:val="center"/>
          </w:tcPr>
          <w:p w14:paraId="3B489246"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Provide a structured summary that includes (as applicable): background, objectives, eligibility criteria, sources of evidence, charting methods, results, and conclusions that relate to the review questions and objectives.</w:t>
            </w:r>
          </w:p>
        </w:tc>
        <w:sdt>
          <w:sdtPr>
            <w:rPr>
              <w:rFonts w:ascii="Calibri Light" w:hAnsi="Calibri Light" w:cs="Calibri Light"/>
              <w:sz w:val="15"/>
              <w:szCs w:val="15"/>
            </w:rPr>
            <w:id w:val="1190178197"/>
            <w:placeholder>
              <w:docPart w:val="0376583F93DBAA4BB06B969563A0E3F9"/>
            </w:placeholder>
          </w:sdtPr>
          <w:sdtContent>
            <w:tc>
              <w:tcPr>
                <w:tcW w:w="0" w:type="auto"/>
                <w:vAlign w:val="center"/>
              </w:tcPr>
              <w:p w14:paraId="6A205D85" w14:textId="3406D4DA"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1</w:t>
                </w:r>
              </w:p>
            </w:tc>
          </w:sdtContent>
        </w:sdt>
      </w:tr>
      <w:tr w:rsidR="00D704C7" w:rsidRPr="00D704C7" w14:paraId="77C45FE2" w14:textId="77777777" w:rsidTr="00D704A0">
        <w:tc>
          <w:tcPr>
            <w:tcW w:w="0" w:type="auto"/>
            <w:gridSpan w:val="4"/>
            <w:shd w:val="clear" w:color="auto" w:fill="C1E4F5" w:themeFill="accent1" w:themeFillTint="33"/>
            <w:vAlign w:val="center"/>
          </w:tcPr>
          <w:p w14:paraId="72CB2E84" w14:textId="77777777" w:rsidR="00D704C7" w:rsidRPr="00D704C7" w:rsidRDefault="00D704C7" w:rsidP="00D704A0">
            <w:pPr>
              <w:tabs>
                <w:tab w:val="left" w:pos="1774"/>
              </w:tabs>
              <w:rPr>
                <w:rFonts w:ascii="Calibri Light" w:hAnsi="Calibri Light" w:cs="Calibri Light"/>
                <w:sz w:val="15"/>
                <w:szCs w:val="15"/>
              </w:rPr>
            </w:pPr>
            <w:r w:rsidRPr="00D704C7">
              <w:rPr>
                <w:rFonts w:ascii="Calibri Light" w:hAnsi="Calibri Light" w:cs="Calibri Light"/>
                <w:sz w:val="15"/>
                <w:szCs w:val="15"/>
              </w:rPr>
              <w:t>INTRODUCTION</w:t>
            </w:r>
          </w:p>
        </w:tc>
      </w:tr>
      <w:tr w:rsidR="00D704C7" w:rsidRPr="00D704C7" w14:paraId="3AA5B168" w14:textId="77777777" w:rsidTr="00D704A0">
        <w:trPr>
          <w:trHeight w:val="530"/>
        </w:trPr>
        <w:tc>
          <w:tcPr>
            <w:tcW w:w="0" w:type="auto"/>
            <w:vAlign w:val="center"/>
          </w:tcPr>
          <w:p w14:paraId="439F4A87"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Rationale</w:t>
            </w:r>
          </w:p>
        </w:tc>
        <w:tc>
          <w:tcPr>
            <w:tcW w:w="0" w:type="auto"/>
            <w:vAlign w:val="center"/>
          </w:tcPr>
          <w:p w14:paraId="50FAE666"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3</w:t>
            </w:r>
          </w:p>
        </w:tc>
        <w:tc>
          <w:tcPr>
            <w:tcW w:w="0" w:type="auto"/>
            <w:vAlign w:val="center"/>
          </w:tcPr>
          <w:p w14:paraId="4465AA3A"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Describe the rationale for the review in the context of what is already known. Explain why the review questions/objectives lend themselves to a scoping review approach.</w:t>
            </w:r>
          </w:p>
        </w:tc>
        <w:sdt>
          <w:sdtPr>
            <w:rPr>
              <w:rFonts w:ascii="Calibri Light" w:hAnsi="Calibri Light" w:cs="Calibri Light"/>
              <w:sz w:val="15"/>
              <w:szCs w:val="15"/>
            </w:rPr>
            <w:id w:val="56057269"/>
            <w:placeholder>
              <w:docPart w:val="0376583F93DBAA4BB06B969563A0E3F9"/>
            </w:placeholder>
          </w:sdtPr>
          <w:sdtContent>
            <w:tc>
              <w:tcPr>
                <w:tcW w:w="0" w:type="auto"/>
                <w:vAlign w:val="center"/>
              </w:tcPr>
              <w:p w14:paraId="0B403E60" w14:textId="0ACEAA94"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1</w:t>
                </w:r>
              </w:p>
            </w:tc>
          </w:sdtContent>
        </w:sdt>
      </w:tr>
      <w:tr w:rsidR="00D704C7" w:rsidRPr="00D704C7" w14:paraId="60A4792E" w14:textId="77777777" w:rsidTr="00D704A0">
        <w:trPr>
          <w:trHeight w:val="800"/>
        </w:trPr>
        <w:tc>
          <w:tcPr>
            <w:tcW w:w="0" w:type="auto"/>
            <w:vAlign w:val="center"/>
          </w:tcPr>
          <w:p w14:paraId="0193B608"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Objectives</w:t>
            </w:r>
          </w:p>
        </w:tc>
        <w:tc>
          <w:tcPr>
            <w:tcW w:w="0" w:type="auto"/>
            <w:vAlign w:val="center"/>
          </w:tcPr>
          <w:p w14:paraId="1ABAFCD1"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4</w:t>
            </w:r>
          </w:p>
        </w:tc>
        <w:tc>
          <w:tcPr>
            <w:tcW w:w="0" w:type="auto"/>
            <w:vAlign w:val="center"/>
          </w:tcPr>
          <w:p w14:paraId="1281A257"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Calibri Light" w:hAnsi="Calibri Light" w:cs="Calibri Light"/>
              <w:sz w:val="15"/>
              <w:szCs w:val="15"/>
            </w:rPr>
            <w:id w:val="-1797599034"/>
            <w:placeholder>
              <w:docPart w:val="0376583F93DBAA4BB06B969563A0E3F9"/>
            </w:placeholder>
          </w:sdtPr>
          <w:sdtContent>
            <w:tc>
              <w:tcPr>
                <w:tcW w:w="0" w:type="auto"/>
                <w:vAlign w:val="center"/>
              </w:tcPr>
              <w:p w14:paraId="123D9C5E" w14:textId="6C73A21D"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7A3CAD57" w14:textId="77777777" w:rsidTr="00D704A0">
        <w:tc>
          <w:tcPr>
            <w:tcW w:w="0" w:type="auto"/>
            <w:gridSpan w:val="4"/>
            <w:shd w:val="clear" w:color="auto" w:fill="C1E4F5" w:themeFill="accent1" w:themeFillTint="33"/>
            <w:vAlign w:val="center"/>
          </w:tcPr>
          <w:p w14:paraId="20C9D6A8"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METHODS</w:t>
            </w:r>
          </w:p>
        </w:tc>
      </w:tr>
      <w:tr w:rsidR="00D704C7" w:rsidRPr="00D704C7" w14:paraId="4955EAD5" w14:textId="77777777" w:rsidTr="00D704A0">
        <w:tc>
          <w:tcPr>
            <w:tcW w:w="0" w:type="auto"/>
            <w:vAlign w:val="center"/>
          </w:tcPr>
          <w:p w14:paraId="04D2D94C"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Protocol and registration</w:t>
            </w:r>
          </w:p>
        </w:tc>
        <w:tc>
          <w:tcPr>
            <w:tcW w:w="0" w:type="auto"/>
            <w:vAlign w:val="center"/>
          </w:tcPr>
          <w:p w14:paraId="27E6E14C"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5</w:t>
            </w:r>
          </w:p>
        </w:tc>
        <w:tc>
          <w:tcPr>
            <w:tcW w:w="0" w:type="auto"/>
            <w:vAlign w:val="center"/>
          </w:tcPr>
          <w:p w14:paraId="5F5DEC49"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Indicate whether a review protocol exists; state if and where it can be accessed (e.g., a Web address); and if available, provide registration information, including the registration number.</w:t>
            </w:r>
          </w:p>
        </w:tc>
        <w:sdt>
          <w:sdtPr>
            <w:rPr>
              <w:rFonts w:ascii="Calibri Light" w:hAnsi="Calibri Light" w:cs="Calibri Light"/>
              <w:sz w:val="15"/>
              <w:szCs w:val="15"/>
            </w:rPr>
            <w:id w:val="-1888323895"/>
            <w:placeholder>
              <w:docPart w:val="0376583F93DBAA4BB06B969563A0E3F9"/>
            </w:placeholder>
          </w:sdtPr>
          <w:sdtContent>
            <w:tc>
              <w:tcPr>
                <w:tcW w:w="0" w:type="auto"/>
                <w:vAlign w:val="center"/>
              </w:tcPr>
              <w:p w14:paraId="313E97E5" w14:textId="2B430E6A"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6904728A" w14:textId="77777777" w:rsidTr="00D704A0">
        <w:tc>
          <w:tcPr>
            <w:tcW w:w="0" w:type="auto"/>
            <w:vAlign w:val="center"/>
          </w:tcPr>
          <w:p w14:paraId="001EC187"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Eligibility criteria</w:t>
            </w:r>
          </w:p>
        </w:tc>
        <w:tc>
          <w:tcPr>
            <w:tcW w:w="0" w:type="auto"/>
            <w:vAlign w:val="center"/>
          </w:tcPr>
          <w:p w14:paraId="36F30AD8"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6</w:t>
            </w:r>
          </w:p>
        </w:tc>
        <w:tc>
          <w:tcPr>
            <w:tcW w:w="0" w:type="auto"/>
            <w:vAlign w:val="center"/>
          </w:tcPr>
          <w:p w14:paraId="24F3E028"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Specify characteristics of the sources of evidence used as eligibility criteria (e.g., years considered, language, and publication status</w:t>
            </w:r>
            <w:proofErr w:type="gramStart"/>
            <w:r w:rsidRPr="00D704C7">
              <w:rPr>
                <w:rFonts w:ascii="Calibri Light" w:hAnsi="Calibri Light" w:cs="Calibri Light"/>
                <w:sz w:val="15"/>
                <w:szCs w:val="15"/>
              </w:rPr>
              <w:t>), and</w:t>
            </w:r>
            <w:proofErr w:type="gramEnd"/>
            <w:r w:rsidRPr="00D704C7">
              <w:rPr>
                <w:rFonts w:ascii="Calibri Light" w:hAnsi="Calibri Light" w:cs="Calibri Light"/>
                <w:sz w:val="15"/>
                <w:szCs w:val="15"/>
              </w:rPr>
              <w:t xml:space="preserve"> provide a rationale.</w:t>
            </w:r>
          </w:p>
        </w:tc>
        <w:sdt>
          <w:sdtPr>
            <w:rPr>
              <w:rFonts w:ascii="Calibri Light" w:hAnsi="Calibri Light" w:cs="Calibri Light"/>
              <w:sz w:val="15"/>
              <w:szCs w:val="15"/>
            </w:rPr>
            <w:id w:val="623510431"/>
            <w:placeholder>
              <w:docPart w:val="0376583F93DBAA4BB06B969563A0E3F9"/>
            </w:placeholder>
          </w:sdtPr>
          <w:sdtContent>
            <w:tc>
              <w:tcPr>
                <w:tcW w:w="0" w:type="auto"/>
                <w:vAlign w:val="center"/>
              </w:tcPr>
              <w:p w14:paraId="3AEB1EAC" w14:textId="0C44302F"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1F26448C" w14:textId="77777777" w:rsidTr="00D704A0">
        <w:trPr>
          <w:trHeight w:val="260"/>
        </w:trPr>
        <w:tc>
          <w:tcPr>
            <w:tcW w:w="0" w:type="auto"/>
            <w:vAlign w:val="center"/>
          </w:tcPr>
          <w:p w14:paraId="6AAB11F7"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Information sources*</w:t>
            </w:r>
          </w:p>
        </w:tc>
        <w:tc>
          <w:tcPr>
            <w:tcW w:w="0" w:type="auto"/>
            <w:vAlign w:val="center"/>
          </w:tcPr>
          <w:p w14:paraId="3FDD17E8"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7</w:t>
            </w:r>
          </w:p>
        </w:tc>
        <w:tc>
          <w:tcPr>
            <w:tcW w:w="0" w:type="auto"/>
            <w:vAlign w:val="center"/>
          </w:tcPr>
          <w:p w14:paraId="1FEAFDB1"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Describe all information sources in the search (e.g., databases with dates of coverage and contact with authors to identify additional sources), as well as the date the most recent search was executed.</w:t>
            </w:r>
          </w:p>
        </w:tc>
        <w:sdt>
          <w:sdtPr>
            <w:rPr>
              <w:rFonts w:ascii="Calibri Light" w:hAnsi="Calibri Light" w:cs="Calibri Light"/>
              <w:sz w:val="15"/>
              <w:szCs w:val="15"/>
            </w:rPr>
            <w:id w:val="1510949160"/>
            <w:placeholder>
              <w:docPart w:val="0376583F93DBAA4BB06B969563A0E3F9"/>
            </w:placeholder>
          </w:sdtPr>
          <w:sdtContent>
            <w:tc>
              <w:tcPr>
                <w:tcW w:w="0" w:type="auto"/>
                <w:vAlign w:val="center"/>
              </w:tcPr>
              <w:p w14:paraId="1513440C" w14:textId="05E174B0"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64536242" w14:textId="77777777" w:rsidTr="00D704A0">
        <w:tc>
          <w:tcPr>
            <w:tcW w:w="0" w:type="auto"/>
            <w:vAlign w:val="center"/>
          </w:tcPr>
          <w:p w14:paraId="1A206D94"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Search</w:t>
            </w:r>
          </w:p>
        </w:tc>
        <w:tc>
          <w:tcPr>
            <w:tcW w:w="0" w:type="auto"/>
            <w:vAlign w:val="center"/>
          </w:tcPr>
          <w:p w14:paraId="69187B83"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8</w:t>
            </w:r>
          </w:p>
        </w:tc>
        <w:tc>
          <w:tcPr>
            <w:tcW w:w="0" w:type="auto"/>
            <w:vAlign w:val="center"/>
          </w:tcPr>
          <w:p w14:paraId="6B474BFF"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Present the full electronic search strategy for at least 1 database, including any limits used, such that it could be repeated.</w:t>
            </w:r>
          </w:p>
        </w:tc>
        <w:sdt>
          <w:sdtPr>
            <w:rPr>
              <w:rFonts w:ascii="Calibri Light" w:hAnsi="Calibri Light" w:cs="Calibri Light"/>
              <w:sz w:val="15"/>
              <w:szCs w:val="15"/>
            </w:rPr>
            <w:id w:val="964171142"/>
            <w:placeholder>
              <w:docPart w:val="0376583F93DBAA4BB06B969563A0E3F9"/>
            </w:placeholder>
          </w:sdtPr>
          <w:sdtContent>
            <w:tc>
              <w:tcPr>
                <w:tcW w:w="0" w:type="auto"/>
                <w:vAlign w:val="center"/>
              </w:tcPr>
              <w:p w14:paraId="293B55B2" w14:textId="624E3B7E"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3B93A1DF" w14:textId="77777777" w:rsidTr="00D704A0">
        <w:tc>
          <w:tcPr>
            <w:tcW w:w="0" w:type="auto"/>
            <w:vAlign w:val="center"/>
          </w:tcPr>
          <w:p w14:paraId="6DED5A96"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Selection of sources of evidence†</w:t>
            </w:r>
          </w:p>
        </w:tc>
        <w:tc>
          <w:tcPr>
            <w:tcW w:w="0" w:type="auto"/>
            <w:vAlign w:val="center"/>
          </w:tcPr>
          <w:p w14:paraId="45B919D0"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9</w:t>
            </w:r>
          </w:p>
        </w:tc>
        <w:tc>
          <w:tcPr>
            <w:tcW w:w="0" w:type="auto"/>
            <w:vAlign w:val="center"/>
          </w:tcPr>
          <w:p w14:paraId="69201B00"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State the process for selecting sources of evidence (i.e., screening and eligibility) included in the scoping review.</w:t>
            </w:r>
          </w:p>
        </w:tc>
        <w:sdt>
          <w:sdtPr>
            <w:rPr>
              <w:rFonts w:ascii="Calibri Light" w:hAnsi="Calibri Light" w:cs="Calibri Light"/>
              <w:sz w:val="15"/>
              <w:szCs w:val="15"/>
            </w:rPr>
            <w:id w:val="-2090377787"/>
            <w:placeholder>
              <w:docPart w:val="0376583F93DBAA4BB06B969563A0E3F9"/>
            </w:placeholder>
          </w:sdtPr>
          <w:sdtContent>
            <w:tc>
              <w:tcPr>
                <w:tcW w:w="0" w:type="auto"/>
                <w:vAlign w:val="center"/>
              </w:tcPr>
              <w:p w14:paraId="0FB8B20F" w14:textId="24A3C612"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6CB5883D" w14:textId="77777777" w:rsidTr="00D704A0">
        <w:tc>
          <w:tcPr>
            <w:tcW w:w="0" w:type="auto"/>
            <w:vAlign w:val="center"/>
          </w:tcPr>
          <w:p w14:paraId="29B5B93C"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Data charting process‡</w:t>
            </w:r>
          </w:p>
        </w:tc>
        <w:tc>
          <w:tcPr>
            <w:tcW w:w="0" w:type="auto"/>
            <w:vAlign w:val="center"/>
          </w:tcPr>
          <w:p w14:paraId="3B9008BD"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10</w:t>
            </w:r>
          </w:p>
        </w:tc>
        <w:tc>
          <w:tcPr>
            <w:tcW w:w="0" w:type="auto"/>
            <w:vAlign w:val="center"/>
          </w:tcPr>
          <w:p w14:paraId="1FAC219D"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libri Light" w:hAnsi="Calibri Light" w:cs="Calibri Light"/>
              <w:sz w:val="15"/>
              <w:szCs w:val="15"/>
            </w:rPr>
            <w:id w:val="1943252725"/>
            <w:placeholder>
              <w:docPart w:val="0376583F93DBAA4BB06B969563A0E3F9"/>
            </w:placeholder>
          </w:sdtPr>
          <w:sdtContent>
            <w:tc>
              <w:tcPr>
                <w:tcW w:w="0" w:type="auto"/>
                <w:vAlign w:val="center"/>
              </w:tcPr>
              <w:p w14:paraId="29924D8B" w14:textId="481A996E"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2064E1BB" w14:textId="77777777" w:rsidTr="00D704A0">
        <w:trPr>
          <w:trHeight w:val="260"/>
        </w:trPr>
        <w:tc>
          <w:tcPr>
            <w:tcW w:w="0" w:type="auto"/>
            <w:vAlign w:val="center"/>
          </w:tcPr>
          <w:p w14:paraId="0B387596"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Data items</w:t>
            </w:r>
          </w:p>
        </w:tc>
        <w:tc>
          <w:tcPr>
            <w:tcW w:w="0" w:type="auto"/>
            <w:vAlign w:val="center"/>
          </w:tcPr>
          <w:p w14:paraId="1003C4DA"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11</w:t>
            </w:r>
          </w:p>
        </w:tc>
        <w:tc>
          <w:tcPr>
            <w:tcW w:w="0" w:type="auto"/>
            <w:vAlign w:val="center"/>
          </w:tcPr>
          <w:p w14:paraId="7BA38C00"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List and define all variables for which data were sought and any assumptions and simplifications made.</w:t>
            </w:r>
          </w:p>
        </w:tc>
        <w:sdt>
          <w:sdtPr>
            <w:rPr>
              <w:rFonts w:ascii="Calibri Light" w:hAnsi="Calibri Light" w:cs="Calibri Light"/>
              <w:sz w:val="15"/>
              <w:szCs w:val="15"/>
            </w:rPr>
            <w:id w:val="667444934"/>
            <w:placeholder>
              <w:docPart w:val="0376583F93DBAA4BB06B969563A0E3F9"/>
            </w:placeholder>
          </w:sdtPr>
          <w:sdtContent>
            <w:tc>
              <w:tcPr>
                <w:tcW w:w="0" w:type="auto"/>
                <w:vAlign w:val="center"/>
              </w:tcPr>
              <w:p w14:paraId="4C3ECDAA" w14:textId="12DE74EB"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0A916E45" w14:textId="77777777" w:rsidTr="00D704A0">
        <w:tc>
          <w:tcPr>
            <w:tcW w:w="0" w:type="auto"/>
            <w:vAlign w:val="center"/>
          </w:tcPr>
          <w:p w14:paraId="593476C8"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Critical appraisal of individual sources of evidence§</w:t>
            </w:r>
          </w:p>
        </w:tc>
        <w:tc>
          <w:tcPr>
            <w:tcW w:w="0" w:type="auto"/>
            <w:vAlign w:val="center"/>
          </w:tcPr>
          <w:p w14:paraId="4CBDCB2B"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12</w:t>
            </w:r>
          </w:p>
        </w:tc>
        <w:tc>
          <w:tcPr>
            <w:tcW w:w="0" w:type="auto"/>
            <w:vAlign w:val="center"/>
          </w:tcPr>
          <w:p w14:paraId="28281BC5"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If done, provide a rationale for conducting a critical appraisal of included sources of evidence; describe the methods used and how this information was used in any data synthesis (if appropriate).</w:t>
            </w:r>
          </w:p>
        </w:tc>
        <w:sdt>
          <w:sdtPr>
            <w:rPr>
              <w:rFonts w:ascii="Calibri Light" w:hAnsi="Calibri Light" w:cs="Calibri Light"/>
              <w:sz w:val="15"/>
              <w:szCs w:val="15"/>
            </w:rPr>
            <w:id w:val="-336618198"/>
            <w:placeholder>
              <w:docPart w:val="0376583F93DBAA4BB06B969563A0E3F9"/>
            </w:placeholder>
          </w:sdtPr>
          <w:sdtContent>
            <w:tc>
              <w:tcPr>
                <w:tcW w:w="0" w:type="auto"/>
                <w:vAlign w:val="center"/>
              </w:tcPr>
              <w:p w14:paraId="25BE24AB" w14:textId="271C56F1"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5C987C52" w14:textId="77777777" w:rsidTr="00D704A0">
        <w:tc>
          <w:tcPr>
            <w:tcW w:w="0" w:type="auto"/>
            <w:vAlign w:val="center"/>
          </w:tcPr>
          <w:p w14:paraId="083FFEBF"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Synthesis of results</w:t>
            </w:r>
          </w:p>
        </w:tc>
        <w:tc>
          <w:tcPr>
            <w:tcW w:w="0" w:type="auto"/>
            <w:vAlign w:val="center"/>
          </w:tcPr>
          <w:p w14:paraId="1A1CA946"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13</w:t>
            </w:r>
          </w:p>
        </w:tc>
        <w:tc>
          <w:tcPr>
            <w:tcW w:w="0" w:type="auto"/>
            <w:vAlign w:val="center"/>
          </w:tcPr>
          <w:p w14:paraId="5896ABA2"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Describe the methods of handling and summarizing the data that were charted.</w:t>
            </w:r>
          </w:p>
        </w:tc>
        <w:sdt>
          <w:sdtPr>
            <w:rPr>
              <w:rFonts w:ascii="Calibri Light" w:hAnsi="Calibri Light" w:cs="Calibri Light"/>
              <w:sz w:val="15"/>
              <w:szCs w:val="15"/>
            </w:rPr>
            <w:id w:val="1751841620"/>
            <w:placeholder>
              <w:docPart w:val="0376583F93DBAA4BB06B969563A0E3F9"/>
            </w:placeholder>
          </w:sdtPr>
          <w:sdtContent>
            <w:tc>
              <w:tcPr>
                <w:tcW w:w="0" w:type="auto"/>
                <w:vAlign w:val="center"/>
              </w:tcPr>
              <w:p w14:paraId="27435173" w14:textId="747EDE89" w:rsidR="00D704C7" w:rsidRPr="00D704C7" w:rsidRDefault="00A2322C"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7CC9021C" w14:textId="77777777" w:rsidTr="00D704A0">
        <w:tc>
          <w:tcPr>
            <w:tcW w:w="0" w:type="auto"/>
            <w:gridSpan w:val="4"/>
            <w:shd w:val="clear" w:color="auto" w:fill="C1E4F5" w:themeFill="accent1" w:themeFillTint="33"/>
            <w:vAlign w:val="center"/>
          </w:tcPr>
          <w:p w14:paraId="60E643EF"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RESULTS</w:t>
            </w:r>
          </w:p>
        </w:tc>
      </w:tr>
      <w:tr w:rsidR="00D704C7" w:rsidRPr="00D704C7" w14:paraId="7E9CE8D3" w14:textId="77777777" w:rsidTr="00D704A0">
        <w:tc>
          <w:tcPr>
            <w:tcW w:w="0" w:type="auto"/>
            <w:vAlign w:val="center"/>
          </w:tcPr>
          <w:p w14:paraId="4662E7A7"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Selection of sources of evidence</w:t>
            </w:r>
          </w:p>
        </w:tc>
        <w:tc>
          <w:tcPr>
            <w:tcW w:w="0" w:type="auto"/>
            <w:vAlign w:val="center"/>
          </w:tcPr>
          <w:p w14:paraId="5B5DD8B1"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14</w:t>
            </w:r>
          </w:p>
        </w:tc>
        <w:tc>
          <w:tcPr>
            <w:tcW w:w="0" w:type="auto"/>
            <w:vAlign w:val="center"/>
          </w:tcPr>
          <w:p w14:paraId="3A4EF523"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Give numbers of sources of evidence screened, assessed for eligibility, and included in the review, with reasons for exclusions at each stage, ideally using a flow diagram.</w:t>
            </w:r>
          </w:p>
        </w:tc>
        <w:sdt>
          <w:sdtPr>
            <w:rPr>
              <w:rFonts w:ascii="Calibri Light" w:hAnsi="Calibri Light" w:cs="Calibri Light"/>
              <w:sz w:val="15"/>
              <w:szCs w:val="15"/>
            </w:rPr>
            <w:id w:val="-83771692"/>
            <w:placeholder>
              <w:docPart w:val="0376583F93DBAA4BB06B969563A0E3F9"/>
            </w:placeholder>
          </w:sdtPr>
          <w:sdtContent>
            <w:tc>
              <w:tcPr>
                <w:tcW w:w="0" w:type="auto"/>
                <w:vAlign w:val="center"/>
              </w:tcPr>
              <w:p w14:paraId="021F1CB4" w14:textId="7990A83B"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2</w:t>
                </w:r>
              </w:p>
            </w:tc>
          </w:sdtContent>
        </w:sdt>
      </w:tr>
      <w:tr w:rsidR="00D704C7" w:rsidRPr="00D704C7" w14:paraId="3A519BDA" w14:textId="77777777" w:rsidTr="00D704A0">
        <w:tc>
          <w:tcPr>
            <w:tcW w:w="0" w:type="auto"/>
            <w:vAlign w:val="center"/>
          </w:tcPr>
          <w:p w14:paraId="649CD2C6"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Characteristics of sources of evidence</w:t>
            </w:r>
          </w:p>
        </w:tc>
        <w:tc>
          <w:tcPr>
            <w:tcW w:w="0" w:type="auto"/>
            <w:vAlign w:val="center"/>
          </w:tcPr>
          <w:p w14:paraId="6F4EEAE4"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15</w:t>
            </w:r>
          </w:p>
        </w:tc>
        <w:tc>
          <w:tcPr>
            <w:tcW w:w="0" w:type="auto"/>
            <w:vAlign w:val="center"/>
          </w:tcPr>
          <w:p w14:paraId="41961B6C"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For each source of evidence, present characteristics for which data were charted and provide the citations.</w:t>
            </w:r>
          </w:p>
        </w:tc>
        <w:sdt>
          <w:sdtPr>
            <w:rPr>
              <w:rFonts w:ascii="Calibri Light" w:hAnsi="Calibri Light" w:cs="Calibri Light"/>
              <w:sz w:val="15"/>
              <w:szCs w:val="15"/>
            </w:rPr>
            <w:id w:val="-137040765"/>
            <w:placeholder>
              <w:docPart w:val="0376583F93DBAA4BB06B969563A0E3F9"/>
            </w:placeholder>
          </w:sdtPr>
          <w:sdtContent>
            <w:tc>
              <w:tcPr>
                <w:tcW w:w="0" w:type="auto"/>
                <w:vAlign w:val="center"/>
              </w:tcPr>
              <w:p w14:paraId="36A6DBF8" w14:textId="095FABD0"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2-3</w:t>
                </w:r>
              </w:p>
            </w:tc>
          </w:sdtContent>
        </w:sdt>
      </w:tr>
      <w:tr w:rsidR="00D704C7" w:rsidRPr="00D704C7" w14:paraId="77C39A21" w14:textId="77777777" w:rsidTr="00D704A0">
        <w:tc>
          <w:tcPr>
            <w:tcW w:w="0" w:type="auto"/>
            <w:vAlign w:val="center"/>
          </w:tcPr>
          <w:p w14:paraId="67D4BD1B"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Critical appraisal within sources of evidence</w:t>
            </w:r>
          </w:p>
        </w:tc>
        <w:tc>
          <w:tcPr>
            <w:tcW w:w="0" w:type="auto"/>
            <w:vAlign w:val="center"/>
          </w:tcPr>
          <w:p w14:paraId="67679683"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16</w:t>
            </w:r>
          </w:p>
        </w:tc>
        <w:tc>
          <w:tcPr>
            <w:tcW w:w="0" w:type="auto"/>
            <w:vAlign w:val="center"/>
          </w:tcPr>
          <w:p w14:paraId="0C061A67"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If done, present data on critical appraisal of included sources of evidence (see item 12).</w:t>
            </w:r>
          </w:p>
        </w:tc>
        <w:sdt>
          <w:sdtPr>
            <w:rPr>
              <w:rFonts w:ascii="Calibri Light" w:hAnsi="Calibri Light" w:cs="Calibri Light"/>
              <w:sz w:val="15"/>
              <w:szCs w:val="15"/>
            </w:rPr>
            <w:id w:val="945268124"/>
            <w:placeholder>
              <w:docPart w:val="0376583F93DBAA4BB06B969563A0E3F9"/>
            </w:placeholder>
          </w:sdtPr>
          <w:sdtContent>
            <w:tc>
              <w:tcPr>
                <w:tcW w:w="0" w:type="auto"/>
                <w:vAlign w:val="center"/>
              </w:tcPr>
              <w:p w14:paraId="612F89BA" w14:textId="66E626E2"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3-5</w:t>
                </w:r>
              </w:p>
            </w:tc>
          </w:sdtContent>
        </w:sdt>
      </w:tr>
      <w:tr w:rsidR="00D704C7" w:rsidRPr="00D704C7" w14:paraId="0657CB99" w14:textId="77777777" w:rsidTr="00D704A0">
        <w:tc>
          <w:tcPr>
            <w:tcW w:w="0" w:type="auto"/>
            <w:vAlign w:val="center"/>
          </w:tcPr>
          <w:p w14:paraId="25FCE3F8"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Results of individual sources of evidence</w:t>
            </w:r>
          </w:p>
        </w:tc>
        <w:tc>
          <w:tcPr>
            <w:tcW w:w="0" w:type="auto"/>
            <w:vAlign w:val="center"/>
          </w:tcPr>
          <w:p w14:paraId="71C25DDC"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17</w:t>
            </w:r>
          </w:p>
        </w:tc>
        <w:tc>
          <w:tcPr>
            <w:tcW w:w="0" w:type="auto"/>
            <w:vAlign w:val="center"/>
          </w:tcPr>
          <w:p w14:paraId="4897A6AD"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For each included source of evidence, present the relevant data that were charted that relate to the review questions and objectives.</w:t>
            </w:r>
          </w:p>
        </w:tc>
        <w:sdt>
          <w:sdtPr>
            <w:rPr>
              <w:rFonts w:ascii="Calibri Light" w:hAnsi="Calibri Light" w:cs="Calibri Light"/>
              <w:sz w:val="15"/>
              <w:szCs w:val="15"/>
            </w:rPr>
            <w:id w:val="-1628242984"/>
            <w:placeholder>
              <w:docPart w:val="0376583F93DBAA4BB06B969563A0E3F9"/>
            </w:placeholder>
          </w:sdtPr>
          <w:sdtContent>
            <w:tc>
              <w:tcPr>
                <w:tcW w:w="0" w:type="auto"/>
                <w:vAlign w:val="center"/>
              </w:tcPr>
              <w:p w14:paraId="7CE207F2" w14:textId="7EDABDBF"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3-5</w:t>
                </w:r>
              </w:p>
            </w:tc>
          </w:sdtContent>
        </w:sdt>
      </w:tr>
      <w:tr w:rsidR="00D704C7" w:rsidRPr="00D704C7" w14:paraId="525E8A2D" w14:textId="77777777" w:rsidTr="00D704A0">
        <w:tc>
          <w:tcPr>
            <w:tcW w:w="0" w:type="auto"/>
            <w:vAlign w:val="center"/>
          </w:tcPr>
          <w:p w14:paraId="712A69A5"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Synthesis of results</w:t>
            </w:r>
          </w:p>
        </w:tc>
        <w:tc>
          <w:tcPr>
            <w:tcW w:w="0" w:type="auto"/>
            <w:vAlign w:val="center"/>
          </w:tcPr>
          <w:p w14:paraId="0323E092"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18</w:t>
            </w:r>
          </w:p>
        </w:tc>
        <w:tc>
          <w:tcPr>
            <w:tcW w:w="0" w:type="auto"/>
            <w:vAlign w:val="center"/>
          </w:tcPr>
          <w:p w14:paraId="126AFDA9"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Summarize and/or present the charting results as they relate to the review questions and objectives.</w:t>
            </w:r>
          </w:p>
        </w:tc>
        <w:sdt>
          <w:sdtPr>
            <w:rPr>
              <w:rFonts w:ascii="Calibri Light" w:hAnsi="Calibri Light" w:cs="Calibri Light"/>
              <w:sz w:val="15"/>
              <w:szCs w:val="15"/>
            </w:rPr>
            <w:id w:val="547573417"/>
            <w:placeholder>
              <w:docPart w:val="0376583F93DBAA4BB06B969563A0E3F9"/>
            </w:placeholder>
          </w:sdtPr>
          <w:sdtContent>
            <w:tc>
              <w:tcPr>
                <w:tcW w:w="0" w:type="auto"/>
                <w:vAlign w:val="center"/>
              </w:tcPr>
              <w:p w14:paraId="2D91EDDA" w14:textId="3FD6299B"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3-5</w:t>
                </w:r>
              </w:p>
            </w:tc>
          </w:sdtContent>
        </w:sdt>
      </w:tr>
      <w:tr w:rsidR="00D704C7" w:rsidRPr="00D704C7" w14:paraId="4B9EA9EA" w14:textId="77777777" w:rsidTr="00D704A0">
        <w:tc>
          <w:tcPr>
            <w:tcW w:w="0" w:type="auto"/>
            <w:gridSpan w:val="4"/>
            <w:shd w:val="clear" w:color="auto" w:fill="C1E4F5" w:themeFill="accent1" w:themeFillTint="33"/>
            <w:vAlign w:val="center"/>
          </w:tcPr>
          <w:p w14:paraId="0FE7D337"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DISCUSSION</w:t>
            </w:r>
          </w:p>
        </w:tc>
      </w:tr>
      <w:tr w:rsidR="00D704C7" w:rsidRPr="00D704C7" w14:paraId="10BDEA86" w14:textId="77777777" w:rsidTr="00D704A0">
        <w:tc>
          <w:tcPr>
            <w:tcW w:w="0" w:type="auto"/>
            <w:vAlign w:val="center"/>
          </w:tcPr>
          <w:p w14:paraId="20E9540C"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Summary of evidence</w:t>
            </w:r>
          </w:p>
        </w:tc>
        <w:tc>
          <w:tcPr>
            <w:tcW w:w="0" w:type="auto"/>
            <w:vAlign w:val="center"/>
          </w:tcPr>
          <w:p w14:paraId="324A0243"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19</w:t>
            </w:r>
          </w:p>
        </w:tc>
        <w:tc>
          <w:tcPr>
            <w:tcW w:w="0" w:type="auto"/>
            <w:vAlign w:val="center"/>
          </w:tcPr>
          <w:p w14:paraId="5C459D21"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Summarize the main results (including an overview of concepts, themes, and types of evidence available), link to the review questions and objectives, and consider the relevance to key groups.</w:t>
            </w:r>
          </w:p>
        </w:tc>
        <w:sdt>
          <w:sdtPr>
            <w:rPr>
              <w:rFonts w:ascii="Calibri Light" w:hAnsi="Calibri Light" w:cs="Calibri Light"/>
              <w:sz w:val="15"/>
              <w:szCs w:val="15"/>
            </w:rPr>
            <w:id w:val="1890606668"/>
            <w:placeholder>
              <w:docPart w:val="0376583F93DBAA4BB06B969563A0E3F9"/>
            </w:placeholder>
          </w:sdtPr>
          <w:sdtContent>
            <w:tc>
              <w:tcPr>
                <w:tcW w:w="0" w:type="auto"/>
                <w:vAlign w:val="center"/>
              </w:tcPr>
              <w:p w14:paraId="75A9DE31" w14:textId="66321008"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5-8</w:t>
                </w:r>
              </w:p>
            </w:tc>
          </w:sdtContent>
        </w:sdt>
      </w:tr>
      <w:tr w:rsidR="00D704C7" w:rsidRPr="00D704C7" w14:paraId="483BBBA0" w14:textId="77777777" w:rsidTr="00D704A0">
        <w:tc>
          <w:tcPr>
            <w:tcW w:w="0" w:type="auto"/>
            <w:vAlign w:val="center"/>
          </w:tcPr>
          <w:p w14:paraId="60DADFBC"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Limitations</w:t>
            </w:r>
          </w:p>
        </w:tc>
        <w:tc>
          <w:tcPr>
            <w:tcW w:w="0" w:type="auto"/>
            <w:vAlign w:val="center"/>
          </w:tcPr>
          <w:p w14:paraId="47C60CF5"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20</w:t>
            </w:r>
          </w:p>
        </w:tc>
        <w:tc>
          <w:tcPr>
            <w:tcW w:w="0" w:type="auto"/>
            <w:vAlign w:val="center"/>
          </w:tcPr>
          <w:p w14:paraId="13EBEECB"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Discuss the limitations of the scoping review process.</w:t>
            </w:r>
          </w:p>
        </w:tc>
        <w:sdt>
          <w:sdtPr>
            <w:rPr>
              <w:rFonts w:ascii="Calibri Light" w:hAnsi="Calibri Light" w:cs="Calibri Light"/>
              <w:sz w:val="15"/>
              <w:szCs w:val="15"/>
            </w:rPr>
            <w:id w:val="-1476291050"/>
            <w:placeholder>
              <w:docPart w:val="0376583F93DBAA4BB06B969563A0E3F9"/>
            </w:placeholder>
          </w:sdtPr>
          <w:sdtContent>
            <w:tc>
              <w:tcPr>
                <w:tcW w:w="0" w:type="auto"/>
                <w:vAlign w:val="center"/>
              </w:tcPr>
              <w:p w14:paraId="5D34A8C7" w14:textId="15296466"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8</w:t>
                </w:r>
              </w:p>
            </w:tc>
          </w:sdtContent>
        </w:sdt>
      </w:tr>
      <w:tr w:rsidR="00D704C7" w:rsidRPr="00D704C7" w14:paraId="6DF8D31F" w14:textId="77777777" w:rsidTr="00D704A0">
        <w:tc>
          <w:tcPr>
            <w:tcW w:w="0" w:type="auto"/>
            <w:vAlign w:val="center"/>
          </w:tcPr>
          <w:p w14:paraId="3699C117"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Conclusions</w:t>
            </w:r>
          </w:p>
        </w:tc>
        <w:tc>
          <w:tcPr>
            <w:tcW w:w="0" w:type="auto"/>
            <w:vAlign w:val="center"/>
          </w:tcPr>
          <w:p w14:paraId="439172A3"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21</w:t>
            </w:r>
          </w:p>
        </w:tc>
        <w:tc>
          <w:tcPr>
            <w:tcW w:w="0" w:type="auto"/>
            <w:vAlign w:val="center"/>
          </w:tcPr>
          <w:p w14:paraId="3DE7A48B"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Provide a general interpretation of the results with respect to the review questions and objectives, as well as potential implications and/or next steps.</w:t>
            </w:r>
          </w:p>
        </w:tc>
        <w:sdt>
          <w:sdtPr>
            <w:rPr>
              <w:rFonts w:ascii="Calibri Light" w:hAnsi="Calibri Light" w:cs="Calibri Light"/>
              <w:sz w:val="15"/>
              <w:szCs w:val="15"/>
            </w:rPr>
            <w:id w:val="-1052302124"/>
            <w:placeholder>
              <w:docPart w:val="0376583F93DBAA4BB06B969563A0E3F9"/>
            </w:placeholder>
          </w:sdtPr>
          <w:sdtContent>
            <w:tc>
              <w:tcPr>
                <w:tcW w:w="0" w:type="auto"/>
                <w:vAlign w:val="center"/>
              </w:tcPr>
              <w:p w14:paraId="7AA02D5A" w14:textId="7D105DC5" w:rsidR="00D704C7" w:rsidRPr="00D704C7" w:rsidRDefault="00023FB8" w:rsidP="00D704A0">
                <w:pPr>
                  <w:rPr>
                    <w:rFonts w:ascii="Calibri Light" w:hAnsi="Calibri Light" w:cs="Calibri Light"/>
                    <w:sz w:val="15"/>
                    <w:szCs w:val="15"/>
                  </w:rPr>
                </w:pPr>
                <w:r>
                  <w:rPr>
                    <w:rFonts w:ascii="Calibri Light" w:hAnsi="Calibri Light" w:cs="Calibri Light"/>
                    <w:sz w:val="15"/>
                    <w:szCs w:val="15"/>
                  </w:rPr>
                  <w:t>5-8</w:t>
                </w:r>
              </w:p>
            </w:tc>
          </w:sdtContent>
        </w:sdt>
      </w:tr>
      <w:tr w:rsidR="00D704C7" w:rsidRPr="00D704C7" w14:paraId="088BFE95" w14:textId="77777777" w:rsidTr="00D704A0">
        <w:tc>
          <w:tcPr>
            <w:tcW w:w="0" w:type="auto"/>
            <w:gridSpan w:val="4"/>
            <w:shd w:val="clear" w:color="auto" w:fill="C1E4F5" w:themeFill="accent1" w:themeFillTint="33"/>
            <w:vAlign w:val="center"/>
          </w:tcPr>
          <w:p w14:paraId="7DC84F02"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FUNDING</w:t>
            </w:r>
          </w:p>
        </w:tc>
      </w:tr>
      <w:tr w:rsidR="00D704C7" w:rsidRPr="00D704C7" w14:paraId="681ECF64" w14:textId="77777777" w:rsidTr="00D704A0">
        <w:tc>
          <w:tcPr>
            <w:tcW w:w="0" w:type="auto"/>
            <w:vAlign w:val="center"/>
          </w:tcPr>
          <w:p w14:paraId="7DB26188" w14:textId="77777777" w:rsidR="00D704C7" w:rsidRPr="00D704C7" w:rsidRDefault="00D704C7" w:rsidP="00D704A0">
            <w:pPr>
              <w:ind w:left="180"/>
              <w:rPr>
                <w:rFonts w:ascii="Calibri Light" w:hAnsi="Calibri Light" w:cs="Calibri Light"/>
                <w:sz w:val="15"/>
                <w:szCs w:val="15"/>
              </w:rPr>
            </w:pPr>
            <w:r w:rsidRPr="00D704C7">
              <w:rPr>
                <w:rFonts w:ascii="Calibri Light" w:hAnsi="Calibri Light" w:cs="Calibri Light"/>
                <w:sz w:val="15"/>
                <w:szCs w:val="15"/>
              </w:rPr>
              <w:t>Funding</w:t>
            </w:r>
          </w:p>
        </w:tc>
        <w:tc>
          <w:tcPr>
            <w:tcW w:w="0" w:type="auto"/>
            <w:vAlign w:val="center"/>
          </w:tcPr>
          <w:p w14:paraId="3F54A295" w14:textId="77777777" w:rsidR="00D704C7" w:rsidRPr="00D704C7" w:rsidRDefault="00D704C7" w:rsidP="00D704A0">
            <w:pPr>
              <w:jc w:val="center"/>
              <w:rPr>
                <w:rFonts w:ascii="Calibri Light" w:hAnsi="Calibri Light" w:cs="Calibri Light"/>
                <w:sz w:val="15"/>
                <w:szCs w:val="15"/>
              </w:rPr>
            </w:pPr>
            <w:r w:rsidRPr="00D704C7">
              <w:rPr>
                <w:rFonts w:ascii="Calibri Light" w:hAnsi="Calibri Light" w:cs="Calibri Light"/>
                <w:sz w:val="15"/>
                <w:szCs w:val="15"/>
              </w:rPr>
              <w:t>22</w:t>
            </w:r>
          </w:p>
        </w:tc>
        <w:tc>
          <w:tcPr>
            <w:tcW w:w="0" w:type="auto"/>
            <w:vAlign w:val="center"/>
          </w:tcPr>
          <w:p w14:paraId="2CEDF17E" w14:textId="77777777" w:rsidR="00D704C7" w:rsidRPr="00D704C7" w:rsidRDefault="00D704C7" w:rsidP="00D704A0">
            <w:pPr>
              <w:rPr>
                <w:rFonts w:ascii="Calibri Light" w:hAnsi="Calibri Light" w:cs="Calibri Light"/>
                <w:sz w:val="15"/>
                <w:szCs w:val="15"/>
              </w:rPr>
            </w:pPr>
            <w:r w:rsidRPr="00D704C7">
              <w:rPr>
                <w:rFonts w:ascii="Calibri Light" w:hAnsi="Calibri Light" w:cs="Calibri Light"/>
                <w:sz w:val="15"/>
                <w:szCs w:val="15"/>
              </w:rPr>
              <w:t>Describe sources of funding for the included sources of evidence, as well as sources of funding for the scoping review. Describe the role of the funders of the scoping review.</w:t>
            </w:r>
          </w:p>
        </w:tc>
        <w:sdt>
          <w:sdtPr>
            <w:rPr>
              <w:rFonts w:ascii="Calibri Light" w:hAnsi="Calibri Light" w:cs="Calibri Light"/>
              <w:sz w:val="15"/>
              <w:szCs w:val="15"/>
            </w:rPr>
            <w:id w:val="-1660921886"/>
            <w:placeholder>
              <w:docPart w:val="0376583F93DBAA4BB06B969563A0E3F9"/>
            </w:placeholder>
          </w:sdtPr>
          <w:sdtContent>
            <w:tc>
              <w:tcPr>
                <w:tcW w:w="0" w:type="auto"/>
                <w:vAlign w:val="center"/>
              </w:tcPr>
              <w:p w14:paraId="3F562D90" w14:textId="37834048" w:rsidR="00D704C7" w:rsidRPr="00D704C7" w:rsidRDefault="00044EBF" w:rsidP="00D704A0">
                <w:pPr>
                  <w:rPr>
                    <w:rFonts w:ascii="Calibri Light" w:hAnsi="Calibri Light" w:cs="Calibri Light"/>
                    <w:sz w:val="15"/>
                    <w:szCs w:val="15"/>
                  </w:rPr>
                </w:pPr>
                <w:r>
                  <w:rPr>
                    <w:rFonts w:ascii="Calibri Light" w:hAnsi="Calibri Light" w:cs="Calibri Light"/>
                    <w:sz w:val="15"/>
                    <w:szCs w:val="15"/>
                  </w:rPr>
                  <w:t>8</w:t>
                </w:r>
              </w:p>
            </w:tc>
          </w:sdtContent>
        </w:sdt>
      </w:tr>
    </w:tbl>
    <w:p w14:paraId="1FEC08EB" w14:textId="77777777" w:rsidR="00D704C7" w:rsidRDefault="00D704C7" w:rsidP="00D704C7">
      <w:pPr>
        <w:spacing w:line="240" w:lineRule="auto"/>
        <w:jc w:val="both"/>
        <w:rPr>
          <w:rFonts w:ascii="Calibri Light" w:eastAsia="Calibri Light" w:hAnsi="Calibri Light" w:cs="Calibri Light"/>
          <w:b/>
          <w:bCs/>
          <w:sz w:val="21"/>
          <w:szCs w:val="21"/>
        </w:rPr>
      </w:pPr>
    </w:p>
    <w:p w14:paraId="742B66DD" w14:textId="40162FA3" w:rsidR="0051112E" w:rsidRDefault="0051112E" w:rsidP="00D704C7">
      <w:pPr>
        <w:rPr>
          <w:rFonts w:ascii="Calibri Light" w:eastAsia="Calibri Light" w:hAnsi="Calibri Light" w:cs="Calibri Light"/>
          <w:b/>
          <w:bCs/>
          <w:sz w:val="21"/>
          <w:szCs w:val="21"/>
        </w:rPr>
        <w:sectPr w:rsidR="0051112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7FA6490F" w14:textId="44A04652" w:rsidR="00D704C7" w:rsidRPr="00D704C7" w:rsidRDefault="00D704C7" w:rsidP="00D704C7">
      <w:pPr>
        <w:rPr>
          <w:rFonts w:ascii="Calibri Light" w:eastAsia="Calibri Light" w:hAnsi="Calibri Light" w:cs="Calibri Light"/>
          <w:b/>
          <w:bCs/>
          <w:sz w:val="21"/>
          <w:szCs w:val="21"/>
        </w:rPr>
      </w:pPr>
      <w:r w:rsidRPr="000E25D9">
        <w:rPr>
          <w:rFonts w:ascii="Calibri Light" w:eastAsia="Calibri Light" w:hAnsi="Calibri Light" w:cs="Calibri Light"/>
          <w:b/>
          <w:bCs/>
          <w:sz w:val="21"/>
          <w:szCs w:val="21"/>
        </w:rPr>
        <w:lastRenderedPageBreak/>
        <w:t xml:space="preserve">Appendix </w:t>
      </w:r>
      <w:r>
        <w:rPr>
          <w:rFonts w:ascii="Calibri Light" w:eastAsia="Calibri Light" w:hAnsi="Calibri Light" w:cs="Calibri Light"/>
          <w:b/>
          <w:bCs/>
          <w:sz w:val="21"/>
          <w:szCs w:val="21"/>
        </w:rPr>
        <w:t>3</w:t>
      </w:r>
      <w:r w:rsidRPr="000E25D9">
        <w:rPr>
          <w:rFonts w:ascii="Calibri Light" w:eastAsia="Calibri Light" w:hAnsi="Calibri Light" w:cs="Calibri Light"/>
          <w:b/>
          <w:bCs/>
          <w:sz w:val="21"/>
          <w:szCs w:val="21"/>
        </w:rPr>
        <w:t xml:space="preserve"> </w:t>
      </w:r>
      <w:r w:rsidRPr="000E25D9">
        <w:rPr>
          <w:rFonts w:ascii="Calibri Light" w:eastAsia="Calibri Light" w:hAnsi="Calibri Light" w:cs="Calibri Light"/>
          <w:sz w:val="21"/>
          <w:szCs w:val="21"/>
        </w:rPr>
        <w:t xml:space="preserve">| </w:t>
      </w:r>
      <w:r>
        <w:rPr>
          <w:rFonts w:ascii="Calibri Light" w:eastAsia="Calibri Light" w:hAnsi="Calibri Light" w:cs="Calibri Light"/>
          <w:i/>
          <w:iCs/>
          <w:sz w:val="21"/>
          <w:szCs w:val="21"/>
        </w:rPr>
        <w:t>Extraction Table</w:t>
      </w:r>
    </w:p>
    <w:tbl>
      <w:tblPr>
        <w:tblStyle w:val="PlainTable4"/>
        <w:tblW w:w="13953" w:type="dxa"/>
        <w:tblLayout w:type="fixed"/>
        <w:tblLook w:val="04A0" w:firstRow="1" w:lastRow="0" w:firstColumn="1" w:lastColumn="0" w:noHBand="0" w:noVBand="1"/>
      </w:tblPr>
      <w:tblGrid>
        <w:gridCol w:w="1418"/>
        <w:gridCol w:w="567"/>
        <w:gridCol w:w="567"/>
        <w:gridCol w:w="425"/>
        <w:gridCol w:w="567"/>
        <w:gridCol w:w="567"/>
        <w:gridCol w:w="567"/>
        <w:gridCol w:w="709"/>
        <w:gridCol w:w="1134"/>
        <w:gridCol w:w="992"/>
        <w:gridCol w:w="567"/>
        <w:gridCol w:w="851"/>
        <w:gridCol w:w="708"/>
        <w:gridCol w:w="709"/>
        <w:gridCol w:w="142"/>
        <w:gridCol w:w="850"/>
        <w:gridCol w:w="1701"/>
        <w:gridCol w:w="912"/>
      </w:tblGrid>
      <w:tr w:rsidR="0051112E" w:rsidRPr="0051112E" w14:paraId="52B7A3E3" w14:textId="77777777" w:rsidTr="0051112E">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544" w:type="dxa"/>
            <w:gridSpan w:val="5"/>
            <w:tcBorders>
              <w:bottom w:val="single" w:sz="12" w:space="0" w:color="auto"/>
            </w:tcBorders>
            <w:shd w:val="clear" w:color="auto" w:fill="A5C9EB" w:themeFill="text2" w:themeFillTint="40"/>
            <w:noWrap/>
            <w:hideMark/>
          </w:tcPr>
          <w:p w14:paraId="3E5904A5" w14:textId="77777777" w:rsidR="0051112E" w:rsidRPr="00495497" w:rsidRDefault="0051112E" w:rsidP="0051112E">
            <w:pPr>
              <w:jc w:val="center"/>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Study Characteristics</w:t>
            </w:r>
          </w:p>
        </w:tc>
        <w:tc>
          <w:tcPr>
            <w:tcW w:w="1843" w:type="dxa"/>
            <w:gridSpan w:val="3"/>
            <w:tcBorders>
              <w:bottom w:val="single" w:sz="12" w:space="0" w:color="auto"/>
            </w:tcBorders>
            <w:shd w:val="clear" w:color="auto" w:fill="A5C9EB" w:themeFill="text2" w:themeFillTint="40"/>
            <w:noWrap/>
            <w:hideMark/>
          </w:tcPr>
          <w:p w14:paraId="781408AD" w14:textId="77777777"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Study Design</w:t>
            </w:r>
          </w:p>
        </w:tc>
        <w:tc>
          <w:tcPr>
            <w:tcW w:w="2126" w:type="dxa"/>
            <w:gridSpan w:val="2"/>
            <w:tcBorders>
              <w:bottom w:val="single" w:sz="12" w:space="0" w:color="auto"/>
            </w:tcBorders>
            <w:shd w:val="clear" w:color="auto" w:fill="A5C9EB" w:themeFill="text2" w:themeFillTint="40"/>
            <w:noWrap/>
            <w:hideMark/>
          </w:tcPr>
          <w:p w14:paraId="339DD3C7" w14:textId="77777777"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Study Population</w:t>
            </w:r>
          </w:p>
        </w:tc>
        <w:tc>
          <w:tcPr>
            <w:tcW w:w="2126" w:type="dxa"/>
            <w:gridSpan w:val="3"/>
            <w:tcBorders>
              <w:bottom w:val="single" w:sz="12" w:space="0" w:color="auto"/>
            </w:tcBorders>
            <w:shd w:val="clear" w:color="auto" w:fill="A5C9EB" w:themeFill="text2" w:themeFillTint="40"/>
            <w:noWrap/>
            <w:hideMark/>
          </w:tcPr>
          <w:p w14:paraId="48D24798" w14:textId="77777777"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Exposure</w:t>
            </w:r>
          </w:p>
        </w:tc>
        <w:tc>
          <w:tcPr>
            <w:tcW w:w="851" w:type="dxa"/>
            <w:gridSpan w:val="2"/>
            <w:tcBorders>
              <w:bottom w:val="single" w:sz="12" w:space="0" w:color="auto"/>
            </w:tcBorders>
            <w:shd w:val="clear" w:color="auto" w:fill="A5C9EB" w:themeFill="text2" w:themeFillTint="40"/>
            <w:hideMark/>
          </w:tcPr>
          <w:p w14:paraId="461164F1" w14:textId="77777777"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Outcomes</w:t>
            </w:r>
          </w:p>
        </w:tc>
        <w:tc>
          <w:tcPr>
            <w:tcW w:w="850" w:type="dxa"/>
            <w:tcBorders>
              <w:bottom w:val="single" w:sz="12" w:space="0" w:color="auto"/>
            </w:tcBorders>
            <w:shd w:val="clear" w:color="auto" w:fill="A5C9EB" w:themeFill="text2" w:themeFillTint="40"/>
            <w:hideMark/>
          </w:tcPr>
          <w:p w14:paraId="245A3969" w14:textId="2C6CD184"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p>
        </w:tc>
        <w:tc>
          <w:tcPr>
            <w:tcW w:w="1701" w:type="dxa"/>
            <w:vMerge w:val="restart"/>
            <w:tcBorders>
              <w:bottom w:val="single" w:sz="12" w:space="0" w:color="auto"/>
            </w:tcBorders>
            <w:shd w:val="clear" w:color="auto" w:fill="A5C9EB" w:themeFill="text2" w:themeFillTint="40"/>
            <w:hideMark/>
          </w:tcPr>
          <w:p w14:paraId="34592C0A" w14:textId="77777777"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Key findings</w:t>
            </w:r>
          </w:p>
        </w:tc>
        <w:tc>
          <w:tcPr>
            <w:tcW w:w="912" w:type="dxa"/>
            <w:vMerge w:val="restart"/>
            <w:tcBorders>
              <w:bottom w:val="single" w:sz="12" w:space="0" w:color="auto"/>
            </w:tcBorders>
            <w:shd w:val="clear" w:color="auto" w:fill="A5C9EB" w:themeFill="text2" w:themeFillTint="40"/>
            <w:hideMark/>
          </w:tcPr>
          <w:p w14:paraId="5BFB4CA1" w14:textId="77777777" w:rsidR="0051112E" w:rsidRPr="00495497" w:rsidRDefault="0051112E" w:rsidP="0051112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Confounders/Adjustments</w:t>
            </w:r>
          </w:p>
        </w:tc>
      </w:tr>
      <w:tr w:rsidR="00311ACB" w:rsidRPr="0051112E" w14:paraId="5BF40200" w14:textId="77777777" w:rsidTr="005111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tcBorders>
              <w:top w:val="single" w:sz="12" w:space="0" w:color="auto"/>
              <w:bottom w:val="single" w:sz="12" w:space="0" w:color="auto"/>
            </w:tcBorders>
            <w:shd w:val="clear" w:color="auto" w:fill="A5C9EB" w:themeFill="text2" w:themeFillTint="40"/>
            <w:hideMark/>
          </w:tcPr>
          <w:p w14:paraId="6A172EC7" w14:textId="77777777" w:rsidR="0051112E" w:rsidRPr="00495497" w:rsidRDefault="0051112E" w:rsidP="0051112E">
            <w:pPr>
              <w:jc w:val="center"/>
              <w:rPr>
                <w:rFonts w:ascii="Aptos Narrow" w:eastAsia="Times New Roman" w:hAnsi="Aptos Narrow" w:cs="Times New Roman"/>
                <w:color w:val="000000"/>
                <w:sz w:val="16"/>
                <w:szCs w:val="16"/>
                <w:vertAlign w:val="superscript"/>
                <w:lang w:eastAsia="en-GB"/>
              </w:rPr>
            </w:pPr>
            <w:r w:rsidRPr="00495497">
              <w:rPr>
                <w:rFonts w:ascii="Aptos Narrow" w:eastAsia="Times New Roman" w:hAnsi="Aptos Narrow" w:cs="Times New Roman"/>
                <w:color w:val="000000"/>
                <w:sz w:val="16"/>
                <w:szCs w:val="16"/>
                <w:vertAlign w:val="superscript"/>
                <w:lang w:eastAsia="en-GB"/>
              </w:rPr>
              <w:t>Title</w:t>
            </w:r>
          </w:p>
        </w:tc>
        <w:tc>
          <w:tcPr>
            <w:tcW w:w="567" w:type="dxa"/>
            <w:tcBorders>
              <w:top w:val="single" w:sz="12" w:space="0" w:color="auto"/>
              <w:bottom w:val="single" w:sz="12" w:space="0" w:color="auto"/>
            </w:tcBorders>
            <w:shd w:val="clear" w:color="auto" w:fill="A5C9EB" w:themeFill="text2" w:themeFillTint="40"/>
            <w:hideMark/>
          </w:tcPr>
          <w:p w14:paraId="166A770A"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Authors</w:t>
            </w:r>
          </w:p>
        </w:tc>
        <w:tc>
          <w:tcPr>
            <w:tcW w:w="567" w:type="dxa"/>
            <w:tcBorders>
              <w:top w:val="single" w:sz="12" w:space="0" w:color="auto"/>
              <w:bottom w:val="single" w:sz="12" w:space="0" w:color="auto"/>
            </w:tcBorders>
            <w:shd w:val="clear" w:color="auto" w:fill="A5C9EB" w:themeFill="text2" w:themeFillTint="40"/>
            <w:hideMark/>
          </w:tcPr>
          <w:p w14:paraId="0D657FF2"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Journal</w:t>
            </w:r>
          </w:p>
        </w:tc>
        <w:tc>
          <w:tcPr>
            <w:tcW w:w="425" w:type="dxa"/>
            <w:tcBorders>
              <w:top w:val="single" w:sz="12" w:space="0" w:color="auto"/>
              <w:bottom w:val="single" w:sz="12" w:space="0" w:color="auto"/>
            </w:tcBorders>
            <w:shd w:val="clear" w:color="auto" w:fill="A5C9EB" w:themeFill="text2" w:themeFillTint="40"/>
            <w:hideMark/>
          </w:tcPr>
          <w:p w14:paraId="09EA1B11" w14:textId="65AE8859"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Year</w:t>
            </w:r>
          </w:p>
        </w:tc>
        <w:tc>
          <w:tcPr>
            <w:tcW w:w="567" w:type="dxa"/>
            <w:tcBorders>
              <w:top w:val="single" w:sz="12" w:space="0" w:color="auto"/>
              <w:bottom w:val="single" w:sz="12" w:space="0" w:color="auto"/>
            </w:tcBorders>
            <w:shd w:val="clear" w:color="auto" w:fill="A5C9EB" w:themeFill="text2" w:themeFillTint="40"/>
            <w:hideMark/>
          </w:tcPr>
          <w:p w14:paraId="751D1ED5"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Country</w:t>
            </w:r>
          </w:p>
        </w:tc>
        <w:tc>
          <w:tcPr>
            <w:tcW w:w="567" w:type="dxa"/>
            <w:tcBorders>
              <w:top w:val="single" w:sz="12" w:space="0" w:color="auto"/>
              <w:bottom w:val="single" w:sz="12" w:space="0" w:color="auto"/>
            </w:tcBorders>
            <w:shd w:val="clear" w:color="auto" w:fill="A5C9EB" w:themeFill="text2" w:themeFillTint="40"/>
            <w:hideMark/>
          </w:tcPr>
          <w:p w14:paraId="7934D267"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Design</w:t>
            </w:r>
          </w:p>
        </w:tc>
        <w:tc>
          <w:tcPr>
            <w:tcW w:w="567" w:type="dxa"/>
            <w:tcBorders>
              <w:top w:val="single" w:sz="12" w:space="0" w:color="auto"/>
              <w:bottom w:val="single" w:sz="12" w:space="0" w:color="auto"/>
            </w:tcBorders>
            <w:shd w:val="clear" w:color="auto" w:fill="A5C9EB" w:themeFill="text2" w:themeFillTint="40"/>
            <w:hideMark/>
          </w:tcPr>
          <w:p w14:paraId="7A78B160"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Sample Size</w:t>
            </w:r>
          </w:p>
        </w:tc>
        <w:tc>
          <w:tcPr>
            <w:tcW w:w="709" w:type="dxa"/>
            <w:tcBorders>
              <w:top w:val="single" w:sz="12" w:space="0" w:color="auto"/>
              <w:bottom w:val="single" w:sz="12" w:space="0" w:color="auto"/>
            </w:tcBorders>
            <w:shd w:val="clear" w:color="auto" w:fill="A5C9EB" w:themeFill="text2" w:themeFillTint="40"/>
            <w:hideMark/>
          </w:tcPr>
          <w:p w14:paraId="0339A8BD"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Setting</w:t>
            </w:r>
          </w:p>
        </w:tc>
        <w:tc>
          <w:tcPr>
            <w:tcW w:w="1134" w:type="dxa"/>
            <w:tcBorders>
              <w:top w:val="single" w:sz="12" w:space="0" w:color="auto"/>
              <w:bottom w:val="single" w:sz="12" w:space="0" w:color="auto"/>
            </w:tcBorders>
            <w:shd w:val="clear" w:color="auto" w:fill="A5C9EB" w:themeFill="text2" w:themeFillTint="40"/>
            <w:hideMark/>
          </w:tcPr>
          <w:p w14:paraId="560B0DAF"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Inclusion/exclusion criteria</w:t>
            </w:r>
          </w:p>
        </w:tc>
        <w:tc>
          <w:tcPr>
            <w:tcW w:w="992" w:type="dxa"/>
            <w:tcBorders>
              <w:top w:val="single" w:sz="12" w:space="0" w:color="auto"/>
              <w:bottom w:val="single" w:sz="12" w:space="0" w:color="auto"/>
            </w:tcBorders>
            <w:shd w:val="clear" w:color="auto" w:fill="A5C9EB" w:themeFill="text2" w:themeFillTint="40"/>
            <w:hideMark/>
          </w:tcPr>
          <w:p w14:paraId="0118E72B"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Characteristics</w:t>
            </w:r>
          </w:p>
        </w:tc>
        <w:tc>
          <w:tcPr>
            <w:tcW w:w="567" w:type="dxa"/>
            <w:tcBorders>
              <w:top w:val="single" w:sz="12" w:space="0" w:color="auto"/>
              <w:bottom w:val="single" w:sz="12" w:space="0" w:color="auto"/>
            </w:tcBorders>
            <w:shd w:val="clear" w:color="auto" w:fill="A5C9EB" w:themeFill="text2" w:themeFillTint="40"/>
            <w:noWrap/>
            <w:hideMark/>
          </w:tcPr>
          <w:p w14:paraId="33691904"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Exposure metric</w:t>
            </w:r>
          </w:p>
        </w:tc>
        <w:tc>
          <w:tcPr>
            <w:tcW w:w="851" w:type="dxa"/>
            <w:tcBorders>
              <w:top w:val="single" w:sz="12" w:space="0" w:color="auto"/>
              <w:bottom w:val="single" w:sz="12" w:space="0" w:color="auto"/>
            </w:tcBorders>
            <w:shd w:val="clear" w:color="auto" w:fill="A5C9EB" w:themeFill="text2" w:themeFillTint="40"/>
            <w:noWrap/>
            <w:hideMark/>
          </w:tcPr>
          <w:p w14:paraId="61F1715D"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Operational definition</w:t>
            </w:r>
          </w:p>
        </w:tc>
        <w:tc>
          <w:tcPr>
            <w:tcW w:w="708" w:type="dxa"/>
            <w:tcBorders>
              <w:top w:val="single" w:sz="12" w:space="0" w:color="auto"/>
              <w:bottom w:val="single" w:sz="12" w:space="0" w:color="auto"/>
            </w:tcBorders>
            <w:shd w:val="clear" w:color="auto" w:fill="A5C9EB" w:themeFill="text2" w:themeFillTint="40"/>
            <w:hideMark/>
          </w:tcPr>
          <w:p w14:paraId="0696E9FF"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Window (duration and timing)</w:t>
            </w:r>
          </w:p>
        </w:tc>
        <w:tc>
          <w:tcPr>
            <w:tcW w:w="851" w:type="dxa"/>
            <w:gridSpan w:val="2"/>
            <w:tcBorders>
              <w:top w:val="single" w:sz="12" w:space="0" w:color="auto"/>
              <w:bottom w:val="single" w:sz="12" w:space="0" w:color="auto"/>
            </w:tcBorders>
            <w:shd w:val="clear" w:color="auto" w:fill="A5C9EB" w:themeFill="text2" w:themeFillTint="40"/>
            <w:hideMark/>
          </w:tcPr>
          <w:p w14:paraId="669B9867"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Assessed outcomes</w:t>
            </w:r>
          </w:p>
        </w:tc>
        <w:tc>
          <w:tcPr>
            <w:tcW w:w="850" w:type="dxa"/>
            <w:tcBorders>
              <w:top w:val="single" w:sz="12" w:space="0" w:color="auto"/>
              <w:bottom w:val="single" w:sz="12" w:space="0" w:color="auto"/>
            </w:tcBorders>
            <w:shd w:val="clear" w:color="auto" w:fill="A5C9EB" w:themeFill="text2" w:themeFillTint="40"/>
            <w:hideMark/>
          </w:tcPr>
          <w:p w14:paraId="7A328D2B"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r w:rsidRPr="00495497">
              <w:rPr>
                <w:rFonts w:ascii="Aptos Narrow" w:eastAsia="Times New Roman" w:hAnsi="Aptos Narrow" w:cs="Times New Roman"/>
                <w:b/>
                <w:bCs/>
                <w:color w:val="000000"/>
                <w:sz w:val="16"/>
                <w:szCs w:val="16"/>
                <w:vertAlign w:val="superscript"/>
                <w:lang w:eastAsia="en-GB"/>
              </w:rPr>
              <w:t>Definition outcomes</w:t>
            </w:r>
          </w:p>
        </w:tc>
        <w:tc>
          <w:tcPr>
            <w:tcW w:w="1701" w:type="dxa"/>
            <w:vMerge/>
            <w:tcBorders>
              <w:top w:val="single" w:sz="12" w:space="0" w:color="auto"/>
              <w:bottom w:val="single" w:sz="12" w:space="0" w:color="auto"/>
            </w:tcBorders>
            <w:shd w:val="clear" w:color="auto" w:fill="A5C9EB" w:themeFill="text2" w:themeFillTint="40"/>
            <w:hideMark/>
          </w:tcPr>
          <w:p w14:paraId="005E9E17"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p>
        </w:tc>
        <w:tc>
          <w:tcPr>
            <w:tcW w:w="912" w:type="dxa"/>
            <w:vMerge/>
            <w:tcBorders>
              <w:top w:val="single" w:sz="12" w:space="0" w:color="auto"/>
              <w:bottom w:val="single" w:sz="12" w:space="0" w:color="auto"/>
            </w:tcBorders>
            <w:shd w:val="clear" w:color="auto" w:fill="A5C9EB" w:themeFill="text2" w:themeFillTint="40"/>
            <w:hideMark/>
          </w:tcPr>
          <w:p w14:paraId="48E38862" w14:textId="77777777" w:rsidR="0051112E" w:rsidRPr="00495497" w:rsidRDefault="0051112E" w:rsidP="0051112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sz w:val="16"/>
                <w:szCs w:val="16"/>
                <w:vertAlign w:val="superscript"/>
                <w:lang w:eastAsia="en-GB"/>
              </w:rPr>
            </w:pPr>
          </w:p>
        </w:tc>
      </w:tr>
      <w:tr w:rsidR="0051112E" w:rsidRPr="0051112E" w14:paraId="462E7361" w14:textId="77777777" w:rsidTr="0051112E">
        <w:trPr>
          <w:trHeight w:val="1375"/>
        </w:trPr>
        <w:tc>
          <w:tcPr>
            <w:cnfStyle w:val="001000000000" w:firstRow="0" w:lastRow="0" w:firstColumn="1" w:lastColumn="0" w:oddVBand="0" w:evenVBand="0" w:oddHBand="0" w:evenHBand="0" w:firstRowFirstColumn="0" w:firstRowLastColumn="0" w:lastRowFirstColumn="0" w:lastRowLastColumn="0"/>
            <w:tcW w:w="1418" w:type="dxa"/>
            <w:tcBorders>
              <w:top w:val="single" w:sz="12" w:space="0" w:color="auto"/>
            </w:tcBorders>
            <w:hideMark/>
          </w:tcPr>
          <w:p w14:paraId="3AFD9F87"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Adverse Birth Outcomes Associated with Heat Stress and Wildfire Smoke Exposure During Preconception and Pregnancy</w:t>
            </w:r>
          </w:p>
        </w:tc>
        <w:tc>
          <w:tcPr>
            <w:tcW w:w="567" w:type="dxa"/>
            <w:tcBorders>
              <w:top w:val="single" w:sz="12" w:space="0" w:color="auto"/>
            </w:tcBorders>
            <w:hideMark/>
          </w:tcPr>
          <w:p w14:paraId="2EDDDC9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Khalili R</w:t>
            </w:r>
            <w:r w:rsidRPr="0051112E">
              <w:rPr>
                <w:rFonts w:ascii="Calibri" w:eastAsia="Times New Roman" w:hAnsi="Calibri" w:cs="Calibri"/>
                <w:color w:val="000000"/>
                <w:sz w:val="15"/>
                <w:szCs w:val="15"/>
                <w:vertAlign w:val="superscript"/>
                <w:lang w:eastAsia="en-GB"/>
              </w:rPr>
              <w:t xml:space="preserve"> et al.</w:t>
            </w:r>
          </w:p>
        </w:tc>
        <w:tc>
          <w:tcPr>
            <w:tcW w:w="567" w:type="dxa"/>
            <w:tcBorders>
              <w:top w:val="single" w:sz="12" w:space="0" w:color="auto"/>
            </w:tcBorders>
            <w:hideMark/>
          </w:tcPr>
          <w:p w14:paraId="1064E2A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Environmental Science &amp; Technology</w:t>
            </w:r>
          </w:p>
        </w:tc>
        <w:tc>
          <w:tcPr>
            <w:tcW w:w="425" w:type="dxa"/>
            <w:tcBorders>
              <w:top w:val="single" w:sz="12" w:space="0" w:color="auto"/>
            </w:tcBorders>
            <w:hideMark/>
          </w:tcPr>
          <w:p w14:paraId="0956F66F"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tcBorders>
              <w:top w:val="single" w:sz="12" w:space="0" w:color="auto"/>
            </w:tcBorders>
            <w:hideMark/>
          </w:tcPr>
          <w:p w14:paraId="6838BFC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United States</w:t>
            </w:r>
          </w:p>
        </w:tc>
        <w:tc>
          <w:tcPr>
            <w:tcW w:w="567" w:type="dxa"/>
            <w:tcBorders>
              <w:top w:val="single" w:sz="12" w:space="0" w:color="auto"/>
            </w:tcBorders>
            <w:hideMark/>
          </w:tcPr>
          <w:p w14:paraId="64227C7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Prospective cohort</w:t>
            </w:r>
          </w:p>
        </w:tc>
        <w:tc>
          <w:tcPr>
            <w:tcW w:w="567" w:type="dxa"/>
            <w:tcBorders>
              <w:top w:val="single" w:sz="12" w:space="0" w:color="auto"/>
            </w:tcBorders>
            <w:hideMark/>
          </w:tcPr>
          <w:p w14:paraId="1A0D405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713</w:t>
            </w:r>
          </w:p>
        </w:tc>
        <w:tc>
          <w:tcPr>
            <w:tcW w:w="709" w:type="dxa"/>
            <w:tcBorders>
              <w:top w:val="single" w:sz="12" w:space="0" w:color="auto"/>
            </w:tcBorders>
            <w:hideMark/>
          </w:tcPr>
          <w:p w14:paraId="096A070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Clinic</w:t>
            </w:r>
          </w:p>
        </w:tc>
        <w:tc>
          <w:tcPr>
            <w:tcW w:w="1134" w:type="dxa"/>
            <w:tcBorders>
              <w:top w:val="single" w:sz="12" w:space="0" w:color="auto"/>
            </w:tcBorders>
            <w:hideMark/>
          </w:tcPr>
          <w:p w14:paraId="439D2F1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&gt;18 years, &lt;30 weeks’ gestation, English/Spanish, receiving prenatal care at participating clinics; excluded HIV-positive, multiple gestation, current incarceration, inability to consent.</w:t>
            </w:r>
          </w:p>
        </w:tc>
        <w:tc>
          <w:tcPr>
            <w:tcW w:w="992" w:type="dxa"/>
            <w:tcBorders>
              <w:top w:val="single" w:sz="12" w:space="0" w:color="auto"/>
            </w:tcBorders>
            <w:hideMark/>
          </w:tcPr>
          <w:p w14:paraId="0024C6D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Preconception and trimester-specific heat and wildfire smoke exposures; neighborhood climate vulnerability as an effect modifier.</w:t>
            </w:r>
          </w:p>
        </w:tc>
        <w:tc>
          <w:tcPr>
            <w:tcW w:w="567" w:type="dxa"/>
            <w:tcBorders>
              <w:top w:val="single" w:sz="12" w:space="0" w:color="auto"/>
            </w:tcBorders>
            <w:hideMark/>
          </w:tcPr>
          <w:p w14:paraId="1DEC3FF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Wet Bulb Globe Temperature + Daily Maximum Heat Index </w:t>
            </w:r>
          </w:p>
        </w:tc>
        <w:tc>
          <w:tcPr>
            <w:tcW w:w="851" w:type="dxa"/>
            <w:tcBorders>
              <w:top w:val="single" w:sz="12" w:space="0" w:color="auto"/>
            </w:tcBorders>
            <w:hideMark/>
          </w:tcPr>
          <w:p w14:paraId="0B5F43E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Modeled as continuous variable (per °C or SD increase) </w:t>
            </w:r>
          </w:p>
        </w:tc>
        <w:tc>
          <w:tcPr>
            <w:tcW w:w="708" w:type="dxa"/>
            <w:tcBorders>
              <w:top w:val="single" w:sz="12" w:space="0" w:color="auto"/>
            </w:tcBorders>
            <w:hideMark/>
          </w:tcPr>
          <w:p w14:paraId="60BD7E6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Preconception and trimester-specific windows.</w:t>
            </w:r>
          </w:p>
        </w:tc>
        <w:tc>
          <w:tcPr>
            <w:tcW w:w="851" w:type="dxa"/>
            <w:gridSpan w:val="2"/>
            <w:tcBorders>
              <w:top w:val="single" w:sz="12" w:space="0" w:color="auto"/>
            </w:tcBorders>
            <w:hideMark/>
          </w:tcPr>
          <w:p w14:paraId="60A68B0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Small for gestational age; low birth weight; growth-for-gestational-age z-score</w:t>
            </w:r>
          </w:p>
        </w:tc>
        <w:tc>
          <w:tcPr>
            <w:tcW w:w="850" w:type="dxa"/>
            <w:tcBorders>
              <w:top w:val="single" w:sz="12" w:space="0" w:color="auto"/>
            </w:tcBorders>
            <w:hideMark/>
          </w:tcPr>
          <w:p w14:paraId="702FACE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SGA per Fenton charts; LBW &lt;2,500 g; Fenton growth z-score.</w:t>
            </w:r>
          </w:p>
        </w:tc>
        <w:tc>
          <w:tcPr>
            <w:tcW w:w="1701" w:type="dxa"/>
            <w:tcBorders>
              <w:top w:val="single" w:sz="12" w:space="0" w:color="auto"/>
            </w:tcBorders>
            <w:hideMark/>
          </w:tcPr>
          <w:p w14:paraId="700930A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Per 1 SD higher daily max heat index: SGA odds preconception OR 1.37 (95% CI 1.00–1.89); first trimester OR 1.43 (95% CI 1.03–1.99). In high climate</w:t>
            </w:r>
            <w:r w:rsidRPr="00495497">
              <w:rPr>
                <w:rFonts w:ascii="Calibri" w:eastAsia="Times New Roman" w:hAnsi="Calibri" w:cs="Calibri"/>
                <w:color w:val="000000"/>
                <w:sz w:val="15"/>
                <w:szCs w:val="15"/>
                <w:vertAlign w:val="superscript"/>
                <w:lang w:eastAsia="en-GB"/>
              </w:rPr>
              <w:noBreakHyphen/>
              <w:t>vulnerability neighborhoods, preconception wet</w:t>
            </w:r>
            <w:r w:rsidRPr="00495497">
              <w:rPr>
                <w:rFonts w:ascii="Calibri" w:eastAsia="Times New Roman" w:hAnsi="Calibri" w:cs="Calibri"/>
                <w:color w:val="000000"/>
                <w:sz w:val="15"/>
                <w:szCs w:val="15"/>
                <w:vertAlign w:val="superscript"/>
                <w:lang w:eastAsia="en-GB"/>
              </w:rPr>
              <w:noBreakHyphen/>
              <w:t>bulb globe temperature OR 2.32 (95% CI 1.62–3.03) for SGA. LBW decreased with third</w:t>
            </w:r>
            <w:r w:rsidRPr="00495497">
              <w:rPr>
                <w:rFonts w:ascii="Calibri" w:eastAsia="Times New Roman" w:hAnsi="Calibri" w:cs="Calibri"/>
                <w:color w:val="000000"/>
                <w:sz w:val="15"/>
                <w:szCs w:val="15"/>
                <w:vertAlign w:val="superscript"/>
                <w:lang w:eastAsia="en-GB"/>
              </w:rPr>
              <w:noBreakHyphen/>
              <w:t>trimester wet</w:t>
            </w:r>
            <w:r w:rsidRPr="00495497">
              <w:rPr>
                <w:rFonts w:ascii="Calibri" w:eastAsia="Times New Roman" w:hAnsi="Calibri" w:cs="Calibri"/>
                <w:color w:val="000000"/>
                <w:sz w:val="15"/>
                <w:szCs w:val="15"/>
                <w:vertAlign w:val="superscript"/>
                <w:lang w:eastAsia="en-GB"/>
              </w:rPr>
              <w:noBreakHyphen/>
              <w:t>bulb globe temperature (OR 0.63, 95% CI 0.40–0.99).</w:t>
            </w:r>
          </w:p>
        </w:tc>
        <w:tc>
          <w:tcPr>
            <w:tcW w:w="912" w:type="dxa"/>
            <w:tcBorders>
              <w:top w:val="single" w:sz="12" w:space="0" w:color="auto"/>
            </w:tcBorders>
            <w:hideMark/>
          </w:tcPr>
          <w:p w14:paraId="2B9D220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Hispanic ethnicity, smoking history, parity, air</w:t>
            </w:r>
            <w:r w:rsidRPr="00495497">
              <w:rPr>
                <w:rFonts w:ascii="Calibri" w:eastAsia="Times New Roman" w:hAnsi="Calibri" w:cs="Calibri"/>
                <w:color w:val="000000"/>
                <w:sz w:val="15"/>
                <w:szCs w:val="15"/>
                <w:vertAlign w:val="superscript"/>
                <w:lang w:eastAsia="en-GB"/>
              </w:rPr>
              <w:noBreakHyphen/>
              <w:t>conditioner use; diabetes (SGA models); gestational age (LBW models).</w:t>
            </w:r>
          </w:p>
        </w:tc>
      </w:tr>
      <w:tr w:rsidR="0051112E" w:rsidRPr="0051112E" w14:paraId="379AE608" w14:textId="77777777" w:rsidTr="0051112E">
        <w:trPr>
          <w:cnfStyle w:val="000000100000" w:firstRow="0" w:lastRow="0" w:firstColumn="0" w:lastColumn="0" w:oddVBand="0" w:evenVBand="0" w:oddHBand="1" w:evenHBand="0" w:firstRowFirstColumn="0" w:firstRowLastColumn="0" w:lastRowFirstColumn="0" w:lastRowLastColumn="0"/>
          <w:trHeight w:val="1407"/>
        </w:trPr>
        <w:tc>
          <w:tcPr>
            <w:cnfStyle w:val="001000000000" w:firstRow="0" w:lastRow="0" w:firstColumn="1" w:lastColumn="0" w:oddVBand="0" w:evenVBand="0" w:oddHBand="0" w:evenHBand="0" w:firstRowFirstColumn="0" w:firstRowLastColumn="0" w:lastRowFirstColumn="0" w:lastRowLastColumn="0"/>
            <w:tcW w:w="1418" w:type="dxa"/>
            <w:hideMark/>
          </w:tcPr>
          <w:p w14:paraId="7F0D231B"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Country-level impact of climate change on maternal and newborn health: Associations between temperature, precipitation, maternal mortality, stillbirth, and neonatal mortality in the Democratic Republic of the Congo</w:t>
            </w:r>
          </w:p>
        </w:tc>
        <w:tc>
          <w:tcPr>
            <w:tcW w:w="567" w:type="dxa"/>
            <w:hideMark/>
          </w:tcPr>
          <w:p w14:paraId="3608BEF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Ngongo CJ</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0892E2D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Environment International</w:t>
            </w:r>
          </w:p>
        </w:tc>
        <w:tc>
          <w:tcPr>
            <w:tcW w:w="425" w:type="dxa"/>
            <w:hideMark/>
          </w:tcPr>
          <w:p w14:paraId="06146B02"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5859E19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Democratic Republic of the Congo</w:t>
            </w:r>
          </w:p>
        </w:tc>
        <w:tc>
          <w:tcPr>
            <w:tcW w:w="567" w:type="dxa"/>
            <w:hideMark/>
          </w:tcPr>
          <w:p w14:paraId="0B309B6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Ecological spatiotemporal analysis (GAMMs)</w:t>
            </w:r>
          </w:p>
        </w:tc>
        <w:tc>
          <w:tcPr>
            <w:tcW w:w="567" w:type="dxa"/>
            <w:hideMark/>
          </w:tcPr>
          <w:p w14:paraId="62C76D3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22,700,000</w:t>
            </w:r>
          </w:p>
        </w:tc>
        <w:tc>
          <w:tcPr>
            <w:tcW w:w="709" w:type="dxa"/>
            <w:hideMark/>
          </w:tcPr>
          <w:p w14:paraId="17B53E1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National registry</w:t>
            </w:r>
          </w:p>
        </w:tc>
        <w:tc>
          <w:tcPr>
            <w:tcW w:w="1134" w:type="dxa"/>
            <w:hideMark/>
          </w:tcPr>
          <w:p w14:paraId="1F1C5FF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Health zones with available DHIS2 maternal/newborn indicators and climate linkage; excluded months/zones with missing or implausible data.</w:t>
            </w:r>
          </w:p>
        </w:tc>
        <w:tc>
          <w:tcPr>
            <w:tcW w:w="992" w:type="dxa"/>
            <w:hideMark/>
          </w:tcPr>
          <w:p w14:paraId="1E9A252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Aggregated monthly outcomes by health zone; temperature and precipitation covariates.</w:t>
            </w:r>
          </w:p>
        </w:tc>
        <w:tc>
          <w:tcPr>
            <w:tcW w:w="567" w:type="dxa"/>
            <w:hideMark/>
          </w:tcPr>
          <w:p w14:paraId="1A90194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Land surface temperature (heat)</w:t>
            </w:r>
          </w:p>
        </w:tc>
        <w:tc>
          <w:tcPr>
            <w:tcW w:w="851" w:type="dxa"/>
            <w:hideMark/>
          </w:tcPr>
          <w:p w14:paraId="2526263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Monthly mean LST; effects per +1 °C above 34 °C; anomalies above 95th percentile baseline.</w:t>
            </w:r>
          </w:p>
        </w:tc>
        <w:tc>
          <w:tcPr>
            <w:tcW w:w="708" w:type="dxa"/>
            <w:hideMark/>
          </w:tcPr>
          <w:p w14:paraId="4394BDA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Monthly exposures and outcomes.</w:t>
            </w:r>
          </w:p>
        </w:tc>
        <w:tc>
          <w:tcPr>
            <w:tcW w:w="851" w:type="dxa"/>
            <w:gridSpan w:val="2"/>
            <w:hideMark/>
          </w:tcPr>
          <w:p w14:paraId="3C3CC04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Stillbirths, and neonatal mortality.</w:t>
            </w:r>
          </w:p>
        </w:tc>
        <w:tc>
          <w:tcPr>
            <w:tcW w:w="850" w:type="dxa"/>
            <w:hideMark/>
          </w:tcPr>
          <w:p w14:paraId="01A9535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Neonatal deaths per 1,000 live births.</w:t>
            </w:r>
          </w:p>
        </w:tc>
        <w:tc>
          <w:tcPr>
            <w:tcW w:w="1701" w:type="dxa"/>
            <w:hideMark/>
          </w:tcPr>
          <w:p w14:paraId="57EFDC0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Per +1 °C above 34 °C: neonatal mortality increased by +0.6 per 1,000 live births. </w:t>
            </w:r>
            <w:proofErr w:type="gramStart"/>
            <w:r w:rsidRPr="00495497">
              <w:rPr>
                <w:rFonts w:ascii="Calibri" w:eastAsia="Times New Roman" w:hAnsi="Calibri" w:cs="Calibri"/>
                <w:color w:val="000000"/>
                <w:sz w:val="15"/>
                <w:szCs w:val="15"/>
                <w:vertAlign w:val="superscript"/>
                <w:lang w:eastAsia="en-GB"/>
              </w:rPr>
              <w:t>Also</w:t>
            </w:r>
            <w:proofErr w:type="gramEnd"/>
            <w:r w:rsidRPr="00495497">
              <w:rPr>
                <w:rFonts w:ascii="Calibri" w:eastAsia="Times New Roman" w:hAnsi="Calibri" w:cs="Calibri"/>
                <w:color w:val="000000"/>
                <w:sz w:val="15"/>
                <w:szCs w:val="15"/>
                <w:vertAlign w:val="superscript"/>
                <w:lang w:eastAsia="en-GB"/>
              </w:rPr>
              <w:t xml:space="preserve"> stillbirths +2.3 per 1,000 live births.</w:t>
            </w:r>
          </w:p>
        </w:tc>
        <w:tc>
          <w:tcPr>
            <w:tcW w:w="912" w:type="dxa"/>
            <w:hideMark/>
          </w:tcPr>
          <w:p w14:paraId="27D87F5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Precipitation; seasonality; spatial and temporal random effects; health zone structure.</w:t>
            </w:r>
          </w:p>
        </w:tc>
      </w:tr>
      <w:tr w:rsidR="0051112E" w:rsidRPr="0051112E" w14:paraId="3B7570F7" w14:textId="77777777" w:rsidTr="0051112E">
        <w:trPr>
          <w:trHeight w:val="1600"/>
        </w:trPr>
        <w:tc>
          <w:tcPr>
            <w:cnfStyle w:val="001000000000" w:firstRow="0" w:lastRow="0" w:firstColumn="1" w:lastColumn="0" w:oddVBand="0" w:evenVBand="0" w:oddHBand="0" w:evenHBand="0" w:firstRowFirstColumn="0" w:firstRowLastColumn="0" w:lastRowFirstColumn="0" w:lastRowLastColumn="0"/>
            <w:tcW w:w="1418" w:type="dxa"/>
            <w:hideMark/>
          </w:tcPr>
          <w:p w14:paraId="4C77932D"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Assessing the association between prenatal ambient temperature and extreme low birth weight in South Asia</w:t>
            </w:r>
          </w:p>
        </w:tc>
        <w:tc>
          <w:tcPr>
            <w:tcW w:w="567" w:type="dxa"/>
            <w:hideMark/>
          </w:tcPr>
          <w:p w14:paraId="2256101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Ai S</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5AB548E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International Journal of Hygiene and Environmental Health</w:t>
            </w:r>
          </w:p>
        </w:tc>
        <w:tc>
          <w:tcPr>
            <w:tcW w:w="425" w:type="dxa"/>
            <w:hideMark/>
          </w:tcPr>
          <w:p w14:paraId="77B9D4D9"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2F27855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Bangladesh; India; Nepal; Pakistan</w:t>
            </w:r>
          </w:p>
        </w:tc>
        <w:tc>
          <w:tcPr>
            <w:tcW w:w="567" w:type="dxa"/>
            <w:hideMark/>
          </w:tcPr>
          <w:p w14:paraId="1A34164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Cross-sectional pooled analysis (DHS) with mixed-effects models</w:t>
            </w:r>
          </w:p>
        </w:tc>
        <w:tc>
          <w:tcPr>
            <w:tcW w:w="567" w:type="dxa"/>
            <w:hideMark/>
          </w:tcPr>
          <w:p w14:paraId="5B47854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858,128</w:t>
            </w:r>
          </w:p>
        </w:tc>
        <w:tc>
          <w:tcPr>
            <w:tcW w:w="709" w:type="dxa"/>
            <w:hideMark/>
          </w:tcPr>
          <w:p w14:paraId="61D196D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Community</w:t>
            </w:r>
          </w:p>
        </w:tc>
        <w:tc>
          <w:tcPr>
            <w:tcW w:w="1134" w:type="dxa"/>
            <w:hideMark/>
          </w:tcPr>
          <w:p w14:paraId="409494F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DHS births with geolocation and recorded birth weight; excluded missing outcomes/covariates.</w:t>
            </w:r>
          </w:p>
        </w:tc>
        <w:tc>
          <w:tcPr>
            <w:tcW w:w="992" w:type="dxa"/>
            <w:hideMark/>
          </w:tcPr>
          <w:p w14:paraId="1F239FE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Pooled four-country sample.</w:t>
            </w:r>
          </w:p>
        </w:tc>
        <w:tc>
          <w:tcPr>
            <w:tcW w:w="567" w:type="dxa"/>
            <w:hideMark/>
          </w:tcPr>
          <w:p w14:paraId="34BAF28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 (annual mean)</w:t>
            </w:r>
          </w:p>
        </w:tc>
        <w:tc>
          <w:tcPr>
            <w:tcW w:w="851" w:type="dxa"/>
            <w:hideMark/>
          </w:tcPr>
          <w:p w14:paraId="02F818E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Modeled as continuous variable (per °C) </w:t>
            </w:r>
          </w:p>
        </w:tc>
        <w:tc>
          <w:tcPr>
            <w:tcW w:w="708" w:type="dxa"/>
            <w:hideMark/>
          </w:tcPr>
          <w:p w14:paraId="02E08EF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Entire pregnancy (annual mean assigned per birth’s gestational period).</w:t>
            </w:r>
          </w:p>
        </w:tc>
        <w:tc>
          <w:tcPr>
            <w:tcW w:w="851" w:type="dxa"/>
            <w:gridSpan w:val="2"/>
            <w:hideMark/>
          </w:tcPr>
          <w:p w14:paraId="7BDA72C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Extreme low birth weight; birth weight</w:t>
            </w:r>
          </w:p>
        </w:tc>
        <w:tc>
          <w:tcPr>
            <w:tcW w:w="850" w:type="dxa"/>
            <w:hideMark/>
          </w:tcPr>
          <w:p w14:paraId="0672183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ELBW &lt;1,000 g; birth weight in grams.</w:t>
            </w:r>
          </w:p>
        </w:tc>
        <w:tc>
          <w:tcPr>
            <w:tcW w:w="1701" w:type="dxa"/>
            <w:hideMark/>
          </w:tcPr>
          <w:p w14:paraId="6218367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+1 °C associated with +1.02% ELBW (95% CI 0.65–1.39) and −4.18 g birth weight (95% CI −5.75 to −2.61). Heat-attributable fraction for ELBW: 2.25% overall; India 3.01%.</w:t>
            </w:r>
          </w:p>
        </w:tc>
        <w:tc>
          <w:tcPr>
            <w:tcW w:w="912" w:type="dxa"/>
            <w:hideMark/>
          </w:tcPr>
          <w:p w14:paraId="55EE8BC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Maternal age, education, parity, wealth index, urban/rural, infant sex; country and year effects.</w:t>
            </w:r>
          </w:p>
        </w:tc>
      </w:tr>
      <w:tr w:rsidR="0051112E" w:rsidRPr="0051112E" w14:paraId="6D0EC986" w14:textId="77777777" w:rsidTr="0051112E">
        <w:trPr>
          <w:cnfStyle w:val="000000100000" w:firstRow="0" w:lastRow="0" w:firstColumn="0" w:lastColumn="0" w:oddVBand="0" w:evenVBand="0" w:oddHBand="1" w:evenHBand="0" w:firstRowFirstColumn="0" w:firstRowLastColumn="0" w:lastRowFirstColumn="0" w:lastRowLastColumn="0"/>
          <w:trHeight w:val="1379"/>
        </w:trPr>
        <w:tc>
          <w:tcPr>
            <w:cnfStyle w:val="001000000000" w:firstRow="0" w:lastRow="0" w:firstColumn="1" w:lastColumn="0" w:oddVBand="0" w:evenVBand="0" w:oddHBand="0" w:evenHBand="0" w:firstRowFirstColumn="0" w:firstRowLastColumn="0" w:lastRowFirstColumn="0" w:lastRowLastColumn="0"/>
            <w:tcW w:w="1418" w:type="dxa"/>
            <w:hideMark/>
          </w:tcPr>
          <w:p w14:paraId="237B907E"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The Association between Extreme Temperatures and Birth Weight in South Korea</w:t>
            </w:r>
          </w:p>
        </w:tc>
        <w:tc>
          <w:tcPr>
            <w:tcW w:w="567" w:type="dxa"/>
            <w:hideMark/>
          </w:tcPr>
          <w:p w14:paraId="566306A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Jung D</w:t>
            </w:r>
          </w:p>
        </w:tc>
        <w:tc>
          <w:tcPr>
            <w:tcW w:w="567" w:type="dxa"/>
            <w:hideMark/>
          </w:tcPr>
          <w:p w14:paraId="3003A03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Weather, Climate, and Society</w:t>
            </w:r>
          </w:p>
        </w:tc>
        <w:tc>
          <w:tcPr>
            <w:tcW w:w="425" w:type="dxa"/>
            <w:hideMark/>
          </w:tcPr>
          <w:p w14:paraId="1627475D"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7BE9704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South Korea</w:t>
            </w:r>
          </w:p>
        </w:tc>
        <w:tc>
          <w:tcPr>
            <w:tcW w:w="567" w:type="dxa"/>
            <w:hideMark/>
          </w:tcPr>
          <w:p w14:paraId="45856E8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Retrospective cohort (household panel linked to meteorology)</w:t>
            </w:r>
          </w:p>
        </w:tc>
        <w:tc>
          <w:tcPr>
            <w:tcW w:w="567" w:type="dxa"/>
            <w:hideMark/>
          </w:tcPr>
          <w:p w14:paraId="2AEDC19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n = 1,090 </w:t>
            </w:r>
          </w:p>
        </w:tc>
        <w:tc>
          <w:tcPr>
            <w:tcW w:w="709" w:type="dxa"/>
            <w:hideMark/>
          </w:tcPr>
          <w:p w14:paraId="7E29104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Community</w:t>
            </w:r>
          </w:p>
        </w:tc>
        <w:tc>
          <w:tcPr>
            <w:tcW w:w="1134" w:type="dxa"/>
            <w:hideMark/>
          </w:tcPr>
          <w:p w14:paraId="0861694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Korean Health Panel Study: births with complete birth weight and residence; exclusions for missing/implausible values.</w:t>
            </w:r>
          </w:p>
        </w:tc>
        <w:tc>
          <w:tcPr>
            <w:tcW w:w="992" w:type="dxa"/>
            <w:hideMark/>
          </w:tcPr>
          <w:p w14:paraId="1C0F9BC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8000 representative households.</w:t>
            </w:r>
          </w:p>
        </w:tc>
        <w:tc>
          <w:tcPr>
            <w:tcW w:w="567" w:type="dxa"/>
            <w:hideMark/>
          </w:tcPr>
          <w:p w14:paraId="1DD8383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Extreme heat days</w:t>
            </w:r>
          </w:p>
        </w:tc>
        <w:tc>
          <w:tcPr>
            <w:tcW w:w="851" w:type="dxa"/>
            <w:hideMark/>
          </w:tcPr>
          <w:p w14:paraId="0AF0CFA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Count of days with maximum temperature &gt;30 °C by trimester (district level).</w:t>
            </w:r>
          </w:p>
        </w:tc>
        <w:tc>
          <w:tcPr>
            <w:tcW w:w="708" w:type="dxa"/>
            <w:hideMark/>
          </w:tcPr>
          <w:p w14:paraId="5359F17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Trimester-specific counts; focus on second trimester.</w:t>
            </w:r>
          </w:p>
        </w:tc>
        <w:tc>
          <w:tcPr>
            <w:tcW w:w="851" w:type="dxa"/>
            <w:gridSpan w:val="2"/>
            <w:hideMark/>
          </w:tcPr>
          <w:p w14:paraId="3C91088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 weight; low birth weight</w:t>
            </w:r>
          </w:p>
        </w:tc>
        <w:tc>
          <w:tcPr>
            <w:tcW w:w="850" w:type="dxa"/>
            <w:hideMark/>
          </w:tcPr>
          <w:p w14:paraId="2300A93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 weight (g); LBW &lt;2,500 g.</w:t>
            </w:r>
          </w:p>
        </w:tc>
        <w:tc>
          <w:tcPr>
            <w:tcW w:w="1701" w:type="dxa"/>
            <w:hideMark/>
          </w:tcPr>
          <w:p w14:paraId="6B676C3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Each additional day &gt;30 °C in the second trimester was associated with ~0.8% lower birth weight (≈ −8.6 g) and ~0.8 percentage point higher probability of LBW (p &lt; 0.05). Effects stronger in low</w:t>
            </w:r>
            <w:r w:rsidRPr="00495497">
              <w:rPr>
                <w:rFonts w:ascii="Calibri" w:eastAsia="Times New Roman" w:hAnsi="Calibri" w:cs="Calibri"/>
                <w:color w:val="000000"/>
                <w:sz w:val="15"/>
                <w:szCs w:val="15"/>
                <w:vertAlign w:val="superscript"/>
                <w:lang w:eastAsia="en-GB"/>
              </w:rPr>
              <w:noBreakHyphen/>
              <w:t xml:space="preserve">income households. </w:t>
            </w:r>
          </w:p>
        </w:tc>
        <w:tc>
          <w:tcPr>
            <w:tcW w:w="912" w:type="dxa"/>
            <w:hideMark/>
          </w:tcPr>
          <w:p w14:paraId="79AFEC7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Maternal age, education, mode of delivery, fertility history, marital status, parity; household income/assets; </w:t>
            </w:r>
            <w:proofErr w:type="spellStart"/>
            <w:r w:rsidRPr="00495497">
              <w:rPr>
                <w:rFonts w:ascii="Calibri" w:eastAsia="Times New Roman" w:hAnsi="Calibri" w:cs="Calibri"/>
                <w:color w:val="000000"/>
                <w:sz w:val="15"/>
                <w:szCs w:val="15"/>
                <w:vertAlign w:val="superscript"/>
                <w:lang w:eastAsia="en-GB"/>
              </w:rPr>
              <w:t>district×year</w:t>
            </w:r>
            <w:proofErr w:type="spellEnd"/>
            <w:r w:rsidRPr="00495497">
              <w:rPr>
                <w:rFonts w:ascii="Calibri" w:eastAsia="Times New Roman" w:hAnsi="Calibri" w:cs="Calibri"/>
                <w:color w:val="000000"/>
                <w:sz w:val="15"/>
                <w:szCs w:val="15"/>
                <w:vertAlign w:val="superscript"/>
                <w:lang w:eastAsia="en-GB"/>
              </w:rPr>
              <w:t xml:space="preserve"> and month fixed effects.</w:t>
            </w:r>
          </w:p>
        </w:tc>
      </w:tr>
      <w:tr w:rsidR="0051112E" w:rsidRPr="0051112E" w14:paraId="316E5B7C" w14:textId="77777777" w:rsidTr="0051112E">
        <w:trPr>
          <w:trHeight w:val="1280"/>
        </w:trPr>
        <w:tc>
          <w:tcPr>
            <w:cnfStyle w:val="001000000000" w:firstRow="0" w:lastRow="0" w:firstColumn="1" w:lastColumn="0" w:oddVBand="0" w:evenVBand="0" w:oddHBand="0" w:evenHBand="0" w:firstRowFirstColumn="0" w:firstRowLastColumn="0" w:lastRowFirstColumn="0" w:lastRowLastColumn="0"/>
            <w:tcW w:w="1418" w:type="dxa"/>
            <w:hideMark/>
          </w:tcPr>
          <w:p w14:paraId="6B55FA1C"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Heat and humidity on early-life outcomes: Evidence from Mexico</w:t>
            </w:r>
          </w:p>
        </w:tc>
        <w:tc>
          <w:tcPr>
            <w:tcW w:w="567" w:type="dxa"/>
            <w:hideMark/>
          </w:tcPr>
          <w:p w14:paraId="5C68FBA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Hong Y</w:t>
            </w:r>
          </w:p>
        </w:tc>
        <w:tc>
          <w:tcPr>
            <w:tcW w:w="567" w:type="dxa"/>
            <w:hideMark/>
          </w:tcPr>
          <w:p w14:paraId="428C37A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Journal of Environmental Economics and Management</w:t>
            </w:r>
          </w:p>
        </w:tc>
        <w:tc>
          <w:tcPr>
            <w:tcW w:w="425" w:type="dxa"/>
            <w:hideMark/>
          </w:tcPr>
          <w:p w14:paraId="183EC0CE"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3A7763D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Mexico</w:t>
            </w:r>
          </w:p>
        </w:tc>
        <w:tc>
          <w:tcPr>
            <w:tcW w:w="567" w:type="dxa"/>
            <w:hideMark/>
          </w:tcPr>
          <w:p w14:paraId="113E3A7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Retrospective cohort (administrative records with fixed effects)</w:t>
            </w:r>
          </w:p>
        </w:tc>
        <w:tc>
          <w:tcPr>
            <w:tcW w:w="567" w:type="dxa"/>
            <w:hideMark/>
          </w:tcPr>
          <w:p w14:paraId="1B56081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27,352,419</w:t>
            </w:r>
          </w:p>
        </w:tc>
        <w:tc>
          <w:tcPr>
            <w:tcW w:w="709" w:type="dxa"/>
            <w:hideMark/>
          </w:tcPr>
          <w:p w14:paraId="4E81A69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National registry</w:t>
            </w:r>
          </w:p>
        </w:tc>
        <w:tc>
          <w:tcPr>
            <w:tcW w:w="1134" w:type="dxa"/>
            <w:hideMark/>
          </w:tcPr>
          <w:p w14:paraId="5EE18E5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National administrative birth and stillbirth records; linked to gridded weather.</w:t>
            </w:r>
          </w:p>
        </w:tc>
        <w:tc>
          <w:tcPr>
            <w:tcW w:w="992" w:type="dxa"/>
            <w:hideMark/>
          </w:tcPr>
          <w:p w14:paraId="0E1F112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Nationwide coverage; municipality-level linkage</w:t>
            </w:r>
          </w:p>
        </w:tc>
        <w:tc>
          <w:tcPr>
            <w:tcW w:w="567" w:type="dxa"/>
            <w:hideMark/>
          </w:tcPr>
          <w:p w14:paraId="58E2B63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Wet-bulb temperature</w:t>
            </w:r>
          </w:p>
        </w:tc>
        <w:tc>
          <w:tcPr>
            <w:tcW w:w="851" w:type="dxa"/>
            <w:hideMark/>
          </w:tcPr>
          <w:p w14:paraId="0C74ADF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Days per month with wet-bulb temperature above 24 °C</w:t>
            </w:r>
          </w:p>
        </w:tc>
        <w:tc>
          <w:tcPr>
            <w:tcW w:w="708" w:type="dxa"/>
            <w:hideMark/>
          </w:tcPr>
          <w:p w14:paraId="7343156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Gestational weeks/months during pregnancy</w:t>
            </w:r>
          </w:p>
        </w:tc>
        <w:tc>
          <w:tcPr>
            <w:tcW w:w="851" w:type="dxa"/>
            <w:gridSpan w:val="2"/>
            <w:hideMark/>
          </w:tcPr>
          <w:p w14:paraId="6F99ECF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Birthweight; Low birth weight; Preterm birth</w:t>
            </w:r>
          </w:p>
        </w:tc>
        <w:tc>
          <w:tcPr>
            <w:tcW w:w="850" w:type="dxa"/>
            <w:hideMark/>
          </w:tcPr>
          <w:p w14:paraId="7F25591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Birthweight (g); LBW &lt;2,500 g; PTB &lt;37 weeks</w:t>
            </w:r>
          </w:p>
        </w:tc>
        <w:tc>
          <w:tcPr>
            <w:tcW w:w="1701" w:type="dxa"/>
            <w:hideMark/>
          </w:tcPr>
          <w:p w14:paraId="56D77D3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Each additional day per month with </w:t>
            </w:r>
            <w:proofErr w:type="gramStart"/>
            <w:r w:rsidRPr="00495497">
              <w:rPr>
                <w:rFonts w:ascii="Calibri" w:eastAsia="Times New Roman" w:hAnsi="Calibri" w:cs="Calibri"/>
                <w:color w:val="000000"/>
                <w:sz w:val="15"/>
                <w:szCs w:val="15"/>
                <w:vertAlign w:val="superscript"/>
                <w:lang w:eastAsia="en-GB"/>
              </w:rPr>
              <w:t>wet-bulb</w:t>
            </w:r>
            <w:proofErr w:type="gramEnd"/>
            <w:r w:rsidRPr="00495497">
              <w:rPr>
                <w:rFonts w:ascii="Calibri" w:eastAsia="Times New Roman" w:hAnsi="Calibri" w:cs="Calibri"/>
                <w:color w:val="000000"/>
                <w:sz w:val="15"/>
                <w:szCs w:val="15"/>
                <w:vertAlign w:val="superscript"/>
                <w:lang w:eastAsia="en-GB"/>
              </w:rPr>
              <w:t xml:space="preserve"> &gt;24 °C reduced birth weight, cumulating to ~1.21% lower birth weight across a full-term pregnancy; probabilities of LBW and PTB increased; combined </w:t>
            </w:r>
            <w:proofErr w:type="spellStart"/>
            <w:r w:rsidRPr="00495497">
              <w:rPr>
                <w:rFonts w:ascii="Calibri" w:eastAsia="Times New Roman" w:hAnsi="Calibri" w:cs="Calibri"/>
                <w:color w:val="000000"/>
                <w:sz w:val="15"/>
                <w:szCs w:val="15"/>
                <w:vertAlign w:val="superscript"/>
                <w:lang w:eastAsia="en-GB"/>
              </w:rPr>
              <w:t>heat+humidity</w:t>
            </w:r>
            <w:proofErr w:type="spellEnd"/>
            <w:r w:rsidRPr="00495497">
              <w:rPr>
                <w:rFonts w:ascii="Calibri" w:eastAsia="Times New Roman" w:hAnsi="Calibri" w:cs="Calibri"/>
                <w:color w:val="000000"/>
                <w:sz w:val="15"/>
                <w:szCs w:val="15"/>
                <w:vertAlign w:val="superscript"/>
                <w:lang w:eastAsia="en-GB"/>
              </w:rPr>
              <w:t xml:space="preserve"> effects exceeded heat alone.</w:t>
            </w:r>
          </w:p>
        </w:tc>
        <w:tc>
          <w:tcPr>
            <w:tcW w:w="912" w:type="dxa"/>
            <w:hideMark/>
          </w:tcPr>
          <w:p w14:paraId="23EC0AF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High-dimensional fixed effects (municipality, time); robustness checks; AC as effect moderator.</w:t>
            </w:r>
          </w:p>
        </w:tc>
      </w:tr>
      <w:tr w:rsidR="0051112E" w:rsidRPr="0051112E" w14:paraId="11650F9E" w14:textId="77777777" w:rsidTr="0051112E">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418" w:type="dxa"/>
            <w:hideMark/>
          </w:tcPr>
          <w:p w14:paraId="71B87A23"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occupational exposures during early stages of pregnancy and adverse birth outcomes in the NINFEA birth-cohort</w:t>
            </w:r>
          </w:p>
        </w:tc>
        <w:tc>
          <w:tcPr>
            <w:tcW w:w="567" w:type="dxa"/>
            <w:hideMark/>
          </w:tcPr>
          <w:p w14:paraId="4D32859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proofErr w:type="spellStart"/>
            <w:r w:rsidRPr="00495497">
              <w:rPr>
                <w:rFonts w:ascii="Calibri" w:eastAsia="Times New Roman" w:hAnsi="Calibri" w:cs="Calibri"/>
                <w:color w:val="000000"/>
                <w:sz w:val="15"/>
                <w:szCs w:val="15"/>
                <w:vertAlign w:val="superscript"/>
                <w:lang w:eastAsia="en-GB"/>
              </w:rPr>
              <w:t>d’Errico</w:t>
            </w:r>
            <w:proofErr w:type="spellEnd"/>
            <w:r w:rsidRPr="0051112E">
              <w:rPr>
                <w:rFonts w:ascii="Calibri" w:eastAsia="Times New Roman" w:hAnsi="Calibri" w:cs="Calibri"/>
                <w:color w:val="000000"/>
                <w:sz w:val="15"/>
                <w:szCs w:val="15"/>
                <w:vertAlign w:val="superscript"/>
                <w:lang w:eastAsia="en-GB"/>
              </w:rPr>
              <w:t xml:space="preserve"> A et al.</w:t>
            </w:r>
          </w:p>
        </w:tc>
        <w:tc>
          <w:tcPr>
            <w:tcW w:w="567" w:type="dxa"/>
            <w:hideMark/>
          </w:tcPr>
          <w:p w14:paraId="263C4C9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PLOS ONE</w:t>
            </w:r>
          </w:p>
        </w:tc>
        <w:tc>
          <w:tcPr>
            <w:tcW w:w="425" w:type="dxa"/>
            <w:hideMark/>
          </w:tcPr>
          <w:p w14:paraId="72525EE5"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5D0F599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Italy</w:t>
            </w:r>
          </w:p>
        </w:tc>
        <w:tc>
          <w:tcPr>
            <w:tcW w:w="567" w:type="dxa"/>
            <w:hideMark/>
          </w:tcPr>
          <w:p w14:paraId="30EC22E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Prospective cohort (birth cohort)</w:t>
            </w:r>
          </w:p>
        </w:tc>
        <w:tc>
          <w:tcPr>
            <w:tcW w:w="567" w:type="dxa"/>
            <w:hideMark/>
          </w:tcPr>
          <w:p w14:paraId="6E041B8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8,480</w:t>
            </w:r>
          </w:p>
        </w:tc>
        <w:tc>
          <w:tcPr>
            <w:tcW w:w="709" w:type="dxa"/>
            <w:hideMark/>
          </w:tcPr>
          <w:p w14:paraId="2EA231C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Community</w:t>
            </w:r>
          </w:p>
        </w:tc>
        <w:tc>
          <w:tcPr>
            <w:tcW w:w="1134" w:type="dxa"/>
            <w:hideMark/>
          </w:tcPr>
          <w:p w14:paraId="1F5BE69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Singleton pregnancies enrolled online; available occupational exposure and outcome data; exclusions: missing key variables.</w:t>
            </w:r>
          </w:p>
        </w:tc>
        <w:tc>
          <w:tcPr>
            <w:tcW w:w="992" w:type="dxa"/>
            <w:hideMark/>
          </w:tcPr>
          <w:p w14:paraId="23A95BF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Self-reported occupational exposures during early pregnancy.</w:t>
            </w:r>
          </w:p>
        </w:tc>
        <w:tc>
          <w:tcPr>
            <w:tcW w:w="567" w:type="dxa"/>
            <w:hideMark/>
          </w:tcPr>
          <w:p w14:paraId="333AB06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Occupational heat exposure</w:t>
            </w:r>
          </w:p>
        </w:tc>
        <w:tc>
          <w:tcPr>
            <w:tcW w:w="851" w:type="dxa"/>
            <w:hideMark/>
          </w:tcPr>
          <w:p w14:paraId="6D8F5CA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Self-reported exposure to strong heat at work in 1st trimester (yes/no).</w:t>
            </w:r>
          </w:p>
        </w:tc>
        <w:tc>
          <w:tcPr>
            <w:tcW w:w="708" w:type="dxa"/>
            <w:hideMark/>
          </w:tcPr>
          <w:p w14:paraId="2FE253B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First trimester primary; sensitivity for later periods.</w:t>
            </w:r>
          </w:p>
        </w:tc>
        <w:tc>
          <w:tcPr>
            <w:tcW w:w="851" w:type="dxa"/>
            <w:gridSpan w:val="2"/>
            <w:hideMark/>
          </w:tcPr>
          <w:p w14:paraId="18B1DC9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Birthweight; Preterm birth; Small for gestational age</w:t>
            </w:r>
          </w:p>
        </w:tc>
        <w:tc>
          <w:tcPr>
            <w:tcW w:w="850" w:type="dxa"/>
            <w:hideMark/>
          </w:tcPr>
          <w:p w14:paraId="7A672E5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Birthweight (g); Preterm &lt;37 weeks; SGA &lt;10th percentile; LBW &lt;2,500 g.</w:t>
            </w:r>
          </w:p>
        </w:tc>
        <w:tc>
          <w:tcPr>
            <w:tcW w:w="1701" w:type="dxa"/>
            <w:hideMark/>
          </w:tcPr>
          <w:p w14:paraId="6368C77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Exposure to heat was associated with a lower birthweight (</w:t>
            </w:r>
            <w:r w:rsidRPr="00495497">
              <w:rPr>
                <w:rFonts w:ascii="Cambria Math" w:eastAsia="Times New Roman" w:hAnsi="Cambria Math" w:cs="Cambria Math"/>
                <w:color w:val="000000"/>
                <w:sz w:val="15"/>
                <w:szCs w:val="15"/>
                <w:vertAlign w:val="superscript"/>
                <w:lang w:eastAsia="en-GB"/>
              </w:rPr>
              <w:t>𝛽</w:t>
            </w:r>
            <w:r w:rsidRPr="00495497">
              <w:rPr>
                <w:rFonts w:ascii="Calibri" w:eastAsia="Times New Roman" w:hAnsi="Calibri" w:cs="Calibri"/>
                <w:color w:val="000000"/>
                <w:sz w:val="15"/>
                <w:szCs w:val="15"/>
                <w:vertAlign w:val="superscript"/>
                <w:lang w:eastAsia="en-GB"/>
              </w:rPr>
              <w:t>= -160.1, 95% CI: -299.6 to -20.7) and an increased OR of preterm birth (OR 1.47 95%CI 0.44 to 3.72).</w:t>
            </w:r>
          </w:p>
        </w:tc>
        <w:tc>
          <w:tcPr>
            <w:tcW w:w="912" w:type="dxa"/>
            <w:hideMark/>
          </w:tcPr>
          <w:p w14:paraId="45BA268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As reported in paper (maternal socio-demographics/behaviors).</w:t>
            </w:r>
          </w:p>
        </w:tc>
      </w:tr>
      <w:tr w:rsidR="0051112E" w:rsidRPr="0051112E" w14:paraId="42AA236C" w14:textId="77777777" w:rsidTr="0051112E">
        <w:trPr>
          <w:trHeight w:val="1280"/>
        </w:trPr>
        <w:tc>
          <w:tcPr>
            <w:cnfStyle w:val="001000000000" w:firstRow="0" w:lastRow="0" w:firstColumn="1" w:lastColumn="0" w:oddVBand="0" w:evenVBand="0" w:oddHBand="0" w:evenHBand="0" w:firstRowFirstColumn="0" w:firstRowLastColumn="0" w:lastRowFirstColumn="0" w:lastRowLastColumn="0"/>
            <w:tcW w:w="1418" w:type="dxa"/>
            <w:hideMark/>
          </w:tcPr>
          <w:p w14:paraId="6D14DC90"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Health disparities in the impact of prenatal temperature exposure on birth outcomes: A nationwide population-based study in the Netherlands</w:t>
            </w:r>
          </w:p>
        </w:tc>
        <w:tc>
          <w:tcPr>
            <w:tcW w:w="567" w:type="dxa"/>
            <w:hideMark/>
          </w:tcPr>
          <w:p w14:paraId="545E7B0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val="nl-NL" w:eastAsia="en-GB"/>
              </w:rPr>
            </w:pPr>
            <w:r w:rsidRPr="00495497">
              <w:rPr>
                <w:rFonts w:ascii="Calibri" w:eastAsia="Times New Roman" w:hAnsi="Calibri" w:cs="Calibri"/>
                <w:color w:val="000000"/>
                <w:sz w:val="15"/>
                <w:szCs w:val="15"/>
                <w:vertAlign w:val="superscript"/>
                <w:lang w:val="nl-NL" w:eastAsia="en-GB"/>
              </w:rPr>
              <w:t>Burgos-</w:t>
            </w:r>
            <w:proofErr w:type="spellStart"/>
            <w:r w:rsidRPr="00495497">
              <w:rPr>
                <w:rFonts w:ascii="Calibri" w:eastAsia="Times New Roman" w:hAnsi="Calibri" w:cs="Calibri"/>
                <w:color w:val="000000"/>
                <w:sz w:val="15"/>
                <w:szCs w:val="15"/>
                <w:vertAlign w:val="superscript"/>
                <w:lang w:val="nl-NL" w:eastAsia="en-GB"/>
              </w:rPr>
              <w:t>Ochoa</w:t>
            </w:r>
            <w:proofErr w:type="spellEnd"/>
            <w:r w:rsidRPr="00495497">
              <w:rPr>
                <w:rFonts w:ascii="Calibri" w:eastAsia="Times New Roman" w:hAnsi="Calibri" w:cs="Calibri"/>
                <w:color w:val="000000"/>
                <w:sz w:val="15"/>
                <w:szCs w:val="15"/>
                <w:vertAlign w:val="superscript"/>
                <w:lang w:val="nl-NL" w:eastAsia="en-GB"/>
              </w:rPr>
              <w:t xml:space="preserve"> L</w:t>
            </w:r>
            <w:r w:rsidRPr="0051112E">
              <w:rPr>
                <w:rFonts w:ascii="Calibri" w:eastAsia="Times New Roman" w:hAnsi="Calibri" w:cs="Calibri"/>
                <w:color w:val="000000"/>
                <w:sz w:val="15"/>
                <w:szCs w:val="15"/>
                <w:vertAlign w:val="superscript"/>
                <w:lang w:val="nl-NL" w:eastAsia="en-GB"/>
              </w:rPr>
              <w:t xml:space="preserve"> et al.</w:t>
            </w:r>
          </w:p>
        </w:tc>
        <w:tc>
          <w:tcPr>
            <w:tcW w:w="567" w:type="dxa"/>
            <w:hideMark/>
          </w:tcPr>
          <w:p w14:paraId="47A3431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Public Health</w:t>
            </w:r>
          </w:p>
        </w:tc>
        <w:tc>
          <w:tcPr>
            <w:tcW w:w="425" w:type="dxa"/>
            <w:hideMark/>
          </w:tcPr>
          <w:p w14:paraId="5D50B67F"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7C75FF5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Netherlands</w:t>
            </w:r>
          </w:p>
        </w:tc>
        <w:tc>
          <w:tcPr>
            <w:tcW w:w="567" w:type="dxa"/>
            <w:hideMark/>
          </w:tcPr>
          <w:p w14:paraId="55D2EC8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Nationwide population</w:t>
            </w:r>
            <w:r w:rsidRPr="00495497">
              <w:rPr>
                <w:rFonts w:ascii="Calibri" w:eastAsia="Times New Roman" w:hAnsi="Calibri" w:cs="Calibri"/>
                <w:color w:val="000000"/>
                <w:sz w:val="15"/>
                <w:szCs w:val="15"/>
                <w:vertAlign w:val="superscript"/>
                <w:lang w:eastAsia="en-GB"/>
              </w:rPr>
              <w:noBreakHyphen/>
              <w:t>based cohort (registry linkage)</w:t>
            </w:r>
          </w:p>
        </w:tc>
        <w:tc>
          <w:tcPr>
            <w:tcW w:w="567" w:type="dxa"/>
            <w:hideMark/>
          </w:tcPr>
          <w:p w14:paraId="17C8CB0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2,472,352</w:t>
            </w:r>
          </w:p>
        </w:tc>
        <w:tc>
          <w:tcPr>
            <w:tcW w:w="709" w:type="dxa"/>
            <w:hideMark/>
          </w:tcPr>
          <w:p w14:paraId="0D2209D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National registry</w:t>
            </w:r>
          </w:p>
        </w:tc>
        <w:tc>
          <w:tcPr>
            <w:tcW w:w="1134" w:type="dxa"/>
            <w:hideMark/>
          </w:tcPr>
          <w:p w14:paraId="6DE124D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Live births in national registry with </w:t>
            </w:r>
            <w:proofErr w:type="spellStart"/>
            <w:r w:rsidRPr="00495497">
              <w:rPr>
                <w:rFonts w:ascii="Calibri" w:eastAsia="Times New Roman" w:hAnsi="Calibri" w:cs="Calibri"/>
                <w:color w:val="000000"/>
                <w:sz w:val="15"/>
                <w:szCs w:val="15"/>
                <w:vertAlign w:val="superscript"/>
                <w:lang w:eastAsia="en-GB"/>
              </w:rPr>
              <w:t>geotemporal</w:t>
            </w:r>
            <w:proofErr w:type="spellEnd"/>
            <w:r w:rsidRPr="00495497">
              <w:rPr>
                <w:rFonts w:ascii="Calibri" w:eastAsia="Times New Roman" w:hAnsi="Calibri" w:cs="Calibri"/>
                <w:color w:val="000000"/>
                <w:sz w:val="15"/>
                <w:szCs w:val="15"/>
                <w:vertAlign w:val="superscript"/>
                <w:lang w:eastAsia="en-GB"/>
              </w:rPr>
              <w:t xml:space="preserve"> temperature linkage; excluded records with missing covariates or linkage.</w:t>
            </w:r>
          </w:p>
        </w:tc>
        <w:tc>
          <w:tcPr>
            <w:tcW w:w="992" w:type="dxa"/>
            <w:hideMark/>
          </w:tcPr>
          <w:p w14:paraId="714F703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Stratified by socioeconomic status and immigrant status.</w:t>
            </w:r>
          </w:p>
        </w:tc>
        <w:tc>
          <w:tcPr>
            <w:tcW w:w="567" w:type="dxa"/>
            <w:hideMark/>
          </w:tcPr>
          <w:p w14:paraId="0F90266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w:t>
            </w:r>
          </w:p>
        </w:tc>
        <w:tc>
          <w:tcPr>
            <w:tcW w:w="851" w:type="dxa"/>
            <w:hideMark/>
          </w:tcPr>
          <w:p w14:paraId="281EEB9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Prenatal mean temperature and extreme heat metrics; disparities assessed as modifiers.</w:t>
            </w:r>
          </w:p>
        </w:tc>
        <w:tc>
          <w:tcPr>
            <w:tcW w:w="708" w:type="dxa"/>
            <w:hideMark/>
          </w:tcPr>
          <w:p w14:paraId="4541622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Gestational averages and trimester</w:t>
            </w:r>
            <w:r w:rsidRPr="00495497">
              <w:rPr>
                <w:rFonts w:ascii="Calibri" w:eastAsia="Times New Roman" w:hAnsi="Calibri" w:cs="Calibri"/>
                <w:color w:val="000000"/>
                <w:sz w:val="15"/>
                <w:szCs w:val="15"/>
                <w:vertAlign w:val="superscript"/>
                <w:lang w:eastAsia="en-GB"/>
              </w:rPr>
              <w:noBreakHyphen/>
              <w:t>specific windows.</w:t>
            </w:r>
          </w:p>
        </w:tc>
        <w:tc>
          <w:tcPr>
            <w:tcW w:w="851" w:type="dxa"/>
            <w:gridSpan w:val="2"/>
            <w:hideMark/>
          </w:tcPr>
          <w:p w14:paraId="785EC7D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 weight; low birth weight; small for gestational age; preterm birth (as reported)</w:t>
            </w:r>
          </w:p>
        </w:tc>
        <w:tc>
          <w:tcPr>
            <w:tcW w:w="850" w:type="dxa"/>
            <w:hideMark/>
          </w:tcPr>
          <w:p w14:paraId="67251E8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Standard registry definitions (e.g., LBW ≤ 2500 g).</w:t>
            </w:r>
          </w:p>
        </w:tc>
        <w:tc>
          <w:tcPr>
            <w:tcW w:w="1701" w:type="dxa"/>
            <w:hideMark/>
          </w:tcPr>
          <w:p w14:paraId="16110D5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Higher prenatal temperatures associated with adverse birth outcomes; effects stronger in socioeconomically disadvantaged and immigrant groups (stratified estimates reported).</w:t>
            </w:r>
          </w:p>
        </w:tc>
        <w:tc>
          <w:tcPr>
            <w:tcW w:w="912" w:type="dxa"/>
            <w:hideMark/>
          </w:tcPr>
          <w:p w14:paraId="2738A1F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Maternal/infant covariates per registry; temporal/spatial controls; SES and immigrant status interactions.</w:t>
            </w:r>
          </w:p>
        </w:tc>
      </w:tr>
      <w:tr w:rsidR="0051112E" w:rsidRPr="0051112E" w14:paraId="17A6F974" w14:textId="77777777" w:rsidTr="0051112E">
        <w:trPr>
          <w:cnfStyle w:val="000000100000" w:firstRow="0" w:lastRow="0" w:firstColumn="0" w:lastColumn="0" w:oddVBand="0" w:evenVBand="0" w:oddHBand="1" w:evenHBand="0" w:firstRowFirstColumn="0" w:firstRowLastColumn="0" w:lastRowFirstColumn="0" w:lastRowLastColumn="0"/>
          <w:trHeight w:val="1280"/>
        </w:trPr>
        <w:tc>
          <w:tcPr>
            <w:cnfStyle w:val="001000000000" w:firstRow="0" w:lastRow="0" w:firstColumn="1" w:lastColumn="0" w:oddVBand="0" w:evenVBand="0" w:oddHBand="0" w:evenHBand="0" w:firstRowFirstColumn="0" w:firstRowLastColumn="0" w:lastRowFirstColumn="0" w:lastRowLastColumn="0"/>
            <w:tcW w:w="1418" w:type="dxa"/>
            <w:hideMark/>
          </w:tcPr>
          <w:p w14:paraId="141DC3E6"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Impact of extreme ambient temperatures on low birth weight: Insights from empirical findings in Pakistan</w:t>
            </w:r>
          </w:p>
        </w:tc>
        <w:tc>
          <w:tcPr>
            <w:tcW w:w="567" w:type="dxa"/>
            <w:hideMark/>
          </w:tcPr>
          <w:p w14:paraId="54F103F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val="nl-NL" w:eastAsia="en-GB"/>
              </w:rPr>
            </w:pPr>
            <w:proofErr w:type="spellStart"/>
            <w:r w:rsidRPr="00495497">
              <w:rPr>
                <w:rFonts w:ascii="Calibri" w:eastAsia="Times New Roman" w:hAnsi="Calibri" w:cs="Calibri"/>
                <w:color w:val="000000"/>
                <w:sz w:val="15"/>
                <w:szCs w:val="15"/>
                <w:vertAlign w:val="superscript"/>
                <w:lang w:val="nl-NL" w:eastAsia="en-GB"/>
              </w:rPr>
              <w:t>Hira</w:t>
            </w:r>
            <w:proofErr w:type="spellEnd"/>
            <w:r w:rsidRPr="00495497">
              <w:rPr>
                <w:rFonts w:ascii="Calibri" w:eastAsia="Times New Roman" w:hAnsi="Calibri" w:cs="Calibri"/>
                <w:color w:val="000000"/>
                <w:sz w:val="15"/>
                <w:szCs w:val="15"/>
                <w:vertAlign w:val="superscript"/>
                <w:lang w:val="nl-NL" w:eastAsia="en-GB"/>
              </w:rPr>
              <w:t xml:space="preserve"> Fatima</w:t>
            </w:r>
            <w:r w:rsidRPr="0051112E">
              <w:rPr>
                <w:rFonts w:ascii="Calibri" w:eastAsia="Times New Roman" w:hAnsi="Calibri" w:cs="Calibri"/>
                <w:color w:val="000000"/>
                <w:sz w:val="15"/>
                <w:szCs w:val="15"/>
                <w:vertAlign w:val="superscript"/>
                <w:lang w:val="nl-NL" w:eastAsia="en-GB"/>
              </w:rPr>
              <w:t xml:space="preserve"> S et al.</w:t>
            </w:r>
          </w:p>
        </w:tc>
        <w:tc>
          <w:tcPr>
            <w:tcW w:w="567" w:type="dxa"/>
            <w:hideMark/>
          </w:tcPr>
          <w:p w14:paraId="3D327B3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Women’s Health</w:t>
            </w:r>
          </w:p>
        </w:tc>
        <w:tc>
          <w:tcPr>
            <w:tcW w:w="425" w:type="dxa"/>
            <w:hideMark/>
          </w:tcPr>
          <w:p w14:paraId="54ADCE50"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2AD0AB0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Pakistan</w:t>
            </w:r>
          </w:p>
        </w:tc>
        <w:tc>
          <w:tcPr>
            <w:tcW w:w="567" w:type="dxa"/>
            <w:hideMark/>
          </w:tcPr>
          <w:p w14:paraId="223E0ED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Space</w:t>
            </w:r>
            <w:r w:rsidRPr="00495497">
              <w:rPr>
                <w:rFonts w:ascii="Calibri" w:eastAsia="Times New Roman" w:hAnsi="Calibri" w:cs="Calibri"/>
                <w:color w:val="000000"/>
                <w:sz w:val="15"/>
                <w:szCs w:val="15"/>
                <w:vertAlign w:val="superscript"/>
                <w:lang w:eastAsia="en-GB"/>
              </w:rPr>
              <w:noBreakHyphen/>
              <w:t>time</w:t>
            </w:r>
            <w:r w:rsidRPr="00495497">
              <w:rPr>
                <w:rFonts w:ascii="Calibri" w:eastAsia="Times New Roman" w:hAnsi="Calibri" w:cs="Calibri"/>
                <w:color w:val="000000"/>
                <w:sz w:val="15"/>
                <w:szCs w:val="15"/>
                <w:vertAlign w:val="superscript"/>
                <w:lang w:eastAsia="en-GB"/>
              </w:rPr>
              <w:noBreakHyphen/>
              <w:t>series (DLNM on province</w:t>
            </w:r>
            <w:r w:rsidRPr="00495497">
              <w:rPr>
                <w:rFonts w:ascii="Calibri" w:eastAsia="Times New Roman" w:hAnsi="Calibri" w:cs="Calibri"/>
                <w:color w:val="000000"/>
                <w:sz w:val="15"/>
                <w:szCs w:val="15"/>
                <w:vertAlign w:val="superscript"/>
                <w:lang w:eastAsia="en-GB"/>
              </w:rPr>
              <w:noBreakHyphen/>
              <w:t>month aggregates)</w:t>
            </w:r>
          </w:p>
        </w:tc>
        <w:tc>
          <w:tcPr>
            <w:tcW w:w="567" w:type="dxa"/>
            <w:hideMark/>
          </w:tcPr>
          <w:p w14:paraId="41CB81F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n = 17077 </w:t>
            </w:r>
          </w:p>
        </w:tc>
        <w:tc>
          <w:tcPr>
            <w:tcW w:w="709" w:type="dxa"/>
            <w:hideMark/>
          </w:tcPr>
          <w:p w14:paraId="37463F0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Community</w:t>
            </w:r>
          </w:p>
        </w:tc>
        <w:tc>
          <w:tcPr>
            <w:tcW w:w="1134" w:type="dxa"/>
            <w:hideMark/>
          </w:tcPr>
          <w:p w14:paraId="1CED601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MICS/PDHS births with birthweight/size; mothers 15–45; complete 2008–2017 records.</w:t>
            </w:r>
          </w:p>
        </w:tc>
        <w:tc>
          <w:tcPr>
            <w:tcW w:w="992" w:type="dxa"/>
            <w:hideMark/>
          </w:tcPr>
          <w:p w14:paraId="598B223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Province</w:t>
            </w:r>
            <w:r w:rsidRPr="00495497">
              <w:rPr>
                <w:rFonts w:ascii="Calibri" w:eastAsia="Times New Roman" w:hAnsi="Calibri" w:cs="Calibri"/>
                <w:color w:val="000000"/>
                <w:sz w:val="15"/>
                <w:szCs w:val="15"/>
                <w:vertAlign w:val="superscript"/>
                <w:lang w:eastAsia="en-GB"/>
              </w:rPr>
              <w:noBreakHyphen/>
              <w:t>level monthly aggregates; maternal education, wealth, rural residence adjusted.</w:t>
            </w:r>
          </w:p>
        </w:tc>
        <w:tc>
          <w:tcPr>
            <w:tcW w:w="567" w:type="dxa"/>
            <w:hideMark/>
          </w:tcPr>
          <w:p w14:paraId="49ABD6F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Thermal index (heat index)</w:t>
            </w:r>
          </w:p>
        </w:tc>
        <w:tc>
          <w:tcPr>
            <w:tcW w:w="851" w:type="dxa"/>
            <w:hideMark/>
          </w:tcPr>
          <w:p w14:paraId="6061C24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Monthly mean heat index with province</w:t>
            </w:r>
            <w:r w:rsidRPr="00495497">
              <w:rPr>
                <w:rFonts w:ascii="Calibri" w:eastAsia="Times New Roman" w:hAnsi="Calibri" w:cs="Calibri"/>
                <w:color w:val="000000"/>
                <w:sz w:val="15"/>
                <w:szCs w:val="15"/>
                <w:vertAlign w:val="superscript"/>
                <w:lang w:eastAsia="en-GB"/>
              </w:rPr>
              <w:noBreakHyphen/>
              <w:t>specific 90th/99th percentile thresholds.</w:t>
            </w:r>
          </w:p>
        </w:tc>
        <w:tc>
          <w:tcPr>
            <w:tcW w:w="708" w:type="dxa"/>
            <w:hideMark/>
          </w:tcPr>
          <w:p w14:paraId="2166F8C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Conception to delivery (lags 0–9 months); specific estimates at lag 0.</w:t>
            </w:r>
          </w:p>
        </w:tc>
        <w:tc>
          <w:tcPr>
            <w:tcW w:w="851" w:type="dxa"/>
            <w:gridSpan w:val="2"/>
            <w:hideMark/>
          </w:tcPr>
          <w:p w14:paraId="0661F19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Low birth weight</w:t>
            </w:r>
          </w:p>
        </w:tc>
        <w:tc>
          <w:tcPr>
            <w:tcW w:w="850" w:type="dxa"/>
            <w:hideMark/>
          </w:tcPr>
          <w:p w14:paraId="767DC96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 weight ≤ 2500 g (size at birth in sensitivity).</w:t>
            </w:r>
          </w:p>
        </w:tc>
        <w:tc>
          <w:tcPr>
            <w:tcW w:w="1701" w:type="dxa"/>
            <w:hideMark/>
          </w:tcPr>
          <w:p w14:paraId="52A554C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LBW prevalence 26.02% (n = 4444). Conception</w:t>
            </w:r>
            <w:r w:rsidRPr="00495497">
              <w:rPr>
                <w:rFonts w:ascii="Calibri" w:eastAsia="Times New Roman" w:hAnsi="Calibri" w:cs="Calibri"/>
                <w:color w:val="000000"/>
                <w:sz w:val="15"/>
                <w:szCs w:val="15"/>
                <w:vertAlign w:val="superscript"/>
                <w:lang w:eastAsia="en-GB"/>
              </w:rPr>
              <w:noBreakHyphen/>
              <w:t>month moderate heat (90th pct) RR 1.70 (95% CI 1.01–2.87); extreme heat (99th pct) RR 1.93 (95% CI 1.00–3.71). Heat</w:t>
            </w:r>
            <w:r w:rsidRPr="00495497">
              <w:rPr>
                <w:rFonts w:ascii="Calibri" w:eastAsia="Times New Roman" w:hAnsi="Calibri" w:cs="Calibri"/>
                <w:color w:val="000000"/>
                <w:sz w:val="15"/>
                <w:szCs w:val="15"/>
                <w:vertAlign w:val="superscript"/>
                <w:lang w:eastAsia="en-GB"/>
              </w:rPr>
              <w:noBreakHyphen/>
              <w:t>attributable fractions 0.34–0.42 across provinces.</w:t>
            </w:r>
          </w:p>
        </w:tc>
        <w:tc>
          <w:tcPr>
            <w:tcW w:w="912" w:type="dxa"/>
            <w:hideMark/>
          </w:tcPr>
          <w:p w14:paraId="2BB3469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Maternal education, wealth, rural residence; temporal controls; province effects.</w:t>
            </w:r>
          </w:p>
        </w:tc>
      </w:tr>
      <w:tr w:rsidR="0051112E" w:rsidRPr="0051112E" w14:paraId="1F09FE75" w14:textId="77777777" w:rsidTr="0051112E">
        <w:trPr>
          <w:trHeight w:val="1269"/>
        </w:trPr>
        <w:tc>
          <w:tcPr>
            <w:cnfStyle w:val="001000000000" w:firstRow="0" w:lastRow="0" w:firstColumn="1" w:lastColumn="0" w:oddVBand="0" w:evenVBand="0" w:oddHBand="0" w:evenHBand="0" w:firstRowFirstColumn="0" w:firstRowLastColumn="0" w:lastRowFirstColumn="0" w:lastRowLastColumn="0"/>
            <w:tcW w:w="1418" w:type="dxa"/>
            <w:hideMark/>
          </w:tcPr>
          <w:p w14:paraId="7BBC8345"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The influence of heat exposure on birth and neonatal outcomes in Mombasa, Kenya: A pooled time series analysis</w:t>
            </w:r>
          </w:p>
        </w:tc>
        <w:tc>
          <w:tcPr>
            <w:tcW w:w="567" w:type="dxa"/>
            <w:hideMark/>
          </w:tcPr>
          <w:p w14:paraId="0A04EDBF" w14:textId="77777777" w:rsidR="0051112E" w:rsidRPr="00495497" w:rsidRDefault="0051112E" w:rsidP="00D704A0">
            <w:pPr>
              <w:spacing w:after="24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proofErr w:type="spellStart"/>
            <w:r w:rsidRPr="00495497">
              <w:rPr>
                <w:rFonts w:ascii="Calibri" w:eastAsia="Times New Roman" w:hAnsi="Calibri" w:cs="Calibri"/>
                <w:color w:val="000000"/>
                <w:sz w:val="15"/>
                <w:szCs w:val="15"/>
                <w:vertAlign w:val="superscript"/>
                <w:lang w:eastAsia="en-GB"/>
              </w:rPr>
              <w:t>Brimicombe</w:t>
            </w:r>
            <w:proofErr w:type="spellEnd"/>
            <w:r w:rsidRPr="0051112E">
              <w:rPr>
                <w:rFonts w:ascii="Calibri" w:eastAsia="Times New Roman" w:hAnsi="Calibri" w:cs="Calibri"/>
                <w:color w:val="000000"/>
                <w:sz w:val="15"/>
                <w:szCs w:val="15"/>
                <w:vertAlign w:val="superscript"/>
                <w:lang w:eastAsia="en-GB"/>
              </w:rPr>
              <w:t xml:space="preserve"> C et al.</w:t>
            </w:r>
          </w:p>
        </w:tc>
        <w:tc>
          <w:tcPr>
            <w:tcW w:w="567" w:type="dxa"/>
            <w:hideMark/>
          </w:tcPr>
          <w:p w14:paraId="7A217FA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The Journal of Climate Change and Health</w:t>
            </w:r>
          </w:p>
        </w:tc>
        <w:tc>
          <w:tcPr>
            <w:tcW w:w="425" w:type="dxa"/>
            <w:hideMark/>
          </w:tcPr>
          <w:p w14:paraId="722AACD0"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6A34998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Kenya (Mombasa)</w:t>
            </w:r>
          </w:p>
        </w:tc>
        <w:tc>
          <w:tcPr>
            <w:tcW w:w="567" w:type="dxa"/>
            <w:hideMark/>
          </w:tcPr>
          <w:p w14:paraId="7EF2B48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Pooled time</w:t>
            </w:r>
            <w:r w:rsidRPr="00495497">
              <w:rPr>
                <w:rFonts w:ascii="Calibri" w:eastAsia="Times New Roman" w:hAnsi="Calibri" w:cs="Calibri"/>
                <w:color w:val="000000"/>
                <w:sz w:val="15"/>
                <w:szCs w:val="15"/>
                <w:vertAlign w:val="superscript"/>
                <w:lang w:eastAsia="en-GB"/>
              </w:rPr>
              <w:noBreakHyphen/>
              <w:t>series (monthly hospital data; DLNM)</w:t>
            </w:r>
          </w:p>
        </w:tc>
        <w:tc>
          <w:tcPr>
            <w:tcW w:w="567" w:type="dxa"/>
            <w:hideMark/>
          </w:tcPr>
          <w:p w14:paraId="4004426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650/year (average)</w:t>
            </w:r>
          </w:p>
        </w:tc>
        <w:tc>
          <w:tcPr>
            <w:tcW w:w="709" w:type="dxa"/>
            <w:hideMark/>
          </w:tcPr>
          <w:p w14:paraId="7E7485C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Hospital</w:t>
            </w:r>
          </w:p>
        </w:tc>
        <w:tc>
          <w:tcPr>
            <w:tcW w:w="1134" w:type="dxa"/>
            <w:hideMark/>
          </w:tcPr>
          <w:p w14:paraId="573D99C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Monthly aggregated births and outcomes from tertiary hospital dashboard (complete series for 2017–2022).</w:t>
            </w:r>
          </w:p>
        </w:tc>
        <w:tc>
          <w:tcPr>
            <w:tcW w:w="992" w:type="dxa"/>
            <w:hideMark/>
          </w:tcPr>
          <w:p w14:paraId="7142649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Single tertiary hospital; ~650 births/year; limited individual</w:t>
            </w:r>
            <w:r w:rsidRPr="00495497">
              <w:rPr>
                <w:rFonts w:ascii="Calibri" w:eastAsia="Times New Roman" w:hAnsi="Calibri" w:cs="Calibri"/>
                <w:color w:val="000000"/>
                <w:sz w:val="15"/>
                <w:szCs w:val="15"/>
                <w:vertAlign w:val="superscript"/>
                <w:lang w:eastAsia="en-GB"/>
              </w:rPr>
              <w:noBreakHyphen/>
              <w:t>level covariates.</w:t>
            </w:r>
          </w:p>
        </w:tc>
        <w:tc>
          <w:tcPr>
            <w:tcW w:w="567" w:type="dxa"/>
            <w:hideMark/>
          </w:tcPr>
          <w:p w14:paraId="1B1A4FF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Thermal index; Ambient temperature</w:t>
            </w:r>
          </w:p>
        </w:tc>
        <w:tc>
          <w:tcPr>
            <w:tcW w:w="851" w:type="dxa"/>
            <w:hideMark/>
          </w:tcPr>
          <w:p w14:paraId="5B79D53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UTCI (max/mean), max/mean temperature; WBGT evaluated.</w:t>
            </w:r>
          </w:p>
        </w:tc>
        <w:tc>
          <w:tcPr>
            <w:tcW w:w="708" w:type="dxa"/>
            <w:hideMark/>
          </w:tcPr>
          <w:p w14:paraId="6BF6C60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Lags 0–9 months before birth; non</w:t>
            </w:r>
            <w:r w:rsidRPr="00495497">
              <w:rPr>
                <w:rFonts w:ascii="Calibri" w:eastAsia="Times New Roman" w:hAnsi="Calibri" w:cs="Calibri"/>
                <w:color w:val="000000"/>
                <w:sz w:val="15"/>
                <w:szCs w:val="15"/>
                <w:vertAlign w:val="superscript"/>
                <w:lang w:eastAsia="en-GB"/>
              </w:rPr>
              <w:noBreakHyphen/>
              <w:t>cumulative and cumulative effects.</w:t>
            </w:r>
          </w:p>
        </w:tc>
        <w:tc>
          <w:tcPr>
            <w:tcW w:w="851" w:type="dxa"/>
            <w:gridSpan w:val="2"/>
            <w:hideMark/>
          </w:tcPr>
          <w:p w14:paraId="7517C2D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Low birth weight; stillbirth; preterm birth; low Apgar; caesarean section; assisted vaginal delivery; long hospital </w:t>
            </w:r>
            <w:proofErr w:type="gramStart"/>
            <w:r w:rsidRPr="00495497">
              <w:rPr>
                <w:rFonts w:ascii="Calibri" w:eastAsia="Times New Roman" w:hAnsi="Calibri" w:cs="Calibri"/>
                <w:color w:val="000000"/>
                <w:sz w:val="15"/>
                <w:szCs w:val="15"/>
                <w:vertAlign w:val="superscript"/>
                <w:lang w:eastAsia="en-GB"/>
              </w:rPr>
              <w:t>stay</w:t>
            </w:r>
            <w:proofErr w:type="gramEnd"/>
          </w:p>
        </w:tc>
        <w:tc>
          <w:tcPr>
            <w:tcW w:w="850" w:type="dxa"/>
            <w:hideMark/>
          </w:tcPr>
          <w:p w14:paraId="2B9AE39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Hospital definitions (e.g., LBW &lt; 2500 g; low Apgar &lt; 7 at 5 min)</w:t>
            </w:r>
          </w:p>
        </w:tc>
        <w:tc>
          <w:tcPr>
            <w:tcW w:w="1701" w:type="dxa"/>
            <w:hideMark/>
          </w:tcPr>
          <w:p w14:paraId="701ABD5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Increased odds of caesarean section with higher heat at birth month (max UTCI 50th–95th vs median: RR 1.21, 95% CI 1.01–1.46; max temperature: RR 1.25, 95% CI 1.03–1.53). LBW risk increased with mean and max UTCI at lag 0; WBGT showed no significant responses.</w:t>
            </w:r>
          </w:p>
        </w:tc>
        <w:tc>
          <w:tcPr>
            <w:tcW w:w="912" w:type="dxa"/>
            <w:hideMark/>
          </w:tcPr>
          <w:p w14:paraId="4CDEEBD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Seasonality and long</w:t>
            </w:r>
            <w:r w:rsidRPr="00495497">
              <w:rPr>
                <w:rFonts w:ascii="Calibri" w:eastAsia="Times New Roman" w:hAnsi="Calibri" w:cs="Calibri"/>
                <w:color w:val="000000"/>
                <w:sz w:val="15"/>
                <w:szCs w:val="15"/>
                <w:vertAlign w:val="superscript"/>
                <w:lang w:eastAsia="en-GB"/>
              </w:rPr>
              <w:noBreakHyphen/>
              <w:t>term trend controls; model covariates as specified.</w:t>
            </w:r>
          </w:p>
        </w:tc>
      </w:tr>
      <w:tr w:rsidR="0051112E" w:rsidRPr="0051112E" w14:paraId="6275821D" w14:textId="77777777" w:rsidTr="0051112E">
        <w:trPr>
          <w:cnfStyle w:val="000000100000" w:firstRow="0" w:lastRow="0" w:firstColumn="0" w:lastColumn="0" w:oddVBand="0" w:evenVBand="0" w:oddHBand="1" w:evenHBand="0" w:firstRowFirstColumn="0" w:firstRowLastColumn="0" w:lastRowFirstColumn="0" w:lastRowLastColumn="0"/>
          <w:trHeight w:val="1273"/>
        </w:trPr>
        <w:tc>
          <w:tcPr>
            <w:cnfStyle w:val="001000000000" w:firstRow="0" w:lastRow="0" w:firstColumn="1" w:lastColumn="0" w:oddVBand="0" w:evenVBand="0" w:oddHBand="0" w:evenHBand="0" w:firstRowFirstColumn="0" w:firstRowLastColumn="0" w:lastRowFirstColumn="0" w:lastRowLastColumn="0"/>
            <w:tcW w:w="1418" w:type="dxa"/>
            <w:hideMark/>
          </w:tcPr>
          <w:p w14:paraId="5D738B32"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Estimating the burden of temperature-related low birthweight attributable to anthropogenic climate change in low-income and middle-income countries: a </w:t>
            </w:r>
            <w:r w:rsidRPr="00495497">
              <w:rPr>
                <w:rFonts w:ascii="Aptos Narrow" w:eastAsia="Times New Roman" w:hAnsi="Aptos Narrow" w:cs="Times New Roman"/>
                <w:color w:val="000000"/>
                <w:sz w:val="15"/>
                <w:szCs w:val="15"/>
                <w:vertAlign w:val="superscript"/>
                <w:lang w:eastAsia="en-GB"/>
              </w:rPr>
              <w:lastRenderedPageBreak/>
              <w:t xml:space="preserve">retrospective, </w:t>
            </w:r>
            <w:proofErr w:type="spellStart"/>
            <w:r w:rsidRPr="00495497">
              <w:rPr>
                <w:rFonts w:ascii="Aptos Narrow" w:eastAsia="Times New Roman" w:hAnsi="Aptos Narrow" w:cs="Times New Roman"/>
                <w:color w:val="000000"/>
                <w:sz w:val="15"/>
                <w:szCs w:val="15"/>
                <w:vertAlign w:val="superscript"/>
                <w:lang w:eastAsia="en-GB"/>
              </w:rPr>
              <w:t>multicentre</w:t>
            </w:r>
            <w:proofErr w:type="spellEnd"/>
            <w:r w:rsidRPr="00495497">
              <w:rPr>
                <w:rFonts w:ascii="Aptos Narrow" w:eastAsia="Times New Roman" w:hAnsi="Aptos Narrow" w:cs="Times New Roman"/>
                <w:color w:val="000000"/>
                <w:sz w:val="15"/>
                <w:szCs w:val="15"/>
                <w:vertAlign w:val="superscript"/>
                <w:lang w:eastAsia="en-GB"/>
              </w:rPr>
              <w:t>, epidemiological study</w:t>
            </w:r>
          </w:p>
        </w:tc>
        <w:tc>
          <w:tcPr>
            <w:tcW w:w="567" w:type="dxa"/>
            <w:hideMark/>
          </w:tcPr>
          <w:p w14:paraId="34AFDBF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lastRenderedPageBreak/>
              <w:t>Zhu Z</w:t>
            </w:r>
            <w:r w:rsidRPr="0051112E">
              <w:rPr>
                <w:rFonts w:ascii="Calibri" w:eastAsia="Times New Roman" w:hAnsi="Calibri" w:cs="Calibri"/>
                <w:color w:val="000000"/>
                <w:sz w:val="15"/>
                <w:szCs w:val="15"/>
                <w:vertAlign w:val="superscript"/>
                <w:lang w:eastAsia="en-GB"/>
              </w:rPr>
              <w:t>. et al.</w:t>
            </w:r>
          </w:p>
        </w:tc>
        <w:tc>
          <w:tcPr>
            <w:tcW w:w="567" w:type="dxa"/>
            <w:hideMark/>
          </w:tcPr>
          <w:p w14:paraId="5995CA8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The Lancet Planetary Health</w:t>
            </w:r>
          </w:p>
        </w:tc>
        <w:tc>
          <w:tcPr>
            <w:tcW w:w="425" w:type="dxa"/>
            <w:hideMark/>
          </w:tcPr>
          <w:p w14:paraId="62866671"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2024</w:t>
            </w:r>
          </w:p>
        </w:tc>
        <w:tc>
          <w:tcPr>
            <w:tcW w:w="567" w:type="dxa"/>
            <w:hideMark/>
          </w:tcPr>
          <w:p w14:paraId="5914E40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Multiple LMICs</w:t>
            </w:r>
          </w:p>
        </w:tc>
        <w:tc>
          <w:tcPr>
            <w:tcW w:w="567" w:type="dxa"/>
            <w:hideMark/>
          </w:tcPr>
          <w:p w14:paraId="117BC3D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Retrospective </w:t>
            </w:r>
            <w:proofErr w:type="spellStart"/>
            <w:r w:rsidRPr="00495497">
              <w:rPr>
                <w:rFonts w:ascii="Calibri" w:eastAsia="Times New Roman" w:hAnsi="Calibri" w:cs="Calibri"/>
                <w:color w:val="000000"/>
                <w:sz w:val="15"/>
                <w:szCs w:val="15"/>
                <w:vertAlign w:val="superscript"/>
                <w:lang w:eastAsia="en-GB"/>
              </w:rPr>
              <w:t>multicountry</w:t>
            </w:r>
            <w:proofErr w:type="spellEnd"/>
            <w:r w:rsidRPr="00495497">
              <w:rPr>
                <w:rFonts w:ascii="Calibri" w:eastAsia="Times New Roman" w:hAnsi="Calibri" w:cs="Calibri"/>
                <w:color w:val="000000"/>
                <w:sz w:val="15"/>
                <w:szCs w:val="15"/>
                <w:vertAlign w:val="superscript"/>
                <w:lang w:eastAsia="en-GB"/>
              </w:rPr>
              <w:t xml:space="preserve"> cross</w:t>
            </w:r>
            <w:r w:rsidRPr="00495497">
              <w:rPr>
                <w:rFonts w:ascii="Calibri" w:eastAsia="Times New Roman" w:hAnsi="Calibri" w:cs="Calibri"/>
                <w:color w:val="000000"/>
                <w:sz w:val="15"/>
                <w:szCs w:val="15"/>
                <w:vertAlign w:val="superscript"/>
                <w:lang w:eastAsia="en-GB"/>
              </w:rPr>
              <w:noBreakHyphen/>
              <w:t xml:space="preserve">sectional analysis </w:t>
            </w:r>
            <w:r w:rsidRPr="00495497">
              <w:rPr>
                <w:rFonts w:ascii="Calibri" w:eastAsia="Times New Roman" w:hAnsi="Calibri" w:cs="Calibri"/>
                <w:color w:val="000000"/>
                <w:sz w:val="15"/>
                <w:szCs w:val="15"/>
                <w:vertAlign w:val="superscript"/>
                <w:lang w:eastAsia="en-GB"/>
              </w:rPr>
              <w:lastRenderedPageBreak/>
              <w:t>(DHS/MICS)</w:t>
            </w:r>
          </w:p>
        </w:tc>
        <w:tc>
          <w:tcPr>
            <w:tcW w:w="567" w:type="dxa"/>
            <w:hideMark/>
          </w:tcPr>
          <w:p w14:paraId="5415FCC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lastRenderedPageBreak/>
              <w:t>n = 511 449</w:t>
            </w:r>
          </w:p>
        </w:tc>
        <w:tc>
          <w:tcPr>
            <w:tcW w:w="709" w:type="dxa"/>
            <w:hideMark/>
          </w:tcPr>
          <w:p w14:paraId="6A8E618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Community</w:t>
            </w:r>
          </w:p>
        </w:tc>
        <w:tc>
          <w:tcPr>
            <w:tcW w:w="1134" w:type="dxa"/>
            <w:hideMark/>
          </w:tcPr>
          <w:p w14:paraId="7340B46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Births from nationally representative DHS/MICS with birthweight and </w:t>
            </w:r>
            <w:proofErr w:type="spellStart"/>
            <w:r w:rsidRPr="00495497">
              <w:rPr>
                <w:rFonts w:ascii="Calibri" w:eastAsia="Times New Roman" w:hAnsi="Calibri" w:cs="Calibri"/>
                <w:color w:val="000000"/>
                <w:sz w:val="15"/>
                <w:szCs w:val="15"/>
                <w:vertAlign w:val="superscript"/>
                <w:lang w:eastAsia="en-GB"/>
              </w:rPr>
              <w:t>geotemporal</w:t>
            </w:r>
            <w:proofErr w:type="spellEnd"/>
            <w:r w:rsidRPr="00495497">
              <w:rPr>
                <w:rFonts w:ascii="Calibri" w:eastAsia="Times New Roman" w:hAnsi="Calibri" w:cs="Calibri"/>
                <w:color w:val="000000"/>
                <w:sz w:val="15"/>
                <w:szCs w:val="15"/>
                <w:vertAlign w:val="superscript"/>
                <w:lang w:eastAsia="en-GB"/>
              </w:rPr>
              <w:t xml:space="preserve"> linkage to temperature.</w:t>
            </w:r>
          </w:p>
        </w:tc>
        <w:tc>
          <w:tcPr>
            <w:tcW w:w="992" w:type="dxa"/>
            <w:hideMark/>
          </w:tcPr>
          <w:p w14:paraId="145612B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Women, 15-49 years</w:t>
            </w:r>
          </w:p>
        </w:tc>
        <w:tc>
          <w:tcPr>
            <w:tcW w:w="567" w:type="dxa"/>
            <w:hideMark/>
          </w:tcPr>
          <w:p w14:paraId="45189F9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w:t>
            </w:r>
          </w:p>
        </w:tc>
        <w:tc>
          <w:tcPr>
            <w:tcW w:w="851" w:type="dxa"/>
            <w:hideMark/>
          </w:tcPr>
          <w:p w14:paraId="5CB03F8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Non</w:t>
            </w:r>
            <w:r w:rsidRPr="00495497">
              <w:rPr>
                <w:rFonts w:ascii="Calibri" w:eastAsia="Times New Roman" w:hAnsi="Calibri" w:cs="Calibri"/>
                <w:color w:val="000000"/>
                <w:sz w:val="15"/>
                <w:szCs w:val="15"/>
                <w:vertAlign w:val="superscript"/>
                <w:lang w:eastAsia="en-GB"/>
              </w:rPr>
              <w:noBreakHyphen/>
              <w:t xml:space="preserve">optimal temperatures (heat and cold exposure); anthropogenic fraction estimated via </w:t>
            </w:r>
            <w:r w:rsidRPr="00495497">
              <w:rPr>
                <w:rFonts w:ascii="Calibri" w:eastAsia="Times New Roman" w:hAnsi="Calibri" w:cs="Calibri"/>
                <w:color w:val="000000"/>
                <w:sz w:val="15"/>
                <w:szCs w:val="15"/>
                <w:vertAlign w:val="superscript"/>
                <w:lang w:eastAsia="en-GB"/>
              </w:rPr>
              <w:lastRenderedPageBreak/>
              <w:t>climate attribution datasets.</w:t>
            </w:r>
          </w:p>
        </w:tc>
        <w:tc>
          <w:tcPr>
            <w:tcW w:w="708" w:type="dxa"/>
            <w:hideMark/>
          </w:tcPr>
          <w:p w14:paraId="7081CA5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lastRenderedPageBreak/>
              <w:t>Prenatal exposure aggregated by survey month and location.</w:t>
            </w:r>
          </w:p>
        </w:tc>
        <w:tc>
          <w:tcPr>
            <w:tcW w:w="851" w:type="dxa"/>
            <w:gridSpan w:val="2"/>
            <w:hideMark/>
          </w:tcPr>
          <w:p w14:paraId="3E3BB96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Low birth weight</w:t>
            </w:r>
          </w:p>
        </w:tc>
        <w:tc>
          <w:tcPr>
            <w:tcW w:w="850" w:type="dxa"/>
            <w:hideMark/>
          </w:tcPr>
          <w:p w14:paraId="144489C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Birthweight ≤ 2500 g</w:t>
            </w:r>
          </w:p>
        </w:tc>
        <w:tc>
          <w:tcPr>
            <w:tcW w:w="1701" w:type="dxa"/>
            <w:hideMark/>
          </w:tcPr>
          <w:p w14:paraId="246727B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Attributable fraction of heat</w:t>
            </w:r>
            <w:r w:rsidRPr="00495497">
              <w:rPr>
                <w:rFonts w:ascii="Calibri" w:eastAsia="Times New Roman" w:hAnsi="Calibri" w:cs="Calibri"/>
                <w:color w:val="000000"/>
                <w:sz w:val="15"/>
                <w:szCs w:val="15"/>
                <w:vertAlign w:val="superscript"/>
                <w:lang w:eastAsia="en-GB"/>
              </w:rPr>
              <w:noBreakHyphen/>
              <w:t>related LBW due to human</w:t>
            </w:r>
            <w:r w:rsidRPr="00495497">
              <w:rPr>
                <w:rFonts w:ascii="Calibri" w:eastAsia="Times New Roman" w:hAnsi="Calibri" w:cs="Calibri"/>
                <w:color w:val="000000"/>
                <w:sz w:val="15"/>
                <w:szCs w:val="15"/>
                <w:vertAlign w:val="superscript"/>
                <w:lang w:eastAsia="en-GB"/>
              </w:rPr>
              <w:noBreakHyphen/>
              <w:t>induced climate change was high in several regions (e.g., ~59.2% in southern Asia; ~89.0% in western Africa).</w:t>
            </w:r>
          </w:p>
        </w:tc>
        <w:tc>
          <w:tcPr>
            <w:tcW w:w="912" w:type="dxa"/>
            <w:hideMark/>
          </w:tcPr>
          <w:p w14:paraId="246C1BD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Survey design adjustments; regional controls (as per Methods).</w:t>
            </w:r>
          </w:p>
        </w:tc>
      </w:tr>
      <w:tr w:rsidR="0051112E" w:rsidRPr="0051112E" w14:paraId="383100DE" w14:textId="77777777" w:rsidTr="0051112E">
        <w:trPr>
          <w:trHeight w:val="1396"/>
        </w:trPr>
        <w:tc>
          <w:tcPr>
            <w:cnfStyle w:val="001000000000" w:firstRow="0" w:lastRow="0" w:firstColumn="1" w:lastColumn="0" w:oddVBand="0" w:evenVBand="0" w:oddHBand="0" w:evenHBand="0" w:firstRowFirstColumn="0" w:firstRowLastColumn="0" w:lastRowFirstColumn="0" w:lastRowLastColumn="0"/>
            <w:tcW w:w="1418" w:type="dxa"/>
            <w:hideMark/>
          </w:tcPr>
          <w:p w14:paraId="510D7F68"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Not only cold but also heat: the effect of maternal exposure to high temperatures during gestation on neonatal mortality in pre-transitional </w:t>
            </w:r>
            <w:proofErr w:type="spellStart"/>
            <w:r w:rsidRPr="00495497">
              <w:rPr>
                <w:rFonts w:ascii="Aptos Narrow" w:eastAsia="Times New Roman" w:hAnsi="Aptos Narrow" w:cs="Times New Roman"/>
                <w:color w:val="000000"/>
                <w:sz w:val="15"/>
                <w:szCs w:val="15"/>
                <w:vertAlign w:val="superscript"/>
                <w:lang w:eastAsia="en-GB"/>
              </w:rPr>
              <w:t>Casalguidi</w:t>
            </w:r>
            <w:proofErr w:type="spellEnd"/>
            <w:r w:rsidRPr="00495497">
              <w:rPr>
                <w:rFonts w:ascii="Aptos Narrow" w:eastAsia="Times New Roman" w:hAnsi="Aptos Narrow" w:cs="Times New Roman"/>
                <w:color w:val="000000"/>
                <w:sz w:val="15"/>
                <w:szCs w:val="15"/>
                <w:vertAlign w:val="superscript"/>
                <w:lang w:eastAsia="en-GB"/>
              </w:rPr>
              <w:t>, 1819–1859</w:t>
            </w:r>
          </w:p>
        </w:tc>
        <w:tc>
          <w:tcPr>
            <w:tcW w:w="567" w:type="dxa"/>
            <w:hideMark/>
          </w:tcPr>
          <w:p w14:paraId="0DDD8FB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Matteo Manfredini</w:t>
            </w:r>
          </w:p>
        </w:tc>
        <w:tc>
          <w:tcPr>
            <w:tcW w:w="567" w:type="dxa"/>
            <w:hideMark/>
          </w:tcPr>
          <w:p w14:paraId="07DE947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Population and Environment</w:t>
            </w:r>
          </w:p>
        </w:tc>
        <w:tc>
          <w:tcPr>
            <w:tcW w:w="425" w:type="dxa"/>
            <w:hideMark/>
          </w:tcPr>
          <w:p w14:paraId="00F2ECFB"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2024</w:t>
            </w:r>
          </w:p>
        </w:tc>
        <w:tc>
          <w:tcPr>
            <w:tcW w:w="567" w:type="dxa"/>
            <w:hideMark/>
          </w:tcPr>
          <w:p w14:paraId="027A18C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Italy (</w:t>
            </w:r>
            <w:proofErr w:type="spellStart"/>
            <w:r w:rsidRPr="00495497">
              <w:rPr>
                <w:rFonts w:ascii="Calibri" w:eastAsia="Times New Roman" w:hAnsi="Calibri" w:cs="Calibri"/>
                <w:color w:val="000000"/>
                <w:sz w:val="15"/>
                <w:szCs w:val="15"/>
                <w:vertAlign w:val="superscript"/>
                <w:lang w:eastAsia="en-GB"/>
              </w:rPr>
              <w:t>Casalguidi</w:t>
            </w:r>
            <w:proofErr w:type="spellEnd"/>
            <w:r w:rsidRPr="00495497">
              <w:rPr>
                <w:rFonts w:ascii="Calibri" w:eastAsia="Times New Roman" w:hAnsi="Calibri" w:cs="Calibri"/>
                <w:color w:val="000000"/>
                <w:sz w:val="15"/>
                <w:szCs w:val="15"/>
                <w:vertAlign w:val="superscript"/>
                <w:lang w:eastAsia="en-GB"/>
              </w:rPr>
              <w:t xml:space="preserve"> parish, Tuscany)</w:t>
            </w:r>
          </w:p>
        </w:tc>
        <w:tc>
          <w:tcPr>
            <w:tcW w:w="567" w:type="dxa"/>
            <w:hideMark/>
          </w:tcPr>
          <w:p w14:paraId="21162C1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Retrospective cohort (historical parish registers)</w:t>
            </w:r>
          </w:p>
        </w:tc>
        <w:tc>
          <w:tcPr>
            <w:tcW w:w="567" w:type="dxa"/>
            <w:hideMark/>
          </w:tcPr>
          <w:p w14:paraId="6AA7505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3868</w:t>
            </w:r>
          </w:p>
        </w:tc>
        <w:tc>
          <w:tcPr>
            <w:tcW w:w="709" w:type="dxa"/>
            <w:hideMark/>
          </w:tcPr>
          <w:p w14:paraId="2FC268E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Community</w:t>
            </w:r>
          </w:p>
        </w:tc>
        <w:tc>
          <w:tcPr>
            <w:tcW w:w="1134" w:type="dxa"/>
            <w:hideMark/>
          </w:tcPr>
          <w:p w14:paraId="503EF36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All births in </w:t>
            </w:r>
            <w:proofErr w:type="spellStart"/>
            <w:r w:rsidRPr="00495497">
              <w:rPr>
                <w:rFonts w:ascii="Calibri" w:eastAsia="Times New Roman" w:hAnsi="Calibri" w:cs="Calibri"/>
                <w:color w:val="000000"/>
                <w:sz w:val="15"/>
                <w:szCs w:val="15"/>
                <w:vertAlign w:val="superscript"/>
                <w:lang w:eastAsia="en-GB"/>
              </w:rPr>
              <w:t>Casalguidi</w:t>
            </w:r>
            <w:proofErr w:type="spellEnd"/>
            <w:r w:rsidRPr="00495497">
              <w:rPr>
                <w:rFonts w:ascii="Calibri" w:eastAsia="Times New Roman" w:hAnsi="Calibri" w:cs="Calibri"/>
                <w:color w:val="000000"/>
                <w:sz w:val="15"/>
                <w:szCs w:val="15"/>
                <w:vertAlign w:val="superscript"/>
                <w:lang w:eastAsia="en-GB"/>
              </w:rPr>
              <w:t xml:space="preserve"> parish with linked records; very-early deaths appearing only in death register </w:t>
            </w:r>
            <w:proofErr w:type="gramStart"/>
            <w:r w:rsidRPr="00495497">
              <w:rPr>
                <w:rFonts w:ascii="Calibri" w:eastAsia="Times New Roman" w:hAnsi="Calibri" w:cs="Calibri"/>
                <w:color w:val="000000"/>
                <w:sz w:val="15"/>
                <w:szCs w:val="15"/>
                <w:vertAlign w:val="superscript"/>
                <w:lang w:eastAsia="en-GB"/>
              </w:rPr>
              <w:t>included;</w:t>
            </w:r>
            <w:proofErr w:type="gramEnd"/>
            <w:r w:rsidRPr="00495497">
              <w:rPr>
                <w:rFonts w:ascii="Calibri" w:eastAsia="Times New Roman" w:hAnsi="Calibri" w:cs="Calibri"/>
                <w:color w:val="000000"/>
                <w:sz w:val="15"/>
                <w:szCs w:val="15"/>
                <w:vertAlign w:val="superscript"/>
                <w:lang w:eastAsia="en-GB"/>
              </w:rPr>
              <w:t xml:space="preserve"> incomplete 1859 births excluded from core models.</w:t>
            </w:r>
          </w:p>
        </w:tc>
        <w:tc>
          <w:tcPr>
            <w:tcW w:w="992" w:type="dxa"/>
            <w:hideMark/>
          </w:tcPr>
          <w:p w14:paraId="1A0CAAE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Rural parish; family socioeconomic proxies; meteorology from nearby Florence observatory (~25 km).</w:t>
            </w:r>
          </w:p>
        </w:tc>
        <w:tc>
          <w:tcPr>
            <w:tcW w:w="567" w:type="dxa"/>
            <w:hideMark/>
          </w:tcPr>
          <w:p w14:paraId="7306579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w:t>
            </w:r>
          </w:p>
        </w:tc>
        <w:tc>
          <w:tcPr>
            <w:tcW w:w="851" w:type="dxa"/>
            <w:hideMark/>
          </w:tcPr>
          <w:p w14:paraId="555BCBC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Modeled as continuous variable (per °C </w:t>
            </w:r>
          </w:p>
        </w:tc>
        <w:tc>
          <w:tcPr>
            <w:tcW w:w="708" w:type="dxa"/>
            <w:hideMark/>
          </w:tcPr>
          <w:p w14:paraId="3DA5252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Trimesters 1–3; month of birth.</w:t>
            </w:r>
          </w:p>
        </w:tc>
        <w:tc>
          <w:tcPr>
            <w:tcW w:w="851" w:type="dxa"/>
            <w:gridSpan w:val="2"/>
            <w:hideMark/>
          </w:tcPr>
          <w:p w14:paraId="038F01D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Neonatal mortality (overall; early 0–6 days; late 7–29 days)</w:t>
            </w:r>
          </w:p>
        </w:tc>
        <w:tc>
          <w:tcPr>
            <w:tcW w:w="850" w:type="dxa"/>
            <w:hideMark/>
          </w:tcPr>
          <w:p w14:paraId="20456EB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Death within 28 days of birth; early vs late neonatal as defined.</w:t>
            </w:r>
          </w:p>
        </w:tc>
        <w:tc>
          <w:tcPr>
            <w:tcW w:w="1701" w:type="dxa"/>
            <w:hideMark/>
          </w:tcPr>
          <w:p w14:paraId="22B445E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Second</w:t>
            </w:r>
            <w:r w:rsidRPr="00495497">
              <w:rPr>
                <w:rFonts w:ascii="Calibri" w:eastAsia="Times New Roman" w:hAnsi="Calibri" w:cs="Calibri"/>
                <w:color w:val="000000"/>
                <w:sz w:val="15"/>
                <w:szCs w:val="15"/>
                <w:vertAlign w:val="superscript"/>
                <w:lang w:eastAsia="en-GB"/>
              </w:rPr>
              <w:noBreakHyphen/>
              <w:t>trimester high temperature increased neonatal death risk (odds ratio 1.60; p=0.029); third</w:t>
            </w:r>
            <w:r w:rsidRPr="00495497">
              <w:rPr>
                <w:rFonts w:ascii="Calibri" w:eastAsia="Times New Roman" w:hAnsi="Calibri" w:cs="Calibri"/>
                <w:color w:val="000000"/>
                <w:sz w:val="15"/>
                <w:szCs w:val="15"/>
                <w:vertAlign w:val="superscript"/>
                <w:lang w:eastAsia="en-GB"/>
              </w:rPr>
              <w:noBreakHyphen/>
              <w:t>trimester high temperature odds ratio 1.41 (ns). Each +1 °C in month of birth associated with lower neonatal death odds (odds ratio 0.95).</w:t>
            </w:r>
          </w:p>
        </w:tc>
        <w:tc>
          <w:tcPr>
            <w:tcW w:w="912" w:type="dxa"/>
            <w:hideMark/>
          </w:tcPr>
          <w:p w14:paraId="78E9B0C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Family and socioeconomic covariates; seasonality; year; infant sex (as per models).</w:t>
            </w:r>
          </w:p>
        </w:tc>
      </w:tr>
      <w:tr w:rsidR="0051112E" w:rsidRPr="0051112E" w14:paraId="1BF6E55B" w14:textId="77777777" w:rsidTr="0051112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8" w:type="dxa"/>
            <w:hideMark/>
          </w:tcPr>
          <w:p w14:paraId="4AFB0E4D"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Temperature-related neonatal deaths attributable to climate change in 29 low- and middle-income countries</w:t>
            </w:r>
          </w:p>
        </w:tc>
        <w:tc>
          <w:tcPr>
            <w:tcW w:w="567" w:type="dxa"/>
            <w:hideMark/>
          </w:tcPr>
          <w:p w14:paraId="1C608F0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Dimitrova A</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3F5B6DA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Nature Communications</w:t>
            </w:r>
          </w:p>
        </w:tc>
        <w:tc>
          <w:tcPr>
            <w:tcW w:w="425" w:type="dxa"/>
            <w:hideMark/>
          </w:tcPr>
          <w:p w14:paraId="3189D03F"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2024</w:t>
            </w:r>
          </w:p>
        </w:tc>
        <w:tc>
          <w:tcPr>
            <w:tcW w:w="567" w:type="dxa"/>
            <w:hideMark/>
          </w:tcPr>
          <w:p w14:paraId="0F06C60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29 LMICs (mainly sub-Saharan Africa and Asia)</w:t>
            </w:r>
          </w:p>
        </w:tc>
        <w:tc>
          <w:tcPr>
            <w:tcW w:w="567" w:type="dxa"/>
            <w:hideMark/>
          </w:tcPr>
          <w:p w14:paraId="11E886F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Time-stratified case-crossover </w:t>
            </w:r>
          </w:p>
        </w:tc>
        <w:tc>
          <w:tcPr>
            <w:tcW w:w="567" w:type="dxa"/>
            <w:hideMark/>
          </w:tcPr>
          <w:p w14:paraId="208D711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40,073</w:t>
            </w:r>
          </w:p>
        </w:tc>
        <w:tc>
          <w:tcPr>
            <w:tcW w:w="709" w:type="dxa"/>
            <w:hideMark/>
          </w:tcPr>
          <w:p w14:paraId="6D38594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Demographic and Health Surveys pooled across 29 </w:t>
            </w:r>
            <w:proofErr w:type="gramStart"/>
            <w:r w:rsidRPr="00495497">
              <w:rPr>
                <w:rFonts w:ascii="Calibri" w:eastAsia="Times New Roman" w:hAnsi="Calibri" w:cs="Calibri"/>
                <w:color w:val="000000"/>
                <w:sz w:val="15"/>
                <w:szCs w:val="15"/>
                <w:vertAlign w:val="superscript"/>
                <w:lang w:eastAsia="en-GB"/>
              </w:rPr>
              <w:t>countries;</w:t>
            </w:r>
            <w:proofErr w:type="gramEnd"/>
            <w:r w:rsidRPr="00495497">
              <w:rPr>
                <w:rFonts w:ascii="Calibri" w:eastAsia="Times New Roman" w:hAnsi="Calibri" w:cs="Calibri"/>
                <w:color w:val="000000"/>
                <w:sz w:val="15"/>
                <w:szCs w:val="15"/>
                <w:vertAlign w:val="superscript"/>
                <w:lang w:eastAsia="en-GB"/>
              </w:rPr>
              <w:t xml:space="preserve"> temperature reanalysis datasets</w:t>
            </w:r>
          </w:p>
        </w:tc>
        <w:tc>
          <w:tcPr>
            <w:tcW w:w="1134" w:type="dxa"/>
            <w:hideMark/>
          </w:tcPr>
          <w:p w14:paraId="25C584B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All DHS-recorded neonatal deaths with age at death; very early deaths defined as &lt;24 h.</w:t>
            </w:r>
          </w:p>
        </w:tc>
        <w:tc>
          <w:tcPr>
            <w:tcW w:w="992" w:type="dxa"/>
            <w:hideMark/>
          </w:tcPr>
          <w:p w14:paraId="2580E91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Country-specific temperature percentiles to account for adaptation; multiple reanalysis datasets and counterfactual (no climate change) temperatures.</w:t>
            </w:r>
          </w:p>
        </w:tc>
        <w:tc>
          <w:tcPr>
            <w:tcW w:w="567" w:type="dxa"/>
            <w:hideMark/>
          </w:tcPr>
          <w:p w14:paraId="5D7B39A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 (percentile-standardized) with attribution to observed climate change</w:t>
            </w:r>
          </w:p>
        </w:tc>
        <w:tc>
          <w:tcPr>
            <w:tcW w:w="851" w:type="dxa"/>
            <w:hideMark/>
          </w:tcPr>
          <w:p w14:paraId="5B5F7FC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Non-optimal temperatures vs location-specific optimum; separation of heat-related and cold-related burdens.</w:t>
            </w:r>
          </w:p>
        </w:tc>
        <w:tc>
          <w:tcPr>
            <w:tcW w:w="708" w:type="dxa"/>
            <w:hideMark/>
          </w:tcPr>
          <w:p w14:paraId="79B5D36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Daily temperatures with distributed lags within neonatal period; pooled across 2001–2019.</w:t>
            </w:r>
          </w:p>
        </w:tc>
        <w:tc>
          <w:tcPr>
            <w:tcW w:w="851" w:type="dxa"/>
            <w:gridSpan w:val="2"/>
            <w:hideMark/>
          </w:tcPr>
          <w:p w14:paraId="4F7BF5A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Neonatal death; very early neonatal death</w:t>
            </w:r>
          </w:p>
        </w:tc>
        <w:tc>
          <w:tcPr>
            <w:tcW w:w="850" w:type="dxa"/>
            <w:hideMark/>
          </w:tcPr>
          <w:p w14:paraId="618BDC6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Death within first 28 days (neonatal) and on the day of birth (&lt;24 h, very early), per DHS records.</w:t>
            </w:r>
          </w:p>
        </w:tc>
        <w:tc>
          <w:tcPr>
            <w:tcW w:w="1701" w:type="dxa"/>
            <w:hideMark/>
          </w:tcPr>
          <w:p w14:paraId="4D9392B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Across study countries, 4.3% of neonatal deaths associated with non-optimal temperatures. Climate change accounted for 32% (19–79%) of heat-related neonatal deaths and reduced cold-related burden by 30% (10–63%). Heat-related burden expected to rise with further warming.</w:t>
            </w:r>
          </w:p>
        </w:tc>
        <w:tc>
          <w:tcPr>
            <w:tcW w:w="912" w:type="dxa"/>
            <w:hideMark/>
          </w:tcPr>
          <w:p w14:paraId="316F756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Large multi-country dataset.</w:t>
            </w:r>
          </w:p>
        </w:tc>
      </w:tr>
      <w:tr w:rsidR="0051112E" w:rsidRPr="0051112E" w14:paraId="03F6777E" w14:textId="77777777" w:rsidTr="0051112E">
        <w:trPr>
          <w:trHeight w:val="1560"/>
        </w:trPr>
        <w:tc>
          <w:tcPr>
            <w:cnfStyle w:val="001000000000" w:firstRow="0" w:lastRow="0" w:firstColumn="1" w:lastColumn="0" w:oddVBand="0" w:evenVBand="0" w:oddHBand="0" w:evenHBand="0" w:firstRowFirstColumn="0" w:firstRowLastColumn="0" w:lastRowFirstColumn="0" w:lastRowLastColumn="0"/>
            <w:tcW w:w="1418" w:type="dxa"/>
            <w:hideMark/>
          </w:tcPr>
          <w:p w14:paraId="69C982BD"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Exposure to acute ambient temperature extremes and neonatal intensive care unit admissions: A case-crossover study</w:t>
            </w:r>
          </w:p>
        </w:tc>
        <w:tc>
          <w:tcPr>
            <w:tcW w:w="567" w:type="dxa"/>
            <w:hideMark/>
          </w:tcPr>
          <w:p w14:paraId="72A96CB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LaPointe S</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68BCA37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Science of the Total Environment</w:t>
            </w:r>
          </w:p>
        </w:tc>
        <w:tc>
          <w:tcPr>
            <w:tcW w:w="425" w:type="dxa"/>
            <w:hideMark/>
          </w:tcPr>
          <w:p w14:paraId="27D6DC60"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2024</w:t>
            </w:r>
          </w:p>
        </w:tc>
        <w:tc>
          <w:tcPr>
            <w:tcW w:w="567" w:type="dxa"/>
            <w:hideMark/>
          </w:tcPr>
          <w:p w14:paraId="78D11CC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United States</w:t>
            </w:r>
          </w:p>
        </w:tc>
        <w:tc>
          <w:tcPr>
            <w:tcW w:w="567" w:type="dxa"/>
            <w:hideMark/>
          </w:tcPr>
          <w:p w14:paraId="094ABAB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Time-stratified case-crossover</w:t>
            </w:r>
          </w:p>
        </w:tc>
        <w:tc>
          <w:tcPr>
            <w:tcW w:w="567" w:type="dxa"/>
            <w:hideMark/>
          </w:tcPr>
          <w:p w14:paraId="12E9DB0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27,188</w:t>
            </w:r>
          </w:p>
        </w:tc>
        <w:tc>
          <w:tcPr>
            <w:tcW w:w="709" w:type="dxa"/>
            <w:hideMark/>
          </w:tcPr>
          <w:p w14:paraId="30840EC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19 hospitals across 12 clinical sites (ACOG regions) in the Consortium on Safe Labor</w:t>
            </w:r>
          </w:p>
        </w:tc>
        <w:tc>
          <w:tcPr>
            <w:tcW w:w="1134" w:type="dxa"/>
            <w:hideMark/>
          </w:tcPr>
          <w:p w14:paraId="5538D35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Deliveries ≥23 weeks; linked to hospital referral regions; exposure periods defined by week before delivery.</w:t>
            </w:r>
          </w:p>
        </w:tc>
        <w:tc>
          <w:tcPr>
            <w:tcW w:w="992" w:type="dxa"/>
            <w:hideMark/>
          </w:tcPr>
          <w:p w14:paraId="000FCC8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Adjusted for PM2.5 and relative humidity; site-specific extreme cold/heat percentiles used.</w:t>
            </w:r>
          </w:p>
        </w:tc>
        <w:tc>
          <w:tcPr>
            <w:tcW w:w="567" w:type="dxa"/>
            <w:hideMark/>
          </w:tcPr>
          <w:p w14:paraId="792530E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 extremes (hot and cold)</w:t>
            </w:r>
          </w:p>
        </w:tc>
        <w:tc>
          <w:tcPr>
            <w:tcW w:w="851" w:type="dxa"/>
            <w:hideMark/>
          </w:tcPr>
          <w:p w14:paraId="22D2D98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Weekly average temperatures above 90th/95th percentiles (heat) or below 10th/5th (cold); also evaluated 1°C changes during extreme weeks.</w:t>
            </w:r>
          </w:p>
        </w:tc>
        <w:tc>
          <w:tcPr>
            <w:tcW w:w="708" w:type="dxa"/>
            <w:hideMark/>
          </w:tcPr>
          <w:p w14:paraId="0DF0DB7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Week before delivery (hazard week) vs referent weeks (−2 and +2 weeks).</w:t>
            </w:r>
          </w:p>
        </w:tc>
        <w:tc>
          <w:tcPr>
            <w:tcW w:w="851" w:type="dxa"/>
            <w:gridSpan w:val="2"/>
            <w:hideMark/>
          </w:tcPr>
          <w:p w14:paraId="6C1FB3D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NICU admission</w:t>
            </w:r>
          </w:p>
        </w:tc>
        <w:tc>
          <w:tcPr>
            <w:tcW w:w="850" w:type="dxa"/>
            <w:hideMark/>
          </w:tcPr>
          <w:p w14:paraId="174298D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Admission of newborn to neonatal intensive care unit after delivery (as captured in CSL records).</w:t>
            </w:r>
          </w:p>
        </w:tc>
        <w:tc>
          <w:tcPr>
            <w:tcW w:w="1701" w:type="dxa"/>
            <w:hideMark/>
          </w:tcPr>
          <w:p w14:paraId="70ED6AC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No association with average weekly temperature across all sites, but extremes mattered: below 10th/5th percentiles, 1°C decrease → </w:t>
            </w:r>
            <w:proofErr w:type="spellStart"/>
            <w:r w:rsidRPr="00495497">
              <w:rPr>
                <w:rFonts w:ascii="Calibri" w:eastAsia="Times New Roman" w:hAnsi="Calibri" w:cs="Calibri"/>
                <w:color w:val="000000"/>
                <w:sz w:val="15"/>
                <w:szCs w:val="15"/>
                <w:vertAlign w:val="superscript"/>
                <w:lang w:eastAsia="en-GB"/>
              </w:rPr>
              <w:t>aHR</w:t>
            </w:r>
            <w:proofErr w:type="spellEnd"/>
            <w:r w:rsidRPr="00495497">
              <w:rPr>
                <w:rFonts w:ascii="Calibri" w:eastAsia="Times New Roman" w:hAnsi="Calibri" w:cs="Calibri"/>
                <w:color w:val="000000"/>
                <w:sz w:val="15"/>
                <w:szCs w:val="15"/>
                <w:vertAlign w:val="superscript"/>
                <w:lang w:eastAsia="en-GB"/>
              </w:rPr>
              <w:t xml:space="preserve"> 1.30 (1.28–1.31)/1.47 (1.45–1.50); above 90th/95th, 1°C increase → </w:t>
            </w:r>
            <w:proofErr w:type="spellStart"/>
            <w:r w:rsidRPr="00495497">
              <w:rPr>
                <w:rFonts w:ascii="Calibri" w:eastAsia="Times New Roman" w:hAnsi="Calibri" w:cs="Calibri"/>
                <w:color w:val="000000"/>
                <w:sz w:val="15"/>
                <w:szCs w:val="15"/>
                <w:vertAlign w:val="superscript"/>
                <w:lang w:eastAsia="en-GB"/>
              </w:rPr>
              <w:t>aHR</w:t>
            </w:r>
            <w:proofErr w:type="spellEnd"/>
            <w:r w:rsidRPr="00495497">
              <w:rPr>
                <w:rFonts w:ascii="Calibri" w:eastAsia="Times New Roman" w:hAnsi="Calibri" w:cs="Calibri"/>
                <w:color w:val="000000"/>
                <w:sz w:val="15"/>
                <w:szCs w:val="15"/>
                <w:vertAlign w:val="superscript"/>
                <w:lang w:eastAsia="en-GB"/>
              </w:rPr>
              <w:t xml:space="preserve"> 2.29 (2.17–2.42)/4.30 (3.68–5.03). Stronger for heat than cold.</w:t>
            </w:r>
          </w:p>
        </w:tc>
        <w:tc>
          <w:tcPr>
            <w:tcW w:w="912" w:type="dxa"/>
            <w:hideMark/>
          </w:tcPr>
          <w:p w14:paraId="5F275BB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Multi-site US dataset; rigorous case-crossover; strong effect at extremes.</w:t>
            </w:r>
          </w:p>
        </w:tc>
      </w:tr>
      <w:tr w:rsidR="0051112E" w:rsidRPr="0051112E" w14:paraId="4183CFA4" w14:textId="77777777" w:rsidTr="0051112E">
        <w:trPr>
          <w:cnfStyle w:val="000000100000" w:firstRow="0" w:lastRow="0" w:firstColumn="0" w:lastColumn="0" w:oddVBand="0" w:evenVBand="0" w:oddHBand="1"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1418" w:type="dxa"/>
            <w:hideMark/>
          </w:tcPr>
          <w:p w14:paraId="2152C17E"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Associations between PM2.5, ambient heat exposure and congenital hydronephrosis in southeastern China</w:t>
            </w:r>
          </w:p>
        </w:tc>
        <w:tc>
          <w:tcPr>
            <w:tcW w:w="567" w:type="dxa"/>
            <w:hideMark/>
          </w:tcPr>
          <w:p w14:paraId="7ED5B26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Huang Z</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6729D2A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Frontiers in Public Health</w:t>
            </w:r>
          </w:p>
        </w:tc>
        <w:tc>
          <w:tcPr>
            <w:tcW w:w="425" w:type="dxa"/>
            <w:hideMark/>
          </w:tcPr>
          <w:p w14:paraId="4A8394E8"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2024</w:t>
            </w:r>
          </w:p>
        </w:tc>
        <w:tc>
          <w:tcPr>
            <w:tcW w:w="567" w:type="dxa"/>
            <w:hideMark/>
          </w:tcPr>
          <w:p w14:paraId="34F4574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China (southeastern)</w:t>
            </w:r>
          </w:p>
        </w:tc>
        <w:tc>
          <w:tcPr>
            <w:tcW w:w="567" w:type="dxa"/>
            <w:hideMark/>
          </w:tcPr>
          <w:p w14:paraId="1CC443B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Hospital-based case–control</w:t>
            </w:r>
          </w:p>
        </w:tc>
        <w:tc>
          <w:tcPr>
            <w:tcW w:w="567" w:type="dxa"/>
            <w:hideMark/>
          </w:tcPr>
          <w:p w14:paraId="3065801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409 cases (CH) and n = 409 controls</w:t>
            </w:r>
          </w:p>
        </w:tc>
        <w:tc>
          <w:tcPr>
            <w:tcW w:w="709" w:type="dxa"/>
            <w:hideMark/>
          </w:tcPr>
          <w:p w14:paraId="40EEF0C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Delivery institutions in southern China; clinical diagnoses via imaging and ICD-10 coding</w:t>
            </w:r>
          </w:p>
        </w:tc>
        <w:tc>
          <w:tcPr>
            <w:tcW w:w="1134" w:type="dxa"/>
            <w:hideMark/>
          </w:tcPr>
          <w:p w14:paraId="2998E68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Full-term healthy newborns without defects as controls; CH cases identified per national monitoring requirements; warm-season exposure inclusion (≥1 day </w:t>
            </w:r>
            <w:r w:rsidRPr="00495497">
              <w:rPr>
                <w:rFonts w:ascii="Calibri" w:eastAsia="Times New Roman" w:hAnsi="Calibri" w:cs="Calibri"/>
                <w:color w:val="000000"/>
                <w:sz w:val="15"/>
                <w:szCs w:val="15"/>
                <w:vertAlign w:val="superscript"/>
                <w:lang w:eastAsia="en-GB"/>
              </w:rPr>
              <w:lastRenderedPageBreak/>
              <w:t>within susceptibility window).</w:t>
            </w:r>
          </w:p>
        </w:tc>
        <w:tc>
          <w:tcPr>
            <w:tcW w:w="992" w:type="dxa"/>
            <w:hideMark/>
          </w:tcPr>
          <w:p w14:paraId="69CFAA4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lastRenderedPageBreak/>
              <w:t>Collected maternal (age, parity, pregnancy disease, history) and infant (GA, sex, birth time) variables.</w:t>
            </w:r>
          </w:p>
        </w:tc>
        <w:tc>
          <w:tcPr>
            <w:tcW w:w="567" w:type="dxa"/>
            <w:hideMark/>
          </w:tcPr>
          <w:p w14:paraId="5EC3F6E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Ambient heat (daily maximum temperature, </w:t>
            </w:r>
            <w:proofErr w:type="spellStart"/>
            <w:r w:rsidRPr="00495497">
              <w:rPr>
                <w:rFonts w:ascii="Calibri" w:eastAsia="Times New Roman" w:hAnsi="Calibri" w:cs="Calibri"/>
                <w:color w:val="000000"/>
                <w:sz w:val="15"/>
                <w:szCs w:val="15"/>
                <w:vertAlign w:val="superscript"/>
                <w:lang w:eastAsia="en-GB"/>
              </w:rPr>
              <w:t>Tmax</w:t>
            </w:r>
            <w:proofErr w:type="spellEnd"/>
            <w:r w:rsidRPr="00495497">
              <w:rPr>
                <w:rFonts w:ascii="Calibri" w:eastAsia="Times New Roman" w:hAnsi="Calibri" w:cs="Calibri"/>
                <w:color w:val="000000"/>
                <w:sz w:val="15"/>
                <w:szCs w:val="15"/>
                <w:vertAlign w:val="superscript"/>
                <w:lang w:eastAsia="en-GB"/>
              </w:rPr>
              <w:t xml:space="preserve">) with </w:t>
            </w:r>
            <w:r w:rsidRPr="00495497">
              <w:rPr>
                <w:rFonts w:ascii="Calibri" w:eastAsia="Times New Roman" w:hAnsi="Calibri" w:cs="Calibri"/>
                <w:color w:val="000000"/>
                <w:sz w:val="15"/>
                <w:szCs w:val="15"/>
                <w:vertAlign w:val="superscript"/>
                <w:lang w:eastAsia="en-GB"/>
              </w:rPr>
              <w:lastRenderedPageBreak/>
              <w:t>PM2.5 co-exposure</w:t>
            </w:r>
          </w:p>
        </w:tc>
        <w:tc>
          <w:tcPr>
            <w:tcW w:w="851" w:type="dxa"/>
            <w:hideMark/>
          </w:tcPr>
          <w:p w14:paraId="1EE2D91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lastRenderedPageBreak/>
              <w:t xml:space="preserve">Stratified by </w:t>
            </w:r>
            <w:proofErr w:type="spellStart"/>
            <w:r w:rsidRPr="00495497">
              <w:rPr>
                <w:rFonts w:ascii="Calibri" w:eastAsia="Times New Roman" w:hAnsi="Calibri" w:cs="Calibri"/>
                <w:color w:val="000000"/>
                <w:sz w:val="15"/>
                <w:szCs w:val="15"/>
                <w:vertAlign w:val="superscript"/>
                <w:lang w:eastAsia="en-GB"/>
              </w:rPr>
              <w:t>Tmax</w:t>
            </w:r>
            <w:proofErr w:type="spellEnd"/>
            <w:r w:rsidRPr="00495497">
              <w:rPr>
                <w:rFonts w:ascii="Calibri" w:eastAsia="Times New Roman" w:hAnsi="Calibri" w:cs="Calibri"/>
                <w:color w:val="000000"/>
                <w:sz w:val="15"/>
                <w:szCs w:val="15"/>
                <w:vertAlign w:val="superscript"/>
                <w:lang w:eastAsia="en-GB"/>
              </w:rPr>
              <w:t xml:space="preserve"> percentiles (10th–90th)</w:t>
            </w:r>
          </w:p>
        </w:tc>
        <w:tc>
          <w:tcPr>
            <w:tcW w:w="708" w:type="dxa"/>
            <w:hideMark/>
          </w:tcPr>
          <w:p w14:paraId="7FAF793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Warm season (May–Oct); susceptibility windows around gestational weeks 5–7.</w:t>
            </w:r>
          </w:p>
        </w:tc>
        <w:tc>
          <w:tcPr>
            <w:tcW w:w="709" w:type="dxa"/>
            <w:hideMark/>
          </w:tcPr>
          <w:p w14:paraId="09CAD4E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Congenital hydronephrosis (CH)</w:t>
            </w:r>
          </w:p>
        </w:tc>
        <w:tc>
          <w:tcPr>
            <w:tcW w:w="992" w:type="dxa"/>
            <w:gridSpan w:val="2"/>
            <w:hideMark/>
          </w:tcPr>
          <w:p w14:paraId="45558CB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CH defined by imaging thresholds (e.g., AP diameter &gt;4 mm in 2nd trimester or &gt;7 mm in 3rd trimester) and clinical criteria; ICD-10 coded.</w:t>
            </w:r>
          </w:p>
        </w:tc>
        <w:tc>
          <w:tcPr>
            <w:tcW w:w="1701" w:type="dxa"/>
            <w:hideMark/>
          </w:tcPr>
          <w:p w14:paraId="7E04EFB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Per 1°C increase in heat exposure: OR 1.21 (95% CI 1.04–1.41) at week 6 and OR 1.13 (1.02–1.24) at week 7; positive interaction between higher PM2.5 and heat (RERI&gt;0 at 50th/75th/90th percentiles for weeks 5–6).</w:t>
            </w:r>
          </w:p>
        </w:tc>
        <w:tc>
          <w:tcPr>
            <w:tcW w:w="912" w:type="dxa"/>
            <w:hideMark/>
          </w:tcPr>
          <w:p w14:paraId="1E6C72F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Clear susceptibility window analysis; hospital-based case–control.</w:t>
            </w:r>
          </w:p>
        </w:tc>
      </w:tr>
      <w:tr w:rsidR="0051112E" w:rsidRPr="0051112E" w14:paraId="3F4C73F1" w14:textId="77777777" w:rsidTr="0051112E">
        <w:trPr>
          <w:trHeight w:val="1882"/>
        </w:trPr>
        <w:tc>
          <w:tcPr>
            <w:cnfStyle w:val="001000000000" w:firstRow="0" w:lastRow="0" w:firstColumn="1" w:lastColumn="0" w:oddVBand="0" w:evenVBand="0" w:oddHBand="0" w:evenHBand="0" w:firstRowFirstColumn="0" w:firstRowLastColumn="0" w:lastRowFirstColumn="0" w:lastRowLastColumn="0"/>
            <w:tcW w:w="1418" w:type="dxa"/>
            <w:hideMark/>
          </w:tcPr>
          <w:p w14:paraId="78C192DA"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stress and adverse pregnancy outcome: Prospective cohort study</w:t>
            </w:r>
          </w:p>
        </w:tc>
        <w:tc>
          <w:tcPr>
            <w:tcW w:w="567" w:type="dxa"/>
            <w:hideMark/>
          </w:tcPr>
          <w:p w14:paraId="352BB1F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Rekha S</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6856A1C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BJOG: An International Journal of Obstetrics &amp; </w:t>
            </w:r>
            <w:proofErr w:type="spellStart"/>
            <w:r w:rsidRPr="00495497">
              <w:rPr>
                <w:rFonts w:ascii="Calibri" w:eastAsia="Times New Roman" w:hAnsi="Calibri" w:cs="Calibri"/>
                <w:color w:val="000000"/>
                <w:sz w:val="15"/>
                <w:szCs w:val="15"/>
                <w:vertAlign w:val="superscript"/>
                <w:lang w:eastAsia="en-GB"/>
              </w:rPr>
              <w:t>Gynaecology</w:t>
            </w:r>
            <w:proofErr w:type="spellEnd"/>
          </w:p>
        </w:tc>
        <w:tc>
          <w:tcPr>
            <w:tcW w:w="425" w:type="dxa"/>
            <w:hideMark/>
          </w:tcPr>
          <w:p w14:paraId="5E8820DC"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2023</w:t>
            </w:r>
          </w:p>
        </w:tc>
        <w:tc>
          <w:tcPr>
            <w:tcW w:w="567" w:type="dxa"/>
            <w:hideMark/>
          </w:tcPr>
          <w:p w14:paraId="2761772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India (Tamil Nadu)</w:t>
            </w:r>
          </w:p>
        </w:tc>
        <w:tc>
          <w:tcPr>
            <w:tcW w:w="567" w:type="dxa"/>
            <w:hideMark/>
          </w:tcPr>
          <w:p w14:paraId="61250E3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Prospective cohort</w:t>
            </w:r>
          </w:p>
        </w:tc>
        <w:tc>
          <w:tcPr>
            <w:tcW w:w="567" w:type="dxa"/>
            <w:hideMark/>
          </w:tcPr>
          <w:p w14:paraId="659E9E1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800</w:t>
            </w:r>
          </w:p>
        </w:tc>
        <w:tc>
          <w:tcPr>
            <w:tcW w:w="709" w:type="dxa"/>
            <w:hideMark/>
          </w:tcPr>
          <w:p w14:paraId="11245B0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Workplaces (informal/manual and formal/professional sectors) across six districts; (47.3% high occupational heat exposure)</w:t>
            </w:r>
          </w:p>
        </w:tc>
        <w:tc>
          <w:tcPr>
            <w:tcW w:w="1134" w:type="dxa"/>
            <w:hideMark/>
          </w:tcPr>
          <w:p w14:paraId="3AC4367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Pregnant women 8–14 weeks gestation, singleton, moderate–heavy work; excluded self-reported comorbidities or medication use.</w:t>
            </w:r>
          </w:p>
        </w:tc>
        <w:tc>
          <w:tcPr>
            <w:tcW w:w="992" w:type="dxa"/>
            <w:hideMark/>
          </w:tcPr>
          <w:p w14:paraId="146A4BC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Measured HSIs (core body temperature, urine specific gravity) pre/post shift; symptoms via modified HOTHAPS; workload categorized (moderate/heavy).</w:t>
            </w:r>
          </w:p>
        </w:tc>
        <w:tc>
          <w:tcPr>
            <w:tcW w:w="567" w:type="dxa"/>
            <w:hideMark/>
          </w:tcPr>
          <w:p w14:paraId="4CEA9F6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Occupational heat stress (WBGT)</w:t>
            </w:r>
          </w:p>
        </w:tc>
        <w:tc>
          <w:tcPr>
            <w:tcW w:w="851" w:type="dxa"/>
            <w:hideMark/>
          </w:tcPr>
          <w:p w14:paraId="5FF251D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Heat-exposed defined as WBGT exceeding TLV for safe manual work (≈27.5°C heavy; 28.0°C moderate).</w:t>
            </w:r>
          </w:p>
        </w:tc>
        <w:tc>
          <w:tcPr>
            <w:tcW w:w="708" w:type="dxa"/>
            <w:hideMark/>
          </w:tcPr>
          <w:p w14:paraId="6E3B798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Each trimester; multiple readings per hour across shifts; averaged for exposure attribution.</w:t>
            </w:r>
          </w:p>
        </w:tc>
        <w:tc>
          <w:tcPr>
            <w:tcW w:w="851" w:type="dxa"/>
            <w:gridSpan w:val="2"/>
            <w:hideMark/>
          </w:tcPr>
          <w:p w14:paraId="7AB12B1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Composite adverse pregnancy outcomes (APO); composite adverse outcomes at birth; miscarriage.</w:t>
            </w:r>
          </w:p>
        </w:tc>
        <w:tc>
          <w:tcPr>
            <w:tcW w:w="850" w:type="dxa"/>
            <w:hideMark/>
          </w:tcPr>
          <w:p w14:paraId="79D0154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APO included miscarriage, preterm birth, low birthweight, stillbirth, intrauterine growth restriction, and birth defects; adverse outcome at birth similarly composite; miscarriage as loss during pregnancy.</w:t>
            </w:r>
          </w:p>
        </w:tc>
        <w:tc>
          <w:tcPr>
            <w:tcW w:w="1701" w:type="dxa"/>
            <w:hideMark/>
          </w:tcPr>
          <w:p w14:paraId="3ECC6C7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High occupational heat associated with higher risks: miscarriage </w:t>
            </w:r>
            <w:proofErr w:type="spellStart"/>
            <w:r w:rsidRPr="00495497">
              <w:rPr>
                <w:rFonts w:ascii="Calibri" w:eastAsia="Times New Roman" w:hAnsi="Calibri" w:cs="Calibri"/>
                <w:color w:val="000000"/>
                <w:sz w:val="15"/>
                <w:szCs w:val="15"/>
                <w:vertAlign w:val="superscript"/>
                <w:lang w:eastAsia="en-GB"/>
              </w:rPr>
              <w:t>aOR</w:t>
            </w:r>
            <w:proofErr w:type="spellEnd"/>
            <w:r w:rsidRPr="00495497">
              <w:rPr>
                <w:rFonts w:ascii="Calibri" w:eastAsia="Times New Roman" w:hAnsi="Calibri" w:cs="Calibri"/>
                <w:color w:val="000000"/>
                <w:sz w:val="15"/>
                <w:szCs w:val="15"/>
                <w:vertAlign w:val="superscript"/>
                <w:lang w:eastAsia="en-GB"/>
              </w:rPr>
              <w:t xml:space="preserve"> 2.4 (95% CI 1.0–5.7); any APO </w:t>
            </w:r>
            <w:proofErr w:type="spellStart"/>
            <w:r w:rsidRPr="00495497">
              <w:rPr>
                <w:rFonts w:ascii="Calibri" w:eastAsia="Times New Roman" w:hAnsi="Calibri" w:cs="Calibri"/>
                <w:color w:val="000000"/>
                <w:sz w:val="15"/>
                <w:szCs w:val="15"/>
                <w:vertAlign w:val="superscript"/>
                <w:lang w:eastAsia="en-GB"/>
              </w:rPr>
              <w:t>aOR</w:t>
            </w:r>
            <w:proofErr w:type="spellEnd"/>
            <w:r w:rsidRPr="00495497">
              <w:rPr>
                <w:rFonts w:ascii="Calibri" w:eastAsia="Times New Roman" w:hAnsi="Calibri" w:cs="Calibri"/>
                <w:color w:val="000000"/>
                <w:sz w:val="15"/>
                <w:szCs w:val="15"/>
                <w:vertAlign w:val="superscript"/>
                <w:lang w:eastAsia="en-GB"/>
              </w:rPr>
              <w:t xml:space="preserve"> 2.3 (1.4–3.8); adverse outcome at birth </w:t>
            </w:r>
            <w:proofErr w:type="spellStart"/>
            <w:r w:rsidRPr="00495497">
              <w:rPr>
                <w:rFonts w:ascii="Calibri" w:eastAsia="Times New Roman" w:hAnsi="Calibri" w:cs="Calibri"/>
                <w:color w:val="000000"/>
                <w:sz w:val="15"/>
                <w:szCs w:val="15"/>
                <w:vertAlign w:val="superscript"/>
                <w:lang w:eastAsia="en-GB"/>
              </w:rPr>
              <w:t>aOR</w:t>
            </w:r>
            <w:proofErr w:type="spellEnd"/>
            <w:r w:rsidRPr="00495497">
              <w:rPr>
                <w:rFonts w:ascii="Calibri" w:eastAsia="Times New Roman" w:hAnsi="Calibri" w:cs="Calibri"/>
                <w:color w:val="000000"/>
                <w:sz w:val="15"/>
                <w:szCs w:val="15"/>
                <w:vertAlign w:val="superscript"/>
                <w:lang w:eastAsia="en-GB"/>
              </w:rPr>
              <w:t xml:space="preserve"> 2.0 (1.2–3.3). 17.4% had CBT rise; 29.6% moderate dehydration.</w:t>
            </w:r>
          </w:p>
        </w:tc>
        <w:tc>
          <w:tcPr>
            <w:tcW w:w="912" w:type="dxa"/>
            <w:hideMark/>
          </w:tcPr>
          <w:p w14:paraId="4369722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Field measurements; prospective design; occupational focus.</w:t>
            </w:r>
          </w:p>
        </w:tc>
      </w:tr>
      <w:tr w:rsidR="0051112E" w:rsidRPr="0051112E" w14:paraId="2C26F400" w14:textId="77777777" w:rsidTr="0051112E">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1418" w:type="dxa"/>
            <w:hideMark/>
          </w:tcPr>
          <w:p w14:paraId="7308CC79"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Identifying critical periods of susceptibility for maternal exposure to biothermal stress and the risks of stillbirth and spontaneous preterm birth in Western Australia.</w:t>
            </w:r>
          </w:p>
        </w:tc>
        <w:tc>
          <w:tcPr>
            <w:tcW w:w="567" w:type="dxa"/>
            <w:hideMark/>
          </w:tcPr>
          <w:p w14:paraId="33993BB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proofErr w:type="spellStart"/>
            <w:r w:rsidRPr="00495497">
              <w:rPr>
                <w:rFonts w:ascii="Calibri" w:eastAsia="Times New Roman" w:hAnsi="Calibri" w:cs="Calibri"/>
                <w:color w:val="000000"/>
                <w:sz w:val="15"/>
                <w:szCs w:val="15"/>
                <w:vertAlign w:val="superscript"/>
                <w:lang w:eastAsia="en-GB"/>
              </w:rPr>
              <w:t>Nyadanu</w:t>
            </w:r>
            <w:proofErr w:type="spellEnd"/>
            <w:r w:rsidRPr="00495497">
              <w:rPr>
                <w:rFonts w:ascii="Calibri" w:eastAsia="Times New Roman" w:hAnsi="Calibri" w:cs="Calibri"/>
                <w:color w:val="000000"/>
                <w:sz w:val="15"/>
                <w:szCs w:val="15"/>
                <w:vertAlign w:val="superscript"/>
                <w:lang w:eastAsia="en-GB"/>
              </w:rPr>
              <w:t xml:space="preserve"> </w:t>
            </w:r>
            <w:r w:rsidRPr="0051112E">
              <w:rPr>
                <w:rFonts w:ascii="Calibri" w:eastAsia="Times New Roman" w:hAnsi="Calibri" w:cs="Calibri"/>
                <w:color w:val="000000"/>
                <w:sz w:val="15"/>
                <w:szCs w:val="15"/>
                <w:vertAlign w:val="superscript"/>
                <w:lang w:eastAsia="en-GB"/>
              </w:rPr>
              <w:t>SD et al.</w:t>
            </w:r>
          </w:p>
        </w:tc>
        <w:tc>
          <w:tcPr>
            <w:tcW w:w="567" w:type="dxa"/>
            <w:hideMark/>
          </w:tcPr>
          <w:p w14:paraId="1893A0D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American Journal of Epidemiology</w:t>
            </w:r>
          </w:p>
        </w:tc>
        <w:tc>
          <w:tcPr>
            <w:tcW w:w="425" w:type="dxa"/>
            <w:hideMark/>
          </w:tcPr>
          <w:p w14:paraId="728DF9AC"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2025</w:t>
            </w:r>
          </w:p>
        </w:tc>
        <w:tc>
          <w:tcPr>
            <w:tcW w:w="567" w:type="dxa"/>
            <w:hideMark/>
          </w:tcPr>
          <w:p w14:paraId="4BB023B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Australia (Western Australia)</w:t>
            </w:r>
          </w:p>
        </w:tc>
        <w:tc>
          <w:tcPr>
            <w:tcW w:w="567" w:type="dxa"/>
            <w:hideMark/>
          </w:tcPr>
          <w:p w14:paraId="3F56CA1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Population-based retrospective cohort</w:t>
            </w:r>
          </w:p>
        </w:tc>
        <w:tc>
          <w:tcPr>
            <w:tcW w:w="567" w:type="dxa"/>
            <w:hideMark/>
          </w:tcPr>
          <w:p w14:paraId="7F92DCE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415,271</w:t>
            </w:r>
          </w:p>
        </w:tc>
        <w:tc>
          <w:tcPr>
            <w:tcW w:w="709" w:type="dxa"/>
            <w:hideMark/>
          </w:tcPr>
          <w:p w14:paraId="40320F0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Statewide birth registry (Midwives Notification System), population-based</w:t>
            </w:r>
          </w:p>
        </w:tc>
        <w:tc>
          <w:tcPr>
            <w:tcW w:w="1134" w:type="dxa"/>
            <w:hideMark/>
          </w:tcPr>
          <w:p w14:paraId="5B77F39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Singleton births at 22–42 gestational weeks; excluded multiple births; fixed-cohort bias mitigated by excluding conceptions &lt;22 weeks before start and &gt;42 weeks before end; incorrect/missing exposure areas.</w:t>
            </w:r>
          </w:p>
        </w:tc>
        <w:tc>
          <w:tcPr>
            <w:tcW w:w="992" w:type="dxa"/>
            <w:hideMark/>
          </w:tcPr>
          <w:p w14:paraId="23C88C1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Adjusted for fetal sex, year/season of conception, maternal age, race/ethnicity, marital status, smoking, parity, remoteness, and area-level SES.</w:t>
            </w:r>
          </w:p>
        </w:tc>
        <w:tc>
          <w:tcPr>
            <w:tcW w:w="567" w:type="dxa"/>
            <w:hideMark/>
          </w:tcPr>
          <w:p w14:paraId="5FB457C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Universal Thermal Climate Index (UTCI)</w:t>
            </w:r>
          </w:p>
        </w:tc>
        <w:tc>
          <w:tcPr>
            <w:tcW w:w="851" w:type="dxa"/>
            <w:hideMark/>
          </w:tcPr>
          <w:p w14:paraId="24994BC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Non-optimal UTCI defined using centiles: 90th–99th (heat) vs median (14.2°C)</w:t>
            </w:r>
          </w:p>
        </w:tc>
        <w:tc>
          <w:tcPr>
            <w:tcW w:w="708" w:type="dxa"/>
            <w:hideMark/>
          </w:tcPr>
          <w:p w14:paraId="27FE131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Daily UTCI assigned from 12 weeks preconception to birth; analyzed as weekly (−11 to 42 weeks) and monthly exposures; cumulative windows (trimesters, entire pregnancy, preconception).</w:t>
            </w:r>
          </w:p>
        </w:tc>
        <w:tc>
          <w:tcPr>
            <w:tcW w:w="851" w:type="dxa"/>
            <w:gridSpan w:val="2"/>
            <w:hideMark/>
          </w:tcPr>
          <w:p w14:paraId="592F8A2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Stillbirth; spontaneous preterm birth (</w:t>
            </w:r>
            <w:proofErr w:type="spellStart"/>
            <w:r w:rsidRPr="00495497">
              <w:rPr>
                <w:rFonts w:ascii="Calibri" w:eastAsia="Times New Roman" w:hAnsi="Calibri" w:cs="Calibri"/>
                <w:color w:val="000000"/>
                <w:sz w:val="15"/>
                <w:szCs w:val="15"/>
                <w:vertAlign w:val="superscript"/>
                <w:lang w:eastAsia="en-GB"/>
              </w:rPr>
              <w:t>sPTB</w:t>
            </w:r>
            <w:proofErr w:type="spellEnd"/>
            <w:r w:rsidRPr="00495497">
              <w:rPr>
                <w:rFonts w:ascii="Calibri" w:eastAsia="Times New Roman" w:hAnsi="Calibri" w:cs="Calibri"/>
                <w:color w:val="000000"/>
                <w:sz w:val="15"/>
                <w:szCs w:val="15"/>
                <w:vertAlign w:val="superscript"/>
                <w:lang w:eastAsia="en-GB"/>
              </w:rPr>
              <w:t>)</w:t>
            </w:r>
          </w:p>
        </w:tc>
        <w:tc>
          <w:tcPr>
            <w:tcW w:w="850" w:type="dxa"/>
            <w:hideMark/>
          </w:tcPr>
          <w:p w14:paraId="0FD520B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Stillbirth ≥20 weeks’ gestation; </w:t>
            </w:r>
            <w:proofErr w:type="spellStart"/>
            <w:r w:rsidRPr="00495497">
              <w:rPr>
                <w:rFonts w:ascii="Calibri" w:eastAsia="Times New Roman" w:hAnsi="Calibri" w:cs="Calibri"/>
                <w:color w:val="000000"/>
                <w:sz w:val="15"/>
                <w:szCs w:val="15"/>
                <w:vertAlign w:val="superscript"/>
                <w:lang w:eastAsia="en-GB"/>
              </w:rPr>
              <w:t>sPTB</w:t>
            </w:r>
            <w:proofErr w:type="spellEnd"/>
            <w:r w:rsidRPr="00495497">
              <w:rPr>
                <w:rFonts w:ascii="Calibri" w:eastAsia="Times New Roman" w:hAnsi="Calibri" w:cs="Calibri"/>
                <w:color w:val="000000"/>
                <w:sz w:val="15"/>
                <w:szCs w:val="15"/>
                <w:vertAlign w:val="superscript"/>
                <w:lang w:eastAsia="en-GB"/>
              </w:rPr>
              <w:t xml:space="preserve"> &lt;37 weeks with spontaneous labor and vaginal delivery.</w:t>
            </w:r>
          </w:p>
        </w:tc>
        <w:tc>
          <w:tcPr>
            <w:tcW w:w="1701" w:type="dxa"/>
            <w:hideMark/>
          </w:tcPr>
          <w:p w14:paraId="7E53E43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Extreme UTCI increased hazards of stillbirth and </w:t>
            </w:r>
            <w:proofErr w:type="spellStart"/>
            <w:r w:rsidRPr="00495497">
              <w:rPr>
                <w:rFonts w:ascii="Calibri" w:eastAsia="Times New Roman" w:hAnsi="Calibri" w:cs="Calibri"/>
                <w:color w:val="000000"/>
                <w:sz w:val="15"/>
                <w:szCs w:val="15"/>
                <w:vertAlign w:val="superscript"/>
                <w:lang w:eastAsia="en-GB"/>
              </w:rPr>
              <w:t>sPTB</w:t>
            </w:r>
            <w:proofErr w:type="spellEnd"/>
            <w:r w:rsidRPr="00495497">
              <w:rPr>
                <w:rFonts w:ascii="Calibri" w:eastAsia="Times New Roman" w:hAnsi="Calibri" w:cs="Calibri"/>
                <w:color w:val="000000"/>
                <w:sz w:val="15"/>
                <w:szCs w:val="15"/>
                <w:vertAlign w:val="superscript"/>
                <w:lang w:eastAsia="en-GB"/>
              </w:rPr>
              <w:t xml:space="preserve">; critical susceptibility in mid–late gestation. At UTCI 1st centile: highest HR 1.14 (95% CI 1.03–1.27) for stillbirth at week 42; </w:t>
            </w:r>
            <w:proofErr w:type="spellStart"/>
            <w:r w:rsidRPr="00495497">
              <w:rPr>
                <w:rFonts w:ascii="Calibri" w:eastAsia="Times New Roman" w:hAnsi="Calibri" w:cs="Calibri"/>
                <w:color w:val="000000"/>
                <w:sz w:val="15"/>
                <w:szCs w:val="15"/>
                <w:vertAlign w:val="superscript"/>
                <w:lang w:eastAsia="en-GB"/>
              </w:rPr>
              <w:t>sPTB</w:t>
            </w:r>
            <w:proofErr w:type="spellEnd"/>
            <w:r w:rsidRPr="00495497">
              <w:rPr>
                <w:rFonts w:ascii="Calibri" w:eastAsia="Times New Roman" w:hAnsi="Calibri" w:cs="Calibri"/>
                <w:color w:val="000000"/>
                <w:sz w:val="15"/>
                <w:szCs w:val="15"/>
                <w:vertAlign w:val="superscript"/>
                <w:lang w:eastAsia="en-GB"/>
              </w:rPr>
              <w:t xml:space="preserve"> strongest at week 36 HR 1.09 (95% CI 1.06–1.12). </w:t>
            </w:r>
          </w:p>
        </w:tc>
        <w:tc>
          <w:tcPr>
            <w:tcW w:w="912" w:type="dxa"/>
            <w:hideMark/>
          </w:tcPr>
          <w:p w14:paraId="736606F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Robust exposure assessment; appropriate DLNM; large sample.</w:t>
            </w:r>
          </w:p>
        </w:tc>
      </w:tr>
      <w:tr w:rsidR="0051112E" w:rsidRPr="0051112E" w14:paraId="6F8D29E3" w14:textId="77777777" w:rsidTr="0051112E">
        <w:trPr>
          <w:trHeight w:val="1418"/>
        </w:trPr>
        <w:tc>
          <w:tcPr>
            <w:cnfStyle w:val="001000000000" w:firstRow="0" w:lastRow="0" w:firstColumn="1" w:lastColumn="0" w:oddVBand="0" w:evenVBand="0" w:oddHBand="0" w:evenHBand="0" w:firstRowFirstColumn="0" w:firstRowLastColumn="0" w:lastRowFirstColumn="0" w:lastRowLastColumn="0"/>
            <w:tcW w:w="1418" w:type="dxa"/>
            <w:hideMark/>
          </w:tcPr>
          <w:p w14:paraId="6D6B609D"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Critical windows of susceptibility for the effects of prenatal exposure to heat and heat variability on gestational growth</w:t>
            </w:r>
          </w:p>
        </w:tc>
        <w:tc>
          <w:tcPr>
            <w:tcW w:w="567" w:type="dxa"/>
            <w:hideMark/>
          </w:tcPr>
          <w:p w14:paraId="4B66653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Jeffrey M</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3245C45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Environmental Research</w:t>
            </w:r>
          </w:p>
        </w:tc>
        <w:tc>
          <w:tcPr>
            <w:tcW w:w="425" w:type="dxa"/>
            <w:hideMark/>
          </w:tcPr>
          <w:p w14:paraId="398979B9"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2022</w:t>
            </w:r>
          </w:p>
        </w:tc>
        <w:tc>
          <w:tcPr>
            <w:tcW w:w="567" w:type="dxa"/>
            <w:hideMark/>
          </w:tcPr>
          <w:p w14:paraId="6A0F725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United States (Boston, Massachusetts)</w:t>
            </w:r>
          </w:p>
        </w:tc>
        <w:tc>
          <w:tcPr>
            <w:tcW w:w="567" w:type="dxa"/>
            <w:hideMark/>
          </w:tcPr>
          <w:p w14:paraId="6DA16B8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Clinic</w:t>
            </w:r>
            <w:r w:rsidRPr="00495497">
              <w:rPr>
                <w:rFonts w:ascii="Calibri" w:eastAsia="Times New Roman" w:hAnsi="Calibri" w:cs="Calibri"/>
                <w:color w:val="000000"/>
                <w:sz w:val="15"/>
                <w:szCs w:val="15"/>
                <w:vertAlign w:val="superscript"/>
                <w:lang w:eastAsia="en-GB"/>
              </w:rPr>
              <w:noBreakHyphen/>
              <w:t>based cohort</w:t>
            </w:r>
          </w:p>
        </w:tc>
        <w:tc>
          <w:tcPr>
            <w:tcW w:w="567" w:type="dxa"/>
            <w:hideMark/>
          </w:tcPr>
          <w:p w14:paraId="64A7460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4,442</w:t>
            </w:r>
          </w:p>
        </w:tc>
        <w:tc>
          <w:tcPr>
            <w:tcW w:w="709" w:type="dxa"/>
            <w:hideMark/>
          </w:tcPr>
          <w:p w14:paraId="0035691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Boston Medical Center (pediatric ED</w:t>
            </w:r>
            <w:r w:rsidRPr="00495497">
              <w:rPr>
                <w:rFonts w:ascii="Calibri" w:eastAsia="Times New Roman" w:hAnsi="Calibri" w:cs="Calibri"/>
                <w:color w:val="000000"/>
                <w:sz w:val="15"/>
                <w:szCs w:val="15"/>
                <w:vertAlign w:val="superscript"/>
                <w:lang w:eastAsia="en-GB"/>
              </w:rPr>
              <w:noBreakHyphen/>
              <w:t>linked cohort); survey + EHR; geocoded addresses</w:t>
            </w:r>
          </w:p>
        </w:tc>
        <w:tc>
          <w:tcPr>
            <w:tcW w:w="1134" w:type="dxa"/>
            <w:hideMark/>
          </w:tcPr>
          <w:p w14:paraId="1C0E1B5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Massachusetts residents; English/Spanish</w:t>
            </w:r>
            <w:r w:rsidRPr="00495497">
              <w:rPr>
                <w:rFonts w:ascii="Calibri" w:eastAsia="Times New Roman" w:hAnsi="Calibri" w:cs="Calibri"/>
                <w:color w:val="000000"/>
                <w:sz w:val="15"/>
                <w:szCs w:val="15"/>
                <w:vertAlign w:val="superscript"/>
                <w:lang w:eastAsia="en-GB"/>
              </w:rPr>
              <w:noBreakHyphen/>
              <w:t>speaking caregiver; complete weekly exposure histories; primary analyses restricted to term births for birthweight outcomes.</w:t>
            </w:r>
          </w:p>
        </w:tc>
        <w:tc>
          <w:tcPr>
            <w:tcW w:w="992" w:type="dxa"/>
            <w:hideMark/>
          </w:tcPr>
          <w:p w14:paraId="643C572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Diverse, lower</w:t>
            </w:r>
            <w:r w:rsidRPr="00495497">
              <w:rPr>
                <w:rFonts w:ascii="Calibri" w:eastAsia="Times New Roman" w:hAnsi="Calibri" w:cs="Calibri"/>
                <w:color w:val="000000"/>
                <w:sz w:val="15"/>
                <w:szCs w:val="15"/>
                <w:vertAlign w:val="superscript"/>
                <w:lang w:eastAsia="en-GB"/>
              </w:rPr>
              <w:noBreakHyphen/>
              <w:t>income population.</w:t>
            </w:r>
          </w:p>
        </w:tc>
        <w:tc>
          <w:tcPr>
            <w:tcW w:w="567" w:type="dxa"/>
            <w:hideMark/>
          </w:tcPr>
          <w:p w14:paraId="79E7C33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Weekly mean and variability (SD) of temperature and heat index (HI)</w:t>
            </w:r>
          </w:p>
        </w:tc>
        <w:tc>
          <w:tcPr>
            <w:tcW w:w="851" w:type="dxa"/>
            <w:hideMark/>
          </w:tcPr>
          <w:p w14:paraId="4B38E53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HI derived from temperature and dew point; weekly mean and weekly SD computed at residential location.</w:t>
            </w:r>
          </w:p>
        </w:tc>
        <w:tc>
          <w:tcPr>
            <w:tcW w:w="708" w:type="dxa"/>
            <w:hideMark/>
          </w:tcPr>
          <w:p w14:paraId="60BED09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Weekly across gestation; critical windows identified (e.g., HI variability weeks ~9–29).</w:t>
            </w:r>
          </w:p>
        </w:tc>
        <w:tc>
          <w:tcPr>
            <w:tcW w:w="851" w:type="dxa"/>
            <w:gridSpan w:val="2"/>
            <w:hideMark/>
          </w:tcPr>
          <w:p w14:paraId="135507A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Birthweight (term); small for gestational age (SGA); birthweight z</w:t>
            </w:r>
            <w:r w:rsidRPr="00495497">
              <w:rPr>
                <w:rFonts w:ascii="Calibri" w:eastAsia="Times New Roman" w:hAnsi="Calibri" w:cs="Calibri"/>
                <w:color w:val="000000"/>
                <w:sz w:val="15"/>
                <w:szCs w:val="15"/>
                <w:vertAlign w:val="superscript"/>
                <w:lang w:eastAsia="en-GB"/>
              </w:rPr>
              <w:noBreakHyphen/>
              <w:t>score</w:t>
            </w:r>
          </w:p>
        </w:tc>
        <w:tc>
          <w:tcPr>
            <w:tcW w:w="850" w:type="dxa"/>
            <w:hideMark/>
          </w:tcPr>
          <w:p w14:paraId="401245A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SGA &lt;10th percentile of CDC references; BW z</w:t>
            </w:r>
            <w:r w:rsidRPr="00495497">
              <w:rPr>
                <w:rFonts w:ascii="Calibri" w:eastAsia="Times New Roman" w:hAnsi="Calibri" w:cs="Calibri"/>
                <w:color w:val="000000"/>
                <w:sz w:val="15"/>
                <w:szCs w:val="15"/>
                <w:vertAlign w:val="superscript"/>
                <w:lang w:eastAsia="en-GB"/>
              </w:rPr>
              <w:noBreakHyphen/>
              <w:t>scores per CDC sex</w:t>
            </w:r>
            <w:r w:rsidRPr="00495497">
              <w:rPr>
                <w:rFonts w:ascii="Calibri" w:eastAsia="Times New Roman" w:hAnsi="Calibri" w:cs="Calibri"/>
                <w:color w:val="000000"/>
                <w:sz w:val="15"/>
                <w:szCs w:val="15"/>
                <w:vertAlign w:val="superscript"/>
                <w:lang w:eastAsia="en-GB"/>
              </w:rPr>
              <w:noBreakHyphen/>
              <w:t>specific standards.</w:t>
            </w:r>
          </w:p>
        </w:tc>
        <w:tc>
          <w:tcPr>
            <w:tcW w:w="1701" w:type="dxa"/>
            <w:hideMark/>
          </w:tcPr>
          <w:p w14:paraId="1806671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HI variability was most strongly associated with decreased term birthweight and higher SGA odds. Cumulative effects: −287 g for BW (weeks 10–29) and OR 4.7 for SGA (weeks 9–26). Effects were stronger among mothers experiencing homelessness; sex</w:t>
            </w:r>
            <w:r w:rsidRPr="00495497">
              <w:rPr>
                <w:rFonts w:ascii="Calibri" w:eastAsia="Times New Roman" w:hAnsi="Calibri" w:cs="Calibri"/>
                <w:color w:val="000000"/>
                <w:sz w:val="15"/>
                <w:szCs w:val="15"/>
                <w:vertAlign w:val="superscript"/>
                <w:lang w:eastAsia="en-GB"/>
              </w:rPr>
              <w:noBreakHyphen/>
              <w:t>specific windows observed.</w:t>
            </w:r>
          </w:p>
        </w:tc>
        <w:tc>
          <w:tcPr>
            <w:tcW w:w="912" w:type="dxa"/>
            <w:hideMark/>
          </w:tcPr>
          <w:p w14:paraId="48AEA8C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Fine</w:t>
            </w:r>
            <w:r w:rsidRPr="00495497">
              <w:rPr>
                <w:rFonts w:ascii="Calibri" w:eastAsia="Times New Roman" w:hAnsi="Calibri" w:cs="Calibri"/>
                <w:color w:val="000000"/>
                <w:sz w:val="15"/>
                <w:szCs w:val="15"/>
                <w:vertAlign w:val="superscript"/>
                <w:lang w:eastAsia="en-GB"/>
              </w:rPr>
              <w:noBreakHyphen/>
              <w:t>scale exposure; DLNM; vulnerable urban cohort.</w:t>
            </w:r>
          </w:p>
        </w:tc>
      </w:tr>
      <w:tr w:rsidR="0051112E" w:rsidRPr="0051112E" w14:paraId="2D2BC9B6" w14:textId="77777777" w:rsidTr="0051112E">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1418" w:type="dxa"/>
            <w:hideMark/>
          </w:tcPr>
          <w:p w14:paraId="158CDCA2"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The role of extreme heat exposure on premature rupture of membranes in Southern California: A study from a large pregnancy cohort</w:t>
            </w:r>
          </w:p>
        </w:tc>
        <w:tc>
          <w:tcPr>
            <w:tcW w:w="567" w:type="dxa"/>
            <w:hideMark/>
          </w:tcPr>
          <w:p w14:paraId="57F8ED5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Anqi Jiao</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03B72A0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Environment International</w:t>
            </w:r>
          </w:p>
        </w:tc>
        <w:tc>
          <w:tcPr>
            <w:tcW w:w="425" w:type="dxa"/>
            <w:hideMark/>
          </w:tcPr>
          <w:p w14:paraId="24D44A8D"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2023</w:t>
            </w:r>
          </w:p>
        </w:tc>
        <w:tc>
          <w:tcPr>
            <w:tcW w:w="567" w:type="dxa"/>
            <w:hideMark/>
          </w:tcPr>
          <w:p w14:paraId="7F3CCE4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United States (Southern California)</w:t>
            </w:r>
          </w:p>
        </w:tc>
        <w:tc>
          <w:tcPr>
            <w:tcW w:w="567" w:type="dxa"/>
            <w:hideMark/>
          </w:tcPr>
          <w:p w14:paraId="5AC339F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Retrospective cohort</w:t>
            </w:r>
          </w:p>
        </w:tc>
        <w:tc>
          <w:tcPr>
            <w:tcW w:w="567" w:type="dxa"/>
            <w:hideMark/>
          </w:tcPr>
          <w:p w14:paraId="0E93720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190,767</w:t>
            </w:r>
          </w:p>
        </w:tc>
        <w:tc>
          <w:tcPr>
            <w:tcW w:w="709" w:type="dxa"/>
            <w:hideMark/>
          </w:tcPr>
          <w:p w14:paraId="498B34D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Integrated health system (KPSC) across 10 counties; geocoded residential addresses</w:t>
            </w:r>
          </w:p>
        </w:tc>
        <w:tc>
          <w:tcPr>
            <w:tcW w:w="1134" w:type="dxa"/>
            <w:hideMark/>
          </w:tcPr>
          <w:p w14:paraId="7C76E6F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Warm</w:t>
            </w:r>
            <w:r w:rsidRPr="00495497">
              <w:rPr>
                <w:rFonts w:ascii="Calibri" w:eastAsia="Times New Roman" w:hAnsi="Calibri" w:cs="Calibri"/>
                <w:color w:val="000000"/>
                <w:sz w:val="15"/>
                <w:szCs w:val="15"/>
                <w:vertAlign w:val="superscript"/>
                <w:lang w:eastAsia="en-GB"/>
              </w:rPr>
              <w:noBreakHyphen/>
              <w:t>season membrane ruptures (May–Sep); excluded non</w:t>
            </w:r>
            <w:r w:rsidRPr="00495497">
              <w:rPr>
                <w:rFonts w:ascii="Calibri" w:eastAsia="Times New Roman" w:hAnsi="Calibri" w:cs="Calibri"/>
                <w:color w:val="000000"/>
                <w:sz w:val="15"/>
                <w:szCs w:val="15"/>
                <w:vertAlign w:val="superscript"/>
                <w:lang w:eastAsia="en-GB"/>
              </w:rPr>
              <w:noBreakHyphen/>
              <w:t>spontaneous PROM (iatrogenic) and missing data; singleton pregnancies with geocoded addresses.</w:t>
            </w:r>
          </w:p>
        </w:tc>
        <w:tc>
          <w:tcPr>
            <w:tcW w:w="992" w:type="dxa"/>
            <w:hideMark/>
          </w:tcPr>
          <w:p w14:paraId="7887307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Individual</w:t>
            </w:r>
            <w:r w:rsidRPr="00495497">
              <w:rPr>
                <w:rFonts w:ascii="Calibri" w:eastAsia="Times New Roman" w:hAnsi="Calibri" w:cs="Calibri"/>
                <w:color w:val="000000"/>
                <w:sz w:val="15"/>
                <w:szCs w:val="15"/>
                <w:vertAlign w:val="superscript"/>
                <w:lang w:eastAsia="en-GB"/>
              </w:rPr>
              <w:noBreakHyphen/>
              <w:t xml:space="preserve">level covariates (age, BMI, parity, smoking), neighborhood SES; examined effect modification by PM2.5/NO2, green space, AC penetration, </w:t>
            </w:r>
            <w:proofErr w:type="spellStart"/>
            <w:r w:rsidRPr="00495497">
              <w:rPr>
                <w:rFonts w:ascii="Calibri" w:eastAsia="Times New Roman" w:hAnsi="Calibri" w:cs="Calibri"/>
                <w:color w:val="000000"/>
                <w:sz w:val="15"/>
                <w:szCs w:val="15"/>
                <w:vertAlign w:val="superscript"/>
                <w:lang w:eastAsia="en-GB"/>
              </w:rPr>
              <w:t>sociodemographics</w:t>
            </w:r>
            <w:proofErr w:type="spellEnd"/>
            <w:r w:rsidRPr="00495497">
              <w:rPr>
                <w:rFonts w:ascii="Calibri" w:eastAsia="Times New Roman" w:hAnsi="Calibri" w:cs="Calibri"/>
                <w:color w:val="000000"/>
                <w:sz w:val="15"/>
                <w:szCs w:val="15"/>
                <w:vertAlign w:val="superscript"/>
                <w:lang w:eastAsia="en-GB"/>
              </w:rPr>
              <w:t>.</w:t>
            </w:r>
          </w:p>
        </w:tc>
        <w:tc>
          <w:tcPr>
            <w:tcW w:w="567" w:type="dxa"/>
            <w:hideMark/>
          </w:tcPr>
          <w:p w14:paraId="755A97B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Heat index (HI)–based heatwaves; continuous daily max HI</w:t>
            </w:r>
          </w:p>
        </w:tc>
        <w:tc>
          <w:tcPr>
            <w:tcW w:w="851" w:type="dxa"/>
            <w:hideMark/>
          </w:tcPr>
          <w:p w14:paraId="2F7C70D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12 heatwave definitions combining daily max HI percentiles (75th/90th/95th/98th) and durations (≥2/3/4 consecutive days); exposure if any event occurred in the last 7 days of pregnancy.</w:t>
            </w:r>
          </w:p>
        </w:tc>
        <w:tc>
          <w:tcPr>
            <w:tcW w:w="708" w:type="dxa"/>
            <w:hideMark/>
          </w:tcPr>
          <w:p w14:paraId="5402156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Primary: last gestational week (7 days); warm season only.</w:t>
            </w:r>
          </w:p>
        </w:tc>
        <w:tc>
          <w:tcPr>
            <w:tcW w:w="851" w:type="dxa"/>
            <w:gridSpan w:val="2"/>
            <w:hideMark/>
          </w:tcPr>
          <w:p w14:paraId="6EFC628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PROM; term PROM (TPROM); preterm PROM (PPROM)</w:t>
            </w:r>
          </w:p>
        </w:tc>
        <w:tc>
          <w:tcPr>
            <w:tcW w:w="850" w:type="dxa"/>
            <w:hideMark/>
          </w:tcPr>
          <w:p w14:paraId="635C481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PROM = spontaneous rupture of membranes before labor; PPROM &lt;37 weeks; TPROM ≥37 weeks; diagnoses from KPSC clinical records.</w:t>
            </w:r>
          </w:p>
        </w:tc>
        <w:tc>
          <w:tcPr>
            <w:tcW w:w="1701" w:type="dxa"/>
            <w:hideMark/>
          </w:tcPr>
          <w:p w14:paraId="6646174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Less</w:t>
            </w:r>
            <w:r w:rsidRPr="00495497">
              <w:rPr>
                <w:rFonts w:ascii="Calibri" w:eastAsia="Times New Roman" w:hAnsi="Calibri" w:cs="Calibri"/>
                <w:color w:val="000000"/>
                <w:sz w:val="15"/>
                <w:szCs w:val="15"/>
                <w:vertAlign w:val="superscript"/>
                <w:lang w:eastAsia="en-GB"/>
              </w:rPr>
              <w:noBreakHyphen/>
              <w:t>intense heatwaves were associated with 9–14% higher risk of PROM; similar positive associations for TPROM and PPROM. Risks were greater among younger mothers, lower SES, smokers, and those with higher PM2.5; consistently higher where green space/AC penetration were lower.</w:t>
            </w:r>
          </w:p>
        </w:tc>
        <w:tc>
          <w:tcPr>
            <w:tcW w:w="912" w:type="dxa"/>
            <w:hideMark/>
          </w:tcPr>
          <w:p w14:paraId="29F8143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Large EHR cohort; granular exposure; multiple heatwave definitions; strong sensitivity analyses.</w:t>
            </w:r>
          </w:p>
        </w:tc>
      </w:tr>
      <w:tr w:rsidR="0051112E" w:rsidRPr="0051112E" w14:paraId="7EE0F9E3" w14:textId="77777777" w:rsidTr="0051112E">
        <w:trPr>
          <w:trHeight w:val="1567"/>
        </w:trPr>
        <w:tc>
          <w:tcPr>
            <w:cnfStyle w:val="001000000000" w:firstRow="0" w:lastRow="0" w:firstColumn="1" w:lastColumn="0" w:oddVBand="0" w:evenVBand="0" w:oddHBand="0" w:evenHBand="0" w:firstRowFirstColumn="0" w:firstRowLastColumn="0" w:lastRowFirstColumn="0" w:lastRowLastColumn="0"/>
            <w:tcW w:w="1418" w:type="dxa"/>
            <w:hideMark/>
          </w:tcPr>
          <w:p w14:paraId="03E61526"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Socioeconomic disparities in climate vulnerability: neonatal mortality in northern Sweden, 1880–1950</w:t>
            </w:r>
          </w:p>
        </w:tc>
        <w:tc>
          <w:tcPr>
            <w:tcW w:w="567" w:type="dxa"/>
            <w:hideMark/>
          </w:tcPr>
          <w:p w14:paraId="2CC617F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Lena Karlsson</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46922B4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Population and Environment</w:t>
            </w:r>
          </w:p>
        </w:tc>
        <w:tc>
          <w:tcPr>
            <w:tcW w:w="425" w:type="dxa"/>
            <w:hideMark/>
          </w:tcPr>
          <w:p w14:paraId="70944199"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2021</w:t>
            </w:r>
          </w:p>
        </w:tc>
        <w:tc>
          <w:tcPr>
            <w:tcW w:w="567" w:type="dxa"/>
            <w:hideMark/>
          </w:tcPr>
          <w:p w14:paraId="02A58AD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Sweden (northern: </w:t>
            </w:r>
            <w:proofErr w:type="spellStart"/>
            <w:r w:rsidRPr="00495497">
              <w:rPr>
                <w:rFonts w:ascii="Calibri" w:eastAsia="Times New Roman" w:hAnsi="Calibri" w:cs="Calibri"/>
                <w:color w:val="000000"/>
                <w:sz w:val="15"/>
                <w:szCs w:val="15"/>
                <w:vertAlign w:val="superscript"/>
                <w:lang w:eastAsia="en-GB"/>
              </w:rPr>
              <w:t>Umeå</w:t>
            </w:r>
            <w:proofErr w:type="spellEnd"/>
            <w:r w:rsidRPr="00495497">
              <w:rPr>
                <w:rFonts w:ascii="Calibri" w:eastAsia="Times New Roman" w:hAnsi="Calibri" w:cs="Calibri"/>
                <w:color w:val="000000"/>
                <w:sz w:val="15"/>
                <w:szCs w:val="15"/>
                <w:vertAlign w:val="superscript"/>
                <w:lang w:eastAsia="en-GB"/>
              </w:rPr>
              <w:t xml:space="preserve">, </w:t>
            </w:r>
            <w:proofErr w:type="spellStart"/>
            <w:r w:rsidRPr="00495497">
              <w:rPr>
                <w:rFonts w:ascii="Calibri" w:eastAsia="Times New Roman" w:hAnsi="Calibri" w:cs="Calibri"/>
                <w:color w:val="000000"/>
                <w:sz w:val="15"/>
                <w:szCs w:val="15"/>
                <w:vertAlign w:val="superscript"/>
                <w:lang w:eastAsia="en-GB"/>
              </w:rPr>
              <w:t>Skellefteå</w:t>
            </w:r>
            <w:proofErr w:type="spellEnd"/>
            <w:r w:rsidRPr="00495497">
              <w:rPr>
                <w:rFonts w:ascii="Calibri" w:eastAsia="Times New Roman" w:hAnsi="Calibri" w:cs="Calibri"/>
                <w:color w:val="000000"/>
                <w:sz w:val="15"/>
                <w:szCs w:val="15"/>
                <w:vertAlign w:val="superscript"/>
                <w:lang w:eastAsia="en-GB"/>
              </w:rPr>
              <w:t>, inland parishes)</w:t>
            </w:r>
          </w:p>
        </w:tc>
        <w:tc>
          <w:tcPr>
            <w:tcW w:w="567" w:type="dxa"/>
            <w:hideMark/>
          </w:tcPr>
          <w:p w14:paraId="23CCF290" w14:textId="42822DB3"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Pr>
                <w:rFonts w:ascii="Calibri" w:eastAsia="Times New Roman" w:hAnsi="Calibri" w:cs="Calibri"/>
                <w:color w:val="000000"/>
                <w:sz w:val="15"/>
                <w:szCs w:val="15"/>
                <w:vertAlign w:val="superscript"/>
                <w:lang w:eastAsia="en-GB"/>
              </w:rPr>
              <w:t>Cross-sectional study</w:t>
            </w:r>
          </w:p>
        </w:tc>
        <w:tc>
          <w:tcPr>
            <w:tcW w:w="567" w:type="dxa"/>
            <w:hideMark/>
          </w:tcPr>
          <w:p w14:paraId="0882539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 = 122,756 live births; 3,985 neonatal deaths</w:t>
            </w:r>
          </w:p>
        </w:tc>
        <w:tc>
          <w:tcPr>
            <w:tcW w:w="709" w:type="dxa"/>
            <w:hideMark/>
          </w:tcPr>
          <w:p w14:paraId="0ACD60B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Historical parish registers (Demographic Data Base, </w:t>
            </w:r>
            <w:proofErr w:type="spellStart"/>
            <w:r w:rsidRPr="00495497">
              <w:rPr>
                <w:rFonts w:ascii="Calibri" w:eastAsia="Times New Roman" w:hAnsi="Calibri" w:cs="Calibri"/>
                <w:color w:val="000000"/>
                <w:sz w:val="15"/>
                <w:szCs w:val="15"/>
                <w:vertAlign w:val="superscript"/>
                <w:lang w:eastAsia="en-GB"/>
              </w:rPr>
              <w:t>Umeå</w:t>
            </w:r>
            <w:proofErr w:type="spellEnd"/>
            <w:r w:rsidRPr="00495497">
              <w:rPr>
                <w:rFonts w:ascii="Calibri" w:eastAsia="Times New Roman" w:hAnsi="Calibri" w:cs="Calibri"/>
                <w:color w:val="000000"/>
                <w:sz w:val="15"/>
                <w:szCs w:val="15"/>
                <w:vertAlign w:val="superscript"/>
                <w:lang w:eastAsia="en-GB"/>
              </w:rPr>
              <w:t xml:space="preserve"> University)</w:t>
            </w:r>
          </w:p>
        </w:tc>
        <w:tc>
          <w:tcPr>
            <w:tcW w:w="1134" w:type="dxa"/>
            <w:hideMark/>
          </w:tcPr>
          <w:p w14:paraId="0404CB7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Live births with linked records (birth, migration, death); classified by father's occupation; excluded records with missing key variables; three subregions (coastal </w:t>
            </w:r>
            <w:proofErr w:type="spellStart"/>
            <w:r w:rsidRPr="00495497">
              <w:rPr>
                <w:rFonts w:ascii="Calibri" w:eastAsia="Times New Roman" w:hAnsi="Calibri" w:cs="Calibri"/>
                <w:color w:val="000000"/>
                <w:sz w:val="15"/>
                <w:szCs w:val="15"/>
                <w:vertAlign w:val="superscript"/>
                <w:lang w:eastAsia="en-GB"/>
              </w:rPr>
              <w:t>Umeå</w:t>
            </w:r>
            <w:proofErr w:type="spellEnd"/>
            <w:r w:rsidRPr="00495497">
              <w:rPr>
                <w:rFonts w:ascii="Calibri" w:eastAsia="Times New Roman" w:hAnsi="Calibri" w:cs="Calibri"/>
                <w:color w:val="000000"/>
                <w:sz w:val="15"/>
                <w:szCs w:val="15"/>
                <w:vertAlign w:val="superscript"/>
                <w:lang w:eastAsia="en-GB"/>
              </w:rPr>
              <w:t xml:space="preserve">, coastal </w:t>
            </w:r>
            <w:proofErr w:type="spellStart"/>
            <w:r w:rsidRPr="00495497">
              <w:rPr>
                <w:rFonts w:ascii="Calibri" w:eastAsia="Times New Roman" w:hAnsi="Calibri" w:cs="Calibri"/>
                <w:color w:val="000000"/>
                <w:sz w:val="15"/>
                <w:szCs w:val="15"/>
                <w:vertAlign w:val="superscript"/>
                <w:lang w:eastAsia="en-GB"/>
              </w:rPr>
              <w:t>Skellefteå</w:t>
            </w:r>
            <w:proofErr w:type="spellEnd"/>
            <w:r w:rsidRPr="00495497">
              <w:rPr>
                <w:rFonts w:ascii="Calibri" w:eastAsia="Times New Roman" w:hAnsi="Calibri" w:cs="Calibri"/>
                <w:color w:val="000000"/>
                <w:sz w:val="15"/>
                <w:szCs w:val="15"/>
                <w:vertAlign w:val="superscript"/>
                <w:lang w:eastAsia="en-GB"/>
              </w:rPr>
              <w:t>, inland).</w:t>
            </w:r>
          </w:p>
        </w:tc>
        <w:tc>
          <w:tcPr>
            <w:tcW w:w="992" w:type="dxa"/>
            <w:hideMark/>
          </w:tcPr>
          <w:p w14:paraId="46FE4C6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Social class categories (farmers, workers, middle class); </w:t>
            </w:r>
            <w:proofErr w:type="spellStart"/>
            <w:r w:rsidRPr="00495497">
              <w:rPr>
                <w:rFonts w:ascii="Calibri" w:eastAsia="Times New Roman" w:hAnsi="Calibri" w:cs="Calibri"/>
                <w:color w:val="000000"/>
                <w:sz w:val="15"/>
                <w:szCs w:val="15"/>
                <w:vertAlign w:val="superscript"/>
                <w:lang w:eastAsia="en-GB"/>
              </w:rPr>
              <w:t>industrialisation</w:t>
            </w:r>
            <w:proofErr w:type="spellEnd"/>
            <w:r w:rsidRPr="00495497">
              <w:rPr>
                <w:rFonts w:ascii="Calibri" w:eastAsia="Times New Roman" w:hAnsi="Calibri" w:cs="Calibri"/>
                <w:color w:val="000000"/>
                <w:sz w:val="15"/>
                <w:szCs w:val="15"/>
                <w:vertAlign w:val="superscript"/>
                <w:lang w:eastAsia="en-GB"/>
              </w:rPr>
              <w:t>/</w:t>
            </w:r>
            <w:proofErr w:type="spellStart"/>
            <w:r w:rsidRPr="00495497">
              <w:rPr>
                <w:rFonts w:ascii="Calibri" w:eastAsia="Times New Roman" w:hAnsi="Calibri" w:cs="Calibri"/>
                <w:color w:val="000000"/>
                <w:sz w:val="15"/>
                <w:szCs w:val="15"/>
                <w:vertAlign w:val="superscript"/>
                <w:lang w:eastAsia="en-GB"/>
              </w:rPr>
              <w:t>urbanisation</w:t>
            </w:r>
            <w:proofErr w:type="spellEnd"/>
            <w:r w:rsidRPr="00495497">
              <w:rPr>
                <w:rFonts w:ascii="Calibri" w:eastAsia="Times New Roman" w:hAnsi="Calibri" w:cs="Calibri"/>
                <w:color w:val="000000"/>
                <w:sz w:val="15"/>
                <w:szCs w:val="15"/>
                <w:vertAlign w:val="superscript"/>
                <w:lang w:eastAsia="en-GB"/>
              </w:rPr>
              <w:t xml:space="preserve"> contrasts across subregions; day-specific temperature linked during neonatal period.</w:t>
            </w:r>
          </w:p>
        </w:tc>
        <w:tc>
          <w:tcPr>
            <w:tcW w:w="567" w:type="dxa"/>
            <w:hideMark/>
          </w:tcPr>
          <w:p w14:paraId="24C6D44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 (daily mean); season of birth</w:t>
            </w:r>
          </w:p>
        </w:tc>
        <w:tc>
          <w:tcPr>
            <w:tcW w:w="851" w:type="dxa"/>
            <w:hideMark/>
          </w:tcPr>
          <w:p w14:paraId="7ACA8A1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Daily mean temperature (°C) and seasonal indicators; temperature extremes explored by period.</w:t>
            </w:r>
          </w:p>
        </w:tc>
        <w:tc>
          <w:tcPr>
            <w:tcW w:w="708" w:type="dxa"/>
            <w:hideMark/>
          </w:tcPr>
          <w:p w14:paraId="4720C6E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Daily temperature during neonatal period (0–28 days) as time</w:t>
            </w:r>
            <w:r w:rsidRPr="00495497">
              <w:rPr>
                <w:rFonts w:ascii="Calibri" w:eastAsia="Times New Roman" w:hAnsi="Calibri" w:cs="Calibri"/>
                <w:color w:val="000000"/>
                <w:sz w:val="15"/>
                <w:szCs w:val="15"/>
                <w:vertAlign w:val="superscript"/>
                <w:lang w:eastAsia="en-GB"/>
              </w:rPr>
              <w:noBreakHyphen/>
              <w:t>varying exposure; season at birth.</w:t>
            </w:r>
          </w:p>
        </w:tc>
        <w:tc>
          <w:tcPr>
            <w:tcW w:w="851" w:type="dxa"/>
            <w:gridSpan w:val="2"/>
            <w:hideMark/>
          </w:tcPr>
          <w:p w14:paraId="4F7BACC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Neonatal mortality</w:t>
            </w:r>
          </w:p>
        </w:tc>
        <w:tc>
          <w:tcPr>
            <w:tcW w:w="850" w:type="dxa"/>
            <w:hideMark/>
          </w:tcPr>
          <w:p w14:paraId="56A09A8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Death within 28 days of birth (from parish death registers).</w:t>
            </w:r>
          </w:p>
        </w:tc>
        <w:tc>
          <w:tcPr>
            <w:tcW w:w="1701" w:type="dxa"/>
            <w:hideMark/>
          </w:tcPr>
          <w:p w14:paraId="6A55CC8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Temperature–mortality associations differed by era and class: by 1930–1950, high temperatures were particularly detrimental among workers; the season-of-birth gradient declined over time as overall neonatal mortality fell.</w:t>
            </w:r>
          </w:p>
        </w:tc>
        <w:tc>
          <w:tcPr>
            <w:tcW w:w="912" w:type="dxa"/>
            <w:hideMark/>
          </w:tcPr>
          <w:p w14:paraId="7894C89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Strong historical data linkage; exposure limited to station averages; potential confounding by living conditions.</w:t>
            </w:r>
          </w:p>
        </w:tc>
      </w:tr>
      <w:tr w:rsidR="0051112E" w:rsidRPr="0051112E" w14:paraId="4047F449" w14:textId="77777777" w:rsidTr="0051112E">
        <w:trPr>
          <w:cnfStyle w:val="000000100000" w:firstRow="0" w:lastRow="0" w:firstColumn="0" w:lastColumn="0" w:oddVBand="0" w:evenVBand="0" w:oddHBand="1" w:evenHBand="0" w:firstRowFirstColumn="0" w:firstRowLastColumn="0" w:lastRowFirstColumn="0" w:lastRowLastColumn="0"/>
          <w:trHeight w:val="995"/>
        </w:trPr>
        <w:tc>
          <w:tcPr>
            <w:cnfStyle w:val="001000000000" w:firstRow="0" w:lastRow="0" w:firstColumn="1" w:lastColumn="0" w:oddVBand="0" w:evenVBand="0" w:oddHBand="0" w:evenHBand="0" w:firstRowFirstColumn="0" w:firstRowLastColumn="0" w:lastRowFirstColumn="0" w:lastRowLastColumn="0"/>
            <w:tcW w:w="1418" w:type="dxa"/>
            <w:hideMark/>
          </w:tcPr>
          <w:p w14:paraId="17DF64FD"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 climate change, and birth weight: evidence from Hungary</w:t>
            </w:r>
          </w:p>
        </w:tc>
        <w:tc>
          <w:tcPr>
            <w:tcW w:w="567" w:type="dxa"/>
            <w:hideMark/>
          </w:tcPr>
          <w:p w14:paraId="70320A8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Tamás Hajdu</w:t>
            </w:r>
            <w:r w:rsidRPr="0051112E">
              <w:rPr>
                <w:rFonts w:ascii="Calibri" w:eastAsia="Times New Roman" w:hAnsi="Calibri" w:cs="Calibri"/>
                <w:color w:val="000000"/>
                <w:sz w:val="15"/>
                <w:szCs w:val="15"/>
                <w:vertAlign w:val="superscript"/>
                <w:lang w:eastAsia="en-GB"/>
              </w:rPr>
              <w:t xml:space="preserve"> et al.</w:t>
            </w:r>
          </w:p>
        </w:tc>
        <w:tc>
          <w:tcPr>
            <w:tcW w:w="567" w:type="dxa"/>
            <w:hideMark/>
          </w:tcPr>
          <w:p w14:paraId="4ACC092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Population and Environment</w:t>
            </w:r>
          </w:p>
        </w:tc>
        <w:tc>
          <w:tcPr>
            <w:tcW w:w="425" w:type="dxa"/>
            <w:hideMark/>
          </w:tcPr>
          <w:p w14:paraId="108925DF"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2021</w:t>
            </w:r>
          </w:p>
        </w:tc>
        <w:tc>
          <w:tcPr>
            <w:tcW w:w="567" w:type="dxa"/>
            <w:hideMark/>
          </w:tcPr>
          <w:p w14:paraId="787E8EA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Hungary (national)</w:t>
            </w:r>
          </w:p>
        </w:tc>
        <w:tc>
          <w:tcPr>
            <w:tcW w:w="567" w:type="dxa"/>
            <w:hideMark/>
          </w:tcPr>
          <w:p w14:paraId="2A33E18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Retrospective cohort</w:t>
            </w:r>
          </w:p>
        </w:tc>
        <w:tc>
          <w:tcPr>
            <w:tcW w:w="567" w:type="dxa"/>
            <w:hideMark/>
          </w:tcPr>
          <w:p w14:paraId="235EF24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n = 1,532,661 </w:t>
            </w:r>
          </w:p>
        </w:tc>
        <w:tc>
          <w:tcPr>
            <w:tcW w:w="709" w:type="dxa"/>
            <w:hideMark/>
          </w:tcPr>
          <w:p w14:paraId="0C821EA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National birth records linked to gridded temperature</w:t>
            </w:r>
          </w:p>
        </w:tc>
        <w:tc>
          <w:tcPr>
            <w:tcW w:w="1134" w:type="dxa"/>
            <w:hideMark/>
          </w:tcPr>
          <w:p w14:paraId="76DFE79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Singletons conceived 2000–2016; standard data cleaning.</w:t>
            </w:r>
          </w:p>
        </w:tc>
        <w:tc>
          <w:tcPr>
            <w:tcW w:w="992" w:type="dxa"/>
            <w:hideMark/>
          </w:tcPr>
          <w:p w14:paraId="06C407F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Models include county &amp; year fixed effects, precipitation, seasonality.</w:t>
            </w:r>
          </w:p>
        </w:tc>
        <w:tc>
          <w:tcPr>
            <w:tcW w:w="567" w:type="dxa"/>
            <w:hideMark/>
          </w:tcPr>
          <w:p w14:paraId="2972312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Ambient temperature (daily mean)</w:t>
            </w:r>
          </w:p>
        </w:tc>
        <w:tc>
          <w:tcPr>
            <w:tcW w:w="851" w:type="dxa"/>
            <w:hideMark/>
          </w:tcPr>
          <w:p w14:paraId="1CD35A6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Count of days in temperature bins (e.g., &gt;25 °C) over gestation; trimester analyses.</w:t>
            </w:r>
          </w:p>
        </w:tc>
        <w:tc>
          <w:tcPr>
            <w:tcW w:w="708" w:type="dxa"/>
            <w:hideMark/>
          </w:tcPr>
          <w:p w14:paraId="73405A6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Entire pregnancy and trimesters; projections for 2040–2059 (RCP8.5).</w:t>
            </w:r>
          </w:p>
        </w:tc>
        <w:tc>
          <w:tcPr>
            <w:tcW w:w="851" w:type="dxa"/>
            <w:gridSpan w:val="2"/>
            <w:hideMark/>
          </w:tcPr>
          <w:p w14:paraId="06D9806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Birth weight (g); low birth weight (LBW &lt;2500 g)</w:t>
            </w:r>
          </w:p>
        </w:tc>
        <w:tc>
          <w:tcPr>
            <w:tcW w:w="850" w:type="dxa"/>
            <w:hideMark/>
          </w:tcPr>
          <w:p w14:paraId="611FDED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Measured birth weight; LBW indicator.</w:t>
            </w:r>
          </w:p>
        </w:tc>
        <w:tc>
          <w:tcPr>
            <w:tcW w:w="1701" w:type="dxa"/>
            <w:hideMark/>
          </w:tcPr>
          <w:p w14:paraId="1EB4956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Each additional hot day (&gt;25 °C) during gestation reduces birth weight by 0.46 g (vs 15–20 °</w:t>
            </w:r>
            <w:proofErr w:type="gramStart"/>
            <w:r w:rsidRPr="00495497">
              <w:rPr>
                <w:rFonts w:ascii="Calibri" w:eastAsia="Times New Roman" w:hAnsi="Calibri" w:cs="Calibri"/>
                <w:color w:val="000000"/>
                <w:sz w:val="15"/>
                <w:szCs w:val="15"/>
                <w:vertAlign w:val="superscript"/>
                <w:lang w:eastAsia="en-GB"/>
              </w:rPr>
              <w:t>C day</w:t>
            </w:r>
            <w:proofErr w:type="gramEnd"/>
            <w:r w:rsidRPr="00495497">
              <w:rPr>
                <w:rFonts w:ascii="Calibri" w:eastAsia="Times New Roman" w:hAnsi="Calibri" w:cs="Calibri"/>
                <w:color w:val="000000"/>
                <w:sz w:val="15"/>
                <w:szCs w:val="15"/>
                <w:vertAlign w:val="superscript"/>
                <w:lang w:eastAsia="en-GB"/>
              </w:rPr>
              <w:t>). 20–25 °</w:t>
            </w:r>
            <w:proofErr w:type="gramStart"/>
            <w:r w:rsidRPr="00495497">
              <w:rPr>
                <w:rFonts w:ascii="Calibri" w:eastAsia="Times New Roman" w:hAnsi="Calibri" w:cs="Calibri"/>
                <w:color w:val="000000"/>
                <w:sz w:val="15"/>
                <w:szCs w:val="15"/>
                <w:vertAlign w:val="superscript"/>
                <w:lang w:eastAsia="en-GB"/>
              </w:rPr>
              <w:t>C day</w:t>
            </w:r>
            <w:proofErr w:type="gramEnd"/>
            <w:r w:rsidRPr="00495497">
              <w:rPr>
                <w:rFonts w:ascii="Calibri" w:eastAsia="Times New Roman" w:hAnsi="Calibri" w:cs="Calibri"/>
                <w:color w:val="000000"/>
                <w:sz w:val="15"/>
                <w:szCs w:val="15"/>
                <w:vertAlign w:val="superscript"/>
                <w:lang w:eastAsia="en-GB"/>
              </w:rPr>
              <w:t>: −0.36 g. Projected climate change decreases mean birth weight by ~11–20 g and increases LBW by ~0.08–0.31 percentage points by 2040–2059.</w:t>
            </w:r>
          </w:p>
        </w:tc>
        <w:tc>
          <w:tcPr>
            <w:tcW w:w="912" w:type="dxa"/>
            <w:hideMark/>
          </w:tcPr>
          <w:p w14:paraId="10D46C3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Large dataset; rigorous controls.</w:t>
            </w:r>
          </w:p>
        </w:tc>
      </w:tr>
      <w:tr w:rsidR="0051112E" w:rsidRPr="0051112E" w14:paraId="7B5713E7" w14:textId="77777777" w:rsidTr="0051112E">
        <w:trPr>
          <w:trHeight w:val="1600"/>
        </w:trPr>
        <w:tc>
          <w:tcPr>
            <w:cnfStyle w:val="001000000000" w:firstRow="0" w:lastRow="0" w:firstColumn="1" w:lastColumn="0" w:oddVBand="0" w:evenVBand="0" w:oddHBand="0" w:evenHBand="0" w:firstRowFirstColumn="0" w:firstRowLastColumn="0" w:lastRowFirstColumn="0" w:lastRowLastColumn="0"/>
            <w:tcW w:w="1418" w:type="dxa"/>
            <w:hideMark/>
          </w:tcPr>
          <w:p w14:paraId="237375DA"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Effect of air temperature on human births, preterm births and births associated with maternal hypertension</w:t>
            </w:r>
          </w:p>
        </w:tc>
        <w:tc>
          <w:tcPr>
            <w:tcW w:w="567" w:type="dxa"/>
            <w:hideMark/>
          </w:tcPr>
          <w:p w14:paraId="1F7D042A"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 xml:space="preserve">Frédéric </w:t>
            </w:r>
            <w:proofErr w:type="spellStart"/>
            <w:r w:rsidRPr="0001376B">
              <w:rPr>
                <w:rFonts w:eastAsia="Times New Roman" w:cs="Calibri"/>
                <w:color w:val="000000"/>
                <w:sz w:val="15"/>
                <w:szCs w:val="15"/>
                <w:vertAlign w:val="superscript"/>
                <w:lang w:eastAsia="en-GB"/>
              </w:rPr>
              <w:t>Blavier</w:t>
            </w:r>
            <w:proofErr w:type="spellEnd"/>
            <w:r w:rsidRPr="0001376B">
              <w:rPr>
                <w:rFonts w:eastAsia="Times New Roman" w:cs="Calibri"/>
                <w:color w:val="000000"/>
                <w:sz w:val="15"/>
                <w:szCs w:val="15"/>
                <w:vertAlign w:val="superscript"/>
                <w:lang w:eastAsia="en-GB"/>
              </w:rPr>
              <w:t xml:space="preserve"> et al.</w:t>
            </w:r>
          </w:p>
        </w:tc>
        <w:tc>
          <w:tcPr>
            <w:tcW w:w="567" w:type="dxa"/>
            <w:hideMark/>
          </w:tcPr>
          <w:p w14:paraId="1A157C2D"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Journal of Maternal</w:t>
            </w:r>
            <w:r w:rsidRPr="0001376B">
              <w:rPr>
                <w:rFonts w:eastAsia="Times New Roman" w:cs="Calibri"/>
                <w:color w:val="000000"/>
                <w:sz w:val="15"/>
                <w:szCs w:val="15"/>
                <w:vertAlign w:val="superscript"/>
                <w:lang w:eastAsia="en-GB"/>
              </w:rPr>
              <w:noBreakHyphen/>
              <w:t>Fetal &amp; Neonatal Medicine</w:t>
            </w:r>
          </w:p>
        </w:tc>
        <w:tc>
          <w:tcPr>
            <w:tcW w:w="425" w:type="dxa"/>
            <w:hideMark/>
          </w:tcPr>
          <w:p w14:paraId="454997AC" w14:textId="77777777" w:rsidR="0051112E" w:rsidRPr="0001376B" w:rsidRDefault="0051112E" w:rsidP="00D704A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2022</w:t>
            </w:r>
          </w:p>
        </w:tc>
        <w:tc>
          <w:tcPr>
            <w:tcW w:w="567" w:type="dxa"/>
            <w:hideMark/>
          </w:tcPr>
          <w:p w14:paraId="334C8CB5"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Belgium (Brussels) &amp; France (Réunion Island)</w:t>
            </w:r>
          </w:p>
        </w:tc>
        <w:tc>
          <w:tcPr>
            <w:tcW w:w="567" w:type="dxa"/>
            <w:hideMark/>
          </w:tcPr>
          <w:p w14:paraId="1ABED2D3"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Retrospective time</w:t>
            </w:r>
            <w:r w:rsidRPr="0001376B">
              <w:rPr>
                <w:rFonts w:eastAsia="Times New Roman" w:cs="Calibri"/>
                <w:color w:val="000000"/>
                <w:sz w:val="15"/>
                <w:szCs w:val="15"/>
                <w:vertAlign w:val="superscript"/>
                <w:lang w:eastAsia="en-GB"/>
              </w:rPr>
              <w:noBreakHyphen/>
              <w:t xml:space="preserve">series </w:t>
            </w:r>
          </w:p>
        </w:tc>
        <w:tc>
          <w:tcPr>
            <w:tcW w:w="567" w:type="dxa"/>
            <w:hideMark/>
          </w:tcPr>
          <w:p w14:paraId="25AA9EAD"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Brussels n=12,269 births; Réunion n=25,880 births</w:t>
            </w:r>
          </w:p>
        </w:tc>
        <w:tc>
          <w:tcPr>
            <w:tcW w:w="709" w:type="dxa"/>
            <w:hideMark/>
          </w:tcPr>
          <w:p w14:paraId="1D962B44"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Single tertiary hospitals (Brussels; South Réunion Island)</w:t>
            </w:r>
          </w:p>
        </w:tc>
        <w:tc>
          <w:tcPr>
            <w:tcW w:w="1134" w:type="dxa"/>
            <w:hideMark/>
          </w:tcPr>
          <w:p w14:paraId="25069012"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All deliveries with complete meteorology linkage; spontaneous vs induced examined.</w:t>
            </w:r>
          </w:p>
        </w:tc>
        <w:tc>
          <w:tcPr>
            <w:tcW w:w="992" w:type="dxa"/>
            <w:hideMark/>
          </w:tcPr>
          <w:p w14:paraId="07D1B724"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Lagged temperature and barometric pressure terms; limited covariates.</w:t>
            </w:r>
          </w:p>
        </w:tc>
        <w:tc>
          <w:tcPr>
            <w:tcW w:w="567" w:type="dxa"/>
            <w:hideMark/>
          </w:tcPr>
          <w:p w14:paraId="136BA730"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Outdoor air temperature (daily mean)</w:t>
            </w:r>
          </w:p>
        </w:tc>
        <w:tc>
          <w:tcPr>
            <w:tcW w:w="851" w:type="dxa"/>
            <w:hideMark/>
          </w:tcPr>
          <w:p w14:paraId="23F99E60"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Per 1</w:t>
            </w:r>
            <w:r w:rsidRPr="0001376B">
              <w:rPr>
                <w:rFonts w:ascii="Arial" w:eastAsia="Times New Roman" w:hAnsi="Arial" w:cs="Arial"/>
                <w:color w:val="000000"/>
                <w:sz w:val="15"/>
                <w:szCs w:val="15"/>
                <w:vertAlign w:val="superscript"/>
                <w:lang w:eastAsia="en-GB"/>
              </w:rPr>
              <w:t> </w:t>
            </w:r>
            <w:r w:rsidRPr="0001376B">
              <w:rPr>
                <w:rFonts w:eastAsia="Times New Roman" w:cs="Calibri"/>
                <w:color w:val="000000"/>
                <w:sz w:val="15"/>
                <w:szCs w:val="15"/>
                <w:vertAlign w:val="superscript"/>
                <w:lang w:eastAsia="en-GB"/>
              </w:rPr>
              <w:t>°C increase; immediate and lagged effects (0–6 days).</w:t>
            </w:r>
          </w:p>
        </w:tc>
        <w:tc>
          <w:tcPr>
            <w:tcW w:w="708" w:type="dxa"/>
            <w:hideMark/>
          </w:tcPr>
          <w:p w14:paraId="3A3D9CB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Day of delivery and preceding 6 days.</w:t>
            </w:r>
          </w:p>
        </w:tc>
        <w:tc>
          <w:tcPr>
            <w:tcW w:w="851" w:type="dxa"/>
            <w:gridSpan w:val="2"/>
            <w:hideMark/>
          </w:tcPr>
          <w:p w14:paraId="68B2227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Daily counts: all births; preterm births; hypertensive births</w:t>
            </w:r>
          </w:p>
        </w:tc>
        <w:tc>
          <w:tcPr>
            <w:tcW w:w="850" w:type="dxa"/>
            <w:hideMark/>
          </w:tcPr>
          <w:p w14:paraId="14E2524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Hospital records; PTB and hypertensive deliveries from charts.</w:t>
            </w:r>
          </w:p>
        </w:tc>
        <w:tc>
          <w:tcPr>
            <w:tcW w:w="1701" w:type="dxa"/>
            <w:hideMark/>
          </w:tcPr>
          <w:p w14:paraId="497C50F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Brussels: per +1 °</w:t>
            </w:r>
            <w:proofErr w:type="spellStart"/>
            <w:r w:rsidRPr="00495497">
              <w:rPr>
                <w:rFonts w:ascii="Calibri" w:eastAsia="Times New Roman" w:hAnsi="Calibri" w:cs="Calibri"/>
                <w:color w:val="000000"/>
                <w:sz w:val="15"/>
                <w:szCs w:val="15"/>
                <w:vertAlign w:val="superscript"/>
                <w:lang w:eastAsia="en-GB"/>
              </w:rPr>
              <w:t>C at</w:t>
            </w:r>
            <w:proofErr w:type="spellEnd"/>
            <w:r w:rsidRPr="00495497">
              <w:rPr>
                <w:rFonts w:ascii="Calibri" w:eastAsia="Times New Roman" w:hAnsi="Calibri" w:cs="Calibri"/>
                <w:color w:val="000000"/>
                <w:sz w:val="15"/>
                <w:szCs w:val="15"/>
                <w:vertAlign w:val="superscript"/>
                <w:lang w:eastAsia="en-GB"/>
              </w:rPr>
              <w:t xml:space="preserve"> lag 4 → births +1.8%, PTB +2.6%, hypertensive births +5.7% (all p&lt;0.05). Same</w:t>
            </w:r>
            <w:r w:rsidRPr="00495497">
              <w:rPr>
                <w:rFonts w:ascii="Calibri" w:eastAsia="Times New Roman" w:hAnsi="Calibri" w:cs="Calibri"/>
                <w:color w:val="000000"/>
                <w:sz w:val="15"/>
                <w:szCs w:val="15"/>
                <w:vertAlign w:val="superscript"/>
                <w:lang w:eastAsia="en-GB"/>
              </w:rPr>
              <w:noBreakHyphen/>
              <w:t>day +1 °C → births +0.4% (p&lt;0.05). Réunion: similar direction, not statistically significant (p≈0.08). (Article provides Exp(B) and 95% CIs in Table 1.)</w:t>
            </w:r>
          </w:p>
        </w:tc>
        <w:tc>
          <w:tcPr>
            <w:tcW w:w="912" w:type="dxa"/>
            <w:hideMark/>
          </w:tcPr>
          <w:p w14:paraId="413A799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Limited confounder control; consistent lag pattern.</w:t>
            </w:r>
          </w:p>
        </w:tc>
      </w:tr>
      <w:tr w:rsidR="0051112E" w:rsidRPr="0051112E" w14:paraId="4225D1B2" w14:textId="77777777" w:rsidTr="0051112E">
        <w:trPr>
          <w:cnfStyle w:val="000000100000" w:firstRow="0" w:lastRow="0" w:firstColumn="0" w:lastColumn="0" w:oddVBand="0" w:evenVBand="0" w:oddHBand="1" w:evenHBand="0" w:firstRowFirstColumn="0" w:firstRowLastColumn="0" w:lastRowFirstColumn="0" w:lastRowLastColumn="0"/>
          <w:trHeight w:val="1280"/>
        </w:trPr>
        <w:tc>
          <w:tcPr>
            <w:cnfStyle w:val="001000000000" w:firstRow="0" w:lastRow="0" w:firstColumn="1" w:lastColumn="0" w:oddVBand="0" w:evenVBand="0" w:oddHBand="0" w:evenHBand="0" w:firstRowFirstColumn="0" w:firstRowLastColumn="0" w:lastRowFirstColumn="0" w:lastRowLastColumn="0"/>
            <w:tcW w:w="1418" w:type="dxa"/>
            <w:hideMark/>
          </w:tcPr>
          <w:p w14:paraId="56A38FC2"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Climate vulnerability of Swedish newborns: Gender differences and time trends of temperature-related neonatal mortality, 1880–1950</w:t>
            </w:r>
          </w:p>
        </w:tc>
        <w:tc>
          <w:tcPr>
            <w:tcW w:w="567" w:type="dxa"/>
            <w:hideMark/>
          </w:tcPr>
          <w:p w14:paraId="5BCEF5A5"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Johan Junkka et al.</w:t>
            </w:r>
          </w:p>
        </w:tc>
        <w:tc>
          <w:tcPr>
            <w:tcW w:w="567" w:type="dxa"/>
            <w:hideMark/>
          </w:tcPr>
          <w:p w14:paraId="2DB2918F"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Environmental Research</w:t>
            </w:r>
          </w:p>
        </w:tc>
        <w:tc>
          <w:tcPr>
            <w:tcW w:w="425" w:type="dxa"/>
            <w:hideMark/>
          </w:tcPr>
          <w:p w14:paraId="3686F3E4" w14:textId="77777777" w:rsidR="0051112E" w:rsidRPr="0001376B" w:rsidRDefault="0051112E" w:rsidP="00D704A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2021</w:t>
            </w:r>
          </w:p>
        </w:tc>
        <w:tc>
          <w:tcPr>
            <w:tcW w:w="567" w:type="dxa"/>
            <w:hideMark/>
          </w:tcPr>
          <w:p w14:paraId="72473C9B"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 xml:space="preserve">Sweden (northern/coastal </w:t>
            </w:r>
            <w:proofErr w:type="spellStart"/>
            <w:r w:rsidRPr="0001376B">
              <w:rPr>
                <w:rFonts w:eastAsia="Times New Roman" w:cs="Calibri"/>
                <w:color w:val="000000"/>
                <w:sz w:val="15"/>
                <w:szCs w:val="15"/>
                <w:vertAlign w:val="superscript"/>
                <w:lang w:eastAsia="en-GB"/>
              </w:rPr>
              <w:t>Västerbotten</w:t>
            </w:r>
            <w:proofErr w:type="spellEnd"/>
            <w:r w:rsidRPr="0001376B">
              <w:rPr>
                <w:rFonts w:eastAsia="Times New Roman" w:cs="Calibri"/>
                <w:color w:val="000000"/>
                <w:sz w:val="15"/>
                <w:szCs w:val="15"/>
                <w:vertAlign w:val="superscript"/>
                <w:lang w:eastAsia="en-GB"/>
              </w:rPr>
              <w:t>)</w:t>
            </w:r>
          </w:p>
        </w:tc>
        <w:tc>
          <w:tcPr>
            <w:tcW w:w="567" w:type="dxa"/>
            <w:hideMark/>
          </w:tcPr>
          <w:p w14:paraId="31ECEACA" w14:textId="163EA924" w:rsidR="0051112E" w:rsidRPr="0001376B" w:rsidRDefault="0001376B"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68F8112F"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n = 122,756</w:t>
            </w:r>
          </w:p>
        </w:tc>
        <w:tc>
          <w:tcPr>
            <w:tcW w:w="709" w:type="dxa"/>
            <w:hideMark/>
          </w:tcPr>
          <w:p w14:paraId="0FB8350F"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Historical parish registers linked with station temperatures</w:t>
            </w:r>
          </w:p>
        </w:tc>
        <w:tc>
          <w:tcPr>
            <w:tcW w:w="1134" w:type="dxa"/>
            <w:hideMark/>
          </w:tcPr>
          <w:p w14:paraId="28D83307"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Linked birth–death records; exclusions for missing key variables.</w:t>
            </w:r>
          </w:p>
        </w:tc>
        <w:tc>
          <w:tcPr>
            <w:tcW w:w="992" w:type="dxa"/>
            <w:hideMark/>
          </w:tcPr>
          <w:p w14:paraId="092A5E53"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Sex</w:t>
            </w:r>
            <w:r w:rsidRPr="0001376B">
              <w:rPr>
                <w:rFonts w:eastAsia="Times New Roman" w:cs="Calibri"/>
                <w:color w:val="000000"/>
                <w:sz w:val="15"/>
                <w:szCs w:val="15"/>
                <w:vertAlign w:val="superscript"/>
                <w:lang w:eastAsia="en-GB"/>
              </w:rPr>
              <w:noBreakHyphen/>
              <w:t>stratified and period</w:t>
            </w:r>
            <w:r w:rsidRPr="0001376B">
              <w:rPr>
                <w:rFonts w:eastAsia="Times New Roman" w:cs="Calibri"/>
                <w:color w:val="000000"/>
                <w:sz w:val="15"/>
                <w:szCs w:val="15"/>
                <w:vertAlign w:val="superscript"/>
                <w:lang w:eastAsia="en-GB"/>
              </w:rPr>
              <w:noBreakHyphen/>
              <w:t>stratified models; sub</w:t>
            </w:r>
            <w:r w:rsidRPr="0001376B">
              <w:rPr>
                <w:rFonts w:eastAsia="Times New Roman" w:cs="Calibri"/>
                <w:color w:val="000000"/>
                <w:sz w:val="15"/>
                <w:szCs w:val="15"/>
                <w:vertAlign w:val="superscript"/>
                <w:lang w:eastAsia="en-GB"/>
              </w:rPr>
              <w:noBreakHyphen/>
              <w:t>Arctic context.</w:t>
            </w:r>
          </w:p>
        </w:tc>
        <w:tc>
          <w:tcPr>
            <w:tcW w:w="567" w:type="dxa"/>
            <w:hideMark/>
          </w:tcPr>
          <w:p w14:paraId="39715445"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Ambient temperature</w:t>
            </w:r>
          </w:p>
        </w:tc>
        <w:tc>
          <w:tcPr>
            <w:tcW w:w="851" w:type="dxa"/>
            <w:hideMark/>
          </w:tcPr>
          <w:p w14:paraId="4BBAA4CC"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Daily mean temperature with minimum</w:t>
            </w:r>
            <w:r w:rsidRPr="0001376B">
              <w:rPr>
                <w:rFonts w:eastAsia="Times New Roman" w:cs="Calibri"/>
                <w:color w:val="000000"/>
                <w:sz w:val="15"/>
                <w:szCs w:val="15"/>
                <w:vertAlign w:val="superscript"/>
                <w:lang w:eastAsia="en-GB"/>
              </w:rPr>
              <w:noBreakHyphen/>
              <w:t>mortality threshold ~14.5</w:t>
            </w:r>
            <w:r w:rsidRPr="0001376B">
              <w:rPr>
                <w:rFonts w:ascii="Arial" w:eastAsia="Times New Roman" w:hAnsi="Arial" w:cs="Arial"/>
                <w:color w:val="000000"/>
                <w:sz w:val="15"/>
                <w:szCs w:val="15"/>
                <w:vertAlign w:val="superscript"/>
                <w:lang w:eastAsia="en-GB"/>
              </w:rPr>
              <w:t> </w:t>
            </w:r>
            <w:r w:rsidRPr="0001376B">
              <w:rPr>
                <w:rFonts w:eastAsia="Times New Roman" w:cs="Calibri"/>
                <w:color w:val="000000"/>
                <w:sz w:val="15"/>
                <w:szCs w:val="15"/>
                <w:vertAlign w:val="superscript"/>
                <w:lang w:eastAsia="en-GB"/>
              </w:rPr>
              <w:t>°C.</w:t>
            </w:r>
          </w:p>
        </w:tc>
        <w:tc>
          <w:tcPr>
            <w:tcW w:w="708" w:type="dxa"/>
            <w:hideMark/>
          </w:tcPr>
          <w:p w14:paraId="5250F5C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Daily exposure during neonatal period; seasons &amp; historical subperiods.</w:t>
            </w:r>
          </w:p>
        </w:tc>
        <w:tc>
          <w:tcPr>
            <w:tcW w:w="851" w:type="dxa"/>
            <w:gridSpan w:val="2"/>
            <w:hideMark/>
          </w:tcPr>
          <w:p w14:paraId="06F0F08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Neonatal mortality (all</w:t>
            </w:r>
            <w:r w:rsidRPr="00495497">
              <w:rPr>
                <w:rFonts w:ascii="Calibri" w:eastAsia="Times New Roman" w:hAnsi="Calibri" w:cs="Calibri"/>
                <w:color w:val="000000"/>
                <w:sz w:val="15"/>
                <w:szCs w:val="15"/>
                <w:vertAlign w:val="superscript"/>
                <w:lang w:eastAsia="en-GB"/>
              </w:rPr>
              <w:noBreakHyphen/>
              <w:t>cause)</w:t>
            </w:r>
          </w:p>
        </w:tc>
        <w:tc>
          <w:tcPr>
            <w:tcW w:w="850" w:type="dxa"/>
            <w:hideMark/>
          </w:tcPr>
          <w:p w14:paraId="6448A88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Death within 0–27/28 days of life.</w:t>
            </w:r>
          </w:p>
        </w:tc>
        <w:tc>
          <w:tcPr>
            <w:tcW w:w="1701" w:type="dxa"/>
            <w:hideMark/>
          </w:tcPr>
          <w:p w14:paraId="527677C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Cold vs optimum increased risk: −20 °C vs 14.5 °C OR 1.56 (95% CI 1.30–1.87). Heat also associated with higher risk: 20 °C vs 14.5 °C OR 1.25 (1.04–1.50). Stronger cold effect in boys: OR 1.94 (1.53–2.45).</w:t>
            </w:r>
          </w:p>
        </w:tc>
        <w:tc>
          <w:tcPr>
            <w:tcW w:w="912" w:type="dxa"/>
            <w:hideMark/>
          </w:tcPr>
          <w:p w14:paraId="25DD9EE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Careful temporal control; robust findings.</w:t>
            </w:r>
          </w:p>
        </w:tc>
      </w:tr>
      <w:tr w:rsidR="0051112E" w:rsidRPr="0051112E" w14:paraId="3974CB0E" w14:textId="77777777" w:rsidTr="0051112E">
        <w:trPr>
          <w:trHeight w:val="1134"/>
        </w:trPr>
        <w:tc>
          <w:tcPr>
            <w:cnfStyle w:val="001000000000" w:firstRow="0" w:lastRow="0" w:firstColumn="1" w:lastColumn="0" w:oddVBand="0" w:evenVBand="0" w:oddHBand="0" w:evenHBand="0" w:firstRowFirstColumn="0" w:firstRowLastColumn="0" w:lastRowFirstColumn="0" w:lastRowLastColumn="0"/>
            <w:tcW w:w="1418" w:type="dxa"/>
            <w:hideMark/>
          </w:tcPr>
          <w:p w14:paraId="3FEA61F8"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Projected changes in maternal heat exposure during early pregnancy and the associated congenital heart defect burden in the </w:t>
            </w:r>
            <w:proofErr w:type="gramStart"/>
            <w:r w:rsidRPr="00495497">
              <w:rPr>
                <w:rFonts w:ascii="Aptos Narrow" w:eastAsia="Times New Roman" w:hAnsi="Aptos Narrow" w:cs="Times New Roman"/>
                <w:color w:val="000000"/>
                <w:sz w:val="15"/>
                <w:szCs w:val="15"/>
                <w:vertAlign w:val="superscript"/>
                <w:lang w:eastAsia="en-GB"/>
              </w:rPr>
              <w:t>united states</w:t>
            </w:r>
            <w:proofErr w:type="gramEnd"/>
          </w:p>
        </w:tc>
        <w:tc>
          <w:tcPr>
            <w:tcW w:w="567" w:type="dxa"/>
            <w:hideMark/>
          </w:tcPr>
          <w:p w14:paraId="1DBD4BCD"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proofErr w:type="spellStart"/>
            <w:r w:rsidRPr="0001376B">
              <w:rPr>
                <w:rFonts w:eastAsia="Times New Roman" w:cs="Calibri"/>
                <w:color w:val="000000"/>
                <w:sz w:val="15"/>
                <w:szCs w:val="15"/>
                <w:vertAlign w:val="superscript"/>
                <w:lang w:eastAsia="en-GB"/>
              </w:rPr>
              <w:t>Wangjian</w:t>
            </w:r>
            <w:proofErr w:type="spellEnd"/>
            <w:r w:rsidRPr="0001376B">
              <w:rPr>
                <w:rFonts w:eastAsia="Times New Roman" w:cs="Calibri"/>
                <w:color w:val="000000"/>
                <w:sz w:val="15"/>
                <w:szCs w:val="15"/>
                <w:vertAlign w:val="superscript"/>
                <w:lang w:eastAsia="en-GB"/>
              </w:rPr>
              <w:t xml:space="preserve"> Zhang et al.</w:t>
            </w:r>
          </w:p>
        </w:tc>
        <w:tc>
          <w:tcPr>
            <w:tcW w:w="567" w:type="dxa"/>
            <w:hideMark/>
          </w:tcPr>
          <w:p w14:paraId="0211AFBF"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Journal of the American Heart Association</w:t>
            </w:r>
          </w:p>
        </w:tc>
        <w:tc>
          <w:tcPr>
            <w:tcW w:w="425" w:type="dxa"/>
            <w:hideMark/>
          </w:tcPr>
          <w:p w14:paraId="7B8FF5AB" w14:textId="77777777" w:rsidR="0051112E" w:rsidRPr="0001376B" w:rsidRDefault="0051112E" w:rsidP="00D704A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2019</w:t>
            </w:r>
          </w:p>
        </w:tc>
        <w:tc>
          <w:tcPr>
            <w:tcW w:w="567" w:type="dxa"/>
            <w:hideMark/>
          </w:tcPr>
          <w:p w14:paraId="5CD0A5AC"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United States</w:t>
            </w:r>
          </w:p>
        </w:tc>
        <w:tc>
          <w:tcPr>
            <w:tcW w:w="567" w:type="dxa"/>
            <w:hideMark/>
          </w:tcPr>
          <w:p w14:paraId="4B708E53" w14:textId="51155B20" w:rsidR="0051112E" w:rsidRPr="0001376B" w:rsidRDefault="0001376B"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3810F3FF"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p>
        </w:tc>
        <w:tc>
          <w:tcPr>
            <w:tcW w:w="709" w:type="dxa"/>
            <w:hideMark/>
          </w:tcPr>
          <w:p w14:paraId="7D6D6269"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Multiple US regions (NBDPS sites)</w:t>
            </w:r>
          </w:p>
        </w:tc>
        <w:tc>
          <w:tcPr>
            <w:tcW w:w="1134" w:type="dxa"/>
            <w:hideMark/>
          </w:tcPr>
          <w:p w14:paraId="6865621C"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3–8 weeks post</w:t>
            </w:r>
            <w:r w:rsidRPr="0001376B">
              <w:rPr>
                <w:rFonts w:eastAsia="Times New Roman" w:cs="Calibri"/>
                <w:color w:val="000000"/>
                <w:sz w:val="15"/>
                <w:szCs w:val="15"/>
                <w:vertAlign w:val="superscript"/>
                <w:lang w:eastAsia="en-GB"/>
              </w:rPr>
              <w:noBreakHyphen/>
              <w:t>conception in spring/summer; region</w:t>
            </w:r>
            <w:r w:rsidRPr="0001376B">
              <w:rPr>
                <w:rFonts w:eastAsia="Times New Roman" w:cs="Calibri"/>
                <w:color w:val="000000"/>
                <w:sz w:val="15"/>
                <w:szCs w:val="15"/>
                <w:vertAlign w:val="superscript"/>
                <w:lang w:eastAsia="en-GB"/>
              </w:rPr>
              <w:noBreakHyphen/>
              <w:t>specific EHD (extreme hot days)/EHE (extreme heat events) metrics.</w:t>
            </w:r>
          </w:p>
        </w:tc>
        <w:tc>
          <w:tcPr>
            <w:tcW w:w="992" w:type="dxa"/>
            <w:hideMark/>
          </w:tcPr>
          <w:p w14:paraId="1471B1B4"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Applied published season</w:t>
            </w:r>
            <w:r w:rsidRPr="0001376B">
              <w:rPr>
                <w:rFonts w:eastAsia="Times New Roman" w:cs="Calibri"/>
                <w:color w:val="000000"/>
                <w:sz w:val="15"/>
                <w:szCs w:val="15"/>
                <w:vertAlign w:val="superscript"/>
                <w:lang w:eastAsia="en-GB"/>
              </w:rPr>
              <w:noBreakHyphen/>
              <w:t>specific ORs to projected exposure changes.</w:t>
            </w:r>
          </w:p>
        </w:tc>
        <w:tc>
          <w:tcPr>
            <w:tcW w:w="567" w:type="dxa"/>
            <w:hideMark/>
          </w:tcPr>
          <w:p w14:paraId="68BAFE96"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Extreme heat events (EHE/EHD)</w:t>
            </w:r>
          </w:p>
        </w:tc>
        <w:tc>
          <w:tcPr>
            <w:tcW w:w="851" w:type="dxa"/>
            <w:hideMark/>
          </w:tcPr>
          <w:p w14:paraId="68C5A32C"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5"/>
                <w:szCs w:val="15"/>
                <w:vertAlign w:val="superscript"/>
                <w:lang w:eastAsia="en-GB"/>
              </w:rPr>
            </w:pPr>
            <w:r w:rsidRPr="0001376B">
              <w:rPr>
                <w:rFonts w:eastAsia="Times New Roman" w:cs="Calibri"/>
                <w:color w:val="000000"/>
                <w:sz w:val="15"/>
                <w:szCs w:val="15"/>
                <w:vertAlign w:val="superscript"/>
                <w:lang w:eastAsia="en-GB"/>
              </w:rPr>
              <w:t xml:space="preserve">Regional </w:t>
            </w:r>
            <w:proofErr w:type="spellStart"/>
            <w:r w:rsidRPr="0001376B">
              <w:rPr>
                <w:rFonts w:eastAsia="Times New Roman" w:cs="Calibri"/>
                <w:color w:val="000000"/>
                <w:sz w:val="15"/>
                <w:szCs w:val="15"/>
                <w:vertAlign w:val="superscript"/>
                <w:lang w:eastAsia="en-GB"/>
              </w:rPr>
              <w:t>Tmax</w:t>
            </w:r>
            <w:proofErr w:type="spellEnd"/>
            <w:r w:rsidRPr="0001376B">
              <w:rPr>
                <w:rFonts w:ascii="Arial" w:eastAsia="Times New Roman" w:hAnsi="Arial" w:cs="Arial"/>
                <w:color w:val="000000"/>
                <w:sz w:val="15"/>
                <w:szCs w:val="15"/>
                <w:vertAlign w:val="superscript"/>
                <w:lang w:eastAsia="en-GB"/>
              </w:rPr>
              <w:t> </w:t>
            </w:r>
            <w:r w:rsidRPr="0001376B">
              <w:rPr>
                <w:rFonts w:eastAsia="Times New Roman" w:cs="Calibri"/>
                <w:color w:val="000000"/>
                <w:sz w:val="15"/>
                <w:szCs w:val="15"/>
                <w:vertAlign w:val="superscript"/>
                <w:lang w:eastAsia="en-GB"/>
              </w:rPr>
              <w:t>&gt;</w:t>
            </w:r>
            <w:r w:rsidRPr="0001376B">
              <w:rPr>
                <w:rFonts w:ascii="Arial" w:eastAsia="Times New Roman" w:hAnsi="Arial" w:cs="Arial"/>
                <w:color w:val="000000"/>
                <w:sz w:val="15"/>
                <w:szCs w:val="15"/>
                <w:vertAlign w:val="superscript"/>
                <w:lang w:eastAsia="en-GB"/>
              </w:rPr>
              <w:t> </w:t>
            </w:r>
            <w:r w:rsidRPr="0001376B">
              <w:rPr>
                <w:rFonts w:eastAsia="Times New Roman" w:cs="Calibri"/>
                <w:color w:val="000000"/>
                <w:sz w:val="15"/>
                <w:szCs w:val="15"/>
                <w:vertAlign w:val="superscript"/>
                <w:lang w:eastAsia="en-GB"/>
              </w:rPr>
              <w:t>90th/95th percentile; frequency &amp; duration within 42</w:t>
            </w:r>
            <w:r w:rsidRPr="0001376B">
              <w:rPr>
                <w:rFonts w:eastAsia="Times New Roman" w:cs="Calibri"/>
                <w:color w:val="000000"/>
                <w:sz w:val="15"/>
                <w:szCs w:val="15"/>
                <w:vertAlign w:val="superscript"/>
                <w:lang w:eastAsia="en-GB"/>
              </w:rPr>
              <w:noBreakHyphen/>
              <w:t>day window.</w:t>
            </w:r>
          </w:p>
        </w:tc>
        <w:tc>
          <w:tcPr>
            <w:tcW w:w="708" w:type="dxa"/>
            <w:hideMark/>
          </w:tcPr>
          <w:p w14:paraId="0111B14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3–8 weeks post</w:t>
            </w:r>
            <w:r w:rsidRPr="00495497">
              <w:rPr>
                <w:rFonts w:ascii="Calibri" w:eastAsia="Times New Roman" w:hAnsi="Calibri" w:cs="Calibri"/>
                <w:color w:val="000000"/>
                <w:sz w:val="15"/>
                <w:szCs w:val="15"/>
                <w:vertAlign w:val="superscript"/>
                <w:lang w:eastAsia="en-GB"/>
              </w:rPr>
              <w:noBreakHyphen/>
              <w:t>conception; spring and summer.</w:t>
            </w:r>
          </w:p>
        </w:tc>
        <w:tc>
          <w:tcPr>
            <w:tcW w:w="851" w:type="dxa"/>
            <w:gridSpan w:val="2"/>
            <w:hideMark/>
          </w:tcPr>
          <w:p w14:paraId="1ECB49B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Congenital heart defects (e.g., </w:t>
            </w:r>
            <w:proofErr w:type="spellStart"/>
            <w:r w:rsidRPr="00495497">
              <w:rPr>
                <w:rFonts w:ascii="Calibri" w:eastAsia="Times New Roman" w:hAnsi="Calibri" w:cs="Calibri"/>
                <w:color w:val="000000"/>
                <w:sz w:val="15"/>
                <w:szCs w:val="15"/>
                <w:vertAlign w:val="superscript"/>
                <w:lang w:eastAsia="en-GB"/>
              </w:rPr>
              <w:t>conotruncal</w:t>
            </w:r>
            <w:proofErr w:type="spellEnd"/>
            <w:r w:rsidRPr="00495497">
              <w:rPr>
                <w:rFonts w:ascii="Calibri" w:eastAsia="Times New Roman" w:hAnsi="Calibri" w:cs="Calibri"/>
                <w:color w:val="000000"/>
                <w:sz w:val="15"/>
                <w:szCs w:val="15"/>
                <w:vertAlign w:val="superscript"/>
                <w:lang w:eastAsia="en-GB"/>
              </w:rPr>
              <w:t>, ASD) – projected burden.</w:t>
            </w:r>
          </w:p>
        </w:tc>
        <w:tc>
          <w:tcPr>
            <w:tcW w:w="850" w:type="dxa"/>
            <w:hideMark/>
          </w:tcPr>
          <w:p w14:paraId="77D79F2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NBDPS case definitions by subtype.</w:t>
            </w:r>
          </w:p>
        </w:tc>
        <w:tc>
          <w:tcPr>
            <w:tcW w:w="1701" w:type="dxa"/>
            <w:hideMark/>
          </w:tcPr>
          <w:p w14:paraId="2602D22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 xml:space="preserve">Projected increases in heat exposure and CHD burden. Examples: Spring </w:t>
            </w:r>
            <w:proofErr w:type="spellStart"/>
            <w:r w:rsidRPr="00495497">
              <w:rPr>
                <w:rFonts w:ascii="Calibri" w:eastAsia="Times New Roman" w:hAnsi="Calibri" w:cs="Calibri"/>
                <w:color w:val="000000"/>
                <w:sz w:val="15"/>
                <w:szCs w:val="15"/>
                <w:vertAlign w:val="superscript"/>
                <w:lang w:eastAsia="en-GB"/>
              </w:rPr>
              <w:t>conotruncal</w:t>
            </w:r>
            <w:proofErr w:type="spellEnd"/>
            <w:r w:rsidRPr="00495497">
              <w:rPr>
                <w:rFonts w:ascii="Calibri" w:eastAsia="Times New Roman" w:hAnsi="Calibri" w:cs="Calibri"/>
                <w:color w:val="000000"/>
                <w:sz w:val="15"/>
                <w:szCs w:val="15"/>
                <w:vertAlign w:val="superscript"/>
                <w:lang w:eastAsia="en-GB"/>
              </w:rPr>
              <w:t xml:space="preserve"> CHD +34.0% (95% CI 4.9–70.8) in the South; Spring ASD +38.6% (95% CI 9.9–75.1) in the Northeast. Summer EHD increases largest in Midwest (+3.42 days [95% CI 2.99–3.88] per pregnancy window).</w:t>
            </w:r>
          </w:p>
        </w:tc>
        <w:tc>
          <w:tcPr>
            <w:tcW w:w="912" w:type="dxa"/>
            <w:hideMark/>
          </w:tcPr>
          <w:p w14:paraId="554454C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vertAlign w:val="superscript"/>
                <w:lang w:eastAsia="en-GB"/>
              </w:rPr>
            </w:pPr>
            <w:r w:rsidRPr="00495497">
              <w:rPr>
                <w:rFonts w:ascii="Calibri" w:eastAsia="Times New Roman" w:hAnsi="Calibri" w:cs="Calibri"/>
                <w:color w:val="000000"/>
                <w:sz w:val="15"/>
                <w:szCs w:val="15"/>
                <w:vertAlign w:val="superscript"/>
                <w:lang w:eastAsia="en-GB"/>
              </w:rPr>
              <w:t>Transparent uncertainty; strong baseline evidence.</w:t>
            </w:r>
          </w:p>
        </w:tc>
      </w:tr>
      <w:tr w:rsidR="0051112E" w:rsidRPr="0051112E" w14:paraId="38F84A01" w14:textId="77777777" w:rsidTr="0051112E">
        <w:trPr>
          <w:cnfStyle w:val="000000100000" w:firstRow="0" w:lastRow="0" w:firstColumn="0" w:lastColumn="0" w:oddVBand="0" w:evenVBand="0" w:oddHBand="1" w:evenHBand="0" w:firstRowFirstColumn="0" w:firstRowLastColumn="0" w:lastRowFirstColumn="0" w:lastRowLastColumn="0"/>
          <w:trHeight w:val="2271"/>
        </w:trPr>
        <w:tc>
          <w:tcPr>
            <w:cnfStyle w:val="001000000000" w:firstRow="0" w:lastRow="0" w:firstColumn="1" w:lastColumn="0" w:oddVBand="0" w:evenVBand="0" w:oddHBand="0" w:evenHBand="0" w:firstRowFirstColumn="0" w:firstRowLastColumn="0" w:lastRowFirstColumn="0" w:lastRowLastColumn="0"/>
            <w:tcW w:w="1418" w:type="dxa"/>
            <w:hideMark/>
          </w:tcPr>
          <w:p w14:paraId="509EA87C"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exposure to heat and humidity and infant birth size in Ghana</w:t>
            </w:r>
          </w:p>
        </w:tc>
        <w:tc>
          <w:tcPr>
            <w:tcW w:w="567" w:type="dxa"/>
            <w:hideMark/>
          </w:tcPr>
          <w:p w14:paraId="71B27310"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Reddam A et al.</w:t>
            </w:r>
          </w:p>
        </w:tc>
        <w:tc>
          <w:tcPr>
            <w:tcW w:w="567" w:type="dxa"/>
            <w:hideMark/>
          </w:tcPr>
          <w:p w14:paraId="65F51ABB"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Environmental Research</w:t>
            </w:r>
          </w:p>
        </w:tc>
        <w:tc>
          <w:tcPr>
            <w:tcW w:w="425" w:type="dxa"/>
            <w:noWrap/>
            <w:hideMark/>
          </w:tcPr>
          <w:p w14:paraId="070F63C2" w14:textId="77777777" w:rsidR="0051112E" w:rsidRPr="0001376B" w:rsidRDefault="0051112E" w:rsidP="00D704A0">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2025</w:t>
            </w:r>
          </w:p>
        </w:tc>
        <w:tc>
          <w:tcPr>
            <w:tcW w:w="567" w:type="dxa"/>
            <w:hideMark/>
          </w:tcPr>
          <w:p w14:paraId="7472CB8F"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Ghana</w:t>
            </w:r>
          </w:p>
        </w:tc>
        <w:tc>
          <w:tcPr>
            <w:tcW w:w="567" w:type="dxa"/>
            <w:hideMark/>
          </w:tcPr>
          <w:p w14:paraId="72F83517"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Prospective cohort</w:t>
            </w:r>
          </w:p>
        </w:tc>
        <w:tc>
          <w:tcPr>
            <w:tcW w:w="567" w:type="dxa"/>
            <w:hideMark/>
          </w:tcPr>
          <w:p w14:paraId="3719B535"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n = 1 173</w:t>
            </w:r>
          </w:p>
        </w:tc>
        <w:tc>
          <w:tcPr>
            <w:tcW w:w="709" w:type="dxa"/>
            <w:hideMark/>
          </w:tcPr>
          <w:p w14:paraId="704983D9"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Community-based cohort</w:t>
            </w:r>
          </w:p>
        </w:tc>
        <w:tc>
          <w:tcPr>
            <w:tcW w:w="1134" w:type="dxa"/>
            <w:hideMark/>
          </w:tcPr>
          <w:p w14:paraId="4F54149E"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Inclusion: singleton pregnancy ≤ 24 weeks by ultrasound; primary cook; non-smoker. Exclusion: delivery &lt; 28 weeks; anthropometrics not measured ≤ 72 h; missing covariates (age, BMI, prenatal visits, placental malaria).</w:t>
            </w:r>
          </w:p>
        </w:tc>
        <w:tc>
          <w:tcPr>
            <w:tcW w:w="992" w:type="dxa"/>
            <w:hideMark/>
          </w:tcPr>
          <w:p w14:paraId="67A7C3BE"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Mean maternal age 28 ± 7.2 y; 83 % multiparous; 70 % ≥ 4 ANC visits; infant sex 50 % female</w:t>
            </w:r>
          </w:p>
        </w:tc>
        <w:tc>
          <w:tcPr>
            <w:tcW w:w="567" w:type="dxa"/>
            <w:hideMark/>
          </w:tcPr>
          <w:p w14:paraId="2A0D41C4"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daily maximum shaded Wet Bulb Globe Temperature (</w:t>
            </w:r>
            <w:proofErr w:type="spellStart"/>
            <w:r w:rsidRPr="0001376B">
              <w:rPr>
                <w:rFonts w:eastAsia="Times New Roman" w:cs="Times New Roman"/>
                <w:color w:val="000000"/>
                <w:sz w:val="15"/>
                <w:szCs w:val="15"/>
                <w:vertAlign w:val="superscript"/>
                <w:lang w:eastAsia="en-GB"/>
              </w:rPr>
              <w:t>WBGTmax</w:t>
            </w:r>
            <w:proofErr w:type="spellEnd"/>
            <w:r w:rsidRPr="0001376B">
              <w:rPr>
                <w:rFonts w:eastAsia="Times New Roman" w:cs="Times New Roman"/>
                <w:color w:val="000000"/>
                <w:sz w:val="15"/>
                <w:szCs w:val="15"/>
                <w:vertAlign w:val="superscript"/>
                <w:lang w:eastAsia="en-GB"/>
              </w:rPr>
              <w:t>; primary) and Heat Index (</w:t>
            </w:r>
            <w:proofErr w:type="spellStart"/>
            <w:r w:rsidRPr="0001376B">
              <w:rPr>
                <w:rFonts w:eastAsia="Times New Roman" w:cs="Times New Roman"/>
                <w:color w:val="000000"/>
                <w:sz w:val="15"/>
                <w:szCs w:val="15"/>
                <w:vertAlign w:val="superscript"/>
                <w:lang w:eastAsia="en-GB"/>
              </w:rPr>
              <w:t>HImax</w:t>
            </w:r>
            <w:proofErr w:type="spellEnd"/>
            <w:r w:rsidRPr="0001376B">
              <w:rPr>
                <w:rFonts w:eastAsia="Times New Roman" w:cs="Times New Roman"/>
                <w:color w:val="000000"/>
                <w:sz w:val="15"/>
                <w:szCs w:val="15"/>
                <w:vertAlign w:val="superscript"/>
                <w:lang w:eastAsia="en-GB"/>
              </w:rPr>
              <w:t>; sensitivity)</w:t>
            </w:r>
          </w:p>
        </w:tc>
        <w:tc>
          <w:tcPr>
            <w:tcW w:w="851" w:type="dxa"/>
            <w:hideMark/>
          </w:tcPr>
          <w:p w14:paraId="59A0CBB3"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 xml:space="preserve">trimester averages and DLNMs using percentile contrasts (25th ≈ 26 °C and 75th ≈ 29 °C vs median 27 °C). “Extreme heat events” also summarized as </w:t>
            </w:r>
            <w:proofErr w:type="spellStart"/>
            <w:r w:rsidRPr="0001376B">
              <w:rPr>
                <w:rFonts w:eastAsia="Times New Roman" w:cs="Times New Roman"/>
                <w:color w:val="000000"/>
                <w:sz w:val="15"/>
                <w:szCs w:val="15"/>
                <w:vertAlign w:val="superscript"/>
                <w:lang w:eastAsia="en-GB"/>
              </w:rPr>
              <w:t>WBGTmax</w:t>
            </w:r>
            <w:proofErr w:type="spellEnd"/>
            <w:r w:rsidRPr="0001376B">
              <w:rPr>
                <w:rFonts w:eastAsia="Times New Roman" w:cs="Times New Roman"/>
                <w:color w:val="000000"/>
                <w:sz w:val="15"/>
                <w:szCs w:val="15"/>
                <w:vertAlign w:val="superscript"/>
                <w:lang w:eastAsia="en-GB"/>
              </w:rPr>
              <w:t xml:space="preserve"> &gt; 30 °C (ISO threshold)</w:t>
            </w:r>
          </w:p>
        </w:tc>
        <w:tc>
          <w:tcPr>
            <w:tcW w:w="708" w:type="dxa"/>
            <w:hideMark/>
          </w:tcPr>
          <w:p w14:paraId="08B3878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Trimester averages (T1 days 1–97; T2 98–188; T3 189–280) and entire pregnancy; DLNM from conception to 37 weeks (weekly lags).</w:t>
            </w:r>
          </w:p>
        </w:tc>
        <w:tc>
          <w:tcPr>
            <w:tcW w:w="851" w:type="dxa"/>
            <w:gridSpan w:val="2"/>
            <w:hideMark/>
          </w:tcPr>
          <w:p w14:paraId="6A62A59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weight (g); birth length (cm); head circumference (cm); LBW; SGA; PTB; gestational age.</w:t>
            </w:r>
          </w:p>
        </w:tc>
        <w:tc>
          <w:tcPr>
            <w:tcW w:w="850" w:type="dxa"/>
            <w:hideMark/>
          </w:tcPr>
          <w:p w14:paraId="6577C5D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&lt; 37 weeks; LBW &lt; 2500 g; SGA &lt; 10th percentile (Ghana-specific growth curve); GA by ultrasound.</w:t>
            </w:r>
          </w:p>
        </w:tc>
        <w:tc>
          <w:tcPr>
            <w:tcW w:w="1701" w:type="dxa"/>
            <w:hideMark/>
          </w:tcPr>
          <w:p w14:paraId="3EED61C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Higher </w:t>
            </w:r>
            <w:proofErr w:type="spellStart"/>
            <w:r w:rsidRPr="00495497">
              <w:rPr>
                <w:rFonts w:ascii="Aptos Narrow" w:eastAsia="Times New Roman" w:hAnsi="Aptos Narrow" w:cs="Times New Roman"/>
                <w:color w:val="000000"/>
                <w:sz w:val="15"/>
                <w:szCs w:val="15"/>
                <w:vertAlign w:val="superscript"/>
                <w:lang w:eastAsia="en-GB"/>
              </w:rPr>
              <w:t>WBGTmax</w:t>
            </w:r>
            <w:proofErr w:type="spellEnd"/>
            <w:r w:rsidRPr="00495497">
              <w:rPr>
                <w:rFonts w:ascii="Aptos Narrow" w:eastAsia="Times New Roman" w:hAnsi="Aptos Narrow" w:cs="Times New Roman"/>
                <w:color w:val="000000"/>
                <w:sz w:val="15"/>
                <w:szCs w:val="15"/>
                <w:vertAlign w:val="superscript"/>
                <w:lang w:eastAsia="en-GB"/>
              </w:rPr>
              <w:t xml:space="preserve"> in T2 → lower BW (−36.5 g, 95 % CI −72.9 to −0.2) and shorter length (−0.32 cm, 95 % CI −0.61 to −0.02); higher PTB odds (OR ≈ 1.53, 95 % CI 1.00–2.35) per +1 °C. T1 and T3 → larger HC (+0.16 and +0.17 cm per +1 °C). DLNM showed cooler WBGT (26 °C vs 27 °C) early in pregnancy associated with higher BW/length; head circumference larger at higher WBGT (29 °C) during days 21–167 and 194–259; SGA and LBW odds lower at cooler temperatures in early/mid gestation. </w:t>
            </w:r>
            <w:proofErr w:type="spellStart"/>
            <w:r w:rsidRPr="00495497">
              <w:rPr>
                <w:rFonts w:ascii="Aptos Narrow" w:eastAsia="Times New Roman" w:hAnsi="Aptos Narrow" w:cs="Times New Roman"/>
                <w:color w:val="000000"/>
                <w:sz w:val="15"/>
                <w:szCs w:val="15"/>
                <w:vertAlign w:val="superscript"/>
                <w:lang w:eastAsia="en-GB"/>
              </w:rPr>
              <w:t>HImax</w:t>
            </w:r>
            <w:proofErr w:type="spellEnd"/>
            <w:r w:rsidRPr="00495497">
              <w:rPr>
                <w:rFonts w:ascii="Aptos Narrow" w:eastAsia="Times New Roman" w:hAnsi="Aptos Narrow" w:cs="Times New Roman"/>
                <w:color w:val="000000"/>
                <w:sz w:val="15"/>
                <w:szCs w:val="15"/>
                <w:vertAlign w:val="superscript"/>
                <w:lang w:eastAsia="en-GB"/>
              </w:rPr>
              <w:t xml:space="preserve"> results similar.</w:t>
            </w:r>
          </w:p>
        </w:tc>
        <w:tc>
          <w:tcPr>
            <w:tcW w:w="912" w:type="dxa"/>
            <w:hideMark/>
          </w:tcPr>
          <w:p w14:paraId="33CC201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Maternal age, BMI, parity, ethnicity, prenatal visit adequacy, infant sex, placental malaria, and season of birth. Sensitivity: exclude stillbirths; </w:t>
            </w:r>
            <w:proofErr w:type="spellStart"/>
            <w:r w:rsidRPr="00495497">
              <w:rPr>
                <w:rFonts w:ascii="Aptos Narrow" w:eastAsia="Times New Roman" w:hAnsi="Aptos Narrow" w:cs="Times New Roman"/>
                <w:color w:val="000000"/>
                <w:sz w:val="15"/>
                <w:szCs w:val="15"/>
                <w:vertAlign w:val="superscript"/>
                <w:lang w:eastAsia="en-GB"/>
              </w:rPr>
              <w:t>HImax</w:t>
            </w:r>
            <w:proofErr w:type="spellEnd"/>
            <w:r w:rsidRPr="00495497">
              <w:rPr>
                <w:rFonts w:ascii="Aptos Narrow" w:eastAsia="Times New Roman" w:hAnsi="Aptos Narrow" w:cs="Times New Roman"/>
                <w:color w:val="000000"/>
                <w:sz w:val="15"/>
                <w:szCs w:val="15"/>
                <w:vertAlign w:val="superscript"/>
                <w:lang w:eastAsia="en-GB"/>
              </w:rPr>
              <w:t xml:space="preserve"> models.</w:t>
            </w:r>
          </w:p>
        </w:tc>
      </w:tr>
      <w:tr w:rsidR="0051112E" w:rsidRPr="0051112E" w14:paraId="770D9CB4" w14:textId="77777777" w:rsidTr="0051112E">
        <w:trPr>
          <w:trHeight w:val="2880"/>
        </w:trPr>
        <w:tc>
          <w:tcPr>
            <w:cnfStyle w:val="001000000000" w:firstRow="0" w:lastRow="0" w:firstColumn="1" w:lastColumn="0" w:oddVBand="0" w:evenVBand="0" w:oddHBand="0" w:evenHBand="0" w:firstRowFirstColumn="0" w:firstRowLastColumn="0" w:lastRowFirstColumn="0" w:lastRowLastColumn="0"/>
            <w:tcW w:w="1418" w:type="dxa"/>
            <w:hideMark/>
          </w:tcPr>
          <w:p w14:paraId="283BE9EC"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A time-stratified, case–crossover study of heat exposure and perinatal mortality from 16 hospitals in sub-Saharan Africa</w:t>
            </w:r>
          </w:p>
        </w:tc>
        <w:tc>
          <w:tcPr>
            <w:tcW w:w="567" w:type="dxa"/>
            <w:hideMark/>
          </w:tcPr>
          <w:p w14:paraId="1D89C93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Hanson C</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49FA267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Nature Medicine</w:t>
            </w:r>
          </w:p>
        </w:tc>
        <w:tc>
          <w:tcPr>
            <w:tcW w:w="425" w:type="dxa"/>
            <w:hideMark/>
          </w:tcPr>
          <w:p w14:paraId="1CA18B81"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2024</w:t>
            </w:r>
          </w:p>
        </w:tc>
        <w:tc>
          <w:tcPr>
            <w:tcW w:w="567" w:type="dxa"/>
            <w:hideMark/>
          </w:tcPr>
          <w:p w14:paraId="7C718E2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Benin; Malawi; Tanzania; Uganda</w:t>
            </w:r>
          </w:p>
        </w:tc>
        <w:tc>
          <w:tcPr>
            <w:tcW w:w="567" w:type="dxa"/>
            <w:hideMark/>
          </w:tcPr>
          <w:p w14:paraId="2B677A8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Prospective cohort </w:t>
            </w:r>
          </w:p>
        </w:tc>
        <w:tc>
          <w:tcPr>
            <w:tcW w:w="567" w:type="dxa"/>
            <w:hideMark/>
          </w:tcPr>
          <w:p w14:paraId="3BD3AF4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138 015</w:t>
            </w:r>
          </w:p>
        </w:tc>
        <w:tc>
          <w:tcPr>
            <w:tcW w:w="709" w:type="dxa"/>
            <w:hideMark/>
          </w:tcPr>
          <w:p w14:paraId="42F93A9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Hospital-based cohort</w:t>
            </w:r>
          </w:p>
        </w:tc>
        <w:tc>
          <w:tcPr>
            <w:tcW w:w="1134" w:type="dxa"/>
            <w:hideMark/>
          </w:tcPr>
          <w:p w14:paraId="6E4AC63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all singleton mother–baby pairs admitted for childbirth in any of the 16 hospitals between 1 July 2021 and 31 December 2023. Excluded: women referred after giving birth; observations with missing outcome (n=85) or missing exposure temperature data (n=145). Stillbirth analysis restricted to fetuses with birth weight ≥1 000 g.</w:t>
            </w:r>
          </w:p>
        </w:tc>
        <w:tc>
          <w:tcPr>
            <w:tcW w:w="992" w:type="dxa"/>
            <w:hideMark/>
          </w:tcPr>
          <w:p w14:paraId="45A23D3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≥35 y ranged ~8.8–15.9%; multiparity (≥2 pregnancies) ~54.6–72.4%. High proportions of referrals in some countries (e.g. Benin 53.8% referred in labor), indicating a high-risk hospital case-mix.</w:t>
            </w:r>
          </w:p>
        </w:tc>
        <w:tc>
          <w:tcPr>
            <w:tcW w:w="567" w:type="dxa"/>
            <w:hideMark/>
          </w:tcPr>
          <w:p w14:paraId="7C14152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air temperature at 2 m (°C)</w:t>
            </w:r>
          </w:p>
        </w:tc>
        <w:tc>
          <w:tcPr>
            <w:tcW w:w="851" w:type="dxa"/>
            <w:hideMark/>
          </w:tcPr>
          <w:p w14:paraId="297CDB7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Continuous temperature exposures modelled with DLNM; extreme heat contrast defined as increase from the 75th to the 99th percentile of country-specific mean temperature during lag 0–6 days pre-birth.</w:t>
            </w:r>
          </w:p>
        </w:tc>
        <w:tc>
          <w:tcPr>
            <w:tcW w:w="708" w:type="dxa"/>
            <w:hideMark/>
          </w:tcPr>
          <w:p w14:paraId="35FBB9E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Primary window: week before birth (lag 0–6 days) for temperature exposure. Sensitivity: shorter lags (lag 0; 0–1; 0–2 days). Additional analysis: trimester-specific mean temperature in 1st, 2nd, 3rd trimester</w:t>
            </w:r>
          </w:p>
        </w:tc>
        <w:tc>
          <w:tcPr>
            <w:tcW w:w="851" w:type="dxa"/>
            <w:gridSpan w:val="2"/>
            <w:hideMark/>
          </w:tcPr>
          <w:p w14:paraId="15176E5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Stillbirths, and neonatal mortality.</w:t>
            </w:r>
          </w:p>
        </w:tc>
        <w:tc>
          <w:tcPr>
            <w:tcW w:w="850" w:type="dxa"/>
            <w:hideMark/>
          </w:tcPr>
          <w:p w14:paraId="3EF0EBE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Stillbirth: fetal death before birth, birth weight ≥1 000 g, not resuscitated after birth. \</w:t>
            </w:r>
            <w:proofErr w:type="spellStart"/>
            <w:r w:rsidRPr="00495497">
              <w:rPr>
                <w:rFonts w:ascii="Aptos Narrow" w:eastAsia="Times New Roman" w:hAnsi="Aptos Narrow" w:cs="Times New Roman"/>
                <w:color w:val="000000"/>
                <w:sz w:val="15"/>
                <w:szCs w:val="15"/>
                <w:vertAlign w:val="superscript"/>
                <w:lang w:eastAsia="en-GB"/>
              </w:rPr>
              <w:t>nPerinatal</w:t>
            </w:r>
            <w:proofErr w:type="spellEnd"/>
            <w:r w:rsidRPr="00495497">
              <w:rPr>
                <w:rFonts w:ascii="Aptos Narrow" w:eastAsia="Times New Roman" w:hAnsi="Aptos Narrow" w:cs="Times New Roman"/>
                <w:color w:val="000000"/>
                <w:sz w:val="15"/>
                <w:szCs w:val="15"/>
                <w:vertAlign w:val="superscript"/>
                <w:lang w:eastAsia="en-GB"/>
              </w:rPr>
              <w:t xml:space="preserve"> death: stillbirth + neonatal death within 24 h of life</w:t>
            </w:r>
          </w:p>
        </w:tc>
        <w:tc>
          <w:tcPr>
            <w:tcW w:w="1701" w:type="dxa"/>
            <w:hideMark/>
          </w:tcPr>
          <w:p w14:paraId="3B95DC4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Main association (lag 0–6 mean temperature, 99th vs 75th percentile): Perinatal mortality: OR 1.34 (95% CI 1.01–1.78).  All stillbirths: OR 1.29 (95% CI 0.95–1.77).  Antepartum stillbirths: OR 1.18 (95% CI 0.71–1.95).  Intrapartum stillbirths: OR 1.64 (95% CI 0.74–3.63). Associations were stronger during the six hottest consecutive months.</w:t>
            </w:r>
          </w:p>
        </w:tc>
        <w:tc>
          <w:tcPr>
            <w:tcW w:w="912" w:type="dxa"/>
            <w:hideMark/>
          </w:tcPr>
          <w:p w14:paraId="7F30327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Case-cross over design. Adjusted for relative humidity.</w:t>
            </w:r>
          </w:p>
        </w:tc>
      </w:tr>
      <w:tr w:rsidR="0051112E" w:rsidRPr="0051112E" w14:paraId="40A52998" w14:textId="77777777" w:rsidTr="0051112E">
        <w:trPr>
          <w:cnfStyle w:val="000000100000" w:firstRow="0" w:lastRow="0" w:firstColumn="0" w:lastColumn="0" w:oddVBand="0" w:evenVBand="0" w:oddHBand="1" w:evenHBand="0" w:firstRowFirstColumn="0" w:firstRowLastColumn="0" w:lastRowFirstColumn="0" w:lastRowLastColumn="0"/>
          <w:trHeight w:val="1920"/>
        </w:trPr>
        <w:tc>
          <w:tcPr>
            <w:cnfStyle w:val="001000000000" w:firstRow="0" w:lastRow="0" w:firstColumn="1" w:lastColumn="0" w:oddVBand="0" w:evenVBand="0" w:oddHBand="0" w:evenHBand="0" w:firstRowFirstColumn="0" w:firstRowLastColumn="0" w:lastRowFirstColumn="0" w:lastRowLastColumn="0"/>
            <w:tcW w:w="1418" w:type="dxa"/>
            <w:hideMark/>
          </w:tcPr>
          <w:p w14:paraId="6041A78A"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Climate Change and Congenital Anomalies: A Population-Based Study of the Effect of Prolonged Extreme Heat Exposure on the Risk of Neural Tube Defects in France</w:t>
            </w:r>
          </w:p>
        </w:tc>
        <w:tc>
          <w:tcPr>
            <w:tcW w:w="567" w:type="dxa"/>
            <w:hideMark/>
          </w:tcPr>
          <w:p w14:paraId="51C5469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Bruckner TA</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18326A4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Defects Research</w:t>
            </w:r>
          </w:p>
        </w:tc>
        <w:tc>
          <w:tcPr>
            <w:tcW w:w="425" w:type="dxa"/>
            <w:hideMark/>
          </w:tcPr>
          <w:p w14:paraId="6122C6BB" w14:textId="77777777" w:rsidR="0051112E" w:rsidRPr="0001376B" w:rsidRDefault="0051112E" w:rsidP="00D704A0">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2024</w:t>
            </w:r>
          </w:p>
        </w:tc>
        <w:tc>
          <w:tcPr>
            <w:tcW w:w="567" w:type="dxa"/>
            <w:hideMark/>
          </w:tcPr>
          <w:p w14:paraId="0E2ED797"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France</w:t>
            </w:r>
          </w:p>
        </w:tc>
        <w:tc>
          <w:tcPr>
            <w:tcW w:w="567" w:type="dxa"/>
            <w:hideMark/>
          </w:tcPr>
          <w:p w14:paraId="361185A9" w14:textId="615AF203" w:rsidR="0051112E" w:rsidRPr="0001376B" w:rsidRDefault="0001376B"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59417B03"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n =1,272</w:t>
            </w:r>
          </w:p>
        </w:tc>
        <w:tc>
          <w:tcPr>
            <w:tcW w:w="709" w:type="dxa"/>
            <w:hideMark/>
          </w:tcPr>
          <w:p w14:paraId="4018FB08" w14:textId="77777777" w:rsidR="0051112E" w:rsidRPr="0001376B" w:rsidRDefault="0051112E" w:rsidP="00D704A0">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Paris Registry of Congenital Malformations</w:t>
            </w:r>
          </w:p>
        </w:tc>
        <w:tc>
          <w:tcPr>
            <w:tcW w:w="1134" w:type="dxa"/>
            <w:hideMark/>
          </w:tcPr>
          <w:p w14:paraId="19632CB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all NTD cases (live births, stillbirths, TOPFA) among mothers residing in Greater Paris; excluded chromosomal anomalies and non-NTD codes</w:t>
            </w:r>
          </w:p>
        </w:tc>
        <w:tc>
          <w:tcPr>
            <w:tcW w:w="992" w:type="dxa"/>
            <w:hideMark/>
          </w:tcPr>
          <w:p w14:paraId="0CB61A0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Monthly mean NTD count 4.24; range 0–13</w:t>
            </w:r>
          </w:p>
        </w:tc>
        <w:tc>
          <w:tcPr>
            <w:tcW w:w="567" w:type="dxa"/>
            <w:hideMark/>
          </w:tcPr>
          <w:p w14:paraId="411254D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Prolonged extreme heatwave defined as August 2003 temperatures (≥35°C for nine consecutive days)</w:t>
            </w:r>
          </w:p>
        </w:tc>
        <w:tc>
          <w:tcPr>
            <w:tcW w:w="851" w:type="dxa"/>
            <w:hideMark/>
          </w:tcPr>
          <w:p w14:paraId="774CA59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Binary exposure: conceptions in August 2003 = exposed to prolonged extreme heat in the periconceptional period</w:t>
            </w:r>
          </w:p>
        </w:tc>
        <w:tc>
          <w:tcPr>
            <w:tcW w:w="708" w:type="dxa"/>
            <w:hideMark/>
          </w:tcPr>
          <w:p w14:paraId="5278D57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Periconceptional period (month of conception)</w:t>
            </w:r>
          </w:p>
        </w:tc>
        <w:tc>
          <w:tcPr>
            <w:tcW w:w="851" w:type="dxa"/>
            <w:gridSpan w:val="2"/>
            <w:hideMark/>
          </w:tcPr>
          <w:p w14:paraId="00A200A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Neural tube defects</w:t>
            </w:r>
          </w:p>
        </w:tc>
        <w:tc>
          <w:tcPr>
            <w:tcW w:w="850" w:type="dxa"/>
            <w:hideMark/>
          </w:tcPr>
          <w:p w14:paraId="61FF2ED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NTDs coded using ICD-9 (1994–2000) and ICD-10 (2001–2018); includes anencephaly, spina bifida, encephalocele</w:t>
            </w:r>
          </w:p>
        </w:tc>
        <w:tc>
          <w:tcPr>
            <w:tcW w:w="1701" w:type="dxa"/>
            <w:hideMark/>
          </w:tcPr>
          <w:p w14:paraId="15B53F8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Exposure to the 2003 heatwave doubled NTD risk: RR 2.14 (95% CI: 1.46–3.13). Sensitivity analyses consistent: RR 1.93 (excluding July/Sept) and RR 4.02 (summer-only comparison).</w:t>
            </w:r>
          </w:p>
        </w:tc>
        <w:tc>
          <w:tcPr>
            <w:tcW w:w="912" w:type="dxa"/>
            <w:hideMark/>
          </w:tcPr>
          <w:p w14:paraId="65531DA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Models adjusted for month and year indicators; population offset (estimated conceptions via live births 9 months later)</w:t>
            </w:r>
          </w:p>
        </w:tc>
      </w:tr>
      <w:tr w:rsidR="0051112E" w:rsidRPr="0051112E" w14:paraId="5335D571" w14:textId="77777777" w:rsidTr="0051112E">
        <w:trPr>
          <w:trHeight w:val="1985"/>
        </w:trPr>
        <w:tc>
          <w:tcPr>
            <w:cnfStyle w:val="001000000000" w:firstRow="0" w:lastRow="0" w:firstColumn="1" w:lastColumn="0" w:oddVBand="0" w:evenVBand="0" w:oddHBand="0" w:evenHBand="0" w:firstRowFirstColumn="0" w:firstRowLastColumn="0" w:lastRowFirstColumn="0" w:lastRowLastColumn="0"/>
            <w:tcW w:w="1418" w:type="dxa"/>
            <w:hideMark/>
          </w:tcPr>
          <w:p w14:paraId="1B398037"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Associations between heat wave during pregnancy and term birth weight outcomes: The PARIS birth cohort</w:t>
            </w:r>
          </w:p>
        </w:tc>
        <w:tc>
          <w:tcPr>
            <w:tcW w:w="567" w:type="dxa"/>
            <w:hideMark/>
          </w:tcPr>
          <w:p w14:paraId="07F8893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Rancière</w:t>
            </w:r>
            <w:proofErr w:type="spellEnd"/>
            <w:r w:rsidRPr="00495497">
              <w:rPr>
                <w:rFonts w:ascii="Aptos Narrow" w:eastAsia="Times New Roman" w:hAnsi="Aptos Narrow" w:cs="Times New Roman"/>
                <w:color w:val="000000"/>
                <w:sz w:val="15"/>
                <w:szCs w:val="15"/>
                <w:vertAlign w:val="superscript"/>
                <w:lang w:eastAsia="en-GB"/>
              </w:rPr>
              <w:t xml:space="preserve"> F</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64B49E2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 International</w:t>
            </w:r>
          </w:p>
        </w:tc>
        <w:tc>
          <w:tcPr>
            <w:tcW w:w="425" w:type="dxa"/>
            <w:hideMark/>
          </w:tcPr>
          <w:p w14:paraId="00252215"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2024</w:t>
            </w:r>
          </w:p>
        </w:tc>
        <w:tc>
          <w:tcPr>
            <w:tcW w:w="567" w:type="dxa"/>
            <w:hideMark/>
          </w:tcPr>
          <w:p w14:paraId="2B992B2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France</w:t>
            </w:r>
          </w:p>
        </w:tc>
        <w:tc>
          <w:tcPr>
            <w:tcW w:w="567" w:type="dxa"/>
            <w:hideMark/>
          </w:tcPr>
          <w:p w14:paraId="2E19B23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Retrospective cohort</w:t>
            </w:r>
          </w:p>
        </w:tc>
        <w:tc>
          <w:tcPr>
            <w:tcW w:w="567" w:type="dxa"/>
            <w:hideMark/>
          </w:tcPr>
          <w:p w14:paraId="2AD5D20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3,359</w:t>
            </w:r>
          </w:p>
        </w:tc>
        <w:tc>
          <w:tcPr>
            <w:tcW w:w="709" w:type="dxa"/>
            <w:hideMark/>
          </w:tcPr>
          <w:p w14:paraId="67E804C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Hospital-based cohort</w:t>
            </w:r>
          </w:p>
        </w:tc>
        <w:tc>
          <w:tcPr>
            <w:tcW w:w="1134" w:type="dxa"/>
            <w:hideMark/>
          </w:tcPr>
          <w:p w14:paraId="4B0D22A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single-birth term newborns (37–42 weeks), normal birth, no malformations, mothers ≥19 years, received prenatal care, French-speaking. Excluded: low birth weight &lt;2,500 g, maternal alcohol/drug addiction, no prenatal care, maternal age ≤18, mothers who moved during pregnancy.</w:t>
            </w:r>
          </w:p>
        </w:tc>
        <w:tc>
          <w:tcPr>
            <w:tcW w:w="992" w:type="dxa"/>
            <w:hideMark/>
          </w:tcPr>
          <w:p w14:paraId="51F68BD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Median maternal age 31 years; ~66% living in Paris city; 4.3% term SGA (145/3,359); ~17% early-term, 65% full-term, 17% late-term; maternal smoking ~11%.</w:t>
            </w:r>
          </w:p>
        </w:tc>
        <w:tc>
          <w:tcPr>
            <w:tcW w:w="567" w:type="dxa"/>
            <w:hideMark/>
          </w:tcPr>
          <w:p w14:paraId="7A5FEC5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Prolonged extreme heatwave defined as August 2003 temperatures (≥35°C for nine consecutive days)</w:t>
            </w:r>
          </w:p>
        </w:tc>
        <w:tc>
          <w:tcPr>
            <w:tcW w:w="851" w:type="dxa"/>
            <w:hideMark/>
          </w:tcPr>
          <w:p w14:paraId="4CFB47C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Binary exposure: conceptions in August 2003 = exposed to prolonged extreme heat in the periconceptional period</w:t>
            </w:r>
          </w:p>
        </w:tc>
        <w:tc>
          <w:tcPr>
            <w:tcW w:w="708" w:type="dxa"/>
            <w:hideMark/>
          </w:tcPr>
          <w:p w14:paraId="5EFEA77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Entire pregnancy and by trimester (1st, 2nd, 3rd).</w:t>
            </w:r>
          </w:p>
        </w:tc>
        <w:tc>
          <w:tcPr>
            <w:tcW w:w="851" w:type="dxa"/>
            <w:gridSpan w:val="2"/>
            <w:hideMark/>
          </w:tcPr>
          <w:p w14:paraId="6A6C57B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weight, small for gestational age</w:t>
            </w:r>
          </w:p>
        </w:tc>
        <w:tc>
          <w:tcPr>
            <w:tcW w:w="850" w:type="dxa"/>
            <w:hideMark/>
          </w:tcPr>
          <w:p w14:paraId="596D607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SGA: birth weight &lt;10th percentile of French sex- and gestational-age–specific reference curves</w:t>
            </w:r>
          </w:p>
        </w:tc>
        <w:tc>
          <w:tcPr>
            <w:tcW w:w="1701" w:type="dxa"/>
            <w:hideMark/>
          </w:tcPr>
          <w:p w14:paraId="5419B6E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Any heat wave during pregnancy: lower term BW (−83 g; 95% CI −131, −35) and higher odds of term SGA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2.70; 95% CI 1.38, 5.28). Strongest when heat wave in 1st trimester: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for SGA 4.18 (95% CI 1.69, 10.35); BW −90 g (95% CI −150, −30). Second trimester: similar BW reduction (−126 g) but SGA association not significant; third trimester not clearly associated.</w:t>
            </w:r>
          </w:p>
        </w:tc>
        <w:tc>
          <w:tcPr>
            <w:tcW w:w="912" w:type="dxa"/>
            <w:hideMark/>
          </w:tcPr>
          <w:p w14:paraId="798A8C5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Effects stronger in primiparous and older mothers, and in women with low/intermediate SES (particularly for first-trimester exposure)</w:t>
            </w:r>
          </w:p>
        </w:tc>
      </w:tr>
      <w:tr w:rsidR="0051112E" w:rsidRPr="0051112E" w14:paraId="278E2718" w14:textId="77777777" w:rsidTr="0051112E">
        <w:trPr>
          <w:cnfStyle w:val="000000100000" w:firstRow="0" w:lastRow="0" w:firstColumn="0" w:lastColumn="0" w:oddVBand="0" w:evenVBand="0" w:oddHBand="1" w:evenHBand="0" w:firstRowFirstColumn="0" w:firstRowLastColumn="0" w:lastRowFirstColumn="0" w:lastRowLastColumn="0"/>
          <w:trHeight w:val="1475"/>
        </w:trPr>
        <w:tc>
          <w:tcPr>
            <w:cnfStyle w:val="001000000000" w:firstRow="0" w:lastRow="0" w:firstColumn="1" w:lastColumn="0" w:oddVBand="0" w:evenVBand="0" w:oddHBand="0" w:evenHBand="0" w:firstRowFirstColumn="0" w:firstRowLastColumn="0" w:lastRowFirstColumn="0" w:lastRowLastColumn="0"/>
            <w:tcW w:w="1418" w:type="dxa"/>
            <w:hideMark/>
          </w:tcPr>
          <w:p w14:paraId="534A3DF8"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Impact of cash transfers on the association between prenatal exposures to high temperatures and low birthweight: Retrospective analysis from the LEAP 1000 study</w:t>
            </w:r>
          </w:p>
        </w:tc>
        <w:tc>
          <w:tcPr>
            <w:tcW w:w="567" w:type="dxa"/>
            <w:hideMark/>
          </w:tcPr>
          <w:p w14:paraId="62383ED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LaPointe S</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22CF9F9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BJOG</w:t>
            </w:r>
          </w:p>
        </w:tc>
        <w:tc>
          <w:tcPr>
            <w:tcW w:w="425" w:type="dxa"/>
            <w:hideMark/>
          </w:tcPr>
          <w:p w14:paraId="122A2366"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2024</w:t>
            </w:r>
          </w:p>
        </w:tc>
        <w:tc>
          <w:tcPr>
            <w:tcW w:w="567" w:type="dxa"/>
            <w:hideMark/>
          </w:tcPr>
          <w:p w14:paraId="759CB4B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Ghana</w:t>
            </w:r>
          </w:p>
        </w:tc>
        <w:tc>
          <w:tcPr>
            <w:tcW w:w="567" w:type="dxa"/>
            <w:hideMark/>
          </w:tcPr>
          <w:p w14:paraId="17CE380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Retrospective cohort</w:t>
            </w:r>
          </w:p>
        </w:tc>
        <w:tc>
          <w:tcPr>
            <w:tcW w:w="567" w:type="dxa"/>
            <w:hideMark/>
          </w:tcPr>
          <w:p w14:paraId="5D4788E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3,016</w:t>
            </w:r>
          </w:p>
        </w:tc>
        <w:tc>
          <w:tcPr>
            <w:tcW w:w="709" w:type="dxa"/>
            <w:hideMark/>
          </w:tcPr>
          <w:p w14:paraId="1C5C008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Rural households</w:t>
            </w:r>
          </w:p>
        </w:tc>
        <w:tc>
          <w:tcPr>
            <w:tcW w:w="1134" w:type="dxa"/>
            <w:hideMark/>
          </w:tcPr>
          <w:p w14:paraId="108C0EA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liveborn infants aged 0–36 months at baseline and infants born by endline; excluded if missing key household data; birthweight imputed for 50% missingness (mainly home births)</w:t>
            </w:r>
          </w:p>
        </w:tc>
        <w:tc>
          <w:tcPr>
            <w:tcW w:w="992" w:type="dxa"/>
            <w:hideMark/>
          </w:tcPr>
          <w:p w14:paraId="681A386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Mean BW 3.02 ± 0.37 kg; LBW 12%; 64% facility births; parity ~4; 50% female; sample highly disadvantaged (low PMT scores)</w:t>
            </w:r>
          </w:p>
        </w:tc>
        <w:tc>
          <w:tcPr>
            <w:tcW w:w="567" w:type="dxa"/>
            <w:hideMark/>
          </w:tcPr>
          <w:p w14:paraId="50F312F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(weekly means)</w:t>
            </w:r>
          </w:p>
        </w:tc>
        <w:tc>
          <w:tcPr>
            <w:tcW w:w="851" w:type="dxa"/>
            <w:hideMark/>
          </w:tcPr>
          <w:p w14:paraId="182CAE5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High temperature defined as weekly mean &gt;30 °C (75th percentile); reference 28 °C (median). Exposure evaluated over 52 weeks before birth using DLNM.</w:t>
            </w:r>
          </w:p>
        </w:tc>
        <w:tc>
          <w:tcPr>
            <w:tcW w:w="708" w:type="dxa"/>
            <w:hideMark/>
          </w:tcPr>
          <w:p w14:paraId="0528C9B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0–52 weeks before birth (lags 0–52</w:t>
            </w:r>
          </w:p>
        </w:tc>
        <w:tc>
          <w:tcPr>
            <w:tcW w:w="851" w:type="dxa"/>
            <w:gridSpan w:val="2"/>
            <w:hideMark/>
          </w:tcPr>
          <w:p w14:paraId="08CF85B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Low birth weight</w:t>
            </w:r>
          </w:p>
        </w:tc>
        <w:tc>
          <w:tcPr>
            <w:tcW w:w="850" w:type="dxa"/>
            <w:hideMark/>
          </w:tcPr>
          <w:p w14:paraId="1C4895B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LBW (&lt;2.5 kg)</w:t>
            </w:r>
          </w:p>
        </w:tc>
        <w:tc>
          <w:tcPr>
            <w:tcW w:w="1701" w:type="dxa"/>
            <w:hideMark/>
          </w:tcPr>
          <w:p w14:paraId="27A4731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High weekly temperatures (&gt;30°C) associated with higher odds of LBW overall, strongest in 3 weeks before birth (OR 1.005–1.025). Among comparison infants: elevated LBW odds at many lags (0–23, 30–51). Among LEAP 1000 infants: no positive association; some lags showed lower LBW odds. Sensitivity analyses (complete cases) consistent with protective pattern for CT group.</w:t>
            </w:r>
          </w:p>
        </w:tc>
        <w:tc>
          <w:tcPr>
            <w:tcW w:w="912" w:type="dxa"/>
            <w:hideMark/>
          </w:tcPr>
          <w:p w14:paraId="6ADFD22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Adjusted for infant sex, parity, health facility birth, PMT score, year of birth, district; lag and exposure splines in DLNM; rainy season not directly adjusted beyond year/month.</w:t>
            </w:r>
          </w:p>
        </w:tc>
      </w:tr>
      <w:tr w:rsidR="0051112E" w:rsidRPr="0051112E" w14:paraId="31069776" w14:textId="77777777" w:rsidTr="0051112E">
        <w:trPr>
          <w:trHeight w:val="2133"/>
        </w:trPr>
        <w:tc>
          <w:tcPr>
            <w:cnfStyle w:val="001000000000" w:firstRow="0" w:lastRow="0" w:firstColumn="1" w:lastColumn="0" w:oddVBand="0" w:evenVBand="0" w:oddHBand="0" w:evenHBand="0" w:firstRowFirstColumn="0" w:firstRowLastColumn="0" w:lastRowFirstColumn="0" w:lastRowLastColumn="0"/>
            <w:tcW w:w="1418" w:type="dxa"/>
            <w:hideMark/>
          </w:tcPr>
          <w:p w14:paraId="137E800A"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and major structural anomalies: A retrospective study of over 2 million newborns</w:t>
            </w:r>
          </w:p>
        </w:tc>
        <w:tc>
          <w:tcPr>
            <w:tcW w:w="567" w:type="dxa"/>
            <w:hideMark/>
          </w:tcPr>
          <w:p w14:paraId="7702BB9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Zhang Y</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3EE2DC3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Science of the Total Environment</w:t>
            </w:r>
          </w:p>
        </w:tc>
        <w:tc>
          <w:tcPr>
            <w:tcW w:w="425" w:type="dxa"/>
            <w:hideMark/>
          </w:tcPr>
          <w:p w14:paraId="20279795"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2023</w:t>
            </w:r>
          </w:p>
        </w:tc>
        <w:tc>
          <w:tcPr>
            <w:tcW w:w="567" w:type="dxa"/>
            <w:hideMark/>
          </w:tcPr>
          <w:p w14:paraId="29EEE1EF"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USA</w:t>
            </w:r>
          </w:p>
        </w:tc>
        <w:tc>
          <w:tcPr>
            <w:tcW w:w="567" w:type="dxa"/>
            <w:hideMark/>
          </w:tcPr>
          <w:p w14:paraId="4C5E4725" w14:textId="10867EC7" w:rsidR="0051112E" w:rsidRPr="0001376B" w:rsidRDefault="0001376B" w:rsidP="00D704A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57DC2E8E" w14:textId="77777777" w:rsidR="0051112E" w:rsidRPr="0001376B" w:rsidRDefault="0051112E" w:rsidP="00D704A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Times New Roman"/>
                <w:color w:val="000000"/>
                <w:sz w:val="15"/>
                <w:szCs w:val="15"/>
                <w:vertAlign w:val="superscript"/>
                <w:lang w:eastAsia="en-GB"/>
              </w:rPr>
              <w:t>n = 2,352,529</w:t>
            </w:r>
          </w:p>
        </w:tc>
        <w:tc>
          <w:tcPr>
            <w:tcW w:w="709" w:type="dxa"/>
            <w:hideMark/>
          </w:tcPr>
          <w:p w14:paraId="34F2EEC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National registry (birth certificate data)</w:t>
            </w:r>
          </w:p>
        </w:tc>
        <w:tc>
          <w:tcPr>
            <w:tcW w:w="1134" w:type="dxa"/>
            <w:hideMark/>
          </w:tcPr>
          <w:p w14:paraId="66C019E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live singleton births to US-resident mothers aged 20–50 y. Excluded: counties &lt;100k pop., missing LMP/race/education/parity/prenatal care, multiple births, anomalies missing, and births whose critical window (3–12 weeks post-conception) did not fall in May–August.</w:t>
            </w:r>
          </w:p>
        </w:tc>
        <w:tc>
          <w:tcPr>
            <w:tcW w:w="992" w:type="dxa"/>
            <w:hideMark/>
          </w:tcPr>
          <w:p w14:paraId="72AF385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Mothers with anomalies more often older, smokers, alcohol use, lacking prenatal care.</w:t>
            </w:r>
          </w:p>
        </w:tc>
        <w:tc>
          <w:tcPr>
            <w:tcW w:w="567" w:type="dxa"/>
            <w:noWrap/>
            <w:hideMark/>
          </w:tcPr>
          <w:p w14:paraId="471157F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w:t>
            </w:r>
          </w:p>
        </w:tc>
        <w:tc>
          <w:tcPr>
            <w:tcW w:w="851" w:type="dxa"/>
            <w:hideMark/>
          </w:tcPr>
          <w:p w14:paraId="7F6984C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w:t>
            </w:r>
            <w:proofErr w:type="gramStart"/>
            <w:r w:rsidRPr="00495497">
              <w:rPr>
                <w:rFonts w:ascii="Aptos Narrow" w:eastAsia="Times New Roman" w:hAnsi="Aptos Narrow" w:cs="Times New Roman"/>
                <w:color w:val="000000"/>
                <w:sz w:val="15"/>
                <w:szCs w:val="15"/>
                <w:vertAlign w:val="superscript"/>
                <w:lang w:eastAsia="en-GB"/>
              </w:rPr>
              <w:t>extreme</w:t>
            </w:r>
            <w:proofErr w:type="gramEnd"/>
            <w:r w:rsidRPr="00495497">
              <w:rPr>
                <w:rFonts w:ascii="Aptos Narrow" w:eastAsia="Times New Roman" w:hAnsi="Aptos Narrow" w:cs="Times New Roman"/>
                <w:color w:val="000000"/>
                <w:sz w:val="15"/>
                <w:szCs w:val="15"/>
                <w:vertAlign w:val="superscript"/>
                <w:lang w:eastAsia="en-GB"/>
              </w:rPr>
              <w:t xml:space="preserve"> heat” = 95th percentile, “moderate heat” = 85th percentile; compared to minimum morbidity temperature (MMT)</w:t>
            </w:r>
          </w:p>
        </w:tc>
        <w:tc>
          <w:tcPr>
            <w:tcW w:w="708" w:type="dxa"/>
            <w:hideMark/>
          </w:tcPr>
          <w:p w14:paraId="0E18FBB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Critical developmental window: 3–12 weeks post-conception</w:t>
            </w:r>
          </w:p>
        </w:tc>
        <w:tc>
          <w:tcPr>
            <w:tcW w:w="851" w:type="dxa"/>
            <w:gridSpan w:val="2"/>
            <w:hideMark/>
          </w:tcPr>
          <w:p w14:paraId="6F7DD21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Major structural anomalies</w:t>
            </w:r>
          </w:p>
        </w:tc>
        <w:tc>
          <w:tcPr>
            <w:tcW w:w="850" w:type="dxa"/>
            <w:hideMark/>
          </w:tcPr>
          <w:p w14:paraId="48F13C5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Diagnoses reported on birth certificates; 6 broad systems and 15 categories; includes anencephaly, spina bifida, hydrocephalus, heart malformations, cleft lip/palate, renal agenesis, etc.</w:t>
            </w:r>
          </w:p>
        </w:tc>
        <w:tc>
          <w:tcPr>
            <w:tcW w:w="1701" w:type="dxa"/>
            <w:hideMark/>
          </w:tcPr>
          <w:p w14:paraId="69A548E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heat (95th percentile) associated with: Total anomalies OR 1.05 (95% CI 1.00–1.11); CNS anomalies OR 1.17 (1.01–1.37); Other uncategorized anomalies OR 1.16 (1.04–1.29); Marginal associations: genitourinary (OR 1.14) and malformed genitalia (OR 1.22);  Stronger associations in multiple anomalies (OR 1.24) vs. single (OR 1.04); Effects more pronounced in high-poverty counties and with higher PM2.5.</w:t>
            </w:r>
          </w:p>
        </w:tc>
        <w:tc>
          <w:tcPr>
            <w:tcW w:w="912" w:type="dxa"/>
            <w:hideMark/>
          </w:tcPr>
          <w:p w14:paraId="04EA713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race/ethnicity, marital status, education, prenatal care, smoking, alcohol use, medical risk factors, parity, county poverty rate, census region. Sensitivity: +PM2.5 adjustment (stronger associations).</w:t>
            </w:r>
          </w:p>
        </w:tc>
      </w:tr>
      <w:tr w:rsidR="0051112E" w:rsidRPr="0051112E" w14:paraId="4AD3781D" w14:textId="77777777" w:rsidTr="0051112E">
        <w:trPr>
          <w:cnfStyle w:val="000000100000" w:firstRow="0" w:lastRow="0" w:firstColumn="0" w:lastColumn="0" w:oddVBand="0" w:evenVBand="0" w:oddHBand="1" w:evenHBand="0" w:firstRowFirstColumn="0" w:firstRowLastColumn="0" w:lastRowFirstColumn="0" w:lastRowLastColumn="0"/>
          <w:trHeight w:val="2240"/>
        </w:trPr>
        <w:tc>
          <w:tcPr>
            <w:cnfStyle w:val="001000000000" w:firstRow="0" w:lastRow="0" w:firstColumn="1" w:lastColumn="0" w:oddVBand="0" w:evenVBand="0" w:oddHBand="0" w:evenHBand="0" w:firstRowFirstColumn="0" w:firstRowLastColumn="0" w:lastRowFirstColumn="0" w:lastRowLastColumn="0"/>
            <w:tcW w:w="1418" w:type="dxa"/>
            <w:hideMark/>
          </w:tcPr>
          <w:p w14:paraId="64ED5817"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Increased late preterm birth risk and altered uterine blood flow upon exposure to heat stress</w:t>
            </w:r>
          </w:p>
        </w:tc>
        <w:tc>
          <w:tcPr>
            <w:tcW w:w="567" w:type="dxa"/>
            <w:hideMark/>
          </w:tcPr>
          <w:p w14:paraId="00595C7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Yüzen</w:t>
            </w:r>
            <w:proofErr w:type="spellEnd"/>
            <w:r w:rsidRPr="00495497">
              <w:rPr>
                <w:rFonts w:ascii="Aptos Narrow" w:eastAsia="Times New Roman" w:hAnsi="Aptos Narrow" w:cs="Times New Roman"/>
                <w:color w:val="000000"/>
                <w:sz w:val="15"/>
                <w:szCs w:val="15"/>
                <w:vertAlign w:val="superscript"/>
                <w:lang w:eastAsia="en-GB"/>
              </w:rPr>
              <w:t xml:space="preserve"> D</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noWrap/>
            <w:hideMark/>
          </w:tcPr>
          <w:p w14:paraId="7F3D59E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eBioMedicine</w:t>
            </w:r>
            <w:proofErr w:type="spellEnd"/>
          </w:p>
        </w:tc>
        <w:tc>
          <w:tcPr>
            <w:tcW w:w="425" w:type="dxa"/>
            <w:hideMark/>
          </w:tcPr>
          <w:p w14:paraId="6FB006B5"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2023</w:t>
            </w:r>
          </w:p>
        </w:tc>
        <w:tc>
          <w:tcPr>
            <w:tcW w:w="567" w:type="dxa"/>
            <w:hideMark/>
          </w:tcPr>
          <w:p w14:paraId="4EFE309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Germany</w:t>
            </w:r>
          </w:p>
        </w:tc>
        <w:tc>
          <w:tcPr>
            <w:tcW w:w="567" w:type="dxa"/>
            <w:hideMark/>
          </w:tcPr>
          <w:p w14:paraId="089AB47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Retrospective cohort</w:t>
            </w:r>
          </w:p>
        </w:tc>
        <w:tc>
          <w:tcPr>
            <w:tcW w:w="567" w:type="dxa"/>
            <w:hideMark/>
          </w:tcPr>
          <w:p w14:paraId="32095DF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25,624</w:t>
            </w:r>
          </w:p>
        </w:tc>
        <w:tc>
          <w:tcPr>
            <w:tcW w:w="709" w:type="dxa"/>
            <w:hideMark/>
          </w:tcPr>
          <w:p w14:paraId="2C66C3C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University Medical Centre</w:t>
            </w:r>
          </w:p>
        </w:tc>
        <w:tc>
          <w:tcPr>
            <w:tcW w:w="1134" w:type="dxa"/>
            <w:hideMark/>
          </w:tcPr>
          <w:p w14:paraId="7D720E4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singleton live births, GA known. Restricted to warm season (Mar–Sept). PRINCE: viable pregnancy at 12–14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excluded infections, drug/alcohol abuse, multiples, ART pregnancies. Cesarean-coded births excluded in spontaneous-birth sensitivity analysis.</w:t>
            </w:r>
          </w:p>
        </w:tc>
        <w:tc>
          <w:tcPr>
            <w:tcW w:w="992" w:type="dxa"/>
            <w:hideMark/>
          </w:tcPr>
          <w:p w14:paraId="1B9A70D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Preterm birth 8.5% (late PTB 65% of PTBs). Majority of women lived ≤10 km from weather station. Ambient temp ~20°C (temperate climate).</w:t>
            </w:r>
          </w:p>
        </w:tc>
        <w:tc>
          <w:tcPr>
            <w:tcW w:w="567" w:type="dxa"/>
            <w:hideMark/>
          </w:tcPr>
          <w:p w14:paraId="0EE8BB9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Daily maximum temperature; daily apparent temperature</w:t>
            </w:r>
          </w:p>
        </w:tc>
        <w:tc>
          <w:tcPr>
            <w:tcW w:w="851" w:type="dxa"/>
            <w:hideMark/>
          </w:tcPr>
          <w:p w14:paraId="117203A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events defined using 90th, 95th, 98th, 99th percentiles of temperature or apparent temperature, with 2, 3, 4, or 5 consecutive heat days.</w:t>
            </w:r>
          </w:p>
        </w:tc>
        <w:tc>
          <w:tcPr>
            <w:tcW w:w="708" w:type="dxa"/>
            <w:hideMark/>
          </w:tcPr>
          <w:p w14:paraId="5E03B99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Week before delivery</w:t>
            </w:r>
          </w:p>
        </w:tc>
        <w:tc>
          <w:tcPr>
            <w:tcW w:w="851" w:type="dxa"/>
            <w:gridSpan w:val="2"/>
            <w:hideMark/>
          </w:tcPr>
          <w:p w14:paraId="4FF2F8F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Preterm birth (GA &lt;37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altered uterine blood flow</w:t>
            </w:r>
          </w:p>
        </w:tc>
        <w:tc>
          <w:tcPr>
            <w:tcW w:w="850" w:type="dxa"/>
            <w:hideMark/>
          </w:tcPr>
          <w:p w14:paraId="37452CC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Preterm birth: &lt;37 wks. Late/early/very early defined by GA ranges. Uterine/umbilical artery PI from Doppler ultrasound (vascular resistance).</w:t>
            </w:r>
          </w:p>
        </w:tc>
        <w:tc>
          <w:tcPr>
            <w:tcW w:w="1701" w:type="dxa"/>
            <w:hideMark/>
          </w:tcPr>
          <w:p w14:paraId="73D30E4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Heat exposure increased PTB risk: strongest for 98th percentile &amp; ≥3 days (RR 1.59, 95% CI 1.01–2.43). Apparent temperature showed even higher risks (e.g., RR 1.45 for 99th percentile × 2 days). Critical window: GA 34–37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 late PTB significantly increased (e.g., RR 2.00 at 98th percentile × 3 days). Female fetuses more vulnerable (significant increases under apparent temperature thresholds). Effect driven by spontaneous preterm births, not medically induced. Heat exposure associated with lower uterine artery PI (higher placental perfusion)</w:t>
            </w:r>
          </w:p>
        </w:tc>
        <w:tc>
          <w:tcPr>
            <w:tcW w:w="912" w:type="dxa"/>
            <w:hideMark/>
          </w:tcPr>
          <w:p w14:paraId="02D89B8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Modified Poisson regression adjusted for maternal age (&lt;20 or &gt;44), parity; no significant interactions.</w:t>
            </w:r>
          </w:p>
        </w:tc>
      </w:tr>
      <w:tr w:rsidR="0051112E" w:rsidRPr="0051112E" w14:paraId="3771CF66" w14:textId="77777777" w:rsidTr="0051112E">
        <w:trPr>
          <w:trHeight w:val="1702"/>
        </w:trPr>
        <w:tc>
          <w:tcPr>
            <w:cnfStyle w:val="001000000000" w:firstRow="0" w:lastRow="0" w:firstColumn="1" w:lastColumn="0" w:oddVBand="0" w:evenVBand="0" w:oddHBand="0" w:evenHBand="0" w:firstRowFirstColumn="0" w:firstRowLastColumn="0" w:lastRowFirstColumn="0" w:lastRowLastColumn="0"/>
            <w:tcW w:w="1418" w:type="dxa"/>
            <w:hideMark/>
          </w:tcPr>
          <w:p w14:paraId="2DB3C3DC"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The relationship between extreme ambient temperature and small for gestational age: A cohort study of 1,436,480 singleton term births in China</w:t>
            </w:r>
            <w:r w:rsidRPr="00495497">
              <w:rPr>
                <w:rFonts w:ascii="Aptos Narrow" w:eastAsia="Times New Roman" w:hAnsi="Aptos Narrow" w:cs="Times New Roman"/>
                <w:color w:val="000000"/>
                <w:sz w:val="15"/>
                <w:szCs w:val="15"/>
                <w:vertAlign w:val="superscript"/>
                <w:lang w:eastAsia="en-GB"/>
              </w:rPr>
              <w:br/>
            </w:r>
          </w:p>
        </w:tc>
        <w:tc>
          <w:tcPr>
            <w:tcW w:w="567" w:type="dxa"/>
            <w:hideMark/>
          </w:tcPr>
          <w:p w14:paraId="646D98C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Li </w:t>
            </w:r>
            <w:r w:rsidRPr="0051112E">
              <w:rPr>
                <w:rFonts w:ascii="Aptos Narrow" w:eastAsia="Times New Roman" w:hAnsi="Aptos Narrow" w:cs="Times New Roman"/>
                <w:color w:val="000000"/>
                <w:sz w:val="15"/>
                <w:szCs w:val="15"/>
                <w:vertAlign w:val="superscript"/>
                <w:lang w:eastAsia="en-GB"/>
              </w:rPr>
              <w:t>X et al.</w:t>
            </w:r>
          </w:p>
        </w:tc>
        <w:tc>
          <w:tcPr>
            <w:tcW w:w="567" w:type="dxa"/>
            <w:hideMark/>
          </w:tcPr>
          <w:p w14:paraId="5B8BCE0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Research</w:t>
            </w:r>
          </w:p>
        </w:tc>
        <w:tc>
          <w:tcPr>
            <w:tcW w:w="425" w:type="dxa"/>
            <w:hideMark/>
          </w:tcPr>
          <w:p w14:paraId="1D6CEA45"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2023</w:t>
            </w:r>
          </w:p>
        </w:tc>
        <w:tc>
          <w:tcPr>
            <w:tcW w:w="567" w:type="dxa"/>
            <w:hideMark/>
          </w:tcPr>
          <w:p w14:paraId="7664243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China</w:t>
            </w:r>
          </w:p>
        </w:tc>
        <w:tc>
          <w:tcPr>
            <w:tcW w:w="567" w:type="dxa"/>
            <w:hideMark/>
          </w:tcPr>
          <w:p w14:paraId="7ACE594C" w14:textId="3B66E18A"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5944BA7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n = 1,436,480 </w:t>
            </w:r>
          </w:p>
        </w:tc>
        <w:tc>
          <w:tcPr>
            <w:tcW w:w="709" w:type="dxa"/>
            <w:hideMark/>
          </w:tcPr>
          <w:p w14:paraId="3CB2127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Provinical</w:t>
            </w:r>
            <w:proofErr w:type="spellEnd"/>
            <w:r w:rsidRPr="00495497">
              <w:rPr>
                <w:rFonts w:ascii="Aptos Narrow" w:eastAsia="Times New Roman" w:hAnsi="Aptos Narrow" w:cs="Times New Roman"/>
                <w:color w:val="000000"/>
                <w:sz w:val="15"/>
                <w:szCs w:val="15"/>
                <w:vertAlign w:val="superscript"/>
                <w:lang w:eastAsia="en-GB"/>
              </w:rPr>
              <w:t xml:space="preserve"> registry</w:t>
            </w:r>
          </w:p>
        </w:tc>
        <w:tc>
          <w:tcPr>
            <w:tcW w:w="1134" w:type="dxa"/>
            <w:hideMark/>
          </w:tcPr>
          <w:p w14:paraId="167B31A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term singletons with geocoded maternal residence, BW 1000–5500 g, maternal age 15–45. Excluded: multiples, preterm, missing address, extreme BW outliers.</w:t>
            </w:r>
          </w:p>
        </w:tc>
        <w:tc>
          <w:tcPr>
            <w:tcW w:w="992" w:type="dxa"/>
            <w:hideMark/>
          </w:tcPr>
          <w:p w14:paraId="0F2CA60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SGA prevalence 7.6%; eastern region largest (795k births). Mean BW ~3336 g. Maternal age mostly 25–29 yrs; &gt;50% had &lt;5 antenatal checks.</w:t>
            </w:r>
          </w:p>
        </w:tc>
        <w:tc>
          <w:tcPr>
            <w:tcW w:w="567" w:type="dxa"/>
            <w:hideMark/>
          </w:tcPr>
          <w:p w14:paraId="3EE9B2D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mean)</w:t>
            </w:r>
          </w:p>
        </w:tc>
        <w:tc>
          <w:tcPr>
            <w:tcW w:w="851" w:type="dxa"/>
            <w:hideMark/>
          </w:tcPr>
          <w:p w14:paraId="267E64E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cold” ≤5th percentile; “Extreme heat” &gt;95th percentile of trimester-specific temperature distribution; reference = 5th–</w:t>
            </w:r>
            <w:r w:rsidRPr="00495497">
              <w:rPr>
                <w:rFonts w:ascii="Aptos Narrow" w:eastAsia="Times New Roman" w:hAnsi="Aptos Narrow" w:cs="Times New Roman"/>
                <w:color w:val="000000"/>
                <w:sz w:val="15"/>
                <w:szCs w:val="15"/>
                <w:vertAlign w:val="superscript"/>
                <w:lang w:eastAsia="en-GB"/>
              </w:rPr>
              <w:lastRenderedPageBreak/>
              <w:t>95th percentile (“mild”).</w:t>
            </w:r>
          </w:p>
        </w:tc>
        <w:tc>
          <w:tcPr>
            <w:tcW w:w="708" w:type="dxa"/>
            <w:hideMark/>
          </w:tcPr>
          <w:p w14:paraId="59F0DAD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First trimester (weeks 1–12); second (13–28); third (29–delivery); trimester-specific analyses</w:t>
            </w:r>
          </w:p>
        </w:tc>
        <w:tc>
          <w:tcPr>
            <w:tcW w:w="851" w:type="dxa"/>
            <w:gridSpan w:val="2"/>
            <w:hideMark/>
          </w:tcPr>
          <w:p w14:paraId="080922E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SGA (term infants &lt;10th percentile of cohort birthweight distribution)</w:t>
            </w:r>
          </w:p>
        </w:tc>
        <w:tc>
          <w:tcPr>
            <w:tcW w:w="850" w:type="dxa"/>
            <w:hideMark/>
          </w:tcPr>
          <w:p w14:paraId="618DEBB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SGA defined within study-specific BW-for-GA distribution (term only)</w:t>
            </w:r>
          </w:p>
        </w:tc>
        <w:tc>
          <w:tcPr>
            <w:tcW w:w="1701" w:type="dxa"/>
            <w:hideMark/>
          </w:tcPr>
          <w:p w14:paraId="1C988A7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Eastern region: heat (OR 1.17, 95% CI 1.13–1.22) in third trimester ↑ SGA. Middle region: Only extreme heat in third trimester ↑ SGA (OR 1.29, 95% CI 1.21–1.37). Western region: No significant associations for heat. Across all regions, effects concentrated in third trimester; little evidence for 1st or 2nd trimester.</w:t>
            </w:r>
          </w:p>
        </w:tc>
        <w:tc>
          <w:tcPr>
            <w:tcW w:w="912" w:type="dxa"/>
            <w:hideMark/>
          </w:tcPr>
          <w:p w14:paraId="2305FAC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infant sex, parity, education, frequency of antenatal checks, season of birth, district-level income,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xml:space="preserve"> exposure; sub-district random </w:t>
            </w:r>
            <w:r w:rsidRPr="00495497">
              <w:rPr>
                <w:rFonts w:ascii="Aptos Narrow" w:eastAsia="Times New Roman" w:hAnsi="Aptos Narrow" w:cs="Times New Roman"/>
                <w:color w:val="000000"/>
                <w:sz w:val="15"/>
                <w:szCs w:val="15"/>
                <w:vertAlign w:val="superscript"/>
                <w:lang w:eastAsia="en-GB"/>
              </w:rPr>
              <w:lastRenderedPageBreak/>
              <w:t>effects; month fixed effects</w:t>
            </w:r>
          </w:p>
        </w:tc>
      </w:tr>
      <w:tr w:rsidR="0051112E" w:rsidRPr="0051112E" w14:paraId="2FEDAF37" w14:textId="77777777" w:rsidTr="0051112E">
        <w:trPr>
          <w:cnfStyle w:val="000000100000" w:firstRow="0" w:lastRow="0" w:firstColumn="0" w:lastColumn="0" w:oddVBand="0" w:evenVBand="0" w:oddHBand="1" w:evenHBand="0" w:firstRowFirstColumn="0" w:firstRowLastColumn="0" w:lastRowFirstColumn="0" w:lastRowLastColumn="0"/>
          <w:trHeight w:val="1920"/>
        </w:trPr>
        <w:tc>
          <w:tcPr>
            <w:cnfStyle w:val="001000000000" w:firstRow="0" w:lastRow="0" w:firstColumn="1" w:lastColumn="0" w:oddVBand="0" w:evenVBand="0" w:oddHBand="0" w:evenHBand="0" w:firstRowFirstColumn="0" w:firstRowLastColumn="0" w:lastRowFirstColumn="0" w:lastRowLastColumn="0"/>
            <w:tcW w:w="1418" w:type="dxa"/>
            <w:hideMark/>
          </w:tcPr>
          <w:p w14:paraId="242E5D9D"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during pregnancy and fetal growth in Eastern Massachusetts, USA.</w:t>
            </w:r>
          </w:p>
        </w:tc>
        <w:tc>
          <w:tcPr>
            <w:tcW w:w="567" w:type="dxa"/>
            <w:hideMark/>
          </w:tcPr>
          <w:p w14:paraId="21CA168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Leung M</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60CFA96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International Journal of Epidemiology</w:t>
            </w:r>
          </w:p>
        </w:tc>
        <w:tc>
          <w:tcPr>
            <w:tcW w:w="425" w:type="dxa"/>
            <w:hideMark/>
          </w:tcPr>
          <w:p w14:paraId="19A315F6"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2023</w:t>
            </w:r>
          </w:p>
        </w:tc>
        <w:tc>
          <w:tcPr>
            <w:tcW w:w="567" w:type="dxa"/>
            <w:hideMark/>
          </w:tcPr>
          <w:p w14:paraId="208E38A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0B20916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Retrospective cohort </w:t>
            </w:r>
          </w:p>
        </w:tc>
        <w:tc>
          <w:tcPr>
            <w:tcW w:w="567" w:type="dxa"/>
            <w:noWrap/>
            <w:hideMark/>
          </w:tcPr>
          <w:p w14:paraId="7B75CB8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9,446</w:t>
            </w:r>
          </w:p>
        </w:tc>
        <w:tc>
          <w:tcPr>
            <w:tcW w:w="709" w:type="dxa"/>
            <w:hideMark/>
          </w:tcPr>
          <w:p w14:paraId="710D774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Hospital-based cohort</w:t>
            </w:r>
          </w:p>
        </w:tc>
        <w:tc>
          <w:tcPr>
            <w:tcW w:w="1134" w:type="dxa"/>
            <w:hideMark/>
          </w:tcPr>
          <w:p w14:paraId="2CA576B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singleton pregnancies ≥20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with ultrasounds at BIDMC and valid address at delivery. Excluded: multiples, out-of-state addresses, no ultrasonography, missing covariates, scans only after 23 weeks, outlier ultrasound values (&gt;4 SD).</w:t>
            </w:r>
          </w:p>
        </w:tc>
        <w:tc>
          <w:tcPr>
            <w:tcW w:w="992" w:type="dxa"/>
            <w:hideMark/>
          </w:tcPr>
          <w:p w14:paraId="62C7626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Mean maternal age 31 yrs; 52%, nulliparous; 79% privately insured; mean ADI relatively low (more advantaged). Weekly mean temp ~10°C.</w:t>
            </w:r>
          </w:p>
        </w:tc>
        <w:tc>
          <w:tcPr>
            <w:tcW w:w="567" w:type="dxa"/>
            <w:hideMark/>
          </w:tcPr>
          <w:p w14:paraId="1616FE2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(weekly means)</w:t>
            </w:r>
          </w:p>
        </w:tc>
        <w:tc>
          <w:tcPr>
            <w:tcW w:w="851" w:type="dxa"/>
            <w:hideMark/>
          </w:tcPr>
          <w:p w14:paraId="0B211E3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Continuous temperature (°C), modeled per 5°C increase</w:t>
            </w:r>
          </w:p>
        </w:tc>
        <w:tc>
          <w:tcPr>
            <w:tcW w:w="708" w:type="dxa"/>
            <w:hideMark/>
          </w:tcPr>
          <w:p w14:paraId="1091347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Weekly exposures from conception </w:t>
            </w:r>
            <w:proofErr w:type="gramStart"/>
            <w:r w:rsidRPr="00495497">
              <w:rPr>
                <w:rFonts w:ascii="Aptos Narrow" w:eastAsia="Times New Roman" w:hAnsi="Aptos Narrow" w:cs="Times New Roman"/>
                <w:color w:val="000000"/>
                <w:sz w:val="15"/>
                <w:szCs w:val="15"/>
                <w:vertAlign w:val="superscript"/>
                <w:lang w:eastAsia="en-GB"/>
              </w:rPr>
              <w:t>to:</w:t>
            </w:r>
            <w:proofErr w:type="gramEnd"/>
            <w:r w:rsidRPr="00495497">
              <w:rPr>
                <w:rFonts w:ascii="Aptos Narrow" w:eastAsia="Times New Roman" w:hAnsi="Aptos Narrow" w:cs="Times New Roman"/>
                <w:color w:val="000000"/>
                <w:sz w:val="15"/>
                <w:szCs w:val="15"/>
                <w:vertAlign w:val="superscript"/>
                <w:lang w:eastAsia="en-GB"/>
              </w:rPr>
              <w:t xml:space="preserve"> ultrasound at 16–23 weeks; 24–31 weeks; ≥32 weeks; and to week 37 for BW</w:t>
            </w:r>
          </w:p>
        </w:tc>
        <w:tc>
          <w:tcPr>
            <w:tcW w:w="851" w:type="dxa"/>
            <w:gridSpan w:val="2"/>
            <w:hideMark/>
          </w:tcPr>
          <w:p w14:paraId="2D95B4A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Fetal growth</w:t>
            </w:r>
          </w:p>
        </w:tc>
        <w:tc>
          <w:tcPr>
            <w:tcW w:w="850" w:type="dxa"/>
            <w:hideMark/>
          </w:tcPr>
          <w:p w14:paraId="63416B0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Z-scores based on gestational age; BW z-score for term neonates; fetal growth measured via routine ultrasound</w:t>
            </w:r>
          </w:p>
        </w:tc>
        <w:tc>
          <w:tcPr>
            <w:tcW w:w="1701" w:type="dxa"/>
            <w:hideMark/>
          </w:tcPr>
          <w:p w14:paraId="5FB4A48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Higher temperature associated with smaller fetal growth across parameters. Critical window: Weeks 1–20 for ultrasound measures (strongest for head size). BW sensitive to higher temperatures across entire pregnancy (−0.32 z-score per +5°C). Some evidence growth effects stronger in young mothers (&lt;22 yrs), female fetuses, autumn conceptions.</w:t>
            </w:r>
          </w:p>
        </w:tc>
        <w:tc>
          <w:tcPr>
            <w:tcW w:w="912" w:type="dxa"/>
            <w:hideMark/>
          </w:tcPr>
          <w:p w14:paraId="3018512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race, education, insurance, parity, smoking, fetal sex, conception year, day-of-year trend, ADI, humidity,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random intercept per pregnancy</w:t>
            </w:r>
          </w:p>
        </w:tc>
      </w:tr>
      <w:tr w:rsidR="0051112E" w:rsidRPr="0051112E" w14:paraId="431B9289" w14:textId="77777777" w:rsidTr="0051112E">
        <w:trPr>
          <w:trHeight w:val="1910"/>
        </w:trPr>
        <w:tc>
          <w:tcPr>
            <w:cnfStyle w:val="001000000000" w:firstRow="0" w:lastRow="0" w:firstColumn="1" w:lastColumn="0" w:oddVBand="0" w:evenVBand="0" w:oddHBand="0" w:evenHBand="0" w:firstRowFirstColumn="0" w:firstRowLastColumn="0" w:lastRowFirstColumn="0" w:lastRowLastColumn="0"/>
            <w:tcW w:w="1418" w:type="dxa"/>
            <w:hideMark/>
          </w:tcPr>
          <w:p w14:paraId="4C67A25A"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Associations between ambient temperature and pregnancy outcomes from three south Asian sites of the Global Network Maternal Newborn Health Registry: A retrospective cohort study</w:t>
            </w:r>
          </w:p>
        </w:tc>
        <w:tc>
          <w:tcPr>
            <w:tcW w:w="567" w:type="dxa"/>
            <w:hideMark/>
          </w:tcPr>
          <w:p w14:paraId="3ECC3A9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Shankar K</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3BEFF81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BJOG</w:t>
            </w:r>
          </w:p>
        </w:tc>
        <w:tc>
          <w:tcPr>
            <w:tcW w:w="425" w:type="dxa"/>
            <w:hideMark/>
          </w:tcPr>
          <w:p w14:paraId="000E3ACB"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2023</w:t>
            </w:r>
          </w:p>
        </w:tc>
        <w:tc>
          <w:tcPr>
            <w:tcW w:w="567" w:type="dxa"/>
            <w:hideMark/>
          </w:tcPr>
          <w:p w14:paraId="3CF2317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India, Pakistan</w:t>
            </w:r>
          </w:p>
        </w:tc>
        <w:tc>
          <w:tcPr>
            <w:tcW w:w="567" w:type="dxa"/>
            <w:hideMark/>
          </w:tcPr>
          <w:p w14:paraId="325FC8F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Retrospective cohort </w:t>
            </w:r>
          </w:p>
        </w:tc>
        <w:tc>
          <w:tcPr>
            <w:tcW w:w="567" w:type="dxa"/>
            <w:hideMark/>
          </w:tcPr>
          <w:p w14:paraId="1FAE92F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126,273</w:t>
            </w:r>
          </w:p>
        </w:tc>
        <w:tc>
          <w:tcPr>
            <w:tcW w:w="709" w:type="dxa"/>
            <w:hideMark/>
          </w:tcPr>
          <w:p w14:paraId="0747D2C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Community based cohort</w:t>
            </w:r>
          </w:p>
        </w:tc>
        <w:tc>
          <w:tcPr>
            <w:tcW w:w="1134" w:type="dxa"/>
            <w:hideMark/>
          </w:tcPr>
          <w:p w14:paraId="696E3B7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all pregnant women in MNHR clusters; GA estimated using standard algorithm; BW measured within 48h; excluded pregnancies with &lt;3 days of temperature data for trimester averages</w:t>
            </w:r>
          </w:p>
        </w:tc>
        <w:tc>
          <w:tcPr>
            <w:tcW w:w="992" w:type="dxa"/>
            <w:hideMark/>
          </w:tcPr>
          <w:p w14:paraId="44EB306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91% maternal age 20–35; 32% BMI &lt;18.5; anemia common (~80%); PTB 16.4%; LBW 22.2%; stillbirth 3%; hypertensive disorders 3%</w:t>
            </w:r>
          </w:p>
        </w:tc>
        <w:tc>
          <w:tcPr>
            <w:tcW w:w="567" w:type="dxa"/>
            <w:hideMark/>
          </w:tcPr>
          <w:p w14:paraId="0DAC847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 (daily maximum)</w:t>
            </w:r>
          </w:p>
        </w:tc>
        <w:tc>
          <w:tcPr>
            <w:tcW w:w="851" w:type="dxa"/>
            <w:noWrap/>
            <w:hideMark/>
          </w:tcPr>
          <w:p w14:paraId="2E6165D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Trimester heat exposure = mean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over 90-day trimester window; exposure treated as continuous: risk per +5°C increase</w:t>
            </w:r>
          </w:p>
        </w:tc>
        <w:tc>
          <w:tcPr>
            <w:tcW w:w="708" w:type="dxa"/>
            <w:hideMark/>
          </w:tcPr>
          <w:p w14:paraId="698C1EC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Trimester specific averages</w:t>
            </w:r>
          </w:p>
        </w:tc>
        <w:tc>
          <w:tcPr>
            <w:tcW w:w="851" w:type="dxa"/>
            <w:gridSpan w:val="2"/>
            <w:hideMark/>
          </w:tcPr>
          <w:p w14:paraId="3F858AF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PTB (&lt;37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LBW (&lt;2500 g), stillbirth (≥20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gestational hypertension / severe pre-eclampsia</w:t>
            </w:r>
          </w:p>
        </w:tc>
        <w:tc>
          <w:tcPr>
            <w:tcW w:w="850" w:type="dxa"/>
            <w:hideMark/>
          </w:tcPr>
          <w:p w14:paraId="0130007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Standard MNHR definitions; BW recorded within 48h or estimated if missing; hypertensive disorders per WHO criteria</w:t>
            </w:r>
          </w:p>
        </w:tc>
        <w:tc>
          <w:tcPr>
            <w:tcW w:w="1701" w:type="dxa"/>
            <w:hideMark/>
          </w:tcPr>
          <w:p w14:paraId="298DAE1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PTB: Increased with higher 2nd trimester temperature (RR 1.05; 95% CI 1.02–1.07). </w:t>
            </w:r>
            <w:proofErr w:type="spellStart"/>
            <w:r w:rsidRPr="00495497">
              <w:rPr>
                <w:rFonts w:ascii="Aptos Narrow" w:eastAsia="Times New Roman" w:hAnsi="Aptos Narrow" w:cs="Times New Roman"/>
                <w:color w:val="000000"/>
                <w:sz w:val="15"/>
                <w:szCs w:val="15"/>
                <w:vertAlign w:val="superscript"/>
                <w:lang w:eastAsia="en-GB"/>
              </w:rPr>
              <w:t>nLBW</w:t>
            </w:r>
            <w:proofErr w:type="spellEnd"/>
            <w:r w:rsidRPr="00495497">
              <w:rPr>
                <w:rFonts w:ascii="Aptos Narrow" w:eastAsia="Times New Roman" w:hAnsi="Aptos Narrow" w:cs="Times New Roman"/>
                <w:color w:val="000000"/>
                <w:sz w:val="15"/>
                <w:szCs w:val="15"/>
                <w:vertAlign w:val="superscript"/>
                <w:lang w:eastAsia="en-GB"/>
              </w:rPr>
              <w:t xml:space="preserve">: Increased with heat in 1st (RR 1.02) and 2nd (RR 1.02) trimester in overall cohort; </w:t>
            </w:r>
            <w:proofErr w:type="spellStart"/>
            <w:r w:rsidRPr="00495497">
              <w:rPr>
                <w:rFonts w:ascii="Aptos Narrow" w:eastAsia="Times New Roman" w:hAnsi="Aptos Narrow" w:cs="Times New Roman"/>
                <w:color w:val="000000"/>
                <w:sz w:val="15"/>
                <w:szCs w:val="15"/>
                <w:vertAlign w:val="superscript"/>
                <w:lang w:eastAsia="en-GB"/>
              </w:rPr>
              <w:t>Thatta</w:t>
            </w:r>
            <w:proofErr w:type="spellEnd"/>
            <w:r w:rsidRPr="00495497">
              <w:rPr>
                <w:rFonts w:ascii="Aptos Narrow" w:eastAsia="Times New Roman" w:hAnsi="Aptos Narrow" w:cs="Times New Roman"/>
                <w:color w:val="000000"/>
                <w:sz w:val="15"/>
                <w:szCs w:val="15"/>
                <w:vertAlign w:val="superscript"/>
                <w:lang w:eastAsia="en-GB"/>
              </w:rPr>
              <w:t>: 1st trimester effect; Nagpur: strong 2nd trimester effect (RR 1.07). Gestational hypertension / severe pre-eclampsia: Increased with 3rd trimester heat (RR 1.07; 95% CI 1.02–1.12); effect strongest in Nagpur (RR 1.13). Stillbirth: Elevated risk in 2nd–3rd trimester (RR ~1.06–1.07), but not statistically significant.</w:t>
            </w:r>
          </w:p>
        </w:tc>
        <w:tc>
          <w:tcPr>
            <w:tcW w:w="912" w:type="dxa"/>
            <w:hideMark/>
          </w:tcPr>
          <w:p w14:paraId="3B5B92C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Models included site and </w:t>
            </w:r>
            <w:proofErr w:type="spellStart"/>
            <w:r w:rsidRPr="00495497">
              <w:rPr>
                <w:rFonts w:ascii="Aptos Narrow" w:eastAsia="Times New Roman" w:hAnsi="Aptos Narrow" w:cs="Times New Roman"/>
                <w:color w:val="000000"/>
                <w:sz w:val="15"/>
                <w:szCs w:val="15"/>
                <w:vertAlign w:val="superscript"/>
                <w:lang w:eastAsia="en-GB"/>
              </w:rPr>
              <w:t>site×outcome</w:t>
            </w:r>
            <w:proofErr w:type="spellEnd"/>
            <w:r w:rsidRPr="00495497">
              <w:rPr>
                <w:rFonts w:ascii="Aptos Narrow" w:eastAsia="Times New Roman" w:hAnsi="Aptos Narrow" w:cs="Times New Roman"/>
                <w:color w:val="000000"/>
                <w:sz w:val="15"/>
                <w:szCs w:val="15"/>
                <w:vertAlign w:val="superscript"/>
                <w:lang w:eastAsia="en-GB"/>
              </w:rPr>
              <w:t xml:space="preserve"> interaction; modified Poisson with robust SEs; no adjustment for air pollution or humidity; no multiple environmental covariates</w:t>
            </w:r>
          </w:p>
        </w:tc>
      </w:tr>
      <w:tr w:rsidR="0051112E" w:rsidRPr="0051112E" w14:paraId="2E52C0B2" w14:textId="77777777" w:rsidTr="0051112E">
        <w:trPr>
          <w:cnfStyle w:val="000000100000" w:firstRow="0" w:lastRow="0" w:firstColumn="0" w:lastColumn="0" w:oddVBand="0" w:evenVBand="0" w:oddHBand="1" w:evenHBand="0" w:firstRowFirstColumn="0" w:firstRowLastColumn="0" w:lastRowFirstColumn="0" w:lastRowLastColumn="0"/>
          <w:trHeight w:val="2560"/>
        </w:trPr>
        <w:tc>
          <w:tcPr>
            <w:cnfStyle w:val="001000000000" w:firstRow="0" w:lastRow="0" w:firstColumn="1" w:lastColumn="0" w:oddVBand="0" w:evenVBand="0" w:oddHBand="0" w:evenHBand="0" w:firstRowFirstColumn="0" w:firstRowLastColumn="0" w:lastRowFirstColumn="0" w:lastRowLastColumn="0"/>
            <w:tcW w:w="1418" w:type="dxa"/>
            <w:hideMark/>
          </w:tcPr>
          <w:p w14:paraId="13D15BA7" w14:textId="77777777" w:rsidR="0051112E" w:rsidRPr="00495497" w:rsidRDefault="0051112E" w:rsidP="00D704A0">
            <w:pPr>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Heat, Birth Outcomes, and Socioeconomic Heterogeneity</w:t>
            </w:r>
          </w:p>
        </w:tc>
        <w:tc>
          <w:tcPr>
            <w:tcW w:w="567" w:type="dxa"/>
            <w:hideMark/>
          </w:tcPr>
          <w:p w14:paraId="61B5CCE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val="nl-NL" w:eastAsia="en-GB"/>
              </w:rPr>
            </w:pPr>
            <w:proofErr w:type="spellStart"/>
            <w:r w:rsidRPr="00495497">
              <w:rPr>
                <w:rFonts w:ascii="Aptos Narrow" w:eastAsia="Times New Roman" w:hAnsi="Aptos Narrow" w:cs="Times New Roman"/>
                <w:color w:val="000000"/>
                <w:sz w:val="15"/>
                <w:szCs w:val="15"/>
                <w:vertAlign w:val="superscript"/>
                <w:lang w:val="nl-NL" w:eastAsia="en-GB"/>
              </w:rPr>
              <w:t>Conte</w:t>
            </w:r>
            <w:proofErr w:type="spellEnd"/>
            <w:r w:rsidRPr="00495497">
              <w:rPr>
                <w:rFonts w:ascii="Aptos Narrow" w:eastAsia="Times New Roman" w:hAnsi="Aptos Narrow" w:cs="Times New Roman"/>
                <w:color w:val="000000"/>
                <w:sz w:val="15"/>
                <w:szCs w:val="15"/>
                <w:vertAlign w:val="superscript"/>
                <w:lang w:val="nl-NL" w:eastAsia="en-GB"/>
              </w:rPr>
              <w:t xml:space="preserve"> </w:t>
            </w:r>
            <w:proofErr w:type="spellStart"/>
            <w:r w:rsidRPr="00495497">
              <w:rPr>
                <w:rFonts w:ascii="Aptos Narrow" w:eastAsia="Times New Roman" w:hAnsi="Aptos Narrow" w:cs="Times New Roman"/>
                <w:color w:val="000000"/>
                <w:sz w:val="15"/>
                <w:szCs w:val="15"/>
                <w:vertAlign w:val="superscript"/>
                <w:lang w:val="nl-NL" w:eastAsia="en-GB"/>
              </w:rPr>
              <w:t>Keivabu</w:t>
            </w:r>
            <w:proofErr w:type="spellEnd"/>
            <w:r w:rsidRPr="00495497">
              <w:rPr>
                <w:rFonts w:ascii="Aptos Narrow" w:eastAsia="Times New Roman" w:hAnsi="Aptos Narrow" w:cs="Times New Roman"/>
                <w:color w:val="000000"/>
                <w:sz w:val="15"/>
                <w:szCs w:val="15"/>
                <w:vertAlign w:val="superscript"/>
                <w:lang w:val="nl-NL" w:eastAsia="en-GB"/>
              </w:rPr>
              <w:t xml:space="preserve"> R</w:t>
            </w:r>
            <w:r w:rsidRPr="0051112E">
              <w:rPr>
                <w:rFonts w:ascii="Aptos Narrow" w:eastAsia="Times New Roman" w:hAnsi="Aptos Narrow" w:cs="Times New Roman"/>
                <w:color w:val="000000"/>
                <w:sz w:val="15"/>
                <w:szCs w:val="15"/>
                <w:vertAlign w:val="superscript"/>
                <w:lang w:val="nl-NL" w:eastAsia="en-GB"/>
              </w:rPr>
              <w:t xml:space="preserve"> et al.</w:t>
            </w:r>
          </w:p>
        </w:tc>
        <w:tc>
          <w:tcPr>
            <w:tcW w:w="567" w:type="dxa"/>
            <w:hideMark/>
          </w:tcPr>
          <w:p w14:paraId="16821BA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Demography</w:t>
            </w:r>
          </w:p>
        </w:tc>
        <w:tc>
          <w:tcPr>
            <w:tcW w:w="425" w:type="dxa"/>
            <w:hideMark/>
          </w:tcPr>
          <w:p w14:paraId="186B7A76"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2022</w:t>
            </w:r>
          </w:p>
        </w:tc>
        <w:tc>
          <w:tcPr>
            <w:tcW w:w="567" w:type="dxa"/>
            <w:hideMark/>
          </w:tcPr>
          <w:p w14:paraId="6E45BB7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Spain</w:t>
            </w:r>
          </w:p>
        </w:tc>
        <w:tc>
          <w:tcPr>
            <w:tcW w:w="567" w:type="dxa"/>
            <w:hideMark/>
          </w:tcPr>
          <w:p w14:paraId="0435795C" w14:textId="54B2AB12"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127D69A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4,314,381</w:t>
            </w:r>
          </w:p>
        </w:tc>
        <w:tc>
          <w:tcPr>
            <w:tcW w:w="709" w:type="dxa"/>
            <w:hideMark/>
          </w:tcPr>
          <w:p w14:paraId="704B247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registry (urban settings)</w:t>
            </w:r>
          </w:p>
        </w:tc>
        <w:tc>
          <w:tcPr>
            <w:tcW w:w="1134" w:type="dxa"/>
            <w:hideMark/>
          </w:tcPr>
          <w:p w14:paraId="0DC2487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births in provincial capitals with gestational age. Excluded: births outside capital cities, missing SES info for stratified analyses.</w:t>
            </w:r>
          </w:p>
        </w:tc>
        <w:tc>
          <w:tcPr>
            <w:tcW w:w="992" w:type="dxa"/>
            <w:hideMark/>
          </w:tcPr>
          <w:p w14:paraId="7163AED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SES gradient evident; exposure to very hot days relatively rare (~0.3 days &gt;32°C per pregnancy).</w:t>
            </w:r>
          </w:p>
        </w:tc>
        <w:tc>
          <w:tcPr>
            <w:tcW w:w="567" w:type="dxa"/>
            <w:hideMark/>
          </w:tcPr>
          <w:p w14:paraId="18382AC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mean)</w:t>
            </w:r>
          </w:p>
        </w:tc>
        <w:tc>
          <w:tcPr>
            <w:tcW w:w="851" w:type="dxa"/>
            <w:hideMark/>
          </w:tcPr>
          <w:p w14:paraId="3DCCF91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heat” = days &gt;32°C (89.6°F). Temperature aggregated by trimester (count of days in each bin). Reference = 5–25°C. Exposure modeled per additional hot day.</w:t>
            </w:r>
          </w:p>
        </w:tc>
        <w:tc>
          <w:tcPr>
            <w:tcW w:w="708" w:type="dxa"/>
            <w:hideMark/>
          </w:tcPr>
          <w:p w14:paraId="7B7DC6E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Trimester specific averages</w:t>
            </w:r>
          </w:p>
        </w:tc>
        <w:tc>
          <w:tcPr>
            <w:tcW w:w="851" w:type="dxa"/>
            <w:gridSpan w:val="2"/>
            <w:hideMark/>
          </w:tcPr>
          <w:p w14:paraId="2345091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Preterm birth, low birth </w:t>
            </w:r>
            <w:proofErr w:type="spellStart"/>
            <w:r w:rsidRPr="00495497">
              <w:rPr>
                <w:rFonts w:ascii="Aptos Narrow" w:eastAsia="Times New Roman" w:hAnsi="Aptos Narrow" w:cs="Times New Roman"/>
                <w:color w:val="000000"/>
                <w:sz w:val="15"/>
                <w:szCs w:val="15"/>
                <w:vertAlign w:val="superscript"/>
                <w:lang w:eastAsia="en-GB"/>
              </w:rPr>
              <w:t>eight</w:t>
            </w:r>
            <w:proofErr w:type="spellEnd"/>
            <w:r w:rsidRPr="00495497">
              <w:rPr>
                <w:rFonts w:ascii="Aptos Narrow" w:eastAsia="Times New Roman" w:hAnsi="Aptos Narrow" w:cs="Times New Roman"/>
                <w:color w:val="000000"/>
                <w:sz w:val="15"/>
                <w:szCs w:val="15"/>
                <w:vertAlign w:val="superscript"/>
                <w:lang w:eastAsia="en-GB"/>
              </w:rPr>
              <w:t>, very low birth weight</w:t>
            </w:r>
          </w:p>
        </w:tc>
        <w:tc>
          <w:tcPr>
            <w:tcW w:w="850" w:type="dxa"/>
            <w:hideMark/>
          </w:tcPr>
          <w:p w14:paraId="2A7AFB4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&lt;37 weeks; LBW &lt;2500 g; VLBW &lt;1500 g</w:t>
            </w:r>
          </w:p>
        </w:tc>
        <w:tc>
          <w:tcPr>
            <w:tcW w:w="1701" w:type="dxa"/>
            <w:hideMark/>
          </w:tcPr>
          <w:p w14:paraId="4B0745B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Full sample: </w:t>
            </w:r>
            <w:r w:rsidRPr="00495497">
              <w:rPr>
                <w:rFonts w:ascii="Aptos Narrow" w:eastAsia="Times New Roman" w:hAnsi="Aptos Narrow" w:cs="Times New Roman"/>
                <w:color w:val="000000"/>
                <w:sz w:val="15"/>
                <w:szCs w:val="15"/>
                <w:u w:val="single"/>
                <w:vertAlign w:val="superscript"/>
                <w:lang w:eastAsia="en-GB"/>
              </w:rPr>
              <w:t xml:space="preserve">No significant effect of extreme heat </w:t>
            </w:r>
            <w:r w:rsidRPr="00495497">
              <w:rPr>
                <w:rFonts w:ascii="Aptos Narrow" w:eastAsia="Times New Roman" w:hAnsi="Aptos Narrow" w:cs="Times New Roman"/>
                <w:color w:val="000000"/>
                <w:sz w:val="15"/>
                <w:szCs w:val="15"/>
                <w:vertAlign w:val="superscript"/>
                <w:lang w:eastAsia="en-GB"/>
              </w:rPr>
              <w:t>on PTB; small/non-significant increases for LBW/VLBW. SES gradients: Strong, consistent heat effects only among low-SES infants. Example: Each additional &gt;32°</w:t>
            </w:r>
            <w:proofErr w:type="gramStart"/>
            <w:r w:rsidRPr="00495497">
              <w:rPr>
                <w:rFonts w:ascii="Aptos Narrow" w:eastAsia="Times New Roman" w:hAnsi="Aptos Narrow" w:cs="Times New Roman"/>
                <w:color w:val="000000"/>
                <w:sz w:val="15"/>
                <w:szCs w:val="15"/>
                <w:vertAlign w:val="superscript"/>
                <w:lang w:eastAsia="en-GB"/>
              </w:rPr>
              <w:t>C day</w:t>
            </w:r>
            <w:proofErr w:type="gramEnd"/>
            <w:r w:rsidRPr="00495497">
              <w:rPr>
                <w:rFonts w:ascii="Aptos Narrow" w:eastAsia="Times New Roman" w:hAnsi="Aptos Narrow" w:cs="Times New Roman"/>
                <w:color w:val="000000"/>
                <w:sz w:val="15"/>
                <w:szCs w:val="15"/>
                <w:vertAlign w:val="superscript"/>
                <w:lang w:eastAsia="en-GB"/>
              </w:rPr>
              <w:t xml:space="preserve"> → ↑ LBW by 0.026 PP and ↑ VLBW by 0.020 PP. Trimester sensitivity: Effects concentrated in 1st and 2nd trimester, especially for low SES (e.g., LBW +0.085 PP for 2nd trimester heat). High-SES infants showed protective patterns (slight LBW decreases), possibly due to </w:t>
            </w:r>
            <w:proofErr w:type="spellStart"/>
            <w:r w:rsidRPr="00495497">
              <w:rPr>
                <w:rFonts w:ascii="Aptos Narrow" w:eastAsia="Times New Roman" w:hAnsi="Aptos Narrow" w:cs="Times New Roman"/>
                <w:color w:val="000000"/>
                <w:sz w:val="15"/>
                <w:szCs w:val="15"/>
                <w:vertAlign w:val="superscript"/>
                <w:lang w:eastAsia="en-GB"/>
              </w:rPr>
              <w:t>behavioural</w:t>
            </w:r>
            <w:proofErr w:type="spellEnd"/>
            <w:r w:rsidRPr="00495497">
              <w:rPr>
                <w:rFonts w:ascii="Aptos Narrow" w:eastAsia="Times New Roman" w:hAnsi="Aptos Narrow" w:cs="Times New Roman"/>
                <w:color w:val="000000"/>
                <w:sz w:val="15"/>
                <w:szCs w:val="15"/>
                <w:vertAlign w:val="superscript"/>
                <w:lang w:eastAsia="en-GB"/>
              </w:rPr>
              <w:t xml:space="preserve"> adaptation (AC, avoiding exposure). Male infants were more </w:t>
            </w:r>
            <w:r w:rsidRPr="00495497">
              <w:rPr>
                <w:rFonts w:ascii="Aptos Narrow" w:eastAsia="Times New Roman" w:hAnsi="Aptos Narrow" w:cs="Times New Roman"/>
                <w:color w:val="000000"/>
                <w:sz w:val="15"/>
                <w:szCs w:val="15"/>
                <w:vertAlign w:val="superscript"/>
                <w:lang w:eastAsia="en-GB"/>
              </w:rPr>
              <w:lastRenderedPageBreak/>
              <w:t>vulnerable: VLBW increases only significant among low-SES male fetuses.</w:t>
            </w:r>
          </w:p>
        </w:tc>
        <w:tc>
          <w:tcPr>
            <w:tcW w:w="912" w:type="dxa"/>
            <w:hideMark/>
          </w:tcPr>
          <w:p w14:paraId="710A2C4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No air pollution data (unavailable pre-2001); possible exposure misclassification using city-level grids</w:t>
            </w:r>
          </w:p>
        </w:tc>
      </w:tr>
      <w:tr w:rsidR="0051112E" w:rsidRPr="0051112E" w14:paraId="14E51DC6" w14:textId="77777777" w:rsidTr="0051112E">
        <w:trPr>
          <w:trHeight w:val="2269"/>
        </w:trPr>
        <w:tc>
          <w:tcPr>
            <w:cnfStyle w:val="001000000000" w:firstRow="0" w:lastRow="0" w:firstColumn="1" w:lastColumn="0" w:oddVBand="0" w:evenVBand="0" w:oddHBand="0" w:evenHBand="0" w:firstRowFirstColumn="0" w:firstRowLastColumn="0" w:lastRowFirstColumn="0" w:lastRowLastColumn="0"/>
            <w:tcW w:w="1418" w:type="dxa"/>
            <w:hideMark/>
          </w:tcPr>
          <w:p w14:paraId="37B73904"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temperatures during pregnancy and adverse birth outcomes: Evidence from 2009 to 2018 U.S. national birth data</w:t>
            </w:r>
          </w:p>
        </w:tc>
        <w:tc>
          <w:tcPr>
            <w:tcW w:w="567" w:type="dxa"/>
            <w:hideMark/>
          </w:tcPr>
          <w:p w14:paraId="0B132BD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Cil G</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7984B0D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Health Economics</w:t>
            </w:r>
          </w:p>
        </w:tc>
        <w:tc>
          <w:tcPr>
            <w:tcW w:w="425" w:type="dxa"/>
            <w:hideMark/>
          </w:tcPr>
          <w:p w14:paraId="7280FF9E"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2022</w:t>
            </w:r>
          </w:p>
        </w:tc>
        <w:tc>
          <w:tcPr>
            <w:tcW w:w="567" w:type="dxa"/>
            <w:hideMark/>
          </w:tcPr>
          <w:p w14:paraId="59DB569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4E95EB58" w14:textId="4F3B69F8"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68727EE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34.7 million</w:t>
            </w:r>
          </w:p>
        </w:tc>
        <w:tc>
          <w:tcPr>
            <w:tcW w:w="709" w:type="dxa"/>
            <w:hideMark/>
          </w:tcPr>
          <w:p w14:paraId="0B7B98B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Birth registry </w:t>
            </w:r>
          </w:p>
        </w:tc>
        <w:tc>
          <w:tcPr>
            <w:tcW w:w="1134" w:type="dxa"/>
            <w:hideMark/>
          </w:tcPr>
          <w:p w14:paraId="1F9EB02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live births with valid gestational age, maternal county, and core covariates for 2009–2018. Excluded: multiple births and records with missing key data.</w:t>
            </w:r>
          </w:p>
        </w:tc>
        <w:tc>
          <w:tcPr>
            <w:tcW w:w="992" w:type="dxa"/>
            <w:hideMark/>
          </w:tcPr>
          <w:p w14:paraId="25D86B7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Nationwide sample with broad racial/ethnic and regional diversity; separate analyses by maternal race/ethnicity (non-Hispanic White, non-Hispanic Black, Hispanic, Other).</w:t>
            </w:r>
          </w:p>
        </w:tc>
        <w:tc>
          <w:tcPr>
            <w:tcW w:w="567" w:type="dxa"/>
            <w:hideMark/>
          </w:tcPr>
          <w:p w14:paraId="7A9F568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(mean daily)</w:t>
            </w:r>
          </w:p>
        </w:tc>
        <w:tc>
          <w:tcPr>
            <w:tcW w:w="851" w:type="dxa"/>
            <w:hideMark/>
          </w:tcPr>
          <w:p w14:paraId="4DC81A0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Relative temperature: days where mean temperature is &gt;+2 SD or &lt;−2 SD from county’s historic monthly mean</w:t>
            </w:r>
          </w:p>
        </w:tc>
        <w:tc>
          <w:tcPr>
            <w:tcW w:w="708" w:type="dxa"/>
            <w:hideMark/>
          </w:tcPr>
          <w:p w14:paraId="109BE21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473DCB9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very PTB, extremely PTB; LBW, VLBW, PTB+LBW; NICU admission; assisted ventilation; gestational hypertension</w:t>
            </w:r>
          </w:p>
        </w:tc>
        <w:tc>
          <w:tcPr>
            <w:tcW w:w="850" w:type="dxa"/>
            <w:hideMark/>
          </w:tcPr>
          <w:p w14:paraId="28B78ED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&lt;37 weeks; very PTB &lt;32 weeks; extremely PTB &lt;28 weeks. LBW &lt;2500 g; VLBW &lt;1500 g; PTB+LBW = both. Definitions based on ICD-10 and CDC NVSS standards.</w:t>
            </w:r>
          </w:p>
        </w:tc>
        <w:tc>
          <w:tcPr>
            <w:tcW w:w="1701" w:type="dxa"/>
            <w:hideMark/>
          </w:tcPr>
          <w:p w14:paraId="24F05A3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Absolute temperatures (whole pregnancy): Each additional day 80–90°F → +0.026 LBW cases per 1000 births (~0.1% increase). Days &gt;90°F → ↑ extremely PTB (+0.014/1000) and ↑ NICU admissions (+0.153/1000).</w:t>
            </w:r>
          </w:p>
        </w:tc>
        <w:tc>
          <w:tcPr>
            <w:tcW w:w="912" w:type="dxa"/>
            <w:hideMark/>
          </w:tcPr>
          <w:p w14:paraId="33C12CE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Models adjust for maternal demographic characteristics (e.g. race/ethnicity, education, marital status, age) and include mother’s </w:t>
            </w:r>
            <w:proofErr w:type="spellStart"/>
            <w:r w:rsidRPr="00495497">
              <w:rPr>
                <w:rFonts w:ascii="Aptos Narrow" w:eastAsia="Times New Roman" w:hAnsi="Aptos Narrow" w:cs="Times New Roman"/>
                <w:color w:val="000000"/>
                <w:sz w:val="15"/>
                <w:szCs w:val="15"/>
                <w:vertAlign w:val="superscript"/>
                <w:lang w:eastAsia="en-GB"/>
              </w:rPr>
              <w:t>county×birth-month</w:t>
            </w:r>
            <w:proofErr w:type="spellEnd"/>
            <w:r w:rsidRPr="00495497">
              <w:rPr>
                <w:rFonts w:ascii="Aptos Narrow" w:eastAsia="Times New Roman" w:hAnsi="Aptos Narrow" w:cs="Times New Roman"/>
                <w:color w:val="000000"/>
                <w:sz w:val="15"/>
                <w:szCs w:val="15"/>
                <w:vertAlign w:val="superscript"/>
                <w:lang w:eastAsia="en-GB"/>
              </w:rPr>
              <w:t xml:space="preserve"> fixed effects and </w:t>
            </w:r>
            <w:proofErr w:type="spellStart"/>
            <w:r w:rsidRPr="00495497">
              <w:rPr>
                <w:rFonts w:ascii="Aptos Narrow" w:eastAsia="Times New Roman" w:hAnsi="Aptos Narrow" w:cs="Times New Roman"/>
                <w:color w:val="000000"/>
                <w:sz w:val="15"/>
                <w:szCs w:val="15"/>
                <w:vertAlign w:val="superscript"/>
                <w:lang w:eastAsia="en-GB"/>
              </w:rPr>
              <w:t>state×birth-year</w:t>
            </w:r>
            <w:proofErr w:type="spellEnd"/>
            <w:r w:rsidRPr="00495497">
              <w:rPr>
                <w:rFonts w:ascii="Aptos Narrow" w:eastAsia="Times New Roman" w:hAnsi="Aptos Narrow" w:cs="Times New Roman"/>
                <w:color w:val="000000"/>
                <w:sz w:val="15"/>
                <w:szCs w:val="15"/>
                <w:vertAlign w:val="superscript"/>
                <w:lang w:eastAsia="en-GB"/>
              </w:rPr>
              <w:t xml:space="preserve"> fixed effects, plus weather controls (precipitation)</w:t>
            </w:r>
          </w:p>
        </w:tc>
      </w:tr>
      <w:tr w:rsidR="0051112E" w:rsidRPr="0051112E" w14:paraId="1B13F285" w14:textId="77777777" w:rsidTr="0051112E">
        <w:trPr>
          <w:cnfStyle w:val="000000100000" w:firstRow="0" w:lastRow="0" w:firstColumn="0" w:lastColumn="0" w:oddVBand="0" w:evenVBand="0" w:oddHBand="1" w:evenHBand="0"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1418" w:type="dxa"/>
            <w:hideMark/>
          </w:tcPr>
          <w:p w14:paraId="34B3E5B6"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and term birthweight in Latin American cities</w:t>
            </w:r>
          </w:p>
        </w:tc>
        <w:tc>
          <w:tcPr>
            <w:tcW w:w="567" w:type="dxa"/>
            <w:hideMark/>
          </w:tcPr>
          <w:p w14:paraId="7480341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Bakhtsiyarava</w:t>
            </w:r>
            <w:proofErr w:type="spellEnd"/>
            <w:r w:rsidRPr="00495497">
              <w:rPr>
                <w:rFonts w:ascii="Aptos Narrow" w:eastAsia="Times New Roman" w:hAnsi="Aptos Narrow" w:cs="Times New Roman"/>
                <w:color w:val="000000"/>
                <w:sz w:val="15"/>
                <w:szCs w:val="15"/>
                <w:vertAlign w:val="superscript"/>
                <w:lang w:eastAsia="en-GB"/>
              </w:rPr>
              <w:t xml:space="preserve"> </w:t>
            </w:r>
            <w:r w:rsidRPr="0051112E">
              <w:rPr>
                <w:rFonts w:ascii="Aptos Narrow" w:eastAsia="Times New Roman" w:hAnsi="Aptos Narrow" w:cs="Times New Roman"/>
                <w:color w:val="000000"/>
                <w:sz w:val="15"/>
                <w:szCs w:val="15"/>
                <w:vertAlign w:val="superscript"/>
                <w:lang w:eastAsia="en-GB"/>
              </w:rPr>
              <w:t>M et al.</w:t>
            </w:r>
          </w:p>
        </w:tc>
        <w:tc>
          <w:tcPr>
            <w:tcW w:w="567" w:type="dxa"/>
            <w:hideMark/>
          </w:tcPr>
          <w:p w14:paraId="755BEA7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 International</w:t>
            </w:r>
          </w:p>
        </w:tc>
        <w:tc>
          <w:tcPr>
            <w:tcW w:w="425" w:type="dxa"/>
            <w:hideMark/>
          </w:tcPr>
          <w:p w14:paraId="623EBE68"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2022</w:t>
            </w:r>
          </w:p>
        </w:tc>
        <w:tc>
          <w:tcPr>
            <w:tcW w:w="567" w:type="dxa"/>
            <w:hideMark/>
          </w:tcPr>
          <w:p w14:paraId="1C1B7A4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Brazil, Mexico, Chile</w:t>
            </w:r>
          </w:p>
        </w:tc>
        <w:tc>
          <w:tcPr>
            <w:tcW w:w="567" w:type="dxa"/>
            <w:hideMark/>
          </w:tcPr>
          <w:p w14:paraId="652E5E6A" w14:textId="59AC2FD9"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3EE8EEE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15 million</w:t>
            </w:r>
          </w:p>
        </w:tc>
        <w:tc>
          <w:tcPr>
            <w:tcW w:w="709" w:type="dxa"/>
            <w:hideMark/>
          </w:tcPr>
          <w:p w14:paraId="09232C4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registry</w:t>
            </w:r>
          </w:p>
        </w:tc>
        <w:tc>
          <w:tcPr>
            <w:tcW w:w="1134" w:type="dxa"/>
            <w:hideMark/>
          </w:tcPr>
          <w:p w14:paraId="2566776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term live births (38–41 weeks), complete BW, GA category, covariates. Excluded: missing BW, missing GA, missing covariates.</w:t>
            </w:r>
          </w:p>
        </w:tc>
        <w:tc>
          <w:tcPr>
            <w:tcW w:w="992" w:type="dxa"/>
            <w:hideMark/>
          </w:tcPr>
          <w:p w14:paraId="66FED16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Birthweight means: Brazil 3252 g, Mexico 3235 g, Chile 3435 g. Majority of mothers &lt;30 years; large between-country differences in maternal education and partnership status.</w:t>
            </w:r>
          </w:p>
        </w:tc>
        <w:tc>
          <w:tcPr>
            <w:tcW w:w="567" w:type="dxa"/>
            <w:hideMark/>
          </w:tcPr>
          <w:p w14:paraId="58B43E5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(mean monthly)</w:t>
            </w:r>
          </w:p>
        </w:tc>
        <w:tc>
          <w:tcPr>
            <w:tcW w:w="851" w:type="dxa"/>
            <w:hideMark/>
          </w:tcPr>
          <w:p w14:paraId="15C8C5A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Average monthly ambient temperature (population-weighted) during each month of gestation</w:t>
            </w:r>
          </w:p>
        </w:tc>
        <w:tc>
          <w:tcPr>
            <w:tcW w:w="708" w:type="dxa"/>
            <w:hideMark/>
          </w:tcPr>
          <w:p w14:paraId="52548CE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10ADB0C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Birthweight</w:t>
            </w:r>
          </w:p>
        </w:tc>
        <w:tc>
          <w:tcPr>
            <w:tcW w:w="850" w:type="dxa"/>
            <w:hideMark/>
          </w:tcPr>
          <w:p w14:paraId="7264046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Birthweight as recorded in vital statistics (term births only; GA category 38–41 weeks)</w:t>
            </w:r>
          </w:p>
        </w:tc>
        <w:tc>
          <w:tcPr>
            <w:tcW w:w="1701" w:type="dxa"/>
            <w:hideMark/>
          </w:tcPr>
          <w:p w14:paraId="020AE20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Higher temperatures associated with lower term birthweight, strongest in months 7–9. Cumulative exposure: 95th percentile temperature vs 19°C → Brazil: −37 g; Mexico: −9 g; Chile: small, non-significant. Month-specific: −2 to −8 g per +5°C in months 6–9 (Brazil, Mexico). Chile showed mostly null effects (cooler climate). No sex differences. Maternal education modifies effects: low education → stronger negative associations (e.g., Brazil −32 g vs −23 g at 95th percentile).</w:t>
            </w:r>
          </w:p>
        </w:tc>
        <w:tc>
          <w:tcPr>
            <w:tcW w:w="912" w:type="dxa"/>
            <w:hideMark/>
          </w:tcPr>
          <w:p w14:paraId="768D055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Newborn sex; maternal age; education; partnership status; parity; season of conception; birth year; climate zone; random intercept for sub-city</w:t>
            </w:r>
          </w:p>
        </w:tc>
      </w:tr>
      <w:tr w:rsidR="0051112E" w:rsidRPr="0051112E" w14:paraId="1F7386B7" w14:textId="77777777" w:rsidTr="0051112E">
        <w:trPr>
          <w:trHeight w:val="1986"/>
        </w:trPr>
        <w:tc>
          <w:tcPr>
            <w:cnfStyle w:val="001000000000" w:firstRow="0" w:lastRow="0" w:firstColumn="1" w:lastColumn="0" w:oddVBand="0" w:evenVBand="0" w:oddHBand="0" w:evenHBand="0" w:firstRowFirstColumn="0" w:firstRowLastColumn="0" w:lastRowFirstColumn="0" w:lastRowLastColumn="0"/>
            <w:tcW w:w="1418" w:type="dxa"/>
            <w:hideMark/>
          </w:tcPr>
          <w:p w14:paraId="674B9D06"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The association of maternal exposure to ambient temperature with low birth weight in term pregnancies varies by location: In Brazil, positive associations may occur only in the Amazon region</w:t>
            </w:r>
          </w:p>
        </w:tc>
        <w:tc>
          <w:tcPr>
            <w:tcW w:w="567" w:type="dxa"/>
            <w:hideMark/>
          </w:tcPr>
          <w:p w14:paraId="5AD3DEA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val="nl-NL" w:eastAsia="en-GB"/>
              </w:rPr>
            </w:pPr>
            <w:proofErr w:type="spellStart"/>
            <w:r w:rsidRPr="00495497">
              <w:rPr>
                <w:rFonts w:ascii="Aptos Narrow" w:eastAsia="Times New Roman" w:hAnsi="Aptos Narrow" w:cs="Times New Roman"/>
                <w:color w:val="000000"/>
                <w:sz w:val="15"/>
                <w:szCs w:val="15"/>
                <w:vertAlign w:val="superscript"/>
                <w:lang w:val="nl-NL" w:eastAsia="en-GB"/>
              </w:rPr>
              <w:t>Requia</w:t>
            </w:r>
            <w:proofErr w:type="spellEnd"/>
            <w:r w:rsidRPr="00495497">
              <w:rPr>
                <w:rFonts w:ascii="Aptos Narrow" w:eastAsia="Times New Roman" w:hAnsi="Aptos Narrow" w:cs="Times New Roman"/>
                <w:color w:val="000000"/>
                <w:sz w:val="15"/>
                <w:szCs w:val="15"/>
                <w:vertAlign w:val="superscript"/>
                <w:lang w:val="nl-NL" w:eastAsia="en-GB"/>
              </w:rPr>
              <w:t xml:space="preserve"> WJ; </w:t>
            </w:r>
            <w:proofErr w:type="spellStart"/>
            <w:r w:rsidRPr="00495497">
              <w:rPr>
                <w:rFonts w:ascii="Aptos Narrow" w:eastAsia="Times New Roman" w:hAnsi="Aptos Narrow" w:cs="Times New Roman"/>
                <w:color w:val="000000"/>
                <w:sz w:val="15"/>
                <w:szCs w:val="15"/>
                <w:vertAlign w:val="superscript"/>
                <w:lang w:val="nl-NL" w:eastAsia="en-GB"/>
              </w:rPr>
              <w:t>Koutrakis</w:t>
            </w:r>
            <w:proofErr w:type="spellEnd"/>
            <w:r w:rsidRPr="00495497">
              <w:rPr>
                <w:rFonts w:ascii="Aptos Narrow" w:eastAsia="Times New Roman" w:hAnsi="Aptos Narrow" w:cs="Times New Roman"/>
                <w:color w:val="000000"/>
                <w:sz w:val="15"/>
                <w:szCs w:val="15"/>
                <w:vertAlign w:val="superscript"/>
                <w:lang w:val="nl-NL" w:eastAsia="en-GB"/>
              </w:rPr>
              <w:t xml:space="preserve"> P</w:t>
            </w:r>
            <w:r w:rsidRPr="0051112E">
              <w:rPr>
                <w:rFonts w:ascii="Aptos Narrow" w:eastAsia="Times New Roman" w:hAnsi="Aptos Narrow" w:cs="Times New Roman"/>
                <w:color w:val="000000"/>
                <w:sz w:val="15"/>
                <w:szCs w:val="15"/>
                <w:vertAlign w:val="superscript"/>
                <w:lang w:val="nl-NL" w:eastAsia="en-GB"/>
              </w:rPr>
              <w:t xml:space="preserve"> et al.</w:t>
            </w:r>
          </w:p>
        </w:tc>
        <w:tc>
          <w:tcPr>
            <w:tcW w:w="567" w:type="dxa"/>
            <w:hideMark/>
          </w:tcPr>
          <w:p w14:paraId="0D12511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Research</w:t>
            </w:r>
          </w:p>
        </w:tc>
        <w:tc>
          <w:tcPr>
            <w:tcW w:w="425" w:type="dxa"/>
            <w:hideMark/>
          </w:tcPr>
          <w:p w14:paraId="12BE9D34"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2022</w:t>
            </w:r>
          </w:p>
        </w:tc>
        <w:tc>
          <w:tcPr>
            <w:tcW w:w="567" w:type="dxa"/>
            <w:hideMark/>
          </w:tcPr>
          <w:p w14:paraId="35A19B4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Brazil</w:t>
            </w:r>
          </w:p>
        </w:tc>
        <w:tc>
          <w:tcPr>
            <w:tcW w:w="567" w:type="dxa"/>
            <w:hideMark/>
          </w:tcPr>
          <w:p w14:paraId="13CF906C" w14:textId="3F0140AC"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1CE4429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5,790,713</w:t>
            </w:r>
          </w:p>
        </w:tc>
        <w:tc>
          <w:tcPr>
            <w:tcW w:w="709" w:type="dxa"/>
            <w:hideMark/>
          </w:tcPr>
          <w:p w14:paraId="7BDBA65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National birth registry</w:t>
            </w:r>
          </w:p>
        </w:tc>
        <w:tc>
          <w:tcPr>
            <w:tcW w:w="1134" w:type="dxa"/>
            <w:hideMark/>
          </w:tcPr>
          <w:p w14:paraId="348A6C9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term singleton births 37–41 weeks, BW 1000–6000 g, mothers aged 18–45 years. Excluded: preterm, BW outliers, missing key variables.</w:t>
            </w:r>
          </w:p>
        </w:tc>
        <w:tc>
          <w:tcPr>
            <w:tcW w:w="992" w:type="dxa"/>
            <w:hideMark/>
          </w:tcPr>
          <w:p w14:paraId="3D74D43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Region sizes differ: North ~1.1M births, Northeast ~1.7M, Midwest ~0.86M, Southeast ~0.70M, South ~1.4M. Sex ratio ~50/50; majority White ~30%.</w:t>
            </w:r>
          </w:p>
        </w:tc>
        <w:tc>
          <w:tcPr>
            <w:tcW w:w="567" w:type="dxa"/>
            <w:hideMark/>
          </w:tcPr>
          <w:p w14:paraId="45FE296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mean)</w:t>
            </w:r>
          </w:p>
        </w:tc>
        <w:tc>
          <w:tcPr>
            <w:tcW w:w="851" w:type="dxa"/>
            <w:hideMark/>
          </w:tcPr>
          <w:p w14:paraId="4286618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For each trimester (1–12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13–28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29–41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mean maternal temperature was calculated.</w:t>
            </w:r>
          </w:p>
        </w:tc>
        <w:tc>
          <w:tcPr>
            <w:tcW w:w="708" w:type="dxa"/>
            <w:hideMark/>
          </w:tcPr>
          <w:p w14:paraId="38594CF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Trimester-specific means (1st, 2nd, 3rd trimester)</w:t>
            </w:r>
          </w:p>
        </w:tc>
        <w:tc>
          <w:tcPr>
            <w:tcW w:w="851" w:type="dxa"/>
            <w:gridSpan w:val="2"/>
            <w:hideMark/>
          </w:tcPr>
          <w:p w14:paraId="54EA8B6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Low birth weight</w:t>
            </w:r>
          </w:p>
        </w:tc>
        <w:tc>
          <w:tcPr>
            <w:tcW w:w="850" w:type="dxa"/>
            <w:hideMark/>
          </w:tcPr>
          <w:p w14:paraId="44F2C8E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LBW defined per ICD-10 (&lt;2500 g) in term births only</w:t>
            </w:r>
          </w:p>
        </w:tc>
        <w:tc>
          <w:tcPr>
            <w:tcW w:w="1701" w:type="dxa"/>
            <w:hideMark/>
          </w:tcPr>
          <w:p w14:paraId="31133C7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North (Amazon) was the only region with consistent positive associations across main and sensitivity analyses. Second trimester: strongest effect — +5.16% LBW per +1°C (95% CI 3.60, 6.74). Smaller positive effects also in 1st (+3%) and 3rd trimester (+3%) in North. </w:t>
            </w:r>
            <w:r w:rsidRPr="00495497">
              <w:rPr>
                <w:rFonts w:ascii="Aptos Narrow" w:eastAsia="Times New Roman" w:hAnsi="Aptos Narrow" w:cs="Times New Roman"/>
                <w:color w:val="000000"/>
                <w:sz w:val="15"/>
                <w:szCs w:val="15"/>
                <w:u w:val="single"/>
                <w:vertAlign w:val="superscript"/>
                <w:lang w:eastAsia="en-GB"/>
              </w:rPr>
              <w:t>Other regions showed no consistent or null/negative associations</w:t>
            </w:r>
            <w:r w:rsidRPr="00495497">
              <w:rPr>
                <w:rFonts w:ascii="Aptos Narrow" w:eastAsia="Times New Roman" w:hAnsi="Aptos Narrow" w:cs="Times New Roman"/>
                <w:color w:val="000000"/>
                <w:sz w:val="15"/>
                <w:szCs w:val="15"/>
                <w:vertAlign w:val="superscript"/>
                <w:lang w:eastAsia="en-GB"/>
              </w:rPr>
              <w:t>, except small effects in subgroups (e.g., Northeast White infants). Temperature–LBW associations stronger at higher ambient temp ranges (26–30°C).</w:t>
            </w:r>
          </w:p>
        </w:tc>
        <w:tc>
          <w:tcPr>
            <w:tcW w:w="912" w:type="dxa"/>
            <w:hideMark/>
          </w:tcPr>
          <w:p w14:paraId="4A043BB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humidity, precipitation,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NO₂, O₃, maternal age, race, marital status, education, sex of infant, year, month, season (sine/cosine), spline terms for continuous covariates</w:t>
            </w:r>
          </w:p>
        </w:tc>
      </w:tr>
      <w:tr w:rsidR="0051112E" w:rsidRPr="0051112E" w14:paraId="04CC13E2" w14:textId="77777777" w:rsidTr="0051112E">
        <w:trPr>
          <w:cnfStyle w:val="000000100000" w:firstRow="0" w:lastRow="0" w:firstColumn="0" w:lastColumn="0" w:oddVBand="0" w:evenVBand="0" w:oddHBand="1" w:evenHBand="0" w:firstRowFirstColumn="0" w:firstRowLastColumn="0" w:lastRowFirstColumn="0" w:lastRowLastColumn="0"/>
          <w:trHeight w:val="2552"/>
        </w:trPr>
        <w:tc>
          <w:tcPr>
            <w:cnfStyle w:val="001000000000" w:firstRow="0" w:lastRow="0" w:firstColumn="1" w:lastColumn="0" w:oddVBand="0" w:evenVBand="0" w:oddHBand="0" w:evenHBand="0" w:firstRowFirstColumn="0" w:firstRowLastColumn="0" w:lastRowFirstColumn="0" w:lastRowLastColumn="0"/>
            <w:tcW w:w="1418" w:type="dxa"/>
            <w:hideMark/>
          </w:tcPr>
          <w:p w14:paraId="2E03ECE7"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heat, preterm birth, and stillbirth: A global analysis across 14 lower-middle income countries</w:t>
            </w:r>
          </w:p>
        </w:tc>
        <w:tc>
          <w:tcPr>
            <w:tcW w:w="567" w:type="dxa"/>
            <w:hideMark/>
          </w:tcPr>
          <w:p w14:paraId="67A42C4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McElroy S;</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2042F81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 International</w:t>
            </w:r>
          </w:p>
        </w:tc>
        <w:tc>
          <w:tcPr>
            <w:tcW w:w="425" w:type="dxa"/>
            <w:hideMark/>
          </w:tcPr>
          <w:p w14:paraId="44340D21"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2022</w:t>
            </w:r>
          </w:p>
        </w:tc>
        <w:tc>
          <w:tcPr>
            <w:tcW w:w="567" w:type="dxa"/>
            <w:hideMark/>
          </w:tcPr>
          <w:p w14:paraId="1BE87A1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51112E">
              <w:rPr>
                <w:rFonts w:ascii="Aptos Narrow" w:eastAsia="Times New Roman" w:hAnsi="Aptos Narrow" w:cs="Times New Roman"/>
                <w:color w:val="000000"/>
                <w:sz w:val="15"/>
                <w:szCs w:val="15"/>
                <w:vertAlign w:val="superscript"/>
                <w:lang w:eastAsia="en-GB"/>
              </w:rPr>
              <w:t>USA</w:t>
            </w:r>
          </w:p>
        </w:tc>
        <w:tc>
          <w:tcPr>
            <w:tcW w:w="567" w:type="dxa"/>
            <w:hideMark/>
          </w:tcPr>
          <w:p w14:paraId="40A17D2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Retrospective cohort</w:t>
            </w:r>
          </w:p>
        </w:tc>
        <w:tc>
          <w:tcPr>
            <w:tcW w:w="567" w:type="dxa"/>
            <w:hideMark/>
          </w:tcPr>
          <w:p w14:paraId="0E4C34F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103,535</w:t>
            </w:r>
          </w:p>
        </w:tc>
        <w:tc>
          <w:tcPr>
            <w:tcW w:w="709" w:type="dxa"/>
            <w:hideMark/>
          </w:tcPr>
          <w:p w14:paraId="1C98A6B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Household-based cohorts</w:t>
            </w:r>
          </w:p>
        </w:tc>
        <w:tc>
          <w:tcPr>
            <w:tcW w:w="1134" w:type="dxa"/>
            <w:hideMark/>
          </w:tcPr>
          <w:p w14:paraId="2741BE0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women 15–49 in DHS Phase 7 with complete birth histories, valid date of birth/death, and PSU coordinates. Excluded: missing temperature linkages; missing birth outcomes.</w:t>
            </w:r>
          </w:p>
        </w:tc>
        <w:tc>
          <w:tcPr>
            <w:tcW w:w="992" w:type="dxa"/>
            <w:hideMark/>
          </w:tcPr>
          <w:p w14:paraId="20233DA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prevalence ranged 1% (Nigeria) – 10% (Malawi). Stillbirth proportion 0.6% (Tajikistan) – 3.5% (Ethiopia). Countries span tropical, arid, and temperate climates.</w:t>
            </w:r>
          </w:p>
        </w:tc>
        <w:tc>
          <w:tcPr>
            <w:tcW w:w="567" w:type="dxa"/>
            <w:hideMark/>
          </w:tcPr>
          <w:p w14:paraId="0300EAD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Daily maximum temperature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minimum temperature; diurnal temperature range (DTR =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w:t>
            </w:r>
            <w:proofErr w:type="spellStart"/>
            <w:r w:rsidRPr="00495497">
              <w:rPr>
                <w:rFonts w:ascii="Aptos Narrow" w:eastAsia="Times New Roman" w:hAnsi="Aptos Narrow" w:cs="Times New Roman"/>
                <w:color w:val="000000"/>
                <w:sz w:val="15"/>
                <w:szCs w:val="15"/>
                <w:vertAlign w:val="superscript"/>
                <w:lang w:eastAsia="en-GB"/>
              </w:rPr>
              <w:t>Tmin</w:t>
            </w:r>
            <w:proofErr w:type="spellEnd"/>
            <w:r w:rsidRPr="00495497">
              <w:rPr>
                <w:rFonts w:ascii="Aptos Narrow" w:eastAsia="Times New Roman" w:hAnsi="Aptos Narrow" w:cs="Times New Roman"/>
                <w:color w:val="000000"/>
                <w:sz w:val="15"/>
                <w:szCs w:val="15"/>
                <w:vertAlign w:val="superscript"/>
                <w:lang w:eastAsia="en-GB"/>
              </w:rPr>
              <w:t>)</w:t>
            </w:r>
          </w:p>
        </w:tc>
        <w:tc>
          <w:tcPr>
            <w:tcW w:w="851" w:type="dxa"/>
            <w:hideMark/>
          </w:tcPr>
          <w:p w14:paraId="553EE6C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Extreme heat defined via continuous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with reference at 20°C. Examined temperature percentiles (1st, 5th, 95th, 99th). DTR &lt;16°C considered “high humidity / warm night” exposure. Exposure classified for each day within 0–7 days before birth.</w:t>
            </w:r>
          </w:p>
        </w:tc>
        <w:tc>
          <w:tcPr>
            <w:tcW w:w="708" w:type="dxa"/>
            <w:hideMark/>
          </w:tcPr>
          <w:p w14:paraId="6928D0A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Acute exposure: 7 days before birth. Outcome assumed to occur on day of death/birth in DHS.</w:t>
            </w:r>
          </w:p>
        </w:tc>
        <w:tc>
          <w:tcPr>
            <w:tcW w:w="851" w:type="dxa"/>
            <w:gridSpan w:val="2"/>
            <w:hideMark/>
          </w:tcPr>
          <w:p w14:paraId="5DD9EF3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Preterm birth, stillbirth</w:t>
            </w:r>
          </w:p>
        </w:tc>
        <w:tc>
          <w:tcPr>
            <w:tcW w:w="850" w:type="dxa"/>
            <w:hideMark/>
          </w:tcPr>
          <w:p w14:paraId="0CBAC23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(&lt;9 months gestation by DHS self-report); Stillbirth (fetal death at birth)</w:t>
            </w:r>
          </w:p>
        </w:tc>
        <w:tc>
          <w:tcPr>
            <w:tcW w:w="1701" w:type="dxa"/>
            <w:hideMark/>
          </w:tcPr>
          <w:p w14:paraId="73B9520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PTB: Risk ↑ at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&gt;20°C, rising steeply ≥30–35°C; strongest lag 0–1 </w:t>
            </w:r>
            <w:proofErr w:type="gramStart"/>
            <w:r w:rsidRPr="00495497">
              <w:rPr>
                <w:rFonts w:ascii="Aptos Narrow" w:eastAsia="Times New Roman" w:hAnsi="Aptos Narrow" w:cs="Times New Roman"/>
                <w:color w:val="000000"/>
                <w:sz w:val="15"/>
                <w:szCs w:val="15"/>
                <w:vertAlign w:val="superscript"/>
                <w:lang w:eastAsia="en-GB"/>
              </w:rPr>
              <w:t>days</w:t>
            </w:r>
            <w:proofErr w:type="gramEnd"/>
            <w:r w:rsidRPr="00495497">
              <w:rPr>
                <w:rFonts w:ascii="Aptos Narrow" w:eastAsia="Times New Roman" w:hAnsi="Aptos Narrow" w:cs="Times New Roman"/>
                <w:color w:val="000000"/>
                <w:sz w:val="15"/>
                <w:szCs w:val="15"/>
                <w:vertAlign w:val="superscript"/>
                <w:lang w:eastAsia="en-GB"/>
              </w:rPr>
              <w:t>. Stillbirth: Risk ↑ at 20–30°C and especially ≥95th percentile; stronger lag 3–5 days. Diurnal temperature range &lt;16°C strongly ↑ risk: PTB and stillbirth both elevated (RR 2.1 for stillbirth at DTR&lt;16°C). Minimum temperature alone showed no association. Equity gradient: Women with low education, low wealth, and rural residence had markedly higher heat-related risks.</w:t>
            </w:r>
          </w:p>
        </w:tc>
        <w:tc>
          <w:tcPr>
            <w:tcW w:w="912" w:type="dxa"/>
            <w:hideMark/>
          </w:tcPr>
          <w:p w14:paraId="278DC50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Case-crossover inherently controls all time-invariant confounders (SES, maternal age, chronic health). Model adjusted for humidity and wind speed (time-varying). Random effects for PSU and country.</w:t>
            </w:r>
          </w:p>
        </w:tc>
      </w:tr>
      <w:tr w:rsidR="0051112E" w:rsidRPr="0051112E" w14:paraId="707902F7" w14:textId="77777777" w:rsidTr="0051112E">
        <w:trPr>
          <w:trHeight w:val="1600"/>
        </w:trPr>
        <w:tc>
          <w:tcPr>
            <w:cnfStyle w:val="001000000000" w:firstRow="0" w:lastRow="0" w:firstColumn="1" w:lastColumn="0" w:oddVBand="0" w:evenVBand="0" w:oddHBand="0" w:evenHBand="0" w:firstRowFirstColumn="0" w:firstRowLastColumn="0" w:lastRowFirstColumn="0" w:lastRowLastColumn="0"/>
            <w:tcW w:w="1418" w:type="dxa"/>
            <w:hideMark/>
          </w:tcPr>
          <w:p w14:paraId="24236805"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Association between maximum temperature and PM2.5with pregnancy outcomes in Lima, Peru</w:t>
            </w:r>
          </w:p>
        </w:tc>
        <w:tc>
          <w:tcPr>
            <w:tcW w:w="567" w:type="dxa"/>
            <w:hideMark/>
          </w:tcPr>
          <w:p w14:paraId="7D5A540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Tapia VL</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0D56133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Epidemiology</w:t>
            </w:r>
          </w:p>
        </w:tc>
        <w:tc>
          <w:tcPr>
            <w:tcW w:w="425" w:type="dxa"/>
            <w:hideMark/>
          </w:tcPr>
          <w:p w14:paraId="3A2CF9AE"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2021</w:t>
            </w:r>
          </w:p>
        </w:tc>
        <w:tc>
          <w:tcPr>
            <w:tcW w:w="567" w:type="dxa"/>
            <w:hideMark/>
          </w:tcPr>
          <w:p w14:paraId="6A735EF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Peru</w:t>
            </w:r>
          </w:p>
        </w:tc>
        <w:tc>
          <w:tcPr>
            <w:tcW w:w="567" w:type="dxa"/>
            <w:hideMark/>
          </w:tcPr>
          <w:p w14:paraId="670F83B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Retrospective cohort</w:t>
            </w:r>
          </w:p>
        </w:tc>
        <w:tc>
          <w:tcPr>
            <w:tcW w:w="567" w:type="dxa"/>
            <w:hideMark/>
          </w:tcPr>
          <w:p w14:paraId="593C2C9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123,034</w:t>
            </w:r>
          </w:p>
        </w:tc>
        <w:tc>
          <w:tcPr>
            <w:tcW w:w="709" w:type="dxa"/>
            <w:hideMark/>
          </w:tcPr>
          <w:p w14:paraId="7486758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Hospital-based cohort</w:t>
            </w:r>
          </w:p>
        </w:tc>
        <w:tc>
          <w:tcPr>
            <w:tcW w:w="1134" w:type="dxa"/>
            <w:hideMark/>
          </w:tcPr>
          <w:p w14:paraId="6558182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live births 2012–2016 with residential district, GA, BW, and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xml:space="preserve"> estimates. Excluded: multiples, malformations, stillbirths, outlier BW, mothers from other provinces, missing covariates or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xml:space="preserve"> estimates.</w:t>
            </w:r>
          </w:p>
        </w:tc>
        <w:tc>
          <w:tcPr>
            <w:tcW w:w="992" w:type="dxa"/>
            <w:hideMark/>
          </w:tcPr>
          <w:p w14:paraId="7FA48FD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Mean BW 3355 g; PTB 7.2%; LBW 1.78% among term births; majority age 20–34; ~75% prenatal care.</w:t>
            </w:r>
          </w:p>
        </w:tc>
        <w:tc>
          <w:tcPr>
            <w:tcW w:w="567" w:type="dxa"/>
            <w:hideMark/>
          </w:tcPr>
          <w:p w14:paraId="6730652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maximum)</w:t>
            </w:r>
          </w:p>
        </w:tc>
        <w:tc>
          <w:tcPr>
            <w:tcW w:w="851" w:type="dxa"/>
            <w:hideMark/>
          </w:tcPr>
          <w:p w14:paraId="46A689A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averaged over entire pregnancy and trimesters</w:t>
            </w:r>
          </w:p>
        </w:tc>
        <w:tc>
          <w:tcPr>
            <w:tcW w:w="708" w:type="dxa"/>
            <w:hideMark/>
          </w:tcPr>
          <w:p w14:paraId="7DFA98E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11C82D8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Preterm birth, birth weight, small for gestational age</w:t>
            </w:r>
          </w:p>
        </w:tc>
        <w:tc>
          <w:tcPr>
            <w:tcW w:w="850" w:type="dxa"/>
            <w:hideMark/>
          </w:tcPr>
          <w:p w14:paraId="478797F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BW (g); WAZ (INTERGROWTH); LBW (&lt;2500 g, term only); PTB (&lt;37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Cox time-to-event).</w:t>
            </w:r>
          </w:p>
        </w:tc>
        <w:tc>
          <w:tcPr>
            <w:tcW w:w="1701" w:type="dxa"/>
            <w:hideMark/>
          </w:tcPr>
          <w:p w14:paraId="37DEC01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Birthweight: 3rd trimester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−23.7 g per IQR (95% CI −28.0, −19.5). 1st trimester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+16 g per IQR (95% CI +12, +20) </w:t>
            </w:r>
            <w:r w:rsidRPr="00495497">
              <w:rPr>
                <w:rFonts w:ascii="Aptos Narrow" w:eastAsia="Times New Roman" w:hAnsi="Aptos Narrow" w:cs="Times New Roman"/>
                <w:color w:val="000000"/>
                <w:sz w:val="15"/>
                <w:szCs w:val="15"/>
                <w:u w:val="single"/>
                <w:vertAlign w:val="superscript"/>
                <w:lang w:eastAsia="en-GB"/>
              </w:rPr>
              <w:t>positive association</w:t>
            </w:r>
            <w:r w:rsidRPr="00495497">
              <w:rPr>
                <w:rFonts w:ascii="Aptos Narrow" w:eastAsia="Times New Roman" w:hAnsi="Aptos Narrow" w:cs="Times New Roman"/>
                <w:color w:val="000000"/>
                <w:sz w:val="15"/>
                <w:szCs w:val="15"/>
                <w:vertAlign w:val="superscript"/>
                <w:lang w:eastAsia="en-GB"/>
              </w:rPr>
              <w:t xml:space="preserve">. WAZ decreased in 3rd trimester (−0.02) and increased in 1st trimester. Effects </w:t>
            </w:r>
            <w:r w:rsidRPr="00495497">
              <w:rPr>
                <w:rFonts w:ascii="Aptos Narrow" w:eastAsia="Times New Roman" w:hAnsi="Aptos Narrow" w:cs="Times New Roman"/>
                <w:color w:val="000000"/>
                <w:sz w:val="15"/>
                <w:szCs w:val="15"/>
                <w:u w:val="single"/>
                <w:vertAlign w:val="superscript"/>
                <w:lang w:eastAsia="en-GB"/>
              </w:rPr>
              <w:t>stronger in high PM</w:t>
            </w:r>
            <w:proofErr w:type="gramStart"/>
            <w:r w:rsidRPr="00495497">
              <w:rPr>
                <w:rFonts w:ascii="Aptos Narrow" w:eastAsia="Times New Roman" w:hAnsi="Aptos Narrow" w:cs="Times New Roman"/>
                <w:color w:val="000000"/>
                <w:sz w:val="15"/>
                <w:szCs w:val="15"/>
                <w:u w:val="single"/>
                <w:vertAlign w:val="superscript"/>
                <w:lang w:eastAsia="en-GB"/>
              </w:rPr>
              <w:t>₂.₅</w:t>
            </w:r>
            <w:proofErr w:type="gramEnd"/>
            <w:r w:rsidRPr="00495497">
              <w:rPr>
                <w:rFonts w:ascii="Aptos Narrow" w:eastAsia="Times New Roman" w:hAnsi="Aptos Narrow" w:cs="Times New Roman"/>
                <w:color w:val="000000"/>
                <w:sz w:val="15"/>
                <w:szCs w:val="15"/>
                <w:u w:val="single"/>
                <w:vertAlign w:val="superscript"/>
                <w:lang w:eastAsia="en-GB"/>
              </w:rPr>
              <w:t xml:space="preserve"> areas </w:t>
            </w:r>
            <w:r w:rsidRPr="00495497">
              <w:rPr>
                <w:rFonts w:ascii="Aptos Narrow" w:eastAsia="Times New Roman" w:hAnsi="Aptos Narrow" w:cs="Times New Roman"/>
                <w:color w:val="000000"/>
                <w:sz w:val="15"/>
                <w:szCs w:val="15"/>
                <w:vertAlign w:val="superscript"/>
                <w:lang w:eastAsia="en-GB"/>
              </w:rPr>
              <w:t xml:space="preserve">(significant interaction). PTB: Increased risk in 1st trimester (HR 1.04; 95% CI 1.001, 1.07) and 2nd trimester (HR 1.04; 95% CI 1.005, 1.08). No association in 3rd trimester. </w:t>
            </w:r>
          </w:p>
        </w:tc>
        <w:tc>
          <w:tcPr>
            <w:tcW w:w="912" w:type="dxa"/>
            <w:hideMark/>
          </w:tcPr>
          <w:p w14:paraId="777C23D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parity, prenatal care, poverty, preeclampsia, urinary infection (PTB model), gestational age (BW models), PM2.5</w:t>
            </w:r>
          </w:p>
        </w:tc>
      </w:tr>
      <w:tr w:rsidR="0051112E" w:rsidRPr="0051112E" w14:paraId="6BD811A8" w14:textId="77777777" w:rsidTr="0051112E">
        <w:trPr>
          <w:cnfStyle w:val="000000100000" w:firstRow="0" w:lastRow="0" w:firstColumn="0" w:lastColumn="0" w:oddVBand="0" w:evenVBand="0" w:oddHBand="1" w:evenHBand="0" w:firstRowFirstColumn="0" w:firstRowLastColumn="0" w:lastRowFirstColumn="0" w:lastRowLastColumn="0"/>
          <w:trHeight w:val="2209"/>
        </w:trPr>
        <w:tc>
          <w:tcPr>
            <w:cnfStyle w:val="001000000000" w:firstRow="0" w:lastRow="0" w:firstColumn="1" w:lastColumn="0" w:oddVBand="0" w:evenVBand="0" w:oddHBand="0" w:evenHBand="0" w:firstRowFirstColumn="0" w:firstRowLastColumn="0" w:lastRowFirstColumn="0" w:lastRowLastColumn="0"/>
            <w:tcW w:w="1418" w:type="dxa"/>
            <w:hideMark/>
          </w:tcPr>
          <w:p w14:paraId="6D73BF94"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 xml:space="preserve">Low and high ambient temperatures during pregnancy and birth weight among 624,940 singleton term births in </w:t>
            </w:r>
            <w:proofErr w:type="spellStart"/>
            <w:r w:rsidRPr="00495497">
              <w:rPr>
                <w:rFonts w:ascii="Aptos Narrow" w:eastAsia="Times New Roman" w:hAnsi="Aptos Narrow" w:cs="Times New Roman"/>
                <w:color w:val="000000"/>
                <w:sz w:val="15"/>
                <w:szCs w:val="15"/>
                <w:vertAlign w:val="superscript"/>
                <w:lang w:eastAsia="en-GB"/>
              </w:rPr>
              <w:t>israel</w:t>
            </w:r>
            <w:proofErr w:type="spellEnd"/>
            <w:r w:rsidRPr="00495497">
              <w:rPr>
                <w:rFonts w:ascii="Aptos Narrow" w:eastAsia="Times New Roman" w:hAnsi="Aptos Narrow" w:cs="Times New Roman"/>
                <w:color w:val="000000"/>
                <w:sz w:val="15"/>
                <w:szCs w:val="15"/>
                <w:vertAlign w:val="superscript"/>
                <w:lang w:eastAsia="en-GB"/>
              </w:rPr>
              <w:t xml:space="preserve"> (2010–2014): An investigation of potential windows of susceptibility</w:t>
            </w:r>
          </w:p>
        </w:tc>
        <w:tc>
          <w:tcPr>
            <w:tcW w:w="567" w:type="dxa"/>
            <w:hideMark/>
          </w:tcPr>
          <w:p w14:paraId="0C8988B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Basagaña</w:t>
            </w:r>
            <w:proofErr w:type="spellEnd"/>
            <w:r w:rsidRPr="00495497">
              <w:rPr>
                <w:rFonts w:ascii="Aptos Narrow" w:eastAsia="Times New Roman" w:hAnsi="Aptos Narrow" w:cs="Times New Roman"/>
                <w:color w:val="000000"/>
                <w:sz w:val="15"/>
                <w:szCs w:val="15"/>
                <w:vertAlign w:val="superscript"/>
                <w:lang w:eastAsia="en-GB"/>
              </w:rPr>
              <w:t xml:space="preserve"> X</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134F1A1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Health Perspectives</w:t>
            </w:r>
          </w:p>
        </w:tc>
        <w:tc>
          <w:tcPr>
            <w:tcW w:w="425" w:type="dxa"/>
            <w:hideMark/>
          </w:tcPr>
          <w:p w14:paraId="5CA7D77D"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2021</w:t>
            </w:r>
          </w:p>
        </w:tc>
        <w:tc>
          <w:tcPr>
            <w:tcW w:w="567" w:type="dxa"/>
            <w:hideMark/>
          </w:tcPr>
          <w:p w14:paraId="2E02C40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Israel</w:t>
            </w:r>
          </w:p>
        </w:tc>
        <w:tc>
          <w:tcPr>
            <w:tcW w:w="567" w:type="dxa"/>
            <w:hideMark/>
          </w:tcPr>
          <w:p w14:paraId="3B2736C8" w14:textId="44ED8135"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6A6D624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624,940</w:t>
            </w:r>
          </w:p>
        </w:tc>
        <w:tc>
          <w:tcPr>
            <w:tcW w:w="709" w:type="dxa"/>
            <w:hideMark/>
          </w:tcPr>
          <w:p w14:paraId="015F626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National birth registry</w:t>
            </w:r>
          </w:p>
        </w:tc>
        <w:tc>
          <w:tcPr>
            <w:tcW w:w="1134" w:type="dxa"/>
            <w:hideMark/>
          </w:tcPr>
          <w:p w14:paraId="434E0C5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term births (&gt;36 weeks) with geocoded address and birthweight. Excluded: missing BW/address, preterm births, multiples.</w:t>
            </w:r>
          </w:p>
        </w:tc>
        <w:tc>
          <w:tcPr>
            <w:tcW w:w="992" w:type="dxa"/>
            <w:hideMark/>
          </w:tcPr>
          <w:p w14:paraId="243D1F8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Mean </w:t>
            </w:r>
            <w:proofErr w:type="spellStart"/>
            <w:r w:rsidRPr="00495497">
              <w:rPr>
                <w:rFonts w:ascii="Aptos Narrow" w:eastAsia="Times New Roman" w:hAnsi="Aptos Narrow" w:cs="Times New Roman"/>
                <w:color w:val="000000"/>
                <w:sz w:val="15"/>
                <w:szCs w:val="15"/>
                <w:vertAlign w:val="superscript"/>
                <w:lang w:eastAsia="en-GB"/>
              </w:rPr>
              <w:t>tBW</w:t>
            </w:r>
            <w:proofErr w:type="spellEnd"/>
            <w:r w:rsidRPr="00495497">
              <w:rPr>
                <w:rFonts w:ascii="Aptos Narrow" w:eastAsia="Times New Roman" w:hAnsi="Aptos Narrow" w:cs="Times New Roman"/>
                <w:color w:val="000000"/>
                <w:sz w:val="15"/>
                <w:szCs w:val="15"/>
                <w:vertAlign w:val="superscript"/>
                <w:lang w:eastAsia="en-GB"/>
              </w:rPr>
              <w:t xml:space="preserve"> 3302 g;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2.7%; majority Jewish (78%); most in Mediterranean climate zone (90%); SES and urbanicity varied.</w:t>
            </w:r>
          </w:p>
        </w:tc>
        <w:tc>
          <w:tcPr>
            <w:tcW w:w="567" w:type="dxa"/>
            <w:hideMark/>
          </w:tcPr>
          <w:p w14:paraId="57F072B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mean)</w:t>
            </w:r>
          </w:p>
        </w:tc>
        <w:tc>
          <w:tcPr>
            <w:tcW w:w="851" w:type="dxa"/>
            <w:hideMark/>
          </w:tcPr>
          <w:p w14:paraId="3E6E829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 converted to percentiles within climate zone</w:t>
            </w:r>
          </w:p>
        </w:tc>
        <w:tc>
          <w:tcPr>
            <w:tcW w:w="708" w:type="dxa"/>
            <w:hideMark/>
          </w:tcPr>
          <w:p w14:paraId="3093E09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341B307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(Low) birth weight, only term deliveries</w:t>
            </w:r>
          </w:p>
        </w:tc>
        <w:tc>
          <w:tcPr>
            <w:tcW w:w="850" w:type="dxa"/>
            <w:hideMark/>
          </w:tcPr>
          <w:p w14:paraId="121ED62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Term &gt;36 weeks;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&lt;2500 g among term births</w:t>
            </w:r>
          </w:p>
        </w:tc>
        <w:tc>
          <w:tcPr>
            <w:tcW w:w="1701" w:type="dxa"/>
            <w:hideMark/>
          </w:tcPr>
          <w:p w14:paraId="440AE50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Whole pregnancy: U-shaped pattern → both cold (≤10th percentile, −56 g) and heat (&gt;90th percentile, −65 g) ↓ </w:t>
            </w:r>
            <w:proofErr w:type="spellStart"/>
            <w:r w:rsidRPr="00495497">
              <w:rPr>
                <w:rFonts w:ascii="Aptos Narrow" w:eastAsia="Times New Roman" w:hAnsi="Aptos Narrow" w:cs="Times New Roman"/>
                <w:color w:val="000000"/>
                <w:sz w:val="15"/>
                <w:szCs w:val="15"/>
                <w:vertAlign w:val="superscript"/>
                <w:lang w:eastAsia="en-GB"/>
              </w:rPr>
              <w:t>tBW</w:t>
            </w:r>
            <w:proofErr w:type="spellEnd"/>
            <w:r w:rsidRPr="00495497">
              <w:rPr>
                <w:rFonts w:ascii="Aptos Narrow" w:eastAsia="Times New Roman" w:hAnsi="Aptos Narrow" w:cs="Times New Roman"/>
                <w:color w:val="000000"/>
                <w:sz w:val="15"/>
                <w:szCs w:val="15"/>
                <w:vertAlign w:val="superscript"/>
                <w:lang w:eastAsia="en-GB"/>
              </w:rPr>
              <w:t xml:space="preserve">;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OR 1.35 for cold, 1.58 for heat. Trimester-specific: strongest associations in 3rd trimester (</w:t>
            </w:r>
            <w:proofErr w:type="spellStart"/>
            <w:r w:rsidRPr="00495497">
              <w:rPr>
                <w:rFonts w:ascii="Aptos Narrow" w:eastAsia="Times New Roman" w:hAnsi="Aptos Narrow" w:cs="Times New Roman"/>
                <w:color w:val="000000"/>
                <w:sz w:val="15"/>
                <w:szCs w:val="15"/>
                <w:vertAlign w:val="superscript"/>
                <w:lang w:eastAsia="en-GB"/>
              </w:rPr>
              <w:t>tBW</w:t>
            </w:r>
            <w:proofErr w:type="spellEnd"/>
            <w:r w:rsidRPr="00495497">
              <w:rPr>
                <w:rFonts w:ascii="Aptos Narrow" w:eastAsia="Times New Roman" w:hAnsi="Aptos Narrow" w:cs="Times New Roman"/>
                <w:color w:val="000000"/>
                <w:sz w:val="15"/>
                <w:szCs w:val="15"/>
                <w:vertAlign w:val="superscript"/>
                <w:lang w:eastAsia="en-GB"/>
              </w:rPr>
              <w:t xml:space="preserve"> −46 g for cold; −51 g for heat;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OR 1.26 cold, 1.65 heat). GA-week-specific: heat associated with ↓ </w:t>
            </w:r>
            <w:proofErr w:type="spellStart"/>
            <w:r w:rsidRPr="00495497">
              <w:rPr>
                <w:rFonts w:ascii="Aptos Narrow" w:eastAsia="Times New Roman" w:hAnsi="Aptos Narrow" w:cs="Times New Roman"/>
                <w:color w:val="000000"/>
                <w:sz w:val="15"/>
                <w:szCs w:val="15"/>
                <w:vertAlign w:val="superscript"/>
                <w:lang w:eastAsia="en-GB"/>
              </w:rPr>
              <w:t>tBW</w:t>
            </w:r>
            <w:proofErr w:type="spellEnd"/>
            <w:r w:rsidRPr="00495497">
              <w:rPr>
                <w:rFonts w:ascii="Aptos Narrow" w:eastAsia="Times New Roman" w:hAnsi="Aptos Narrow" w:cs="Times New Roman"/>
                <w:color w:val="000000"/>
                <w:sz w:val="15"/>
                <w:szCs w:val="15"/>
                <w:vertAlign w:val="superscript"/>
                <w:lang w:eastAsia="en-GB"/>
              </w:rPr>
              <w:t xml:space="preserve"> during GA weeks 3–9 and 19–34 (strongest week 3: −3.8 g); cold associated with ↓ </w:t>
            </w:r>
            <w:proofErr w:type="spellStart"/>
            <w:r w:rsidRPr="00495497">
              <w:rPr>
                <w:rFonts w:ascii="Aptos Narrow" w:eastAsia="Times New Roman" w:hAnsi="Aptos Narrow" w:cs="Times New Roman"/>
                <w:color w:val="000000"/>
                <w:sz w:val="15"/>
                <w:szCs w:val="15"/>
                <w:vertAlign w:val="superscript"/>
                <w:lang w:eastAsia="en-GB"/>
              </w:rPr>
              <w:t>tBW</w:t>
            </w:r>
            <w:proofErr w:type="spellEnd"/>
            <w:r w:rsidRPr="00495497">
              <w:rPr>
                <w:rFonts w:ascii="Aptos Narrow" w:eastAsia="Times New Roman" w:hAnsi="Aptos Narrow" w:cs="Times New Roman"/>
                <w:color w:val="000000"/>
                <w:sz w:val="15"/>
                <w:szCs w:val="15"/>
                <w:vertAlign w:val="superscript"/>
                <w:lang w:eastAsia="en-GB"/>
              </w:rPr>
              <w:t xml:space="preserve"> mainly late gestation (peak week 36: −2.9 g).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week-specific associations mostly null except a weak late-gestation heat signal.</w:t>
            </w:r>
          </w:p>
        </w:tc>
        <w:tc>
          <w:tcPr>
            <w:tcW w:w="912" w:type="dxa"/>
            <w:hideMark/>
          </w:tcPr>
          <w:p w14:paraId="7101C46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Newborn ethno-religious group; maternal age, education, occupation, origin, marital status; parity; area-level SES; LMP month &amp; year; trimester models mutually adjusted for all trimesters</w:t>
            </w:r>
            <w:r w:rsidRPr="00495497">
              <w:rPr>
                <w:rFonts w:ascii="Aptos Narrow" w:eastAsia="Times New Roman" w:hAnsi="Aptos Narrow" w:cs="Times New Roman"/>
                <w:color w:val="000000"/>
                <w:sz w:val="15"/>
                <w:szCs w:val="15"/>
                <w:vertAlign w:val="superscript"/>
                <w:lang w:eastAsia="en-GB"/>
              </w:rPr>
              <w:br/>
              <w:t xml:space="preserve">Quality flags </w:t>
            </w:r>
          </w:p>
        </w:tc>
      </w:tr>
      <w:tr w:rsidR="0051112E" w:rsidRPr="0051112E" w14:paraId="3DA9C5BA" w14:textId="77777777" w:rsidTr="0051112E">
        <w:trPr>
          <w:trHeight w:val="1702"/>
        </w:trPr>
        <w:tc>
          <w:tcPr>
            <w:cnfStyle w:val="001000000000" w:firstRow="0" w:lastRow="0" w:firstColumn="1" w:lastColumn="0" w:oddVBand="0" w:evenVBand="0" w:oddHBand="0" w:evenHBand="0" w:firstRowFirstColumn="0" w:firstRowLastColumn="0" w:lastRowFirstColumn="0" w:lastRowLastColumn="0"/>
            <w:tcW w:w="1418" w:type="dxa"/>
            <w:hideMark/>
          </w:tcPr>
          <w:p w14:paraId="5B2A586F"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Impact of ambient temperature exposure on newborns with low Apgar scores in northwest China</w:t>
            </w:r>
          </w:p>
        </w:tc>
        <w:tc>
          <w:tcPr>
            <w:tcW w:w="567" w:type="dxa"/>
            <w:hideMark/>
          </w:tcPr>
          <w:p w14:paraId="028F84A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Tang Z</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56E0A47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Science and Pollution Research</w:t>
            </w:r>
          </w:p>
        </w:tc>
        <w:tc>
          <w:tcPr>
            <w:tcW w:w="425" w:type="dxa"/>
            <w:hideMark/>
          </w:tcPr>
          <w:p w14:paraId="0312C3CD"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2021</w:t>
            </w:r>
          </w:p>
        </w:tc>
        <w:tc>
          <w:tcPr>
            <w:tcW w:w="567" w:type="dxa"/>
            <w:hideMark/>
          </w:tcPr>
          <w:p w14:paraId="01EE540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China</w:t>
            </w:r>
          </w:p>
        </w:tc>
        <w:tc>
          <w:tcPr>
            <w:tcW w:w="567" w:type="dxa"/>
            <w:hideMark/>
          </w:tcPr>
          <w:p w14:paraId="2F1A987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Retrospective cohort </w:t>
            </w:r>
          </w:p>
        </w:tc>
        <w:tc>
          <w:tcPr>
            <w:tcW w:w="567" w:type="dxa"/>
            <w:hideMark/>
          </w:tcPr>
          <w:p w14:paraId="2A57EAB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182,322</w:t>
            </w:r>
          </w:p>
        </w:tc>
        <w:tc>
          <w:tcPr>
            <w:tcW w:w="709" w:type="dxa"/>
            <w:hideMark/>
          </w:tcPr>
          <w:p w14:paraId="09D51AD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Hospital-based cohort</w:t>
            </w:r>
          </w:p>
        </w:tc>
        <w:tc>
          <w:tcPr>
            <w:tcW w:w="1134" w:type="dxa"/>
            <w:hideMark/>
          </w:tcPr>
          <w:p w14:paraId="4F74980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live births 28–42 weeks GA. Excluded: multiples, stillbirths, GA &lt;28 or ≥42 weeks, BW ≤500 or ≥5000 g, unknown sex, Apgar 4–8 (only ≤3 vs ≥8 analyzed).</w:t>
            </w:r>
          </w:p>
        </w:tc>
        <w:tc>
          <w:tcPr>
            <w:tcW w:w="992" w:type="dxa"/>
            <w:hideMark/>
          </w:tcPr>
          <w:p w14:paraId="46FA300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0.86% low Apgar scores (1,575 cases); Hui ethnicity higher risk; higher prevalence among parity ≥3, teen mothers, high-risk pregnancies, and autumn births.</w:t>
            </w:r>
          </w:p>
        </w:tc>
        <w:tc>
          <w:tcPr>
            <w:tcW w:w="567" w:type="dxa"/>
            <w:hideMark/>
          </w:tcPr>
          <w:p w14:paraId="07110EF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Ambient temperature (daily mean) </w:t>
            </w:r>
          </w:p>
        </w:tc>
        <w:tc>
          <w:tcPr>
            <w:tcW w:w="851" w:type="dxa"/>
            <w:hideMark/>
          </w:tcPr>
          <w:p w14:paraId="34785A8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For the 1–3 days, 1–4 weeks, and 1–3 months before delivery, exposure classified as: extreme cold &lt;10th percentile, moderate 10–90th, extreme heat &gt;90th percentile.</w:t>
            </w:r>
          </w:p>
        </w:tc>
        <w:tc>
          <w:tcPr>
            <w:tcW w:w="708" w:type="dxa"/>
            <w:hideMark/>
          </w:tcPr>
          <w:p w14:paraId="0835880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08AFEA4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Low 5-min APGAR scores</w:t>
            </w:r>
          </w:p>
        </w:tc>
        <w:tc>
          <w:tcPr>
            <w:tcW w:w="850" w:type="dxa"/>
            <w:hideMark/>
          </w:tcPr>
          <w:p w14:paraId="5FBB840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Apgar ≤3 vs normal (≥8)</w:t>
            </w:r>
          </w:p>
        </w:tc>
        <w:tc>
          <w:tcPr>
            <w:tcW w:w="1701" w:type="dxa"/>
            <w:hideMark/>
          </w:tcPr>
          <w:p w14:paraId="37C5D3E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heat (&gt;90th percentile) significantly ↑ risk of low Apgar across many windows: +13.9% to +47.0% increased odds. Dose-response: U-shaped or J-shaped curves—risk increases at high temperatures for most windows. Associations robust in sensitivity analyses excluding preterm, LBW, and high-risk pregnancies.</w:t>
            </w:r>
          </w:p>
        </w:tc>
        <w:tc>
          <w:tcPr>
            <w:tcW w:w="912" w:type="dxa"/>
            <w:hideMark/>
          </w:tcPr>
          <w:p w14:paraId="3B5EC49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Infant sex; maternal age; parity; race; high-risk pregnancy; gestational age; birthplace; birth season; </w:t>
            </w:r>
            <w:r w:rsidRPr="00495497">
              <w:rPr>
                <w:rFonts w:ascii="Aptos Narrow" w:eastAsia="Times New Roman" w:hAnsi="Aptos Narrow" w:cs="Times New Roman"/>
                <w:color w:val="000000"/>
                <w:sz w:val="15"/>
                <w:szCs w:val="15"/>
                <w:u w:val="single"/>
                <w:vertAlign w:val="superscript"/>
                <w:lang w:eastAsia="en-GB"/>
              </w:rPr>
              <w:t>humidity</w:t>
            </w:r>
            <w:r w:rsidRPr="00495497">
              <w:rPr>
                <w:rFonts w:ascii="Aptos Narrow" w:eastAsia="Times New Roman" w:hAnsi="Aptos Narrow" w:cs="Times New Roman"/>
                <w:color w:val="000000"/>
                <w:sz w:val="15"/>
                <w:szCs w:val="15"/>
                <w:vertAlign w:val="superscript"/>
                <w:lang w:eastAsia="en-GB"/>
              </w:rPr>
              <w:t>.</w:t>
            </w:r>
          </w:p>
        </w:tc>
      </w:tr>
      <w:tr w:rsidR="0051112E" w:rsidRPr="0051112E" w14:paraId="426A0612" w14:textId="77777777" w:rsidTr="0051112E">
        <w:trPr>
          <w:cnfStyle w:val="000000100000" w:firstRow="0" w:lastRow="0" w:firstColumn="0" w:lastColumn="0" w:oddVBand="0" w:evenVBand="0" w:oddHBand="1" w:evenHBand="0" w:firstRowFirstColumn="0" w:firstRowLastColumn="0" w:lastRowFirstColumn="0" w:lastRowLastColumn="0"/>
          <w:trHeight w:val="1920"/>
        </w:trPr>
        <w:tc>
          <w:tcPr>
            <w:cnfStyle w:val="001000000000" w:firstRow="0" w:lastRow="0" w:firstColumn="1" w:lastColumn="0" w:oddVBand="0" w:evenVBand="0" w:oddHBand="0" w:evenHBand="0" w:firstRowFirstColumn="0" w:firstRowLastColumn="0" w:lastRowFirstColumn="0" w:lastRowLastColumn="0"/>
            <w:tcW w:w="1418" w:type="dxa"/>
            <w:hideMark/>
          </w:tcPr>
          <w:p w14:paraId="351352BA"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 population-based case-control study of the association between weather-related extreme heat events and low birthweight</w:t>
            </w:r>
          </w:p>
        </w:tc>
        <w:tc>
          <w:tcPr>
            <w:tcW w:w="567" w:type="dxa"/>
            <w:hideMark/>
          </w:tcPr>
          <w:p w14:paraId="4159817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Lawrence W</w:t>
            </w:r>
            <w:r w:rsidRPr="0051112E">
              <w:rPr>
                <w:rFonts w:ascii="Aptos Narrow" w:eastAsia="Times New Roman" w:hAnsi="Aptos Narrow" w:cs="Times New Roman"/>
                <w:color w:val="000000"/>
                <w:sz w:val="15"/>
                <w:szCs w:val="15"/>
                <w:vertAlign w:val="superscript"/>
                <w:lang w:eastAsia="en-GB"/>
              </w:rPr>
              <w:t>R et al.</w:t>
            </w:r>
          </w:p>
        </w:tc>
        <w:tc>
          <w:tcPr>
            <w:tcW w:w="567" w:type="dxa"/>
            <w:hideMark/>
          </w:tcPr>
          <w:p w14:paraId="21C8682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Journal of Developmental Origins of Health and Disease</w:t>
            </w:r>
          </w:p>
        </w:tc>
        <w:tc>
          <w:tcPr>
            <w:tcW w:w="425" w:type="dxa"/>
            <w:hideMark/>
          </w:tcPr>
          <w:p w14:paraId="20517E29"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2021</w:t>
            </w:r>
          </w:p>
        </w:tc>
        <w:tc>
          <w:tcPr>
            <w:tcW w:w="567" w:type="dxa"/>
            <w:hideMark/>
          </w:tcPr>
          <w:p w14:paraId="7161AF6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4B91F6D4" w14:textId="3939330A"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39B6EDB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n = 22,615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cases; 139,168 controls</w:t>
            </w:r>
          </w:p>
        </w:tc>
        <w:tc>
          <w:tcPr>
            <w:tcW w:w="709" w:type="dxa"/>
            <w:hideMark/>
          </w:tcPr>
          <w:p w14:paraId="39CA895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National birth registry</w:t>
            </w:r>
          </w:p>
        </w:tc>
        <w:tc>
          <w:tcPr>
            <w:tcW w:w="1134" w:type="dxa"/>
            <w:hideMark/>
          </w:tcPr>
          <w:p w14:paraId="2A0435E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singleton term births (38–42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non-malformed, ≥1 day of gestation overlapping summer. Excluded: inconsistent BW–GA, missing confounders, NYC births (data unavailable).</w:t>
            </w:r>
            <w:r w:rsidRPr="00495497">
              <w:rPr>
                <w:rFonts w:ascii="Aptos Narrow" w:eastAsia="Times New Roman" w:hAnsi="Aptos Narrow" w:cs="Times New Roman"/>
                <w:color w:val="000000"/>
                <w:sz w:val="15"/>
                <w:szCs w:val="15"/>
                <w:vertAlign w:val="superscript"/>
                <w:lang w:eastAsia="en-GB"/>
              </w:rPr>
              <w:br/>
              <w:t xml:space="preserve">Characteristics </w:t>
            </w:r>
          </w:p>
        </w:tc>
        <w:tc>
          <w:tcPr>
            <w:tcW w:w="992" w:type="dxa"/>
            <w:hideMark/>
          </w:tcPr>
          <w:p w14:paraId="7E94FAE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Cases more likely female; more often mothers &lt;20 or ≥35 yrs; lower education; higher smoking; slightly higher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xml:space="preserve"> exposure.</w:t>
            </w:r>
          </w:p>
        </w:tc>
        <w:tc>
          <w:tcPr>
            <w:tcW w:w="567" w:type="dxa"/>
            <w:hideMark/>
          </w:tcPr>
          <w:p w14:paraId="346AE9F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Extreme Heat Events (EHE)</w:t>
            </w:r>
          </w:p>
        </w:tc>
        <w:tc>
          <w:tcPr>
            <w:tcW w:w="851" w:type="dxa"/>
            <w:hideMark/>
          </w:tcPr>
          <w:p w14:paraId="049E14B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EHE90 = ≥3 consecutive days with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≥32.2°C (90°F). EHE97 = ≥2 consecutive days with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≥97th percentile (season &amp; region specific)</w:t>
            </w:r>
          </w:p>
        </w:tc>
        <w:tc>
          <w:tcPr>
            <w:tcW w:w="708" w:type="dxa"/>
            <w:hideMark/>
          </w:tcPr>
          <w:p w14:paraId="3F8DEA4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426277C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term Low birth weight</w:t>
            </w:r>
          </w:p>
        </w:tc>
        <w:tc>
          <w:tcPr>
            <w:tcW w:w="850" w:type="dxa"/>
            <w:hideMark/>
          </w:tcPr>
          <w:p w14:paraId="569A8F3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Term = 38–42 weeks; LBW &lt;2500 g among term infants</w:t>
            </w:r>
          </w:p>
        </w:tc>
        <w:tc>
          <w:tcPr>
            <w:tcW w:w="1701" w:type="dxa"/>
            <w:hideMark/>
          </w:tcPr>
          <w:p w14:paraId="027452F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Main associations: EHE97 overall: OR 1.05 (95% CI 1.02–1.09). First trimester consistently strongest: EHE97 (1 event): OR 1.11 (1.06–1.16). EHE97 ≥3 days: OR 1.13 (1.03–1.24). Birthweight reductions: One EHE90 in 1st trimester: −20.95 g. EHE97 ≥3 days in 1st trimester: −34.19 g. Percentile effects: strongest around 40th–60th percentiles. No meaningful associations in 2nd or 3rd trimester.</w:t>
            </w:r>
          </w:p>
        </w:tc>
        <w:tc>
          <w:tcPr>
            <w:tcW w:w="912" w:type="dxa"/>
            <w:hideMark/>
          </w:tcPr>
          <w:p w14:paraId="439EE95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race, ethnicity, education, smoking, alcohol, prenatal care adequacy, atmospheric pressure, humidity,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 ozone, weather region, birth year</w:t>
            </w:r>
          </w:p>
        </w:tc>
      </w:tr>
      <w:tr w:rsidR="0051112E" w:rsidRPr="0051112E" w14:paraId="52A416A1" w14:textId="77777777" w:rsidTr="0051112E">
        <w:trPr>
          <w:trHeight w:val="1418"/>
        </w:trPr>
        <w:tc>
          <w:tcPr>
            <w:cnfStyle w:val="001000000000" w:firstRow="0" w:lastRow="0" w:firstColumn="1" w:lastColumn="0" w:oddVBand="0" w:evenVBand="0" w:oddHBand="0" w:evenHBand="0" w:firstRowFirstColumn="0" w:firstRowLastColumn="0" w:lastRowFirstColumn="0" w:lastRowLastColumn="0"/>
            <w:tcW w:w="1418" w:type="dxa"/>
            <w:hideMark/>
          </w:tcPr>
          <w:p w14:paraId="7877C71D"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Exposure to heat wave during pregnancy and adverse birth outcomes: An exploration of susceptible windows</w:t>
            </w:r>
          </w:p>
        </w:tc>
        <w:tc>
          <w:tcPr>
            <w:tcW w:w="567" w:type="dxa"/>
            <w:hideMark/>
          </w:tcPr>
          <w:p w14:paraId="261E96E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Wang J</w:t>
            </w:r>
            <w:r w:rsidRPr="0051112E">
              <w:rPr>
                <w:rFonts w:ascii="Aptos Narrow" w:eastAsia="Times New Roman" w:hAnsi="Aptos Narrow" w:cs="Times New Roman"/>
                <w:color w:val="000000"/>
                <w:sz w:val="15"/>
                <w:szCs w:val="15"/>
                <w:vertAlign w:val="superscript"/>
                <w:lang w:eastAsia="en-GB"/>
              </w:rPr>
              <w:t xml:space="preserve"> et al. </w:t>
            </w:r>
          </w:p>
        </w:tc>
        <w:tc>
          <w:tcPr>
            <w:tcW w:w="567" w:type="dxa"/>
            <w:hideMark/>
          </w:tcPr>
          <w:p w14:paraId="7E90D17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Epidemiology</w:t>
            </w:r>
          </w:p>
        </w:tc>
        <w:tc>
          <w:tcPr>
            <w:tcW w:w="425" w:type="dxa"/>
            <w:hideMark/>
          </w:tcPr>
          <w:p w14:paraId="14BFE9F8"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2019</w:t>
            </w:r>
          </w:p>
        </w:tc>
        <w:tc>
          <w:tcPr>
            <w:tcW w:w="567" w:type="dxa"/>
            <w:hideMark/>
          </w:tcPr>
          <w:p w14:paraId="217F839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Australia</w:t>
            </w:r>
          </w:p>
        </w:tc>
        <w:tc>
          <w:tcPr>
            <w:tcW w:w="567" w:type="dxa"/>
            <w:hideMark/>
          </w:tcPr>
          <w:p w14:paraId="33E92AE7" w14:textId="0D76E2F2"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131FA5F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277,133</w:t>
            </w:r>
          </w:p>
        </w:tc>
        <w:tc>
          <w:tcPr>
            <w:tcW w:w="709" w:type="dxa"/>
            <w:hideMark/>
          </w:tcPr>
          <w:p w14:paraId="402F3B4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Brisbane birth registry</w:t>
            </w:r>
          </w:p>
        </w:tc>
        <w:tc>
          <w:tcPr>
            <w:tcW w:w="1134" w:type="dxa"/>
            <w:hideMark/>
          </w:tcPr>
          <w:p w14:paraId="6F026D0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births ≥19 weeks or ≥400 g. PTB analysis: spontaneous live births only. Excluded: missing GA (n=16).</w:t>
            </w:r>
          </w:p>
        </w:tc>
        <w:tc>
          <w:tcPr>
            <w:tcW w:w="992" w:type="dxa"/>
            <w:hideMark/>
          </w:tcPr>
          <w:p w14:paraId="4B1EB6D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Warm-season births (Nov–Mar) examined for acute effects; 7,691 PTB and 705 stillbirths during warm months.</w:t>
            </w:r>
          </w:p>
        </w:tc>
        <w:tc>
          <w:tcPr>
            <w:tcW w:w="567" w:type="dxa"/>
            <w:noWrap/>
            <w:hideMark/>
          </w:tcPr>
          <w:p w14:paraId="7459EAA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waves (6 definitions)</w:t>
            </w:r>
          </w:p>
        </w:tc>
        <w:tc>
          <w:tcPr>
            <w:tcW w:w="851" w:type="dxa"/>
            <w:hideMark/>
          </w:tcPr>
          <w:p w14:paraId="388C664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HWD1–3: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&gt;90th percentile for 2, 3, 4 days. HWD4–6: </w:t>
            </w:r>
            <w:proofErr w:type="spellStart"/>
            <w:r w:rsidRPr="00495497">
              <w:rPr>
                <w:rFonts w:ascii="Aptos Narrow" w:eastAsia="Times New Roman" w:hAnsi="Aptos Narrow" w:cs="Times New Roman"/>
                <w:color w:val="000000"/>
                <w:sz w:val="15"/>
                <w:szCs w:val="15"/>
                <w:vertAlign w:val="superscript"/>
                <w:lang w:eastAsia="en-GB"/>
              </w:rPr>
              <w:t>Tmax</w:t>
            </w:r>
            <w:proofErr w:type="spellEnd"/>
            <w:r w:rsidRPr="00495497">
              <w:rPr>
                <w:rFonts w:ascii="Aptos Narrow" w:eastAsia="Times New Roman" w:hAnsi="Aptos Narrow" w:cs="Times New Roman"/>
                <w:color w:val="000000"/>
                <w:sz w:val="15"/>
                <w:szCs w:val="15"/>
                <w:vertAlign w:val="superscript"/>
                <w:lang w:eastAsia="en-GB"/>
              </w:rPr>
              <w:t xml:space="preserve"> &gt;95th percentile for 2, 3, 4 days. Binary exposure (yes/no) per gestational month.</w:t>
            </w:r>
          </w:p>
        </w:tc>
        <w:tc>
          <w:tcPr>
            <w:tcW w:w="708" w:type="dxa"/>
            <w:hideMark/>
          </w:tcPr>
          <w:p w14:paraId="7D3DA36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40B2F49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Preterm birth, </w:t>
            </w:r>
            <w:proofErr w:type="spellStart"/>
            <w:r w:rsidRPr="00495497">
              <w:rPr>
                <w:rFonts w:ascii="Aptos Narrow" w:eastAsia="Times New Roman" w:hAnsi="Aptos Narrow" w:cs="Times New Roman"/>
                <w:color w:val="000000"/>
                <w:sz w:val="15"/>
                <w:szCs w:val="15"/>
                <w:vertAlign w:val="superscript"/>
                <w:lang w:eastAsia="en-GB"/>
              </w:rPr>
              <w:t>stilbirth</w:t>
            </w:r>
            <w:proofErr w:type="spellEnd"/>
          </w:p>
        </w:tc>
        <w:tc>
          <w:tcPr>
            <w:tcW w:w="850" w:type="dxa"/>
            <w:hideMark/>
          </w:tcPr>
          <w:p w14:paraId="2C5F4CC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(&lt;37 weeks; spontaneous); Stillbirth (≥20 weeks or ≥400 g)</w:t>
            </w:r>
          </w:p>
        </w:tc>
        <w:tc>
          <w:tcPr>
            <w:tcW w:w="1701" w:type="dxa"/>
            <w:hideMark/>
          </w:tcPr>
          <w:p w14:paraId="5F125AE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Heat waves increased PTB in all gestational months, HRs 1.08–1.53 across definitions; no single highly susceptible month identified. Stillbirth: Strongest associations in early pregnancy (months 1–6): HRs 1.54–1.75 (e.g., HWD2). Risk declines after month 6, slight bump at month 8 with HWD6 but not consistent across definitions. Results robust to air pollution adjustment and seasonal controls.</w:t>
            </w:r>
          </w:p>
        </w:tc>
        <w:tc>
          <w:tcPr>
            <w:tcW w:w="912" w:type="dxa"/>
            <w:hideMark/>
          </w:tcPr>
          <w:p w14:paraId="5E35D7C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marital status, Indigenous status, parity, fetal sex, SES disadvantage; air pollutants (PM10, NO₂, O₃, CO, SO₂); cold days; year &amp; month dummy variables.</w:t>
            </w:r>
          </w:p>
        </w:tc>
      </w:tr>
      <w:tr w:rsidR="0051112E" w:rsidRPr="0051112E" w14:paraId="31A2F015" w14:textId="77777777" w:rsidTr="0051112E">
        <w:trPr>
          <w:cnfStyle w:val="000000100000" w:firstRow="0" w:lastRow="0" w:firstColumn="0" w:lastColumn="0" w:oddVBand="0" w:evenVBand="0" w:oddHBand="1" w:evenHBand="0" w:firstRowFirstColumn="0" w:firstRowLastColumn="0" w:lastRowFirstColumn="0" w:lastRowLastColumn="0"/>
          <w:trHeight w:val="2092"/>
        </w:trPr>
        <w:tc>
          <w:tcPr>
            <w:cnfStyle w:val="001000000000" w:firstRow="0" w:lastRow="0" w:firstColumn="1" w:lastColumn="0" w:oddVBand="0" w:evenVBand="0" w:oddHBand="0" w:evenHBand="0" w:firstRowFirstColumn="0" w:firstRowLastColumn="0" w:lastRowFirstColumn="0" w:lastRowLastColumn="0"/>
            <w:tcW w:w="1418" w:type="dxa"/>
            <w:hideMark/>
          </w:tcPr>
          <w:p w14:paraId="7C050BCE"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Impacts of high temperature on adverse birth outcomes in Seoul, Korea: Disparities by individual- and community-level characteristics</w:t>
            </w:r>
          </w:p>
        </w:tc>
        <w:tc>
          <w:tcPr>
            <w:tcW w:w="567" w:type="dxa"/>
            <w:hideMark/>
          </w:tcPr>
          <w:p w14:paraId="68A2DE9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Son J-Y</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4B41166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Research</w:t>
            </w:r>
          </w:p>
        </w:tc>
        <w:tc>
          <w:tcPr>
            <w:tcW w:w="425" w:type="dxa"/>
            <w:hideMark/>
          </w:tcPr>
          <w:p w14:paraId="1B0529F6"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2019</w:t>
            </w:r>
          </w:p>
        </w:tc>
        <w:tc>
          <w:tcPr>
            <w:tcW w:w="567" w:type="dxa"/>
            <w:hideMark/>
          </w:tcPr>
          <w:p w14:paraId="3027933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South Korea</w:t>
            </w:r>
          </w:p>
        </w:tc>
        <w:tc>
          <w:tcPr>
            <w:tcW w:w="567" w:type="dxa"/>
            <w:hideMark/>
          </w:tcPr>
          <w:p w14:paraId="79477E71" w14:textId="7912CF67"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46CAB09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813,820</w:t>
            </w:r>
          </w:p>
        </w:tc>
        <w:tc>
          <w:tcPr>
            <w:tcW w:w="709" w:type="dxa"/>
            <w:hideMark/>
          </w:tcPr>
          <w:p w14:paraId="68E6186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National birth registry</w:t>
            </w:r>
          </w:p>
        </w:tc>
        <w:tc>
          <w:tcPr>
            <w:tcW w:w="1134" w:type="dxa"/>
            <w:hideMark/>
          </w:tcPr>
          <w:p w14:paraId="5E42148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births with complete GA, BW, maternal age &amp; education. Excluded missing covariates.</w:t>
            </w:r>
          </w:p>
        </w:tc>
        <w:tc>
          <w:tcPr>
            <w:tcW w:w="992" w:type="dxa"/>
            <w:hideMark/>
          </w:tcPr>
          <w:p w14:paraId="281B8B3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PTB 4.0% (32,908);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1.6% (12,298). Mothers mostly aged 25–34; 72% &gt;12 years education. Community-level SES and greenness varied by </w:t>
            </w:r>
            <w:proofErr w:type="spellStart"/>
            <w:r w:rsidRPr="00495497">
              <w:rPr>
                <w:rFonts w:ascii="Aptos Narrow" w:eastAsia="Times New Roman" w:hAnsi="Aptos Narrow" w:cs="Times New Roman"/>
                <w:color w:val="000000"/>
                <w:sz w:val="15"/>
                <w:szCs w:val="15"/>
                <w:vertAlign w:val="superscript"/>
                <w:lang w:eastAsia="en-GB"/>
              </w:rPr>
              <w:t>gu</w:t>
            </w:r>
            <w:proofErr w:type="spellEnd"/>
            <w:r w:rsidRPr="00495497">
              <w:rPr>
                <w:rFonts w:ascii="Aptos Narrow" w:eastAsia="Times New Roman" w:hAnsi="Aptos Narrow" w:cs="Times New Roman"/>
                <w:color w:val="000000"/>
                <w:sz w:val="15"/>
                <w:szCs w:val="15"/>
                <w:vertAlign w:val="superscript"/>
                <w:lang w:eastAsia="en-GB"/>
              </w:rPr>
              <w:t>.</w:t>
            </w:r>
          </w:p>
        </w:tc>
        <w:tc>
          <w:tcPr>
            <w:tcW w:w="567" w:type="dxa"/>
            <w:noWrap/>
            <w:hideMark/>
          </w:tcPr>
          <w:p w14:paraId="43B7971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index</w:t>
            </w:r>
          </w:p>
        </w:tc>
        <w:tc>
          <w:tcPr>
            <w:tcW w:w="851" w:type="dxa"/>
            <w:hideMark/>
          </w:tcPr>
          <w:p w14:paraId="752C215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function of temperature &amp; relative humidity</w:t>
            </w:r>
          </w:p>
        </w:tc>
        <w:tc>
          <w:tcPr>
            <w:tcW w:w="708" w:type="dxa"/>
            <w:hideMark/>
          </w:tcPr>
          <w:p w14:paraId="390844E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Whole pregnancy; 4 weeks before birth; 1 week before birth (not used for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due to plausibility).</w:t>
            </w:r>
          </w:p>
        </w:tc>
        <w:tc>
          <w:tcPr>
            <w:tcW w:w="851" w:type="dxa"/>
            <w:gridSpan w:val="2"/>
            <w:hideMark/>
          </w:tcPr>
          <w:p w14:paraId="0D48F9A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Preterm birth, (term) low birth weight</w:t>
            </w:r>
          </w:p>
        </w:tc>
        <w:tc>
          <w:tcPr>
            <w:tcW w:w="850" w:type="dxa"/>
            <w:hideMark/>
          </w:tcPr>
          <w:p w14:paraId="439E9FC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PTB &lt;37 weeks;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(&lt;2500 g among term births)</w:t>
            </w:r>
          </w:p>
        </w:tc>
        <w:tc>
          <w:tcPr>
            <w:tcW w:w="1701" w:type="dxa"/>
            <w:hideMark/>
          </w:tcPr>
          <w:p w14:paraId="3763CDB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PTB: Whole pregnancy: OR 1.033 (95% CI 1.005–1.061; NO₂-adjusted). 4 weeks before delivery: OR 1.013 (1.005–1.022). 1 week before delivery: OR 1.012 (1.004–1.020). </w:t>
            </w:r>
            <w:r w:rsidRPr="00495497">
              <w:rPr>
                <w:rFonts w:ascii="Aptos Narrow" w:eastAsia="Times New Roman" w:hAnsi="Aptos Narrow" w:cs="Times New Roman"/>
                <w:color w:val="000000"/>
                <w:sz w:val="15"/>
                <w:szCs w:val="15"/>
                <w:vertAlign w:val="superscript"/>
                <w:lang w:eastAsia="en-GB"/>
              </w:rPr>
              <w:br/>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w:t>
            </w:r>
            <w:r w:rsidRPr="00495497">
              <w:rPr>
                <w:rFonts w:ascii="Aptos Narrow" w:eastAsia="Times New Roman" w:hAnsi="Aptos Narrow" w:cs="Times New Roman"/>
                <w:color w:val="000000"/>
                <w:sz w:val="15"/>
                <w:szCs w:val="15"/>
                <w:u w:val="single"/>
                <w:vertAlign w:val="superscript"/>
                <w:lang w:eastAsia="en-GB"/>
              </w:rPr>
              <w:t xml:space="preserve">No significant associations </w:t>
            </w:r>
            <w:r w:rsidRPr="00495497">
              <w:rPr>
                <w:rFonts w:ascii="Aptos Narrow" w:eastAsia="Times New Roman" w:hAnsi="Aptos Narrow" w:cs="Times New Roman"/>
                <w:color w:val="000000"/>
                <w:sz w:val="15"/>
                <w:szCs w:val="15"/>
                <w:vertAlign w:val="superscript"/>
                <w:lang w:eastAsia="en-GB"/>
              </w:rPr>
              <w:t xml:space="preserve">for any exposure window. </w:t>
            </w:r>
            <w:r w:rsidRPr="00495497">
              <w:rPr>
                <w:rFonts w:ascii="Aptos Narrow" w:eastAsia="Times New Roman" w:hAnsi="Aptos Narrow" w:cs="Times New Roman"/>
                <w:color w:val="000000"/>
                <w:sz w:val="15"/>
                <w:szCs w:val="15"/>
                <w:vertAlign w:val="superscript"/>
                <w:lang w:eastAsia="en-GB"/>
              </w:rPr>
              <w:br/>
              <w:t xml:space="preserve">Effect modification: Higher PTB risk in infants </w:t>
            </w:r>
            <w:proofErr w:type="gramStart"/>
            <w:r w:rsidRPr="00495497">
              <w:rPr>
                <w:rFonts w:ascii="Aptos Narrow" w:eastAsia="Times New Roman" w:hAnsi="Aptos Narrow" w:cs="Times New Roman"/>
                <w:color w:val="000000"/>
                <w:sz w:val="15"/>
                <w:szCs w:val="15"/>
                <w:vertAlign w:val="superscript"/>
                <w:lang w:eastAsia="en-GB"/>
              </w:rPr>
              <w:t>of:</w:t>
            </w:r>
            <w:proofErr w:type="gramEnd"/>
            <w:r w:rsidRPr="00495497">
              <w:rPr>
                <w:rFonts w:ascii="Aptos Narrow" w:eastAsia="Times New Roman" w:hAnsi="Aptos Narrow" w:cs="Times New Roman"/>
                <w:color w:val="000000"/>
                <w:sz w:val="15"/>
                <w:szCs w:val="15"/>
                <w:vertAlign w:val="superscript"/>
                <w:lang w:eastAsia="en-GB"/>
              </w:rPr>
              <w:t xml:space="preserve"> very young (&lt;25) or older (30–34 or ≥35) mothers, low maternal education (individual-level SES), low community-level SES, combined low individual + low community SES showed the strongest association (OR 1.10; 1.03–1.17).</w:t>
            </w:r>
          </w:p>
        </w:tc>
        <w:tc>
          <w:tcPr>
            <w:tcW w:w="912" w:type="dxa"/>
            <w:hideMark/>
          </w:tcPr>
          <w:p w14:paraId="0AD8939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Infant sex; maternal age; maternal education; month &amp; year of birth; air pollutants (NO₂, PM₁₀, O₃; each separately); stratified community-level SES &amp; greenness.</w:t>
            </w:r>
          </w:p>
        </w:tc>
      </w:tr>
      <w:tr w:rsidR="0051112E" w:rsidRPr="0051112E" w14:paraId="27BB54D1" w14:textId="77777777" w:rsidTr="0051112E">
        <w:trPr>
          <w:trHeight w:val="2240"/>
        </w:trPr>
        <w:tc>
          <w:tcPr>
            <w:cnfStyle w:val="001000000000" w:firstRow="0" w:lastRow="0" w:firstColumn="1" w:lastColumn="0" w:oddVBand="0" w:evenVBand="0" w:oddHBand="0" w:evenHBand="0" w:firstRowFirstColumn="0" w:firstRowLastColumn="0" w:lastRowFirstColumn="0" w:lastRowLastColumn="0"/>
            <w:tcW w:w="1418" w:type="dxa"/>
            <w:hideMark/>
          </w:tcPr>
          <w:p w14:paraId="52E12281"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 and Term Low Birth Weight in California</w:t>
            </w:r>
          </w:p>
        </w:tc>
        <w:tc>
          <w:tcPr>
            <w:tcW w:w="567" w:type="dxa"/>
            <w:hideMark/>
          </w:tcPr>
          <w:p w14:paraId="21F596A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Basu R</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65A0DB0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American Journal of Epidemiology</w:t>
            </w:r>
          </w:p>
        </w:tc>
        <w:tc>
          <w:tcPr>
            <w:tcW w:w="425" w:type="dxa"/>
            <w:hideMark/>
          </w:tcPr>
          <w:p w14:paraId="66FEB5DD"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2018</w:t>
            </w:r>
          </w:p>
        </w:tc>
        <w:tc>
          <w:tcPr>
            <w:tcW w:w="567" w:type="dxa"/>
            <w:hideMark/>
          </w:tcPr>
          <w:p w14:paraId="5493CCD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4525D049" w14:textId="314C1052"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56B4503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2,076,230</w:t>
            </w:r>
          </w:p>
        </w:tc>
        <w:tc>
          <w:tcPr>
            <w:tcW w:w="709" w:type="dxa"/>
            <w:hideMark/>
          </w:tcPr>
          <w:p w14:paraId="5E773E8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Statewide birth registry</w:t>
            </w:r>
          </w:p>
        </w:tc>
        <w:tc>
          <w:tcPr>
            <w:tcW w:w="1134" w:type="dxa"/>
            <w:hideMark/>
          </w:tcPr>
          <w:p w14:paraId="1FA793D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births 37–44 weeks with BW, GA, sex, maternal age, race/ethnicity, education. Excluded: missing covariates; births lacking complete meteorological exposure; mothers &gt;10 km from weather monitor</w:t>
            </w:r>
          </w:p>
        </w:tc>
        <w:tc>
          <w:tcPr>
            <w:tcW w:w="992" w:type="dxa"/>
            <w:hideMark/>
          </w:tcPr>
          <w:p w14:paraId="7AE0940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more frequent in female infants, younger mothers (11–24 yrs), Black mothers, coastal areas; 51% warm-season births.</w:t>
            </w:r>
          </w:p>
        </w:tc>
        <w:tc>
          <w:tcPr>
            <w:tcW w:w="567" w:type="dxa"/>
            <w:noWrap/>
            <w:hideMark/>
          </w:tcPr>
          <w:p w14:paraId="149B84F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Apparent temperature</w:t>
            </w:r>
          </w:p>
        </w:tc>
        <w:tc>
          <w:tcPr>
            <w:tcW w:w="851" w:type="dxa"/>
            <w:hideMark/>
          </w:tcPr>
          <w:p w14:paraId="2D49E3C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Combining ambient temperature and relative humidity</w:t>
            </w:r>
          </w:p>
        </w:tc>
        <w:tc>
          <w:tcPr>
            <w:tcW w:w="708" w:type="dxa"/>
            <w:hideMark/>
          </w:tcPr>
          <w:p w14:paraId="06B5466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7359CA5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Term low birthweight</w:t>
            </w:r>
          </w:p>
        </w:tc>
        <w:tc>
          <w:tcPr>
            <w:tcW w:w="850" w:type="dxa"/>
            <w:hideMark/>
          </w:tcPr>
          <w:p w14:paraId="56B4099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xml:space="preserve"> defined by BW &lt;2500 g among term births</w:t>
            </w:r>
          </w:p>
        </w:tc>
        <w:tc>
          <w:tcPr>
            <w:tcW w:w="1701" w:type="dxa"/>
            <w:hideMark/>
          </w:tcPr>
          <w:p w14:paraId="53E03F6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Full gestation: +13.0% higher odds per +10°F (≥55°F). Third trimester: strongest effect: +15.8% per +10°F (≥65°F). Second trimester: small positive effect (+1.7%). First trimester: negative association (−7.4%; cooler temps associated with higher </w:t>
            </w:r>
            <w:proofErr w:type="spellStart"/>
            <w:r w:rsidRPr="00495497">
              <w:rPr>
                <w:rFonts w:ascii="Aptos Narrow" w:eastAsia="Times New Roman" w:hAnsi="Aptos Narrow" w:cs="Times New Roman"/>
                <w:color w:val="000000"/>
                <w:sz w:val="15"/>
                <w:szCs w:val="15"/>
                <w:vertAlign w:val="superscript"/>
                <w:lang w:eastAsia="en-GB"/>
              </w:rPr>
              <w:t>tLBW</w:t>
            </w:r>
            <w:proofErr w:type="spellEnd"/>
            <w:r w:rsidRPr="00495497">
              <w:rPr>
                <w:rFonts w:ascii="Aptos Narrow" w:eastAsia="Times New Roman" w:hAnsi="Aptos Narrow" w:cs="Times New Roman"/>
                <w:color w:val="000000"/>
                <w:sz w:val="15"/>
                <w:szCs w:val="15"/>
                <w:vertAlign w:val="superscript"/>
                <w:lang w:eastAsia="en-GB"/>
              </w:rPr>
              <w:t>). First month: null; last month/2 weeks: small increases (+2.6–2.7%). Effect modifiers: highest risks for Black mothers, older mothers, highly educated mothers, underweight mothers, warm-season births, and male infants. Air pollutants: none confounded associations; ozone modified heat effect.</w:t>
            </w:r>
          </w:p>
        </w:tc>
        <w:tc>
          <w:tcPr>
            <w:tcW w:w="912" w:type="dxa"/>
            <w:hideMark/>
          </w:tcPr>
          <w:p w14:paraId="5CEDBEB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race/ethnicity, education; infant sex; season &amp; year of birth; evaluated modification by BMI, WIC enrollment, smoking; pollutant adjustment (CO, NO₂, SO₂, O₃, PM</w:t>
            </w:r>
            <w:proofErr w:type="gramStart"/>
            <w:r w:rsidRPr="00495497">
              <w:rPr>
                <w:rFonts w:ascii="Aptos Narrow" w:eastAsia="Times New Roman" w:hAnsi="Aptos Narrow" w:cs="Times New Roman"/>
                <w:color w:val="000000"/>
                <w:sz w:val="15"/>
                <w:szCs w:val="15"/>
                <w:vertAlign w:val="superscript"/>
                <w:lang w:eastAsia="en-GB"/>
              </w:rPr>
              <w:t>₂.₅</w:t>
            </w:r>
            <w:proofErr w:type="gramEnd"/>
            <w:r w:rsidRPr="00495497">
              <w:rPr>
                <w:rFonts w:ascii="Aptos Narrow" w:eastAsia="Times New Roman" w:hAnsi="Aptos Narrow" w:cs="Times New Roman"/>
                <w:color w:val="000000"/>
                <w:sz w:val="15"/>
                <w:szCs w:val="15"/>
                <w:vertAlign w:val="superscript"/>
                <w:lang w:eastAsia="en-GB"/>
              </w:rPr>
              <w:t>)</w:t>
            </w:r>
          </w:p>
        </w:tc>
      </w:tr>
      <w:tr w:rsidR="0051112E" w:rsidRPr="0051112E" w14:paraId="2D60F323" w14:textId="77777777" w:rsidTr="0051112E">
        <w:trPr>
          <w:cnfStyle w:val="000000100000" w:firstRow="0" w:lastRow="0" w:firstColumn="0" w:lastColumn="0" w:oddVBand="0" w:evenVBand="0" w:oddHBand="1" w:evenHBand="0" w:firstRowFirstColumn="0" w:firstRowLastColumn="0" w:lastRowFirstColumn="0" w:lastRowLastColumn="0"/>
          <w:trHeight w:val="1985"/>
        </w:trPr>
        <w:tc>
          <w:tcPr>
            <w:cnfStyle w:val="001000000000" w:firstRow="0" w:lastRow="0" w:firstColumn="1" w:lastColumn="0" w:oddVBand="0" w:evenVBand="0" w:oddHBand="0" w:evenHBand="0" w:firstRowFirstColumn="0" w:firstRowLastColumn="0" w:lastRowFirstColumn="0" w:lastRowLastColumn="0"/>
            <w:tcW w:w="1418" w:type="dxa"/>
            <w:hideMark/>
          </w:tcPr>
          <w:p w14:paraId="58B1AEF0"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Exploring associations of maternal exposure to ambient temperature with duration of gestation and birth weight: A prospective study</w:t>
            </w:r>
          </w:p>
        </w:tc>
        <w:tc>
          <w:tcPr>
            <w:tcW w:w="567" w:type="dxa"/>
            <w:hideMark/>
          </w:tcPr>
          <w:p w14:paraId="3391254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Li S</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6250B4F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BMC Pregnancy and Childbirth</w:t>
            </w:r>
          </w:p>
        </w:tc>
        <w:tc>
          <w:tcPr>
            <w:tcW w:w="425" w:type="dxa"/>
            <w:hideMark/>
          </w:tcPr>
          <w:p w14:paraId="4D3B5833"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2018</w:t>
            </w:r>
          </w:p>
        </w:tc>
        <w:tc>
          <w:tcPr>
            <w:tcW w:w="567" w:type="dxa"/>
            <w:hideMark/>
          </w:tcPr>
          <w:p w14:paraId="78B368A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Australia</w:t>
            </w:r>
          </w:p>
        </w:tc>
        <w:tc>
          <w:tcPr>
            <w:tcW w:w="567" w:type="dxa"/>
            <w:hideMark/>
          </w:tcPr>
          <w:p w14:paraId="15C2BD7D" w14:textId="3D90D534"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6AEC30C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237,585</w:t>
            </w:r>
          </w:p>
        </w:tc>
        <w:tc>
          <w:tcPr>
            <w:tcW w:w="709" w:type="dxa"/>
            <w:hideMark/>
          </w:tcPr>
          <w:p w14:paraId="0217863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Perinatal Data Collection Unit</w:t>
            </w:r>
          </w:p>
        </w:tc>
        <w:tc>
          <w:tcPr>
            <w:tcW w:w="1134" w:type="dxa"/>
            <w:hideMark/>
          </w:tcPr>
          <w:p w14:paraId="5B8438C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live births ≥20 weeks GA or ≥400 g BW. Excluded: LMP before Jan 2001 (n=38,003), stillbirths (n=1,445), missing BW/GA (n=116).</w:t>
            </w:r>
          </w:p>
        </w:tc>
        <w:tc>
          <w:tcPr>
            <w:tcW w:w="992" w:type="dxa"/>
            <w:hideMark/>
          </w:tcPr>
          <w:p w14:paraId="7A840E5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Mean GA 38.94 ± 1.87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mean BW 3.42 ± 0.56 kg; 75% of mothers aged 20–35; 2% Indigenous; 42% primiparous.</w:t>
            </w:r>
          </w:p>
        </w:tc>
        <w:tc>
          <w:tcPr>
            <w:tcW w:w="567" w:type="dxa"/>
            <w:hideMark/>
          </w:tcPr>
          <w:p w14:paraId="3727898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(Max and min)</w:t>
            </w:r>
          </w:p>
        </w:tc>
        <w:tc>
          <w:tcPr>
            <w:tcW w:w="851" w:type="dxa"/>
            <w:hideMark/>
          </w:tcPr>
          <w:p w14:paraId="02D4036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 categorized for analysis: Maximum temperature: &gt;30°C, 25–30°C, 20–25°C, ≤20°C.  Minimum temperature: &gt;20°C, 15–20°C, 10–15°C, ≤10°C. Exposure assessed in first vs. last gestational week, and first 4 vs. last 4 weeks.</w:t>
            </w:r>
          </w:p>
        </w:tc>
        <w:tc>
          <w:tcPr>
            <w:tcW w:w="708" w:type="dxa"/>
            <w:hideMark/>
          </w:tcPr>
          <w:p w14:paraId="1A92FD2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Early pregnancy: first week &amp; first 4 gestational weeks. + Late pregnancy: last week &amp; last 4 gestational weeks.</w:t>
            </w:r>
          </w:p>
        </w:tc>
        <w:tc>
          <w:tcPr>
            <w:tcW w:w="851" w:type="dxa"/>
            <w:gridSpan w:val="2"/>
            <w:hideMark/>
          </w:tcPr>
          <w:p w14:paraId="1405A0C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Duration of gestation (weeks); Birthweight (kg)</w:t>
            </w:r>
          </w:p>
        </w:tc>
        <w:tc>
          <w:tcPr>
            <w:tcW w:w="850" w:type="dxa"/>
            <w:hideMark/>
          </w:tcPr>
          <w:p w14:paraId="36F4B45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GA based on LMP; BW measured at birth</w:t>
            </w:r>
          </w:p>
        </w:tc>
        <w:tc>
          <w:tcPr>
            <w:tcW w:w="1701" w:type="dxa"/>
            <w:hideMark/>
          </w:tcPr>
          <w:p w14:paraId="64B7A8E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Gestational duration: Minimum temperature &gt;20°C at conception → longer gestation (+0.029 weeks). Minimum temperature &gt;20°</w:t>
            </w:r>
            <w:proofErr w:type="spellStart"/>
            <w:r w:rsidRPr="00495497">
              <w:rPr>
                <w:rFonts w:ascii="Aptos Narrow" w:eastAsia="Times New Roman" w:hAnsi="Aptos Narrow" w:cs="Times New Roman"/>
                <w:color w:val="000000"/>
                <w:sz w:val="15"/>
                <w:szCs w:val="15"/>
                <w:vertAlign w:val="superscript"/>
                <w:lang w:eastAsia="en-GB"/>
              </w:rPr>
              <w:t>C at</w:t>
            </w:r>
            <w:proofErr w:type="spellEnd"/>
            <w:r w:rsidRPr="00495497">
              <w:rPr>
                <w:rFonts w:ascii="Aptos Narrow" w:eastAsia="Times New Roman" w:hAnsi="Aptos Narrow" w:cs="Times New Roman"/>
                <w:color w:val="000000"/>
                <w:sz w:val="15"/>
                <w:szCs w:val="15"/>
                <w:vertAlign w:val="superscript"/>
                <w:lang w:eastAsia="en-GB"/>
              </w:rPr>
              <w:t xml:space="preserve"> delivery → shorter gestation (−0.042 weeks). Minimum ≤10°</w:t>
            </w:r>
            <w:proofErr w:type="spellStart"/>
            <w:r w:rsidRPr="00495497">
              <w:rPr>
                <w:rFonts w:ascii="Aptos Narrow" w:eastAsia="Times New Roman" w:hAnsi="Aptos Narrow" w:cs="Times New Roman"/>
                <w:color w:val="000000"/>
                <w:sz w:val="15"/>
                <w:szCs w:val="15"/>
                <w:vertAlign w:val="superscript"/>
                <w:lang w:eastAsia="en-GB"/>
              </w:rPr>
              <w:t>C at</w:t>
            </w:r>
            <w:proofErr w:type="spellEnd"/>
            <w:r w:rsidRPr="00495497">
              <w:rPr>
                <w:rFonts w:ascii="Aptos Narrow" w:eastAsia="Times New Roman" w:hAnsi="Aptos Narrow" w:cs="Times New Roman"/>
                <w:color w:val="000000"/>
                <w:sz w:val="15"/>
                <w:szCs w:val="15"/>
                <w:vertAlign w:val="superscript"/>
                <w:lang w:eastAsia="en-GB"/>
              </w:rPr>
              <w:t xml:space="preserve"> delivery → −0.018 weeks. Effect present in cumulative 4-week windows; maximum temperature not associated with GA. </w:t>
            </w:r>
            <w:r w:rsidRPr="00495497">
              <w:rPr>
                <w:rFonts w:ascii="Aptos Narrow" w:eastAsia="Times New Roman" w:hAnsi="Aptos Narrow" w:cs="Times New Roman"/>
                <w:color w:val="000000"/>
                <w:sz w:val="15"/>
                <w:szCs w:val="15"/>
                <w:vertAlign w:val="superscript"/>
                <w:lang w:eastAsia="en-GB"/>
              </w:rPr>
              <w:br/>
              <w:t>Birthweight: Maximum temperature at delivery: compared to &gt;30°C: 20–25°C: +11 g; &lt;20°C: +18 g; Minimum temperature not associated with BW after full adjustment. BW sensitive mainly in late pregnancy; early-pregnancy exposures showed inconsistent/null effects.</w:t>
            </w:r>
          </w:p>
        </w:tc>
        <w:tc>
          <w:tcPr>
            <w:tcW w:w="912" w:type="dxa"/>
            <w:hideMark/>
          </w:tcPr>
          <w:p w14:paraId="74D869D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Indigenous status, marital status, parity, fetal sex, duration of gestation (in BW models), RH, air pressure, PM10, SO₂, NO₂, O₃, calendar month at delivery; mutual adjustment for max/min temperatures.</w:t>
            </w:r>
          </w:p>
        </w:tc>
      </w:tr>
      <w:tr w:rsidR="0051112E" w:rsidRPr="0051112E" w14:paraId="32AE63BB" w14:textId="77777777" w:rsidTr="0051112E">
        <w:trPr>
          <w:trHeight w:val="2410"/>
        </w:trPr>
        <w:tc>
          <w:tcPr>
            <w:cnfStyle w:val="001000000000" w:firstRow="0" w:lastRow="0" w:firstColumn="1" w:lastColumn="0" w:oddVBand="0" w:evenVBand="0" w:oddHBand="0" w:evenHBand="0" w:firstRowFirstColumn="0" w:firstRowLastColumn="0" w:lastRowFirstColumn="0" w:lastRowLastColumn="0"/>
            <w:tcW w:w="1418" w:type="dxa"/>
            <w:hideMark/>
          </w:tcPr>
          <w:p w14:paraId="7B5C489F"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Temporal change in the impacts of ambient temperature on preterm birth and stillbirth: Brisbane, 1994–2013</w:t>
            </w:r>
          </w:p>
        </w:tc>
        <w:tc>
          <w:tcPr>
            <w:tcW w:w="567" w:type="dxa"/>
            <w:hideMark/>
          </w:tcPr>
          <w:p w14:paraId="1E5B03D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Li S</w:t>
            </w:r>
            <w:r w:rsidRPr="0051112E">
              <w:rPr>
                <w:rFonts w:ascii="Aptos Narrow" w:eastAsia="Times New Roman" w:hAnsi="Aptos Narrow" w:cs="Times New Roman"/>
                <w:color w:val="000000"/>
                <w:sz w:val="15"/>
                <w:szCs w:val="15"/>
                <w:vertAlign w:val="superscript"/>
                <w:lang w:eastAsia="en-GB"/>
              </w:rPr>
              <w:t xml:space="preserve"> et al. </w:t>
            </w:r>
          </w:p>
        </w:tc>
        <w:tc>
          <w:tcPr>
            <w:tcW w:w="567" w:type="dxa"/>
            <w:hideMark/>
          </w:tcPr>
          <w:p w14:paraId="24AED6D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Science of the Total Environment</w:t>
            </w:r>
          </w:p>
        </w:tc>
        <w:tc>
          <w:tcPr>
            <w:tcW w:w="425" w:type="dxa"/>
            <w:hideMark/>
          </w:tcPr>
          <w:p w14:paraId="62742B53"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2018</w:t>
            </w:r>
          </w:p>
        </w:tc>
        <w:tc>
          <w:tcPr>
            <w:tcW w:w="567" w:type="dxa"/>
            <w:hideMark/>
          </w:tcPr>
          <w:p w14:paraId="1DAF04B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Australia</w:t>
            </w:r>
          </w:p>
        </w:tc>
        <w:tc>
          <w:tcPr>
            <w:tcW w:w="567" w:type="dxa"/>
            <w:hideMark/>
          </w:tcPr>
          <w:p w14:paraId="5E54BA18" w14:textId="46C14CAF"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73740DD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289,351</w:t>
            </w:r>
          </w:p>
        </w:tc>
        <w:tc>
          <w:tcPr>
            <w:tcW w:w="709" w:type="dxa"/>
            <w:hideMark/>
          </w:tcPr>
          <w:p w14:paraId="4644239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Perinatal Data Collection Unit</w:t>
            </w:r>
          </w:p>
        </w:tc>
        <w:tc>
          <w:tcPr>
            <w:tcW w:w="1134" w:type="dxa"/>
            <w:hideMark/>
          </w:tcPr>
          <w:p w14:paraId="3F15FE9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births ≥20 weeks GA or ≥400 g. Excluded: GA &lt;20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BW &lt;400 g, missing key variables.</w:t>
            </w:r>
          </w:p>
        </w:tc>
        <w:tc>
          <w:tcPr>
            <w:tcW w:w="992" w:type="dxa"/>
            <w:hideMark/>
          </w:tcPr>
          <w:p w14:paraId="49D4E38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7.9%, stillbirth 0.6%. Many mothers &lt;35 yrs (~75%). Smoking data missing for years &lt;2005.</w:t>
            </w:r>
          </w:p>
        </w:tc>
        <w:tc>
          <w:tcPr>
            <w:tcW w:w="567" w:type="dxa"/>
            <w:hideMark/>
          </w:tcPr>
          <w:p w14:paraId="0729E23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relative humidity</w:t>
            </w:r>
          </w:p>
        </w:tc>
        <w:tc>
          <w:tcPr>
            <w:tcW w:w="851" w:type="dxa"/>
            <w:hideMark/>
          </w:tcPr>
          <w:p w14:paraId="6CD799C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Low = 5th percentile, High = 95th percentile, reference = minimum-prevalence temperature.</w:t>
            </w:r>
          </w:p>
        </w:tc>
        <w:tc>
          <w:tcPr>
            <w:tcW w:w="708" w:type="dxa"/>
            <w:hideMark/>
          </w:tcPr>
          <w:p w14:paraId="2633BD5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29F470A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Preterm birth, stillbirth</w:t>
            </w:r>
          </w:p>
        </w:tc>
        <w:tc>
          <w:tcPr>
            <w:tcW w:w="850" w:type="dxa"/>
            <w:hideMark/>
          </w:tcPr>
          <w:p w14:paraId="2193792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PTB (&lt;37 weeks, live births); stillbirth (≥20 weeks or ≥400 g)</w:t>
            </w:r>
          </w:p>
        </w:tc>
        <w:tc>
          <w:tcPr>
            <w:tcW w:w="1701" w:type="dxa"/>
            <w:hideMark/>
          </w:tcPr>
          <w:p w14:paraId="319BEB5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Preterm birth: 3rd trimester: ↑ PTB risk at both low and high temperatures → U-shaped curve. Low temp (5th percentile): HR 1.21 (1.16, 1.27). High temp (95th percentile): HR 1.21 (1.16, 1.26). </w:t>
            </w:r>
            <w:r w:rsidRPr="00495497">
              <w:rPr>
                <w:rFonts w:ascii="Aptos Narrow" w:eastAsia="Times New Roman" w:hAnsi="Aptos Narrow" w:cs="Times New Roman"/>
                <w:color w:val="000000"/>
                <w:sz w:val="15"/>
                <w:szCs w:val="15"/>
                <w:vertAlign w:val="superscript"/>
                <w:lang w:eastAsia="en-GB"/>
              </w:rPr>
              <w:br/>
              <w:t xml:space="preserve">Stillbirth: 2nd trimester: ↑ stillbirth risk at low and high temperatures. Low temp: HR 1.23 (1.04, 1.45). High temp: HR 1.47 (1.24, 1.74). </w:t>
            </w:r>
            <w:r w:rsidRPr="00495497">
              <w:rPr>
                <w:rFonts w:ascii="Aptos Narrow" w:eastAsia="Times New Roman" w:hAnsi="Aptos Narrow" w:cs="Times New Roman"/>
                <w:color w:val="000000"/>
                <w:sz w:val="15"/>
                <w:szCs w:val="15"/>
                <w:vertAlign w:val="superscript"/>
                <w:lang w:eastAsia="en-GB"/>
              </w:rPr>
              <w:br/>
              <w:t>Temporal changes (1994→2013): Low-temperature effects strengthened over time (e.g., PTB: HR from 1.20 → 1.56). High-temperature effects weakened for PTB (e.g., HR from 1.53 → 1.19). For stillbirth, high-temperature effects stayed similar; low-temperature effects increased.</w:t>
            </w:r>
          </w:p>
        </w:tc>
        <w:tc>
          <w:tcPr>
            <w:tcW w:w="912" w:type="dxa"/>
            <w:hideMark/>
          </w:tcPr>
          <w:p w14:paraId="45A0537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Baby’s sex; parity; maternal age (&lt;35/≥35); previous pregnancy; maternal medical conditions; smoking (available years only). Humidity also included. Air pollution (PM10, SO₂) tested in sensitivity analyses.</w:t>
            </w:r>
          </w:p>
        </w:tc>
      </w:tr>
      <w:tr w:rsidR="0051112E" w:rsidRPr="0051112E" w14:paraId="67FB47FD" w14:textId="77777777" w:rsidTr="0051112E">
        <w:trPr>
          <w:cnfStyle w:val="000000100000" w:firstRow="0" w:lastRow="0" w:firstColumn="0" w:lastColumn="0" w:oddVBand="0" w:evenVBand="0" w:oddHBand="1" w:evenHBand="0" w:firstRowFirstColumn="0" w:firstRowLastColumn="0" w:lastRowFirstColumn="0" w:lastRowLastColumn="0"/>
          <w:trHeight w:val="1834"/>
        </w:trPr>
        <w:tc>
          <w:tcPr>
            <w:cnfStyle w:val="001000000000" w:firstRow="0" w:lastRow="0" w:firstColumn="1" w:lastColumn="0" w:oddVBand="0" w:evenVBand="0" w:oddHBand="0" w:evenHBand="0" w:firstRowFirstColumn="0" w:firstRowLastColumn="0" w:lastRowFirstColumn="0" w:lastRowLastColumn="0"/>
            <w:tcW w:w="1418" w:type="dxa"/>
            <w:hideMark/>
          </w:tcPr>
          <w:p w14:paraId="6734C78F"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Potential Climate Change Health Risks from Increases in Heat Waves: Abnormal Birth Outcomes and Adverse Maternal Health Conditions</w:t>
            </w:r>
          </w:p>
        </w:tc>
        <w:tc>
          <w:tcPr>
            <w:tcW w:w="567" w:type="dxa"/>
            <w:hideMark/>
          </w:tcPr>
          <w:p w14:paraId="6ED8B5D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Cil G</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0AC5648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Risk Analysis</w:t>
            </w:r>
          </w:p>
        </w:tc>
        <w:tc>
          <w:tcPr>
            <w:tcW w:w="425" w:type="dxa"/>
            <w:hideMark/>
          </w:tcPr>
          <w:p w14:paraId="51AE844E"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2017</w:t>
            </w:r>
          </w:p>
        </w:tc>
        <w:tc>
          <w:tcPr>
            <w:tcW w:w="567" w:type="dxa"/>
            <w:hideMark/>
          </w:tcPr>
          <w:p w14:paraId="2F16887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0E7D244E" w14:textId="0713F2A1"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71E6823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5 million</w:t>
            </w:r>
          </w:p>
        </w:tc>
        <w:tc>
          <w:tcPr>
            <w:tcW w:w="709" w:type="dxa"/>
            <w:hideMark/>
          </w:tcPr>
          <w:p w14:paraId="331EC64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registry</w:t>
            </w:r>
          </w:p>
        </w:tc>
        <w:tc>
          <w:tcPr>
            <w:tcW w:w="1134" w:type="dxa"/>
            <w:hideMark/>
          </w:tcPr>
          <w:p w14:paraId="3EA8AE1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all singleton births with valid county-month data; excluded multiple births; excluded counties lacking heat-wave data; newborn abnormal-condition data unavailable 2005–2008 (removed for those outcomes).</w:t>
            </w:r>
          </w:p>
        </w:tc>
        <w:tc>
          <w:tcPr>
            <w:tcW w:w="992" w:type="dxa"/>
            <w:hideMark/>
          </w:tcPr>
          <w:p w14:paraId="682A7EB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Fetal distress 4.5% of births; ventilation &gt;30 min 1%; meconium aspiration 0.25%; maternal hypertension 4.4%; uterine bleeding, eclampsia, incompetent cervix each &lt;1%.</w:t>
            </w:r>
          </w:p>
        </w:tc>
        <w:tc>
          <w:tcPr>
            <w:tcW w:w="567" w:type="dxa"/>
            <w:noWrap/>
            <w:hideMark/>
          </w:tcPr>
          <w:p w14:paraId="414C29B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waves</w:t>
            </w:r>
          </w:p>
        </w:tc>
        <w:tc>
          <w:tcPr>
            <w:tcW w:w="851" w:type="dxa"/>
            <w:hideMark/>
          </w:tcPr>
          <w:p w14:paraId="21E844C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Defined by SHELDUS: events with ≥ $50k damages or ≥1 fatality; heat index above state-regional advisory thresholds</w:t>
            </w:r>
          </w:p>
        </w:tc>
        <w:tc>
          <w:tcPr>
            <w:tcW w:w="708" w:type="dxa"/>
            <w:hideMark/>
          </w:tcPr>
          <w:p w14:paraId="66A2E86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Prenatal, whole gestational period.</w:t>
            </w:r>
          </w:p>
        </w:tc>
        <w:tc>
          <w:tcPr>
            <w:tcW w:w="851" w:type="dxa"/>
            <w:gridSpan w:val="2"/>
            <w:hideMark/>
          </w:tcPr>
          <w:p w14:paraId="12BA58B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Fetal distress; ventilator &gt;30 min; Meconium aspiration; “any abnormal condition.”</w:t>
            </w:r>
          </w:p>
        </w:tc>
        <w:tc>
          <w:tcPr>
            <w:tcW w:w="850" w:type="dxa"/>
            <w:hideMark/>
          </w:tcPr>
          <w:p w14:paraId="11E9244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Based on birth-certificate medical data (NCHS definitions)</w:t>
            </w:r>
          </w:p>
        </w:tc>
        <w:tc>
          <w:tcPr>
            <w:tcW w:w="1701" w:type="dxa"/>
            <w:hideMark/>
          </w:tcPr>
          <w:p w14:paraId="3822083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Newborn abnormal conditions: \3rd trimester heat waves → +2.1 per 1,000 fetal distress. 2nd &amp; 3rd trimester heat waves → ↑ meconium aspiration (~+0.37–0.41 per 1,000). “Any abnormal condition”: ↑ 2.3–3.0 per 1,000 births for heat waves in trimesters 1–3.</w:t>
            </w:r>
          </w:p>
        </w:tc>
        <w:tc>
          <w:tcPr>
            <w:tcW w:w="912" w:type="dxa"/>
            <w:hideMark/>
          </w:tcPr>
          <w:p w14:paraId="0CA318C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County fixed effects; month fixed effects; </w:t>
            </w:r>
            <w:proofErr w:type="spellStart"/>
            <w:r w:rsidRPr="00495497">
              <w:rPr>
                <w:rFonts w:ascii="Aptos Narrow" w:eastAsia="Times New Roman" w:hAnsi="Aptos Narrow" w:cs="Times New Roman"/>
                <w:color w:val="000000"/>
                <w:sz w:val="15"/>
                <w:szCs w:val="15"/>
                <w:vertAlign w:val="superscript"/>
                <w:lang w:eastAsia="en-GB"/>
              </w:rPr>
              <w:t>state×year</w:t>
            </w:r>
            <w:proofErr w:type="spellEnd"/>
            <w:r w:rsidRPr="00495497">
              <w:rPr>
                <w:rFonts w:ascii="Aptos Narrow" w:eastAsia="Times New Roman" w:hAnsi="Aptos Narrow" w:cs="Times New Roman"/>
                <w:color w:val="000000"/>
                <w:sz w:val="15"/>
                <w:szCs w:val="15"/>
                <w:vertAlign w:val="superscript"/>
                <w:lang w:eastAsia="en-GB"/>
              </w:rPr>
              <w:t xml:space="preserve"> fixed effects; sociodemographic composition of births (maternal age, race, education, marital status, prenatal care, average prenatal visits, infant sex).</w:t>
            </w:r>
          </w:p>
        </w:tc>
      </w:tr>
      <w:tr w:rsidR="0051112E" w:rsidRPr="0051112E" w14:paraId="3ACE97B0" w14:textId="77777777" w:rsidTr="0051112E">
        <w:trPr>
          <w:trHeight w:val="3520"/>
        </w:trPr>
        <w:tc>
          <w:tcPr>
            <w:cnfStyle w:val="001000000000" w:firstRow="0" w:lastRow="0" w:firstColumn="1" w:lastColumn="0" w:oddVBand="0" w:evenVBand="0" w:oddHBand="0" w:evenHBand="0" w:firstRowFirstColumn="0" w:firstRowLastColumn="0" w:lastRowFirstColumn="0" w:lastRowLastColumn="0"/>
            <w:tcW w:w="1418" w:type="dxa"/>
            <w:hideMark/>
          </w:tcPr>
          <w:p w14:paraId="2E0594BF"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Elevated outdoor temperatures and risk of stillbirth</w:t>
            </w:r>
          </w:p>
        </w:tc>
        <w:tc>
          <w:tcPr>
            <w:tcW w:w="567" w:type="dxa"/>
            <w:hideMark/>
          </w:tcPr>
          <w:p w14:paraId="2728231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Auger N</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49D678E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International Journal of Epidemiology</w:t>
            </w:r>
          </w:p>
        </w:tc>
        <w:tc>
          <w:tcPr>
            <w:tcW w:w="425" w:type="dxa"/>
            <w:hideMark/>
          </w:tcPr>
          <w:p w14:paraId="43E81592"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2017</w:t>
            </w:r>
          </w:p>
        </w:tc>
        <w:tc>
          <w:tcPr>
            <w:tcW w:w="567" w:type="dxa"/>
            <w:hideMark/>
          </w:tcPr>
          <w:p w14:paraId="399066F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Canada</w:t>
            </w:r>
          </w:p>
        </w:tc>
        <w:tc>
          <w:tcPr>
            <w:tcW w:w="567" w:type="dxa"/>
            <w:hideMark/>
          </w:tcPr>
          <w:p w14:paraId="73CB0544" w14:textId="1FD1729D"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4E96055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5,047</w:t>
            </w:r>
          </w:p>
        </w:tc>
        <w:tc>
          <w:tcPr>
            <w:tcW w:w="709" w:type="dxa"/>
            <w:hideMark/>
          </w:tcPr>
          <w:p w14:paraId="6C582D1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registry</w:t>
            </w:r>
          </w:p>
        </w:tc>
        <w:tc>
          <w:tcPr>
            <w:tcW w:w="1134" w:type="dxa"/>
            <w:hideMark/>
          </w:tcPr>
          <w:p w14:paraId="0DC63AE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singleton stillbirths ≥500 g from April–September. Excluded: pregnancy terminations (n=268), multiple gestations.</w:t>
            </w:r>
          </w:p>
        </w:tc>
        <w:tc>
          <w:tcPr>
            <w:tcW w:w="992" w:type="dxa"/>
            <w:hideMark/>
          </w:tcPr>
          <w:p w14:paraId="08CD585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33.5% term stillbirths (≥37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Causes: placenta/cord/membranes 33%; undetermined 24%; congenital anomalies 14%; maternal complications 5%.</w:t>
            </w:r>
          </w:p>
        </w:tc>
        <w:tc>
          <w:tcPr>
            <w:tcW w:w="567" w:type="dxa"/>
            <w:hideMark/>
          </w:tcPr>
          <w:p w14:paraId="48C3384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max)</w:t>
            </w:r>
          </w:p>
        </w:tc>
        <w:tc>
          <w:tcPr>
            <w:tcW w:w="851" w:type="dxa"/>
            <w:hideMark/>
          </w:tcPr>
          <w:p w14:paraId="0452F5D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Continuous temperature modeled with cubic splines; categorical analyses used: &lt;15°C, 15–19.9°C, 20–27.9°C, ≥28°C. Exposure defined as temperature on estimated day of death (2 days before delivery) and on each previous day up to 7 days. Reference = 20°C.</w:t>
            </w:r>
          </w:p>
        </w:tc>
        <w:tc>
          <w:tcPr>
            <w:tcW w:w="708" w:type="dxa"/>
            <w:hideMark/>
          </w:tcPr>
          <w:p w14:paraId="7DAE81E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Acute exposure: 1–7 days before death, strongest focus on day before death (3 days before delivery); warm months only</w:t>
            </w:r>
          </w:p>
        </w:tc>
        <w:tc>
          <w:tcPr>
            <w:tcW w:w="851" w:type="dxa"/>
            <w:gridSpan w:val="2"/>
            <w:hideMark/>
          </w:tcPr>
          <w:p w14:paraId="2ABAC00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Stillbirth</w:t>
            </w:r>
          </w:p>
        </w:tc>
        <w:tc>
          <w:tcPr>
            <w:tcW w:w="850" w:type="dxa"/>
            <w:hideMark/>
          </w:tcPr>
          <w:p w14:paraId="5966AF0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Stillbirth: ≥500 g. Term: ≥37 weeks. Preterm: ≤36 weeks. Cause of death classified via ICD-9/ICD-10 into 6 categories.</w:t>
            </w:r>
          </w:p>
        </w:tc>
        <w:tc>
          <w:tcPr>
            <w:tcW w:w="1701" w:type="dxa"/>
            <w:hideMark/>
          </w:tcPr>
          <w:p w14:paraId="5355867E"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Term stillbirth: significantly associated with elevated temperatures the day before death. 28°C vs. 20°C → OR 1.16 (95% CI 1.02–1.33).  30°C → OR 1.22 (1.02–1.46). 32°C → OR 1.28 (1.03–1.60). </w:t>
            </w:r>
            <w:r w:rsidRPr="00495497">
              <w:rPr>
                <w:rFonts w:ascii="Aptos Narrow" w:eastAsia="Times New Roman" w:hAnsi="Aptos Narrow" w:cs="Times New Roman"/>
                <w:color w:val="000000"/>
                <w:sz w:val="15"/>
                <w:szCs w:val="15"/>
                <w:vertAlign w:val="superscript"/>
                <w:lang w:eastAsia="en-GB"/>
              </w:rPr>
              <w:br/>
              <w:t>Preterm stillbirth: no association; cooler temperatures slightly protective. By cause: Undetermined: 28°C → OR 1.19 (1.02–1.40); 32°C → OR 1.35 (1.03–1.77)</w:t>
            </w:r>
          </w:p>
        </w:tc>
        <w:tc>
          <w:tcPr>
            <w:tcW w:w="912" w:type="dxa"/>
            <w:hideMark/>
          </w:tcPr>
          <w:p w14:paraId="13157FA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Adjusted for relative humidity</w:t>
            </w:r>
          </w:p>
        </w:tc>
      </w:tr>
      <w:tr w:rsidR="0051112E" w:rsidRPr="0051112E" w14:paraId="0C271AE3" w14:textId="77777777" w:rsidTr="0051112E">
        <w:trPr>
          <w:cnfStyle w:val="000000100000" w:firstRow="0" w:lastRow="0" w:firstColumn="0" w:lastColumn="0" w:oddVBand="0" w:evenVBand="0" w:oddHBand="1" w:evenHBand="0" w:firstRowFirstColumn="0" w:firstRowLastColumn="0" w:lastRowFirstColumn="0" w:lastRowLastColumn="0"/>
          <w:trHeight w:val="1843"/>
        </w:trPr>
        <w:tc>
          <w:tcPr>
            <w:cnfStyle w:val="001000000000" w:firstRow="0" w:lastRow="0" w:firstColumn="1" w:lastColumn="0" w:oddVBand="0" w:evenVBand="0" w:oddHBand="0" w:evenHBand="0" w:firstRowFirstColumn="0" w:firstRowLastColumn="0" w:lastRowFirstColumn="0" w:lastRowLastColumn="0"/>
            <w:tcW w:w="1418" w:type="dxa"/>
            <w:hideMark/>
          </w:tcPr>
          <w:p w14:paraId="229DFE00"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Does maternal exposure during pregnancy to higher ambient temperature increase the risk of hypospadias?</w:t>
            </w:r>
          </w:p>
        </w:tc>
        <w:tc>
          <w:tcPr>
            <w:tcW w:w="567" w:type="dxa"/>
            <w:hideMark/>
          </w:tcPr>
          <w:p w14:paraId="22260F4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Kilinc MF</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2925095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Journal of Pediatric Urology</w:t>
            </w:r>
          </w:p>
        </w:tc>
        <w:tc>
          <w:tcPr>
            <w:tcW w:w="425" w:type="dxa"/>
            <w:hideMark/>
          </w:tcPr>
          <w:p w14:paraId="0CE4DDD9"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2016</w:t>
            </w:r>
          </w:p>
        </w:tc>
        <w:tc>
          <w:tcPr>
            <w:tcW w:w="567" w:type="dxa"/>
            <w:hideMark/>
          </w:tcPr>
          <w:p w14:paraId="431F95F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Turkey</w:t>
            </w:r>
          </w:p>
        </w:tc>
        <w:tc>
          <w:tcPr>
            <w:tcW w:w="567" w:type="dxa"/>
            <w:hideMark/>
          </w:tcPr>
          <w:p w14:paraId="2DC9E1AE" w14:textId="7CCC827D"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34E390B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1,709 cases; n = 4,946 controls</w:t>
            </w:r>
          </w:p>
        </w:tc>
        <w:tc>
          <w:tcPr>
            <w:tcW w:w="709" w:type="dxa"/>
            <w:hideMark/>
          </w:tcPr>
          <w:p w14:paraId="1933F21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Registry referral centers in Ankara and Istanbul</w:t>
            </w:r>
          </w:p>
        </w:tc>
        <w:tc>
          <w:tcPr>
            <w:tcW w:w="1134" w:type="dxa"/>
            <w:hideMark/>
          </w:tcPr>
          <w:p w14:paraId="78DBDB0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boys whose 8–14 gestational weeks occurred in Ankara/Istanbul, treated for hypospadias or other urologic conditions. Excluded: LBW (&lt;2500 g), prematurity (&lt;38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maternal age &lt;18 or &gt;35, consanguinity, multiple pregnancy, congenital diseases, births outside study regions.</w:t>
            </w:r>
          </w:p>
        </w:tc>
        <w:tc>
          <w:tcPr>
            <w:tcW w:w="992" w:type="dxa"/>
            <w:hideMark/>
          </w:tcPr>
          <w:p w14:paraId="256ED15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Cases and controls similar in maternal age (~25 yrs), parity, economic status, BW (~3.1 kg), GA (~39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Higher proportion of cases had 8–14 gestational weeks during summer.</w:t>
            </w:r>
          </w:p>
        </w:tc>
        <w:tc>
          <w:tcPr>
            <w:tcW w:w="567" w:type="dxa"/>
            <w:hideMark/>
          </w:tcPr>
          <w:p w14:paraId="2761039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(Monthly maximum and average)</w:t>
            </w:r>
          </w:p>
        </w:tc>
        <w:tc>
          <w:tcPr>
            <w:tcW w:w="851" w:type="dxa"/>
            <w:hideMark/>
          </w:tcPr>
          <w:p w14:paraId="4FD398A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Exposure classified by season (summer vs. other), and continuous max/mean temperature during 8–14 wks.</w:t>
            </w:r>
          </w:p>
        </w:tc>
        <w:tc>
          <w:tcPr>
            <w:tcW w:w="708" w:type="dxa"/>
            <w:hideMark/>
          </w:tcPr>
          <w:p w14:paraId="03947F5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8–14 gestational weeks (urethral development period)</w:t>
            </w:r>
          </w:p>
        </w:tc>
        <w:tc>
          <w:tcPr>
            <w:tcW w:w="851" w:type="dxa"/>
            <w:gridSpan w:val="2"/>
            <w:hideMark/>
          </w:tcPr>
          <w:p w14:paraId="72E4D37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Hypospadias</w:t>
            </w:r>
          </w:p>
        </w:tc>
        <w:tc>
          <w:tcPr>
            <w:tcW w:w="850" w:type="dxa"/>
            <w:hideMark/>
          </w:tcPr>
          <w:p w14:paraId="4F9146E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Hypospadias requiring repair; controls = children undergoing other urologic procedures with no hypospadias</w:t>
            </w:r>
          </w:p>
        </w:tc>
        <w:tc>
          <w:tcPr>
            <w:tcW w:w="1701" w:type="dxa"/>
            <w:hideMark/>
          </w:tcPr>
          <w:p w14:paraId="135B1C6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Higher maximum and mean temperatures at 8–14 weeks were significantly associated with hypospadias (p=0.01). Summer conceptions (8–14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falling in July–August) had higher hypospadias odds (OR 1.32, 95% CI 1.08–1.52 for average temp; OR 1.22, 95% CI 0.99–1.54 for max temp). Temperature differences ~10°C higher in cases than controls during this developmental window.</w:t>
            </w:r>
          </w:p>
        </w:tc>
        <w:tc>
          <w:tcPr>
            <w:tcW w:w="912" w:type="dxa"/>
            <w:hideMark/>
          </w:tcPr>
          <w:p w14:paraId="295DBCF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parity, economic status, gestational age, birthweight.</w:t>
            </w:r>
          </w:p>
        </w:tc>
      </w:tr>
      <w:tr w:rsidR="0051112E" w:rsidRPr="0051112E" w14:paraId="15632599" w14:textId="77777777" w:rsidTr="0051112E">
        <w:trPr>
          <w:trHeight w:val="1784"/>
        </w:trPr>
        <w:tc>
          <w:tcPr>
            <w:cnfStyle w:val="001000000000" w:firstRow="0" w:lastRow="0" w:firstColumn="1" w:lastColumn="0" w:oddVBand="0" w:evenVBand="0" w:oddHBand="0" w:evenHBand="0" w:firstRowFirstColumn="0" w:firstRowLastColumn="0" w:lastRowFirstColumn="0" w:lastRowLastColumn="0"/>
            <w:tcW w:w="1418" w:type="dxa"/>
            <w:hideMark/>
          </w:tcPr>
          <w:p w14:paraId="533F310F"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Association between high ambient temperature and risk of stillbirth in California</w:t>
            </w:r>
          </w:p>
        </w:tc>
        <w:tc>
          <w:tcPr>
            <w:tcW w:w="567" w:type="dxa"/>
            <w:hideMark/>
          </w:tcPr>
          <w:p w14:paraId="3A49E7F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Basu R</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4053B3B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American Journal of Epidemiology</w:t>
            </w:r>
          </w:p>
        </w:tc>
        <w:tc>
          <w:tcPr>
            <w:tcW w:w="425" w:type="dxa"/>
            <w:hideMark/>
          </w:tcPr>
          <w:p w14:paraId="66221891"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2016</w:t>
            </w:r>
          </w:p>
        </w:tc>
        <w:tc>
          <w:tcPr>
            <w:tcW w:w="567" w:type="dxa"/>
            <w:hideMark/>
          </w:tcPr>
          <w:p w14:paraId="45156F8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6263993A" w14:textId="3F494D97"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21FA3F7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8,510</w:t>
            </w:r>
          </w:p>
        </w:tc>
        <w:tc>
          <w:tcPr>
            <w:tcW w:w="709" w:type="dxa"/>
            <w:hideMark/>
          </w:tcPr>
          <w:p w14:paraId="186128D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State death registry</w:t>
            </w:r>
          </w:p>
        </w:tc>
        <w:tc>
          <w:tcPr>
            <w:tcW w:w="1134" w:type="dxa"/>
            <w:hideMark/>
          </w:tcPr>
          <w:p w14:paraId="6269C3C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singleton stillbirths ≥20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warm-season births; maternal ZIP code ≤10 km from monitor. Excluded: pregnancy terminations; multiples; missing gestational age or exposure data.</w:t>
            </w:r>
          </w:p>
        </w:tc>
        <w:tc>
          <w:tcPr>
            <w:tcW w:w="992" w:type="dxa"/>
            <w:hideMark/>
          </w:tcPr>
          <w:p w14:paraId="0E88C88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52% Hispanic; 46% maternal age 25–34; 63% high-school education or less; 52% male fetuses.</w:t>
            </w:r>
          </w:p>
        </w:tc>
        <w:tc>
          <w:tcPr>
            <w:tcW w:w="567" w:type="dxa"/>
            <w:noWrap/>
            <w:hideMark/>
          </w:tcPr>
          <w:p w14:paraId="3081494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Apparent temperature</w:t>
            </w:r>
          </w:p>
        </w:tc>
        <w:tc>
          <w:tcPr>
            <w:tcW w:w="851" w:type="dxa"/>
            <w:hideMark/>
          </w:tcPr>
          <w:p w14:paraId="6AE4A35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Continuous AT (°F). Effects expressed as percent change in stillbirth per +10°F (5.6°C). Lags: 2–6 days prior to fetal death; cumulative averages (lags 2–3, 2–4, 2–5, 2–6). Reference ~20°C.</w:t>
            </w:r>
          </w:p>
        </w:tc>
        <w:tc>
          <w:tcPr>
            <w:tcW w:w="708" w:type="dxa"/>
            <w:hideMark/>
          </w:tcPr>
          <w:p w14:paraId="605A770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2–6 days before fetal death (estimated death ~2 days before delivery).</w:t>
            </w:r>
          </w:p>
        </w:tc>
        <w:tc>
          <w:tcPr>
            <w:tcW w:w="851" w:type="dxa"/>
            <w:gridSpan w:val="2"/>
            <w:hideMark/>
          </w:tcPr>
          <w:p w14:paraId="0995132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Stillbirth</w:t>
            </w:r>
          </w:p>
        </w:tc>
        <w:tc>
          <w:tcPr>
            <w:tcW w:w="850" w:type="dxa"/>
            <w:hideMark/>
          </w:tcPr>
          <w:p w14:paraId="370C56D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Stillbirth defined as fetal death ≥20 </w:t>
            </w:r>
            <w:proofErr w:type="spellStart"/>
            <w:r w:rsidRPr="00495497">
              <w:rPr>
                <w:rFonts w:ascii="Aptos Narrow" w:eastAsia="Times New Roman" w:hAnsi="Aptos Narrow" w:cs="Times New Roman"/>
                <w:color w:val="000000"/>
                <w:sz w:val="15"/>
                <w:szCs w:val="15"/>
                <w:vertAlign w:val="superscript"/>
                <w:lang w:eastAsia="en-GB"/>
              </w:rPr>
              <w:t>weeks</w:t>
            </w:r>
            <w:proofErr w:type="spellEnd"/>
            <w:r w:rsidRPr="00495497">
              <w:rPr>
                <w:rFonts w:ascii="Aptos Narrow" w:eastAsia="Times New Roman" w:hAnsi="Aptos Narrow" w:cs="Times New Roman"/>
                <w:color w:val="000000"/>
                <w:sz w:val="15"/>
                <w:szCs w:val="15"/>
                <w:vertAlign w:val="superscript"/>
                <w:lang w:eastAsia="en-GB"/>
              </w:rPr>
              <w:t xml:space="preserve"> gestation (California Code of Regulations)</w:t>
            </w:r>
          </w:p>
        </w:tc>
        <w:tc>
          <w:tcPr>
            <w:tcW w:w="1701" w:type="dxa"/>
            <w:hideMark/>
          </w:tcPr>
          <w:p w14:paraId="6F6C859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Overall: +10.4% stillbirth risk per +10°F AT (95% CI 4.4, 16.8), cumulative lags 2–6. Critical windows: strongest risks at gestational weeks 20–25 and 31–33. Subgroups: Higher risk for younger mothers (&lt;25 yrs: +11.8%), less educated mothers (+10.6%), Hispanic mothers, and male fetuses (+13.3%). No association during cold season. Effects independent of gaseous air pollutants (CO, NO₂, O₃, SO₂). Strongest associations when residence ≤10 km from monitor.</w:t>
            </w:r>
          </w:p>
        </w:tc>
        <w:tc>
          <w:tcPr>
            <w:tcW w:w="912" w:type="dxa"/>
            <w:hideMark/>
          </w:tcPr>
          <w:p w14:paraId="314DEBF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models adjusted for humidity; air pollutants tested individually (no confounding found)</w:t>
            </w:r>
          </w:p>
        </w:tc>
      </w:tr>
      <w:tr w:rsidR="0051112E" w:rsidRPr="0051112E" w14:paraId="48259F76" w14:textId="77777777" w:rsidTr="0051112E">
        <w:trPr>
          <w:cnfStyle w:val="000000100000" w:firstRow="0" w:lastRow="0" w:firstColumn="0" w:lastColumn="0" w:oddVBand="0" w:evenVBand="0" w:oddHBand="1" w:evenHBand="0" w:firstRowFirstColumn="0" w:firstRowLastColumn="0" w:lastRowFirstColumn="0" w:lastRowLastColumn="0"/>
          <w:trHeight w:val="2240"/>
        </w:trPr>
        <w:tc>
          <w:tcPr>
            <w:cnfStyle w:val="001000000000" w:firstRow="0" w:lastRow="0" w:firstColumn="1" w:lastColumn="0" w:oddVBand="0" w:evenVBand="0" w:oddHBand="0" w:evenHBand="0" w:firstRowFirstColumn="0" w:firstRowLastColumn="0" w:lastRowFirstColumn="0" w:lastRowLastColumn="0"/>
            <w:tcW w:w="1418" w:type="dxa"/>
            <w:hideMark/>
          </w:tcPr>
          <w:p w14:paraId="17A62C83"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The Impact of Extremes in Outdoor Temperature and Sunshine Exposure on Birth Weight</w:t>
            </w:r>
          </w:p>
        </w:tc>
        <w:tc>
          <w:tcPr>
            <w:tcW w:w="567" w:type="dxa"/>
            <w:hideMark/>
          </w:tcPr>
          <w:p w14:paraId="5D064D7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proofErr w:type="spellStart"/>
            <w:r w:rsidRPr="00495497">
              <w:rPr>
                <w:rFonts w:ascii="Aptos Narrow" w:eastAsia="Times New Roman" w:hAnsi="Aptos Narrow" w:cs="Times New Roman"/>
                <w:color w:val="000000"/>
                <w:sz w:val="15"/>
                <w:szCs w:val="15"/>
                <w:vertAlign w:val="superscript"/>
                <w:lang w:eastAsia="en-GB"/>
              </w:rPr>
              <w:t>Poeran</w:t>
            </w:r>
            <w:proofErr w:type="spellEnd"/>
            <w:r w:rsidRPr="00495497">
              <w:rPr>
                <w:rFonts w:ascii="Aptos Narrow" w:eastAsia="Times New Roman" w:hAnsi="Aptos Narrow" w:cs="Times New Roman"/>
                <w:color w:val="000000"/>
                <w:sz w:val="15"/>
                <w:szCs w:val="15"/>
                <w:vertAlign w:val="superscript"/>
                <w:lang w:eastAsia="en-GB"/>
              </w:rPr>
              <w:t xml:space="preserve"> J</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55D6D10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Journal of Environmental Health</w:t>
            </w:r>
          </w:p>
        </w:tc>
        <w:tc>
          <w:tcPr>
            <w:tcW w:w="425" w:type="dxa"/>
            <w:hideMark/>
          </w:tcPr>
          <w:p w14:paraId="2D1EE579"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2016</w:t>
            </w:r>
          </w:p>
        </w:tc>
        <w:tc>
          <w:tcPr>
            <w:tcW w:w="567" w:type="dxa"/>
            <w:hideMark/>
          </w:tcPr>
          <w:p w14:paraId="15560F34"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The Netherlands</w:t>
            </w:r>
          </w:p>
        </w:tc>
        <w:tc>
          <w:tcPr>
            <w:tcW w:w="567" w:type="dxa"/>
            <w:hideMark/>
          </w:tcPr>
          <w:p w14:paraId="2191F2DE" w14:textId="2A42993F" w:rsidR="0051112E" w:rsidRPr="00495497" w:rsidRDefault="0001376B"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771EF23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1,460,401</w:t>
            </w:r>
          </w:p>
        </w:tc>
        <w:tc>
          <w:tcPr>
            <w:tcW w:w="709" w:type="dxa"/>
            <w:hideMark/>
          </w:tcPr>
          <w:p w14:paraId="793FBB7D"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Netherlands Perinatal Registry</w:t>
            </w:r>
          </w:p>
        </w:tc>
        <w:tc>
          <w:tcPr>
            <w:tcW w:w="1134" w:type="dxa"/>
            <w:hideMark/>
          </w:tcPr>
          <w:p w14:paraId="1D08A69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Included: singleton term births (≥37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Excluded: multiples, preterm &lt;37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xml:space="preserve"> or unknown GA, missing parity or sex, missing or erroneous ZIP code.</w:t>
            </w:r>
          </w:p>
        </w:tc>
        <w:tc>
          <w:tcPr>
            <w:tcW w:w="992" w:type="dxa"/>
            <w:hideMark/>
          </w:tcPr>
          <w:p w14:paraId="6FEAE1C3"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Mean BW = 3522 g; SGA highest in teenage mothers (14.1%), non-Western mothers (13.5%), low SES (12.2%), congenital anomaly cases (16.1%).</w:t>
            </w:r>
          </w:p>
        </w:tc>
        <w:tc>
          <w:tcPr>
            <w:tcW w:w="567" w:type="dxa"/>
            <w:hideMark/>
          </w:tcPr>
          <w:p w14:paraId="20E3F4E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(Daily minimum and maximum) + Sunshine exposure</w:t>
            </w:r>
          </w:p>
        </w:tc>
        <w:tc>
          <w:tcPr>
            <w:tcW w:w="851" w:type="dxa"/>
            <w:noWrap/>
            <w:hideMark/>
          </w:tcPr>
          <w:p w14:paraId="6437B79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Not specified</w:t>
            </w:r>
          </w:p>
        </w:tc>
        <w:tc>
          <w:tcPr>
            <w:tcW w:w="708" w:type="dxa"/>
            <w:hideMark/>
          </w:tcPr>
          <w:p w14:paraId="488BA62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Periconceptual + full gestation period</w:t>
            </w:r>
          </w:p>
        </w:tc>
        <w:tc>
          <w:tcPr>
            <w:tcW w:w="851" w:type="dxa"/>
            <w:gridSpan w:val="2"/>
            <w:hideMark/>
          </w:tcPr>
          <w:p w14:paraId="3071EEC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weight</w:t>
            </w:r>
          </w:p>
        </w:tc>
        <w:tc>
          <w:tcPr>
            <w:tcW w:w="850" w:type="dxa"/>
            <w:hideMark/>
          </w:tcPr>
          <w:p w14:paraId="1DE1FC25"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Birthweight measured at delivery (g)</w:t>
            </w:r>
          </w:p>
        </w:tc>
        <w:tc>
          <w:tcPr>
            <w:tcW w:w="1701" w:type="dxa"/>
            <w:hideMark/>
          </w:tcPr>
          <w:p w14:paraId="0192E599"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Summer births had ~20 g lower birthweight compared with January. Maximum temperature → consistently lower BW across all windows (E1–E5). Strongest effects in E2–E4 (≈ −2.0 g per °C). Minimum temperature → mixed effects: 1st trimester min temp: lower BW (−0.6 g per °C). 2nd &amp; 3rd trimester min temp: higher BW (+0.6 to +1.5 g per °C). Sunshine exposure (cumulative): higher BW (+0.023 to +0.052 g per hour depending on trimester). Regional BW differences −11 to +25 g attributable purely to climatological factors, lowest BW in inland, highest in coastal regions.</w:t>
            </w:r>
          </w:p>
        </w:tc>
        <w:tc>
          <w:tcPr>
            <w:tcW w:w="912" w:type="dxa"/>
            <w:hideMark/>
          </w:tcPr>
          <w:p w14:paraId="7B7EBD00"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parity, ethnicity, maternal age², SES, gestational age (categorical), congenital anomalies, infant sex, day-of-birth trend, month of birth; no air pollution included</w:t>
            </w:r>
          </w:p>
        </w:tc>
      </w:tr>
      <w:tr w:rsidR="0051112E" w:rsidRPr="0051112E" w14:paraId="03EF087D" w14:textId="77777777" w:rsidTr="0051112E">
        <w:trPr>
          <w:trHeight w:val="2560"/>
        </w:trPr>
        <w:tc>
          <w:tcPr>
            <w:cnfStyle w:val="001000000000" w:firstRow="0" w:lastRow="0" w:firstColumn="1" w:lastColumn="0" w:oddVBand="0" w:evenVBand="0" w:oddHBand="0" w:evenHBand="0" w:firstRowFirstColumn="0" w:firstRowLastColumn="0" w:lastRowFirstColumn="0" w:lastRowLastColumn="0"/>
            <w:tcW w:w="1418" w:type="dxa"/>
            <w:hideMark/>
          </w:tcPr>
          <w:p w14:paraId="66635DD6"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lastRenderedPageBreak/>
              <w:t>Climate change and fetal health: The impacts of exposure to extreme temperatures in New York City</w:t>
            </w:r>
          </w:p>
        </w:tc>
        <w:tc>
          <w:tcPr>
            <w:tcW w:w="567" w:type="dxa"/>
            <w:hideMark/>
          </w:tcPr>
          <w:p w14:paraId="0D13D122"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Ngo NS; Horton RM</w:t>
            </w:r>
          </w:p>
        </w:tc>
        <w:tc>
          <w:tcPr>
            <w:tcW w:w="567" w:type="dxa"/>
            <w:hideMark/>
          </w:tcPr>
          <w:p w14:paraId="4C4AB887"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Research</w:t>
            </w:r>
          </w:p>
        </w:tc>
        <w:tc>
          <w:tcPr>
            <w:tcW w:w="425" w:type="dxa"/>
            <w:hideMark/>
          </w:tcPr>
          <w:p w14:paraId="6995EF34"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2016</w:t>
            </w:r>
          </w:p>
        </w:tc>
        <w:tc>
          <w:tcPr>
            <w:tcW w:w="567" w:type="dxa"/>
            <w:hideMark/>
          </w:tcPr>
          <w:p w14:paraId="380687C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6D9336ED" w14:textId="0E1FC4F8" w:rsidR="0051112E" w:rsidRPr="00495497" w:rsidRDefault="0001376B"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43AF224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1 million births</w:t>
            </w:r>
          </w:p>
        </w:tc>
        <w:tc>
          <w:tcPr>
            <w:tcW w:w="709" w:type="dxa"/>
            <w:hideMark/>
          </w:tcPr>
          <w:p w14:paraId="30C3B5B8"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NYC Vital Statistics registry</w:t>
            </w:r>
          </w:p>
        </w:tc>
        <w:tc>
          <w:tcPr>
            <w:tcW w:w="1134" w:type="dxa"/>
            <w:hideMark/>
          </w:tcPr>
          <w:p w14:paraId="5F1F343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all singleton live births in Manhattan with non-missing BW/GA and temperature exposure. Excluded: missing weather data, missing outcomes.</w:t>
            </w:r>
          </w:p>
        </w:tc>
        <w:tc>
          <w:tcPr>
            <w:tcW w:w="992" w:type="dxa"/>
            <w:hideMark/>
          </w:tcPr>
          <w:p w14:paraId="4B2278FF"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Mean BW ~3233 g; mean GA 39 </w:t>
            </w:r>
            <w:proofErr w:type="spellStart"/>
            <w:r w:rsidRPr="00495497">
              <w:rPr>
                <w:rFonts w:ascii="Aptos Narrow" w:eastAsia="Times New Roman" w:hAnsi="Aptos Narrow" w:cs="Times New Roman"/>
                <w:color w:val="000000"/>
                <w:sz w:val="15"/>
                <w:szCs w:val="15"/>
                <w:vertAlign w:val="superscript"/>
                <w:lang w:eastAsia="en-GB"/>
              </w:rPr>
              <w:t>wks</w:t>
            </w:r>
            <w:proofErr w:type="spellEnd"/>
            <w:r w:rsidRPr="00495497">
              <w:rPr>
                <w:rFonts w:ascii="Aptos Narrow" w:eastAsia="Times New Roman" w:hAnsi="Aptos Narrow" w:cs="Times New Roman"/>
                <w:color w:val="000000"/>
                <w:sz w:val="15"/>
                <w:szCs w:val="15"/>
                <w:vertAlign w:val="superscript"/>
                <w:lang w:eastAsia="en-GB"/>
              </w:rPr>
              <w:t>; detailed SES, ethnicity, smoking, maternal characteristics collected.</w:t>
            </w:r>
          </w:p>
        </w:tc>
        <w:tc>
          <w:tcPr>
            <w:tcW w:w="567" w:type="dxa"/>
            <w:hideMark/>
          </w:tcPr>
          <w:p w14:paraId="04889AC5"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Ambient temperature (average daily)</w:t>
            </w:r>
          </w:p>
        </w:tc>
        <w:tc>
          <w:tcPr>
            <w:tcW w:w="851" w:type="dxa"/>
            <w:hideMark/>
          </w:tcPr>
          <w:p w14:paraId="07A619A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Temperature exposure defined as number of days in each bin, separately for trimesters</w:t>
            </w:r>
          </w:p>
        </w:tc>
        <w:tc>
          <w:tcPr>
            <w:tcW w:w="708" w:type="dxa"/>
            <w:hideMark/>
          </w:tcPr>
          <w:p w14:paraId="0A3334A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Full gestational period</w:t>
            </w:r>
          </w:p>
        </w:tc>
        <w:tc>
          <w:tcPr>
            <w:tcW w:w="851" w:type="dxa"/>
            <w:gridSpan w:val="2"/>
            <w:hideMark/>
          </w:tcPr>
          <w:p w14:paraId="697880E0"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(Low) birth weight, gestational age</w:t>
            </w:r>
          </w:p>
        </w:tc>
        <w:tc>
          <w:tcPr>
            <w:tcW w:w="850" w:type="dxa"/>
            <w:hideMark/>
          </w:tcPr>
          <w:p w14:paraId="4EF4FBC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Standard definitions; LBW &lt;2500 g; GA from birth certificates</w:t>
            </w:r>
          </w:p>
        </w:tc>
        <w:tc>
          <w:tcPr>
            <w:tcW w:w="1701" w:type="dxa"/>
            <w:hideMark/>
          </w:tcPr>
          <w:p w14:paraId="276BB213"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Birthweight: Extreme heat (&gt;85°F): cumulative −1.7 g per extreme-heat day (p≈0.10). Impacts strongest in trimester 2 (heat). LBW: each extra day &gt;85°F → small increased probability of LBW (~0.03–0.05 percentage points). Gestational age: minimal effects; small reduction (−0.004 weeks) for extreme heat in Trimester 1 only, not cumulative. SES differences: teen mothers and low-education mothers most affected by heat; cold effects similar across SES groups; White and high-education mothers showed no heat effect. Climate projections: By 2070–2099, birthweight projected to fall ~4.6 g under business-as-usual (RCP8.5).</w:t>
            </w:r>
          </w:p>
        </w:tc>
        <w:tc>
          <w:tcPr>
            <w:tcW w:w="912" w:type="dxa"/>
            <w:hideMark/>
          </w:tcPr>
          <w:p w14:paraId="699B3FE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Infant sex; detailed maternal age, education, ethnicity, marital status; smoking &amp; #cigarettes; previous births; AFDC participation; birth month fixed effects; birth year fixed effects. Pollution (SO₂, CO, PM₁₀, NO₂) tested in sensitivity models.</w:t>
            </w:r>
          </w:p>
        </w:tc>
      </w:tr>
      <w:tr w:rsidR="0051112E" w:rsidRPr="0051112E" w14:paraId="4C4BD2A1" w14:textId="77777777" w:rsidTr="0051112E">
        <w:trPr>
          <w:cnfStyle w:val="000000100000" w:firstRow="0" w:lastRow="0" w:firstColumn="0" w:lastColumn="0" w:oddVBand="0" w:evenVBand="0" w:oddHBand="1" w:evenHBand="0" w:firstRowFirstColumn="0" w:firstRowLastColumn="0" w:lastRowFirstColumn="0" w:lastRowLastColumn="0"/>
          <w:trHeight w:val="1985"/>
        </w:trPr>
        <w:tc>
          <w:tcPr>
            <w:cnfStyle w:val="001000000000" w:firstRow="0" w:lastRow="0" w:firstColumn="1" w:lastColumn="0" w:oddVBand="0" w:evenVBand="0" w:oddHBand="0" w:evenHBand="0" w:firstRowFirstColumn="0" w:firstRowLastColumn="0" w:lastRowFirstColumn="0" w:lastRowLastColumn="0"/>
            <w:tcW w:w="1418" w:type="dxa"/>
            <w:hideMark/>
          </w:tcPr>
          <w:p w14:paraId="04256427" w14:textId="77777777"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Neonates in Ahmedabad, India, during the 2010 Heat Wave: A climate change adaptation study</w:t>
            </w:r>
          </w:p>
        </w:tc>
        <w:tc>
          <w:tcPr>
            <w:tcW w:w="567" w:type="dxa"/>
            <w:hideMark/>
          </w:tcPr>
          <w:p w14:paraId="297FDD3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Kakkad K</w:t>
            </w:r>
            <w:r w:rsidRPr="0051112E">
              <w:rPr>
                <w:rFonts w:ascii="Aptos Narrow" w:eastAsia="Times New Roman" w:hAnsi="Aptos Narrow" w:cs="Times New Roman"/>
                <w:color w:val="000000"/>
                <w:sz w:val="15"/>
                <w:szCs w:val="15"/>
                <w:vertAlign w:val="superscript"/>
                <w:lang w:eastAsia="en-GB"/>
              </w:rPr>
              <w:t xml:space="preserve"> et al.</w:t>
            </w:r>
          </w:p>
        </w:tc>
        <w:tc>
          <w:tcPr>
            <w:tcW w:w="567" w:type="dxa"/>
            <w:hideMark/>
          </w:tcPr>
          <w:p w14:paraId="295792C1"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Journal of Environmental and Public Health</w:t>
            </w:r>
          </w:p>
        </w:tc>
        <w:tc>
          <w:tcPr>
            <w:tcW w:w="425" w:type="dxa"/>
            <w:hideMark/>
          </w:tcPr>
          <w:p w14:paraId="1FA5B9ED" w14:textId="77777777" w:rsidR="0051112E" w:rsidRPr="00495497" w:rsidRDefault="0051112E" w:rsidP="00D704A0">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2014</w:t>
            </w:r>
          </w:p>
        </w:tc>
        <w:tc>
          <w:tcPr>
            <w:tcW w:w="567" w:type="dxa"/>
            <w:hideMark/>
          </w:tcPr>
          <w:p w14:paraId="33DA7B56"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India</w:t>
            </w:r>
          </w:p>
        </w:tc>
        <w:tc>
          <w:tcPr>
            <w:tcW w:w="567" w:type="dxa"/>
            <w:hideMark/>
          </w:tcPr>
          <w:p w14:paraId="5FBA5B9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Retrospective cohort</w:t>
            </w:r>
          </w:p>
        </w:tc>
        <w:tc>
          <w:tcPr>
            <w:tcW w:w="567" w:type="dxa"/>
            <w:hideMark/>
          </w:tcPr>
          <w:p w14:paraId="0B58CFC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2,025</w:t>
            </w:r>
          </w:p>
        </w:tc>
        <w:tc>
          <w:tcPr>
            <w:tcW w:w="709" w:type="dxa"/>
            <w:hideMark/>
          </w:tcPr>
          <w:p w14:paraId="6926EA6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Hospital- based cohort</w:t>
            </w:r>
          </w:p>
        </w:tc>
        <w:tc>
          <w:tcPr>
            <w:tcW w:w="1134" w:type="dxa"/>
            <w:hideMark/>
          </w:tcPr>
          <w:p w14:paraId="14FBD368"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all NICU admissions aged 0–28 days with heat-related symptoms; included deliveries in-hospital and out-of-hospital transfers. Excluded: cases with evidence of sepsis, gastroenteritis, or CNS infection.</w:t>
            </w:r>
          </w:p>
        </w:tc>
        <w:tc>
          <w:tcPr>
            <w:tcW w:w="992" w:type="dxa"/>
            <w:hideMark/>
          </w:tcPr>
          <w:p w14:paraId="1BE9E9AA"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Heat-related NICU admissions: 8 in 2009, 24 in 2010 (heat wave), 4 in 2011; all full-term; 30–75% with &gt;10% weight loss; many transferred from maternity ward.</w:t>
            </w:r>
          </w:p>
        </w:tc>
        <w:tc>
          <w:tcPr>
            <w:tcW w:w="567" w:type="dxa"/>
            <w:noWrap/>
            <w:hideMark/>
          </w:tcPr>
          <w:p w14:paraId="77B5F107"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wave</w:t>
            </w:r>
          </w:p>
        </w:tc>
        <w:tc>
          <w:tcPr>
            <w:tcW w:w="851" w:type="dxa"/>
            <w:hideMark/>
          </w:tcPr>
          <w:p w14:paraId="19EC8452"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2010 heat wave in Ahmedabad</w:t>
            </w:r>
          </w:p>
        </w:tc>
        <w:tc>
          <w:tcPr>
            <w:tcW w:w="708" w:type="dxa"/>
            <w:hideMark/>
          </w:tcPr>
          <w:p w14:paraId="219CEB1F"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Acute exposure during the same day; analyses included all days from April–June across 2009–2011</w:t>
            </w:r>
          </w:p>
        </w:tc>
        <w:tc>
          <w:tcPr>
            <w:tcW w:w="851" w:type="dxa"/>
            <w:gridSpan w:val="2"/>
            <w:hideMark/>
          </w:tcPr>
          <w:p w14:paraId="1BF4D9FB"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NICU admissions</w:t>
            </w:r>
          </w:p>
        </w:tc>
        <w:tc>
          <w:tcPr>
            <w:tcW w:w="850" w:type="dxa"/>
            <w:hideMark/>
          </w:tcPr>
          <w:p w14:paraId="1B5B443C"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Heat-related NICU admission = neonatal hyperthermia case meeting clinical criteria without infection</w:t>
            </w:r>
          </w:p>
        </w:tc>
        <w:tc>
          <w:tcPr>
            <w:tcW w:w="1701" w:type="dxa"/>
            <w:hideMark/>
          </w:tcPr>
          <w:p w14:paraId="1755614E" w14:textId="77777777"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Major increase in heat-related NICU admissions during May 2010 heat wave: 24 cases vs 8 (2009) and 4 (2011). Heat threshold: strongest rise in admissions above 42°C. Per +1°C above 42°C: +43% increase in heat-related NICU admissions (95% CI 9–88%). Ward relocation effect: moving maternity ward from top floor to ground floor resulted in 64% reduction in heat-related admissions (95% CI 3–89%). Non-heat NICU admissions and daily births showed similar but non-significant patterns.</w:t>
            </w:r>
          </w:p>
        </w:tc>
        <w:tc>
          <w:tcPr>
            <w:tcW w:w="912" w:type="dxa"/>
            <w:hideMark/>
          </w:tcPr>
          <w:p w14:paraId="4182A6F5" w14:textId="4EEA48E3" w:rsidR="0051112E" w:rsidRPr="00495497" w:rsidRDefault="0051112E" w:rsidP="00D704A0">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Number of births (past 3 days); ward floor (top vs ground); segmented temperature function; humidit</w:t>
            </w:r>
            <w:r w:rsidRPr="0051112E">
              <w:rPr>
                <w:rFonts w:ascii="Aptos Narrow" w:eastAsia="Times New Roman" w:hAnsi="Aptos Narrow" w:cs="Times New Roman"/>
                <w:color w:val="000000"/>
                <w:sz w:val="15"/>
                <w:szCs w:val="15"/>
                <w:vertAlign w:val="superscript"/>
                <w:lang w:eastAsia="en-GB"/>
              </w:rPr>
              <w:t>y</w:t>
            </w:r>
            <w:r w:rsidRPr="00495497">
              <w:rPr>
                <w:rFonts w:ascii="Aptos Narrow" w:eastAsia="Times New Roman" w:hAnsi="Aptos Narrow" w:cs="Times New Roman"/>
                <w:color w:val="000000"/>
                <w:sz w:val="15"/>
                <w:szCs w:val="15"/>
                <w:vertAlign w:val="superscript"/>
                <w:lang w:eastAsia="en-GB"/>
              </w:rPr>
              <w:t xml:space="preserve"> excluded (no effect).</w:t>
            </w:r>
          </w:p>
        </w:tc>
      </w:tr>
      <w:tr w:rsidR="0051112E" w:rsidRPr="0051112E" w14:paraId="2A93D274" w14:textId="77777777" w:rsidTr="0051112E">
        <w:trPr>
          <w:trHeight w:val="2068"/>
        </w:trPr>
        <w:tc>
          <w:tcPr>
            <w:cnfStyle w:val="001000000000" w:firstRow="0" w:lastRow="0" w:firstColumn="1" w:lastColumn="0" w:oddVBand="0" w:evenVBand="0" w:oddHBand="0" w:evenHBand="0" w:firstRowFirstColumn="0" w:firstRowLastColumn="0" w:lastRowFirstColumn="0" w:lastRowLastColumn="0"/>
            <w:tcW w:w="1418" w:type="dxa"/>
            <w:hideMark/>
          </w:tcPr>
          <w:p w14:paraId="13DC4B39" w14:textId="65820239" w:rsidR="0051112E" w:rsidRPr="00495497" w:rsidRDefault="0051112E" w:rsidP="00D704A0">
            <w:pPr>
              <w:spacing w:after="24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A population-based case-control study of extreme </w:t>
            </w:r>
            <w:proofErr w:type="spellStart"/>
            <w:r w:rsidRPr="00495497">
              <w:rPr>
                <w:rFonts w:ascii="Aptos Narrow" w:eastAsia="Times New Roman" w:hAnsi="Aptos Narrow" w:cs="Times New Roman"/>
                <w:color w:val="000000"/>
                <w:sz w:val="15"/>
                <w:szCs w:val="15"/>
                <w:vertAlign w:val="superscript"/>
                <w:lang w:eastAsia="en-GB"/>
              </w:rPr>
              <w:t>summertemperature</w:t>
            </w:r>
            <w:proofErr w:type="spellEnd"/>
            <w:r w:rsidRPr="00495497">
              <w:rPr>
                <w:rFonts w:ascii="Aptos Narrow" w:eastAsia="Times New Roman" w:hAnsi="Aptos Narrow" w:cs="Times New Roman"/>
                <w:color w:val="000000"/>
                <w:sz w:val="15"/>
                <w:szCs w:val="15"/>
                <w:vertAlign w:val="superscript"/>
                <w:lang w:eastAsia="en-GB"/>
              </w:rPr>
              <w:t xml:space="preserve"> and birth defects</w:t>
            </w:r>
          </w:p>
        </w:tc>
        <w:tc>
          <w:tcPr>
            <w:tcW w:w="567" w:type="dxa"/>
            <w:hideMark/>
          </w:tcPr>
          <w:p w14:paraId="053E904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val="nl-NL" w:eastAsia="en-GB"/>
              </w:rPr>
            </w:pPr>
            <w:r w:rsidRPr="00495497">
              <w:rPr>
                <w:rFonts w:ascii="Aptos Narrow" w:eastAsia="Times New Roman" w:hAnsi="Aptos Narrow" w:cs="Times New Roman"/>
                <w:color w:val="000000"/>
                <w:sz w:val="15"/>
                <w:szCs w:val="15"/>
                <w:vertAlign w:val="superscript"/>
                <w:lang w:val="nl-NL" w:eastAsia="en-GB"/>
              </w:rPr>
              <w:t>Van Zutphen AR</w:t>
            </w:r>
            <w:r w:rsidRPr="0051112E">
              <w:rPr>
                <w:rFonts w:ascii="Aptos Narrow" w:eastAsia="Times New Roman" w:hAnsi="Aptos Narrow" w:cs="Times New Roman"/>
                <w:color w:val="000000"/>
                <w:sz w:val="15"/>
                <w:szCs w:val="15"/>
                <w:vertAlign w:val="superscript"/>
                <w:lang w:val="nl-NL" w:eastAsia="en-GB"/>
              </w:rPr>
              <w:t xml:space="preserve"> et al.</w:t>
            </w:r>
          </w:p>
        </w:tc>
        <w:tc>
          <w:tcPr>
            <w:tcW w:w="567" w:type="dxa"/>
            <w:hideMark/>
          </w:tcPr>
          <w:p w14:paraId="4C3244C4"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Environmental Health Perspectives</w:t>
            </w:r>
          </w:p>
        </w:tc>
        <w:tc>
          <w:tcPr>
            <w:tcW w:w="425" w:type="dxa"/>
            <w:hideMark/>
          </w:tcPr>
          <w:p w14:paraId="3F8503E5" w14:textId="77777777" w:rsidR="0051112E" w:rsidRPr="00495497" w:rsidRDefault="0051112E" w:rsidP="00D704A0">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2012</w:t>
            </w:r>
          </w:p>
        </w:tc>
        <w:tc>
          <w:tcPr>
            <w:tcW w:w="567" w:type="dxa"/>
            <w:hideMark/>
          </w:tcPr>
          <w:p w14:paraId="6CF3493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USA</w:t>
            </w:r>
          </w:p>
        </w:tc>
        <w:tc>
          <w:tcPr>
            <w:tcW w:w="567" w:type="dxa"/>
            <w:hideMark/>
          </w:tcPr>
          <w:p w14:paraId="4C4CF22A" w14:textId="25202CC8" w:rsidR="0051112E" w:rsidRPr="0001376B" w:rsidRDefault="0001376B" w:rsidP="00D704A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5"/>
                <w:szCs w:val="15"/>
                <w:vertAlign w:val="superscript"/>
                <w:lang w:eastAsia="en-GB"/>
              </w:rPr>
            </w:pPr>
            <w:r w:rsidRPr="0001376B">
              <w:rPr>
                <w:rFonts w:eastAsia="Times New Roman" w:cs="Calibri"/>
                <w:color w:val="000000"/>
                <w:sz w:val="15"/>
                <w:szCs w:val="15"/>
                <w:vertAlign w:val="superscript"/>
                <w:lang w:eastAsia="en-GB"/>
              </w:rPr>
              <w:t>Cross-sectional study</w:t>
            </w:r>
          </w:p>
        </w:tc>
        <w:tc>
          <w:tcPr>
            <w:tcW w:w="567" w:type="dxa"/>
            <w:hideMark/>
          </w:tcPr>
          <w:p w14:paraId="3EF302A9"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 = 6,422 cases; 59,328 controls</w:t>
            </w:r>
          </w:p>
        </w:tc>
        <w:tc>
          <w:tcPr>
            <w:tcW w:w="709" w:type="dxa"/>
            <w:hideMark/>
          </w:tcPr>
          <w:p w14:paraId="0BB9D93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NY State Congenital Malformations Registry linked to state birth certificates</w:t>
            </w:r>
          </w:p>
        </w:tc>
        <w:tc>
          <w:tcPr>
            <w:tcW w:w="1134" w:type="dxa"/>
            <w:hideMark/>
          </w:tcPr>
          <w:p w14:paraId="73CF32A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Included: live births with ≥1 week of critical period (weeks 3–8 post-conception) falling in summer. Excluded: non-</w:t>
            </w:r>
            <w:proofErr w:type="spellStart"/>
            <w:r w:rsidRPr="00495497">
              <w:rPr>
                <w:rFonts w:ascii="Aptos Narrow" w:eastAsia="Times New Roman" w:hAnsi="Aptos Narrow" w:cs="Times New Roman"/>
                <w:color w:val="000000"/>
                <w:sz w:val="15"/>
                <w:szCs w:val="15"/>
                <w:vertAlign w:val="superscript"/>
                <w:lang w:eastAsia="en-GB"/>
              </w:rPr>
              <w:t>geocodable</w:t>
            </w:r>
            <w:proofErr w:type="spellEnd"/>
            <w:r w:rsidRPr="00495497">
              <w:rPr>
                <w:rFonts w:ascii="Aptos Narrow" w:eastAsia="Times New Roman" w:hAnsi="Aptos Narrow" w:cs="Times New Roman"/>
                <w:color w:val="000000"/>
                <w:sz w:val="15"/>
                <w:szCs w:val="15"/>
                <w:vertAlign w:val="superscript"/>
                <w:lang w:eastAsia="en-GB"/>
              </w:rPr>
              <w:t xml:space="preserve"> addresses (~6%); birth defects outside </w:t>
            </w:r>
            <w:r w:rsidRPr="00495497">
              <w:rPr>
                <w:rFonts w:ascii="Aptos Narrow" w:eastAsia="Times New Roman" w:hAnsi="Aptos Narrow" w:cs="Times New Roman"/>
                <w:color w:val="000000"/>
                <w:sz w:val="15"/>
                <w:szCs w:val="15"/>
                <w:u w:val="single"/>
                <w:vertAlign w:val="superscript"/>
                <w:lang w:eastAsia="en-GB"/>
              </w:rPr>
              <w:t>28 preselected categories</w:t>
            </w:r>
            <w:r w:rsidRPr="00495497">
              <w:rPr>
                <w:rFonts w:ascii="Aptos Narrow" w:eastAsia="Times New Roman" w:hAnsi="Aptos Narrow" w:cs="Times New Roman"/>
                <w:color w:val="000000"/>
                <w:sz w:val="15"/>
                <w:szCs w:val="15"/>
                <w:vertAlign w:val="superscript"/>
                <w:lang w:eastAsia="en-GB"/>
              </w:rPr>
              <w:t>.</w:t>
            </w:r>
          </w:p>
        </w:tc>
        <w:tc>
          <w:tcPr>
            <w:tcW w:w="992" w:type="dxa"/>
            <w:hideMark/>
          </w:tcPr>
          <w:p w14:paraId="6ED70D6D"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Controls: 75% maternal age 20–34; 85% White; 14.5% &lt;12 years education; 15.7% smokers. Cases had more LBW and preterm births.</w:t>
            </w:r>
          </w:p>
        </w:tc>
        <w:tc>
          <w:tcPr>
            <w:tcW w:w="567" w:type="dxa"/>
            <w:hideMark/>
          </w:tcPr>
          <w:p w14:paraId="4B2B09D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Universal Apparent Temperature (UAT) (min, mean, max); heat waves; number of heat waves; days &gt;90th percentile</w:t>
            </w:r>
          </w:p>
        </w:tc>
        <w:tc>
          <w:tcPr>
            <w:tcW w:w="851" w:type="dxa"/>
            <w:hideMark/>
          </w:tcPr>
          <w:p w14:paraId="4D25E8C1"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Heat wave = ≥3 consecutive days with mean UAT &gt;90th percentile for that weather region. Exposure expressed both as continuous (per +5°F UAT) and categorical (heat wave metrics).</w:t>
            </w:r>
          </w:p>
        </w:tc>
        <w:tc>
          <w:tcPr>
            <w:tcW w:w="708" w:type="dxa"/>
            <w:hideMark/>
          </w:tcPr>
          <w:p w14:paraId="425F17E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Weeks 3–8 post-conception</w:t>
            </w:r>
          </w:p>
        </w:tc>
        <w:tc>
          <w:tcPr>
            <w:tcW w:w="851" w:type="dxa"/>
            <w:gridSpan w:val="2"/>
            <w:hideMark/>
          </w:tcPr>
          <w:p w14:paraId="55256A1C"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Birth defects</w:t>
            </w:r>
          </w:p>
        </w:tc>
        <w:tc>
          <w:tcPr>
            <w:tcW w:w="850" w:type="dxa"/>
            <w:hideMark/>
          </w:tcPr>
          <w:p w14:paraId="1764A8EA"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28 major birth defect categories across 6 systems (CNS, eye, cardiac, craniofacial, genitourinary, musculoskeletal). Diagnoses from the NY Congenital Malformations Registry (ICD-9-CM), captured up to age 2 years</w:t>
            </w:r>
          </w:p>
        </w:tc>
        <w:tc>
          <w:tcPr>
            <w:tcW w:w="1701" w:type="dxa"/>
            <w:hideMark/>
          </w:tcPr>
          <w:p w14:paraId="0BB0CC56"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 xml:space="preserve">Congenital cataracts: strong, consistent positive associations: \+5°F minimum UAT →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1.51 (95% CI: 1.14, 1.99). Heat wave →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1.97 (1.17, 3.32).  heat waves →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1.45 (1.04, 2.02). Days &gt;90th percentile →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1.09 (1.02, 1.17). Critical window strongest at weeks 4, 6, 7. Renal agenesis/hypoplasia: small positive association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1.17; 1.00–1.37 for +5°F min UAT). Anophthalmia/microphthalmia: inverse association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0.71; 0.54–0.94). Gastroschisis: inverse for heat waves (</w:t>
            </w:r>
            <w:proofErr w:type="spellStart"/>
            <w:r w:rsidRPr="00495497">
              <w:rPr>
                <w:rFonts w:ascii="Aptos Narrow" w:eastAsia="Times New Roman" w:hAnsi="Aptos Narrow" w:cs="Times New Roman"/>
                <w:color w:val="000000"/>
                <w:sz w:val="15"/>
                <w:szCs w:val="15"/>
                <w:vertAlign w:val="superscript"/>
                <w:lang w:eastAsia="en-GB"/>
              </w:rPr>
              <w:t>aOR</w:t>
            </w:r>
            <w:proofErr w:type="spellEnd"/>
            <w:r w:rsidRPr="00495497">
              <w:rPr>
                <w:rFonts w:ascii="Aptos Narrow" w:eastAsia="Times New Roman" w:hAnsi="Aptos Narrow" w:cs="Times New Roman"/>
                <w:color w:val="000000"/>
                <w:sz w:val="15"/>
                <w:szCs w:val="15"/>
                <w:vertAlign w:val="superscript"/>
                <w:lang w:eastAsia="en-GB"/>
              </w:rPr>
              <w:t xml:space="preserve"> 0.48; 0.28–0.81). No associations for CNS, cardiac, craniofacial, or limb defects.</w:t>
            </w:r>
          </w:p>
        </w:tc>
        <w:tc>
          <w:tcPr>
            <w:tcW w:w="912" w:type="dxa"/>
            <w:hideMark/>
          </w:tcPr>
          <w:p w14:paraId="189BC2FB" w14:textId="77777777" w:rsidR="0051112E" w:rsidRPr="00495497" w:rsidRDefault="0051112E" w:rsidP="00D704A0">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5"/>
                <w:szCs w:val="15"/>
                <w:vertAlign w:val="superscript"/>
                <w:lang w:eastAsia="en-GB"/>
              </w:rPr>
            </w:pPr>
            <w:r w:rsidRPr="00495497">
              <w:rPr>
                <w:rFonts w:ascii="Aptos Narrow" w:eastAsia="Times New Roman" w:hAnsi="Aptos Narrow" w:cs="Times New Roman"/>
                <w:color w:val="000000"/>
                <w:sz w:val="15"/>
                <w:szCs w:val="15"/>
                <w:vertAlign w:val="superscript"/>
                <w:lang w:eastAsia="en-GB"/>
              </w:rPr>
              <w:t>Maternal age; race; ethnicity; education; prenatal care (Kessner Index); smoking; weather region; year of birth.</w:t>
            </w:r>
          </w:p>
        </w:tc>
      </w:tr>
    </w:tbl>
    <w:p w14:paraId="2EADF028" w14:textId="2F1B347D" w:rsidR="0D1F5030" w:rsidRDefault="0D1F5030" w:rsidP="0D1F5030">
      <w:pPr>
        <w:spacing w:line="240" w:lineRule="auto"/>
        <w:jc w:val="both"/>
        <w:rPr>
          <w:rFonts w:ascii="Calibri Light" w:eastAsia="Calibri Light" w:hAnsi="Calibri Light" w:cs="Calibri Light"/>
        </w:rPr>
      </w:pPr>
    </w:p>
    <w:sectPr w:rsidR="0D1F5030" w:rsidSect="0051112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1476F" w14:textId="77777777" w:rsidR="000C5C30" w:rsidRDefault="000C5C30">
      <w:pPr>
        <w:spacing w:after="0" w:line="240" w:lineRule="auto"/>
      </w:pPr>
      <w:r>
        <w:separator/>
      </w:r>
    </w:p>
  </w:endnote>
  <w:endnote w:type="continuationSeparator" w:id="0">
    <w:p w14:paraId="12893AD0" w14:textId="77777777" w:rsidR="000C5C30" w:rsidRDefault="000C5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1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802D" w14:textId="77777777" w:rsidR="00A34FDC" w:rsidRDefault="00A34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1F5030" w:rsidRPr="00A34FDC" w14:paraId="2EE15D7D" w14:textId="77777777" w:rsidTr="0D1F5030">
      <w:trPr>
        <w:trHeight w:val="300"/>
      </w:trPr>
      <w:tc>
        <w:tcPr>
          <w:tcW w:w="3120" w:type="dxa"/>
        </w:tcPr>
        <w:p w14:paraId="6C080028" w14:textId="71369167" w:rsidR="0D1F5030" w:rsidRDefault="0D1F5030" w:rsidP="0D1F5030">
          <w:pPr>
            <w:pStyle w:val="Header"/>
            <w:ind w:left="-115"/>
          </w:pPr>
        </w:p>
      </w:tc>
      <w:tc>
        <w:tcPr>
          <w:tcW w:w="3120" w:type="dxa"/>
        </w:tcPr>
        <w:p w14:paraId="5433FE1A" w14:textId="7B2B220E" w:rsidR="0D1F5030" w:rsidRDefault="0D1F5030" w:rsidP="0D1F5030">
          <w:pPr>
            <w:pStyle w:val="Header"/>
            <w:jc w:val="center"/>
          </w:pPr>
        </w:p>
      </w:tc>
      <w:tc>
        <w:tcPr>
          <w:tcW w:w="3120" w:type="dxa"/>
        </w:tcPr>
        <w:p w14:paraId="7A5F92CA" w14:textId="0BD6D89E" w:rsidR="0D1F5030" w:rsidRPr="00A34FDC" w:rsidRDefault="0D1F5030" w:rsidP="0D1F5030">
          <w:pPr>
            <w:pStyle w:val="Header"/>
            <w:ind w:right="-115"/>
            <w:jc w:val="right"/>
            <w:rPr>
              <w:rFonts w:ascii="Calibri Light" w:hAnsi="Calibri Light" w:cs="Calibri Light"/>
              <w:sz w:val="20"/>
              <w:szCs w:val="20"/>
            </w:rPr>
          </w:pPr>
          <w:r w:rsidRPr="00A34FDC">
            <w:rPr>
              <w:rFonts w:ascii="Calibri Light" w:hAnsi="Calibri Light" w:cs="Calibri Light"/>
              <w:sz w:val="20"/>
              <w:szCs w:val="20"/>
            </w:rPr>
            <w:fldChar w:fldCharType="begin"/>
          </w:r>
          <w:r w:rsidRPr="00A34FDC">
            <w:rPr>
              <w:rFonts w:ascii="Calibri Light" w:hAnsi="Calibri Light" w:cs="Calibri Light"/>
              <w:sz w:val="20"/>
              <w:szCs w:val="20"/>
            </w:rPr>
            <w:instrText>PAGE</w:instrText>
          </w:r>
          <w:r w:rsidRPr="00A34FDC">
            <w:rPr>
              <w:rFonts w:ascii="Calibri Light" w:hAnsi="Calibri Light" w:cs="Calibri Light"/>
              <w:sz w:val="20"/>
              <w:szCs w:val="20"/>
            </w:rPr>
            <w:fldChar w:fldCharType="separate"/>
          </w:r>
          <w:r w:rsidR="001818C6" w:rsidRPr="00A34FDC">
            <w:rPr>
              <w:rFonts w:ascii="Calibri Light" w:hAnsi="Calibri Light" w:cs="Calibri Light"/>
              <w:noProof/>
              <w:sz w:val="20"/>
              <w:szCs w:val="20"/>
            </w:rPr>
            <w:t>1</w:t>
          </w:r>
          <w:r w:rsidRPr="00A34FDC">
            <w:rPr>
              <w:rFonts w:ascii="Calibri Light" w:hAnsi="Calibri Light" w:cs="Calibri Light"/>
              <w:sz w:val="20"/>
              <w:szCs w:val="20"/>
            </w:rPr>
            <w:fldChar w:fldCharType="end"/>
          </w:r>
        </w:p>
      </w:tc>
    </w:tr>
  </w:tbl>
  <w:p w14:paraId="637967D1" w14:textId="080F7F0F" w:rsidR="0D1F5030" w:rsidRDefault="0D1F5030" w:rsidP="0D1F50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D82F" w14:textId="77777777" w:rsidR="00A34FDC" w:rsidRDefault="00A3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6D8AB" w14:textId="77777777" w:rsidR="000C5C30" w:rsidRDefault="000C5C30">
      <w:pPr>
        <w:spacing w:after="0" w:line="240" w:lineRule="auto"/>
      </w:pPr>
      <w:r>
        <w:separator/>
      </w:r>
    </w:p>
  </w:footnote>
  <w:footnote w:type="continuationSeparator" w:id="0">
    <w:p w14:paraId="30B5FABF" w14:textId="77777777" w:rsidR="000C5C30" w:rsidRDefault="000C5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944C" w14:textId="77777777" w:rsidR="00A34FDC" w:rsidRDefault="00A34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1F5030" w14:paraId="5760F4C0" w14:textId="77777777" w:rsidTr="0D1F5030">
      <w:trPr>
        <w:trHeight w:val="300"/>
      </w:trPr>
      <w:tc>
        <w:tcPr>
          <w:tcW w:w="3120" w:type="dxa"/>
        </w:tcPr>
        <w:p w14:paraId="09E65A2C" w14:textId="3485AED4" w:rsidR="0D1F5030" w:rsidRDefault="0D1F5030" w:rsidP="0D1F5030">
          <w:pPr>
            <w:pStyle w:val="Header"/>
            <w:ind w:left="-115"/>
          </w:pPr>
        </w:p>
      </w:tc>
      <w:tc>
        <w:tcPr>
          <w:tcW w:w="3120" w:type="dxa"/>
        </w:tcPr>
        <w:p w14:paraId="587F540C" w14:textId="146DDC4E" w:rsidR="0D1F5030" w:rsidRDefault="0D1F5030" w:rsidP="0D1F5030">
          <w:pPr>
            <w:pStyle w:val="Header"/>
            <w:jc w:val="center"/>
          </w:pPr>
        </w:p>
      </w:tc>
      <w:tc>
        <w:tcPr>
          <w:tcW w:w="3120" w:type="dxa"/>
        </w:tcPr>
        <w:p w14:paraId="2202C4C0" w14:textId="0A3FBE84" w:rsidR="0D1F5030" w:rsidRDefault="0D1F5030" w:rsidP="0D1F5030">
          <w:pPr>
            <w:pStyle w:val="Header"/>
            <w:ind w:right="-115"/>
            <w:jc w:val="right"/>
          </w:pPr>
        </w:p>
      </w:tc>
    </w:tr>
  </w:tbl>
  <w:p w14:paraId="3F380706" w14:textId="6D818EC9" w:rsidR="0D1F5030" w:rsidRDefault="0D1F5030" w:rsidP="0D1F50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78C8" w14:textId="77777777" w:rsidR="00A34FDC" w:rsidRDefault="00A34FDC">
    <w:pPr>
      <w:pStyle w:val="Header"/>
    </w:pPr>
  </w:p>
</w:hdr>
</file>

<file path=word/intelligence2.xml><?xml version="1.0" encoding="utf-8"?>
<int2:intelligence xmlns:int2="http://schemas.microsoft.com/office/intelligence/2020/intelligence" xmlns:oel="http://schemas.microsoft.com/office/2019/extlst">
  <int2:observations>
    <int2:textHash int2:hashCode="1qgD/Z5wRAGc+2" int2:id="wW93VN6S">
      <int2:state int2:value="Rejected" int2:type="spell"/>
    </int2:textHash>
    <int2:textHash int2:hashCode="Nv3H4kpWjluWnk" int2:id="JIxItDzg">
      <int2:state int2:value="Rejected" int2:type="spell"/>
    </int2:textHash>
    <int2:textHash int2:hashCode="+zpyah7XV2i9bm" int2:id="iMIHIVjk">
      <int2:state int2:value="Rejected" int2:type="spell"/>
    </int2:textHash>
    <int2:textHash int2:hashCode="xtyTbduB5qVDnL" int2:id="1QUM1Jb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738"/>
    <w:multiLevelType w:val="hybridMultilevel"/>
    <w:tmpl w:val="9CA2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C182F"/>
    <w:multiLevelType w:val="hybridMultilevel"/>
    <w:tmpl w:val="E5161B1A"/>
    <w:lvl w:ilvl="0" w:tplc="06DEF066">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517116"/>
    <w:multiLevelType w:val="hybridMultilevel"/>
    <w:tmpl w:val="6DC4761E"/>
    <w:lvl w:ilvl="0" w:tplc="06DEF066">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557C2D"/>
    <w:multiLevelType w:val="hybridMultilevel"/>
    <w:tmpl w:val="4394E8CA"/>
    <w:lvl w:ilvl="0" w:tplc="06DEF066">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38E7BBF"/>
    <w:multiLevelType w:val="hybridMultilevel"/>
    <w:tmpl w:val="46940552"/>
    <w:lvl w:ilvl="0" w:tplc="06DEF066">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6E0012"/>
    <w:multiLevelType w:val="hybridMultilevel"/>
    <w:tmpl w:val="7BCE14C0"/>
    <w:lvl w:ilvl="0" w:tplc="06DEF066">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18E3E73"/>
    <w:multiLevelType w:val="hybridMultilevel"/>
    <w:tmpl w:val="F4282BB0"/>
    <w:lvl w:ilvl="0" w:tplc="06DEF066">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69330782"/>
    <w:multiLevelType w:val="hybridMultilevel"/>
    <w:tmpl w:val="C83E939E"/>
    <w:lvl w:ilvl="0" w:tplc="06DEF066">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3AA181F"/>
    <w:multiLevelType w:val="hybridMultilevel"/>
    <w:tmpl w:val="008C75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5594601">
    <w:abstractNumId w:val="5"/>
  </w:num>
  <w:num w:numId="2" w16cid:durableId="2004163945">
    <w:abstractNumId w:val="6"/>
  </w:num>
  <w:num w:numId="3" w16cid:durableId="999888746">
    <w:abstractNumId w:val="7"/>
  </w:num>
  <w:num w:numId="4" w16cid:durableId="1063406744">
    <w:abstractNumId w:val="3"/>
  </w:num>
  <w:num w:numId="5" w16cid:durableId="1688602834">
    <w:abstractNumId w:val="2"/>
  </w:num>
  <w:num w:numId="6" w16cid:durableId="957682042">
    <w:abstractNumId w:val="4"/>
  </w:num>
  <w:num w:numId="7" w16cid:durableId="301229022">
    <w:abstractNumId w:val="1"/>
  </w:num>
  <w:num w:numId="8" w16cid:durableId="13532842">
    <w:abstractNumId w:val="0"/>
  </w:num>
  <w:num w:numId="9" w16cid:durableId="131487592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28EE7E"/>
    <w:rsid w:val="0001376B"/>
    <w:rsid w:val="00023FB8"/>
    <w:rsid w:val="0004131F"/>
    <w:rsid w:val="00044EBF"/>
    <w:rsid w:val="00047E12"/>
    <w:rsid w:val="00050F27"/>
    <w:rsid w:val="00051022"/>
    <w:rsid w:val="00083AF6"/>
    <w:rsid w:val="000861B0"/>
    <w:rsid w:val="00094DA3"/>
    <w:rsid w:val="00095DA2"/>
    <w:rsid w:val="000C5C30"/>
    <w:rsid w:val="000C9368"/>
    <w:rsid w:val="000D4967"/>
    <w:rsid w:val="000D6085"/>
    <w:rsid w:val="000D6318"/>
    <w:rsid w:val="000E0AAE"/>
    <w:rsid w:val="000E25D9"/>
    <w:rsid w:val="000E3A23"/>
    <w:rsid w:val="000E5E1F"/>
    <w:rsid w:val="000E7A6B"/>
    <w:rsid w:val="000F204B"/>
    <w:rsid w:val="000F49BD"/>
    <w:rsid w:val="000F6D14"/>
    <w:rsid w:val="001077E1"/>
    <w:rsid w:val="00107952"/>
    <w:rsid w:val="00125F62"/>
    <w:rsid w:val="00133F86"/>
    <w:rsid w:val="00141E4D"/>
    <w:rsid w:val="00151253"/>
    <w:rsid w:val="0015645E"/>
    <w:rsid w:val="00156D83"/>
    <w:rsid w:val="00160B9B"/>
    <w:rsid w:val="00170548"/>
    <w:rsid w:val="001818C6"/>
    <w:rsid w:val="00186E07"/>
    <w:rsid w:val="00190A49"/>
    <w:rsid w:val="0019492F"/>
    <w:rsid w:val="0019699F"/>
    <w:rsid w:val="001A15F4"/>
    <w:rsid w:val="001B3C8F"/>
    <w:rsid w:val="001B456F"/>
    <w:rsid w:val="001B7282"/>
    <w:rsid w:val="001D1FC1"/>
    <w:rsid w:val="001D5827"/>
    <w:rsid w:val="001E5159"/>
    <w:rsid w:val="00207199"/>
    <w:rsid w:val="00207A01"/>
    <w:rsid w:val="00211CED"/>
    <w:rsid w:val="00211DDB"/>
    <w:rsid w:val="00212C2B"/>
    <w:rsid w:val="00216504"/>
    <w:rsid w:val="0021A982"/>
    <w:rsid w:val="00220A0F"/>
    <w:rsid w:val="00232716"/>
    <w:rsid w:val="002358AF"/>
    <w:rsid w:val="0023616D"/>
    <w:rsid w:val="002369B9"/>
    <w:rsid w:val="0025034E"/>
    <w:rsid w:val="0025436D"/>
    <w:rsid w:val="002611C7"/>
    <w:rsid w:val="00263735"/>
    <w:rsid w:val="0026472E"/>
    <w:rsid w:val="00266A13"/>
    <w:rsid w:val="00277CE7"/>
    <w:rsid w:val="002920F7"/>
    <w:rsid w:val="002941DD"/>
    <w:rsid w:val="002A4058"/>
    <w:rsid w:val="002C1652"/>
    <w:rsid w:val="002C2DB1"/>
    <w:rsid w:val="002C3E88"/>
    <w:rsid w:val="002D089C"/>
    <w:rsid w:val="002D103E"/>
    <w:rsid w:val="002D508E"/>
    <w:rsid w:val="002D66A9"/>
    <w:rsid w:val="002F1479"/>
    <w:rsid w:val="002F1E68"/>
    <w:rsid w:val="00300D82"/>
    <w:rsid w:val="00310EF4"/>
    <w:rsid w:val="00310FE9"/>
    <w:rsid w:val="00311ACB"/>
    <w:rsid w:val="003138AD"/>
    <w:rsid w:val="00325586"/>
    <w:rsid w:val="00330933"/>
    <w:rsid w:val="00333875"/>
    <w:rsid w:val="003347D1"/>
    <w:rsid w:val="00344ED7"/>
    <w:rsid w:val="00346D50"/>
    <w:rsid w:val="003532B2"/>
    <w:rsid w:val="00360A8C"/>
    <w:rsid w:val="00366EF7"/>
    <w:rsid w:val="00380297"/>
    <w:rsid w:val="003863D4"/>
    <w:rsid w:val="00386BDD"/>
    <w:rsid w:val="00387EB5"/>
    <w:rsid w:val="003904D2"/>
    <w:rsid w:val="003A4587"/>
    <w:rsid w:val="003A48C9"/>
    <w:rsid w:val="003A4CAF"/>
    <w:rsid w:val="003B4D62"/>
    <w:rsid w:val="003B759C"/>
    <w:rsid w:val="003C27CA"/>
    <w:rsid w:val="003C44DC"/>
    <w:rsid w:val="003D6B3B"/>
    <w:rsid w:val="003E0BB7"/>
    <w:rsid w:val="003E13CC"/>
    <w:rsid w:val="003E53A7"/>
    <w:rsid w:val="003E6515"/>
    <w:rsid w:val="003E7968"/>
    <w:rsid w:val="003F5A10"/>
    <w:rsid w:val="003F70C8"/>
    <w:rsid w:val="00401CD1"/>
    <w:rsid w:val="004027B0"/>
    <w:rsid w:val="00404D81"/>
    <w:rsid w:val="00406D0A"/>
    <w:rsid w:val="00430F82"/>
    <w:rsid w:val="00431E03"/>
    <w:rsid w:val="00437278"/>
    <w:rsid w:val="004415CE"/>
    <w:rsid w:val="00446950"/>
    <w:rsid w:val="0046174D"/>
    <w:rsid w:val="004619E1"/>
    <w:rsid w:val="00471E14"/>
    <w:rsid w:val="004808E3"/>
    <w:rsid w:val="00490459"/>
    <w:rsid w:val="004940A8"/>
    <w:rsid w:val="004C5F35"/>
    <w:rsid w:val="004C68BD"/>
    <w:rsid w:val="004F42A6"/>
    <w:rsid w:val="004F495F"/>
    <w:rsid w:val="00501DD6"/>
    <w:rsid w:val="0051112E"/>
    <w:rsid w:val="005129F8"/>
    <w:rsid w:val="00521832"/>
    <w:rsid w:val="005218CD"/>
    <w:rsid w:val="005232E7"/>
    <w:rsid w:val="0053284C"/>
    <w:rsid w:val="00540336"/>
    <w:rsid w:val="00544D42"/>
    <w:rsid w:val="005574B6"/>
    <w:rsid w:val="00563A73"/>
    <w:rsid w:val="005704FE"/>
    <w:rsid w:val="00571757"/>
    <w:rsid w:val="00576F38"/>
    <w:rsid w:val="00591BBE"/>
    <w:rsid w:val="005941E5"/>
    <w:rsid w:val="005A1283"/>
    <w:rsid w:val="005A1598"/>
    <w:rsid w:val="005A2BA8"/>
    <w:rsid w:val="005A47D2"/>
    <w:rsid w:val="005B30ED"/>
    <w:rsid w:val="005B7F9A"/>
    <w:rsid w:val="005C0067"/>
    <w:rsid w:val="005C114B"/>
    <w:rsid w:val="005D059F"/>
    <w:rsid w:val="005D1141"/>
    <w:rsid w:val="005D201F"/>
    <w:rsid w:val="005D7D2C"/>
    <w:rsid w:val="005F4639"/>
    <w:rsid w:val="00601D0B"/>
    <w:rsid w:val="00606A21"/>
    <w:rsid w:val="00614368"/>
    <w:rsid w:val="00624831"/>
    <w:rsid w:val="00625F61"/>
    <w:rsid w:val="00630B69"/>
    <w:rsid w:val="00633CCA"/>
    <w:rsid w:val="00641D49"/>
    <w:rsid w:val="00663818"/>
    <w:rsid w:val="00672D72"/>
    <w:rsid w:val="00676306"/>
    <w:rsid w:val="0068391F"/>
    <w:rsid w:val="00692ED2"/>
    <w:rsid w:val="00697E5C"/>
    <w:rsid w:val="00697FE4"/>
    <w:rsid w:val="006A2FB3"/>
    <w:rsid w:val="006A4CD8"/>
    <w:rsid w:val="006A51C2"/>
    <w:rsid w:val="006B2BC0"/>
    <w:rsid w:val="006B77FC"/>
    <w:rsid w:val="006B780A"/>
    <w:rsid w:val="006D081A"/>
    <w:rsid w:val="006D0DC0"/>
    <w:rsid w:val="006D5E81"/>
    <w:rsid w:val="006D8545"/>
    <w:rsid w:val="006E3691"/>
    <w:rsid w:val="006E7D60"/>
    <w:rsid w:val="006F6B6F"/>
    <w:rsid w:val="006F75B2"/>
    <w:rsid w:val="0071072A"/>
    <w:rsid w:val="00717C03"/>
    <w:rsid w:val="00720D97"/>
    <w:rsid w:val="007226F4"/>
    <w:rsid w:val="0073200F"/>
    <w:rsid w:val="007355BC"/>
    <w:rsid w:val="00735686"/>
    <w:rsid w:val="00741927"/>
    <w:rsid w:val="00743A6F"/>
    <w:rsid w:val="00752BCF"/>
    <w:rsid w:val="007570C4"/>
    <w:rsid w:val="00765B78"/>
    <w:rsid w:val="00775630"/>
    <w:rsid w:val="00775F74"/>
    <w:rsid w:val="00776F8F"/>
    <w:rsid w:val="00786010"/>
    <w:rsid w:val="007B47C8"/>
    <w:rsid w:val="007C0E76"/>
    <w:rsid w:val="007C6B3F"/>
    <w:rsid w:val="007D4619"/>
    <w:rsid w:val="007D8C86"/>
    <w:rsid w:val="007E081C"/>
    <w:rsid w:val="007F53E7"/>
    <w:rsid w:val="0080435B"/>
    <w:rsid w:val="0080438B"/>
    <w:rsid w:val="00805AAB"/>
    <w:rsid w:val="008130BB"/>
    <w:rsid w:val="00825D66"/>
    <w:rsid w:val="00827527"/>
    <w:rsid w:val="008310C1"/>
    <w:rsid w:val="00833D50"/>
    <w:rsid w:val="00846101"/>
    <w:rsid w:val="00847B27"/>
    <w:rsid w:val="00852790"/>
    <w:rsid w:val="00853D84"/>
    <w:rsid w:val="00854749"/>
    <w:rsid w:val="00856ACE"/>
    <w:rsid w:val="008654AD"/>
    <w:rsid w:val="008658D0"/>
    <w:rsid w:val="00873255"/>
    <w:rsid w:val="00876D1E"/>
    <w:rsid w:val="0088277F"/>
    <w:rsid w:val="0089017F"/>
    <w:rsid w:val="00894772"/>
    <w:rsid w:val="00896638"/>
    <w:rsid w:val="00896F86"/>
    <w:rsid w:val="00897DF1"/>
    <w:rsid w:val="008A4B31"/>
    <w:rsid w:val="008B0FC5"/>
    <w:rsid w:val="008B66A6"/>
    <w:rsid w:val="008C03CB"/>
    <w:rsid w:val="008D11C0"/>
    <w:rsid w:val="008D20F4"/>
    <w:rsid w:val="008E16CC"/>
    <w:rsid w:val="008E1E9B"/>
    <w:rsid w:val="008F06BA"/>
    <w:rsid w:val="008F5541"/>
    <w:rsid w:val="008F7F68"/>
    <w:rsid w:val="00906495"/>
    <w:rsid w:val="00932FDF"/>
    <w:rsid w:val="0093DA6E"/>
    <w:rsid w:val="00944EDB"/>
    <w:rsid w:val="0094543B"/>
    <w:rsid w:val="0094789B"/>
    <w:rsid w:val="009700CB"/>
    <w:rsid w:val="00992EF2"/>
    <w:rsid w:val="009A05BE"/>
    <w:rsid w:val="009A5288"/>
    <w:rsid w:val="009B3D18"/>
    <w:rsid w:val="009B773A"/>
    <w:rsid w:val="009C20DD"/>
    <w:rsid w:val="009D30A4"/>
    <w:rsid w:val="009D4A00"/>
    <w:rsid w:val="009E2A90"/>
    <w:rsid w:val="009E504A"/>
    <w:rsid w:val="009E786F"/>
    <w:rsid w:val="009F6475"/>
    <w:rsid w:val="009F7EF8"/>
    <w:rsid w:val="00A010A7"/>
    <w:rsid w:val="00A1001C"/>
    <w:rsid w:val="00A150C1"/>
    <w:rsid w:val="00A2322C"/>
    <w:rsid w:val="00A34FDC"/>
    <w:rsid w:val="00A37157"/>
    <w:rsid w:val="00A42AE4"/>
    <w:rsid w:val="00A52DFB"/>
    <w:rsid w:val="00A6192C"/>
    <w:rsid w:val="00A62B01"/>
    <w:rsid w:val="00A62C8C"/>
    <w:rsid w:val="00A62FA7"/>
    <w:rsid w:val="00A74150"/>
    <w:rsid w:val="00A75683"/>
    <w:rsid w:val="00A75AF0"/>
    <w:rsid w:val="00A9125C"/>
    <w:rsid w:val="00AA1881"/>
    <w:rsid w:val="00AC138A"/>
    <w:rsid w:val="00AC26E8"/>
    <w:rsid w:val="00ACD88E"/>
    <w:rsid w:val="00AD1A54"/>
    <w:rsid w:val="00AE16D6"/>
    <w:rsid w:val="00AE2E5C"/>
    <w:rsid w:val="00AE4744"/>
    <w:rsid w:val="00AF0271"/>
    <w:rsid w:val="00B01A3D"/>
    <w:rsid w:val="00B1252D"/>
    <w:rsid w:val="00B133E0"/>
    <w:rsid w:val="00B14FE2"/>
    <w:rsid w:val="00B323E3"/>
    <w:rsid w:val="00B56681"/>
    <w:rsid w:val="00B6046D"/>
    <w:rsid w:val="00B616E7"/>
    <w:rsid w:val="00B732B4"/>
    <w:rsid w:val="00B9201A"/>
    <w:rsid w:val="00B93932"/>
    <w:rsid w:val="00B95307"/>
    <w:rsid w:val="00BA7033"/>
    <w:rsid w:val="00BB6CB7"/>
    <w:rsid w:val="00BD621D"/>
    <w:rsid w:val="00BE11F0"/>
    <w:rsid w:val="00BE1F5B"/>
    <w:rsid w:val="00BE2E1E"/>
    <w:rsid w:val="00BE65CD"/>
    <w:rsid w:val="00BF0F5B"/>
    <w:rsid w:val="00C04F42"/>
    <w:rsid w:val="00C069D5"/>
    <w:rsid w:val="00C20EFC"/>
    <w:rsid w:val="00C30EC6"/>
    <w:rsid w:val="00C4240F"/>
    <w:rsid w:val="00C46438"/>
    <w:rsid w:val="00C466C4"/>
    <w:rsid w:val="00C61EE0"/>
    <w:rsid w:val="00C805E2"/>
    <w:rsid w:val="00C93BB1"/>
    <w:rsid w:val="00C953F7"/>
    <w:rsid w:val="00CA3DED"/>
    <w:rsid w:val="00CB3F38"/>
    <w:rsid w:val="00CB7F87"/>
    <w:rsid w:val="00CC1649"/>
    <w:rsid w:val="00CC1932"/>
    <w:rsid w:val="00CE2B0B"/>
    <w:rsid w:val="00CE791C"/>
    <w:rsid w:val="00CE7F50"/>
    <w:rsid w:val="00CE7FAD"/>
    <w:rsid w:val="00CF35D3"/>
    <w:rsid w:val="00CF410F"/>
    <w:rsid w:val="00D014ED"/>
    <w:rsid w:val="00D045DC"/>
    <w:rsid w:val="00D04A83"/>
    <w:rsid w:val="00D14762"/>
    <w:rsid w:val="00D16B1C"/>
    <w:rsid w:val="00D2561A"/>
    <w:rsid w:val="00D37581"/>
    <w:rsid w:val="00D524CD"/>
    <w:rsid w:val="00D704C7"/>
    <w:rsid w:val="00D77A7C"/>
    <w:rsid w:val="00D874A1"/>
    <w:rsid w:val="00D91B01"/>
    <w:rsid w:val="00DB1AC4"/>
    <w:rsid w:val="00DB30B1"/>
    <w:rsid w:val="00DB3A5E"/>
    <w:rsid w:val="00DC271A"/>
    <w:rsid w:val="00DD0BC0"/>
    <w:rsid w:val="00DD2249"/>
    <w:rsid w:val="00DD3884"/>
    <w:rsid w:val="00DD4170"/>
    <w:rsid w:val="00DD4472"/>
    <w:rsid w:val="00DE1883"/>
    <w:rsid w:val="00DE7F0A"/>
    <w:rsid w:val="00DF03C6"/>
    <w:rsid w:val="00E01A05"/>
    <w:rsid w:val="00E103E8"/>
    <w:rsid w:val="00E1254A"/>
    <w:rsid w:val="00E17256"/>
    <w:rsid w:val="00E409C4"/>
    <w:rsid w:val="00E40C3A"/>
    <w:rsid w:val="00E41688"/>
    <w:rsid w:val="00E526A7"/>
    <w:rsid w:val="00E53F7B"/>
    <w:rsid w:val="00E73B31"/>
    <w:rsid w:val="00E75014"/>
    <w:rsid w:val="00E7660A"/>
    <w:rsid w:val="00E953F5"/>
    <w:rsid w:val="00EA08ED"/>
    <w:rsid w:val="00EA0FF1"/>
    <w:rsid w:val="00EA206A"/>
    <w:rsid w:val="00EA2DA0"/>
    <w:rsid w:val="00EA3F9E"/>
    <w:rsid w:val="00EB0B2C"/>
    <w:rsid w:val="00EB4CE6"/>
    <w:rsid w:val="00EB66B4"/>
    <w:rsid w:val="00EC03A9"/>
    <w:rsid w:val="00EC44BC"/>
    <w:rsid w:val="00EC7474"/>
    <w:rsid w:val="00ED7F35"/>
    <w:rsid w:val="00EE2163"/>
    <w:rsid w:val="00EE73B1"/>
    <w:rsid w:val="00EF2A75"/>
    <w:rsid w:val="00EF334B"/>
    <w:rsid w:val="00EF3E30"/>
    <w:rsid w:val="00F02C9A"/>
    <w:rsid w:val="00F0735C"/>
    <w:rsid w:val="00F2302B"/>
    <w:rsid w:val="00F45C30"/>
    <w:rsid w:val="00F7235F"/>
    <w:rsid w:val="00F83280"/>
    <w:rsid w:val="00F836C8"/>
    <w:rsid w:val="00F953A9"/>
    <w:rsid w:val="00FA0A19"/>
    <w:rsid w:val="00FA19CB"/>
    <w:rsid w:val="00FA2BE2"/>
    <w:rsid w:val="00FA5A4A"/>
    <w:rsid w:val="00FB093F"/>
    <w:rsid w:val="00FB496C"/>
    <w:rsid w:val="00FB5282"/>
    <w:rsid w:val="00FC1F72"/>
    <w:rsid w:val="00FC2152"/>
    <w:rsid w:val="00FC3182"/>
    <w:rsid w:val="00FD010C"/>
    <w:rsid w:val="00FE104C"/>
    <w:rsid w:val="00FF34A8"/>
    <w:rsid w:val="010ADA20"/>
    <w:rsid w:val="012C9247"/>
    <w:rsid w:val="013ACE3E"/>
    <w:rsid w:val="01442D88"/>
    <w:rsid w:val="015B3A60"/>
    <w:rsid w:val="0162D5C0"/>
    <w:rsid w:val="016E4D73"/>
    <w:rsid w:val="01856DA4"/>
    <w:rsid w:val="01875E61"/>
    <w:rsid w:val="018C48D7"/>
    <w:rsid w:val="0191E3C7"/>
    <w:rsid w:val="01AE590E"/>
    <w:rsid w:val="01AE96A8"/>
    <w:rsid w:val="01BC9C78"/>
    <w:rsid w:val="01F3C67A"/>
    <w:rsid w:val="0213652D"/>
    <w:rsid w:val="0215F9EA"/>
    <w:rsid w:val="021FB61E"/>
    <w:rsid w:val="02236DB3"/>
    <w:rsid w:val="022D6660"/>
    <w:rsid w:val="024C78BE"/>
    <w:rsid w:val="02604017"/>
    <w:rsid w:val="0265C273"/>
    <w:rsid w:val="0299C493"/>
    <w:rsid w:val="02A4D9C6"/>
    <w:rsid w:val="02A8B086"/>
    <w:rsid w:val="02B7107C"/>
    <w:rsid w:val="02D04DD3"/>
    <w:rsid w:val="02D929F8"/>
    <w:rsid w:val="02EAE3E7"/>
    <w:rsid w:val="02EC6500"/>
    <w:rsid w:val="02F5B697"/>
    <w:rsid w:val="02FB1ABF"/>
    <w:rsid w:val="03006FBC"/>
    <w:rsid w:val="030346F5"/>
    <w:rsid w:val="03101C64"/>
    <w:rsid w:val="031912A1"/>
    <w:rsid w:val="03236C28"/>
    <w:rsid w:val="032817A5"/>
    <w:rsid w:val="032FBAC8"/>
    <w:rsid w:val="03558430"/>
    <w:rsid w:val="036BC93B"/>
    <w:rsid w:val="036E52F1"/>
    <w:rsid w:val="03AC8153"/>
    <w:rsid w:val="03AD4EED"/>
    <w:rsid w:val="03C927BD"/>
    <w:rsid w:val="03CD8130"/>
    <w:rsid w:val="03CDE135"/>
    <w:rsid w:val="03D6C19A"/>
    <w:rsid w:val="03F69139"/>
    <w:rsid w:val="03FAB442"/>
    <w:rsid w:val="04111356"/>
    <w:rsid w:val="0429BF04"/>
    <w:rsid w:val="0436829C"/>
    <w:rsid w:val="043B6722"/>
    <w:rsid w:val="043C9B71"/>
    <w:rsid w:val="046F07E8"/>
    <w:rsid w:val="047092FF"/>
    <w:rsid w:val="049496D6"/>
    <w:rsid w:val="04950A41"/>
    <w:rsid w:val="04990257"/>
    <w:rsid w:val="04B6617C"/>
    <w:rsid w:val="05045798"/>
    <w:rsid w:val="050D4CBC"/>
    <w:rsid w:val="051CD449"/>
    <w:rsid w:val="05201A08"/>
    <w:rsid w:val="05796D8F"/>
    <w:rsid w:val="057B987D"/>
    <w:rsid w:val="0583AA66"/>
    <w:rsid w:val="058B02E8"/>
    <w:rsid w:val="059D60A6"/>
    <w:rsid w:val="059F5E24"/>
    <w:rsid w:val="05A23AA7"/>
    <w:rsid w:val="05A67F69"/>
    <w:rsid w:val="05AD2325"/>
    <w:rsid w:val="05D2F006"/>
    <w:rsid w:val="05E67ECA"/>
    <w:rsid w:val="05F326C1"/>
    <w:rsid w:val="06034963"/>
    <w:rsid w:val="066BC57F"/>
    <w:rsid w:val="066CA056"/>
    <w:rsid w:val="06754B60"/>
    <w:rsid w:val="06B0A731"/>
    <w:rsid w:val="06BC06E7"/>
    <w:rsid w:val="06CFBB44"/>
    <w:rsid w:val="06D01EF6"/>
    <w:rsid w:val="06D7D946"/>
    <w:rsid w:val="070A72E9"/>
    <w:rsid w:val="075B279E"/>
    <w:rsid w:val="0784DEC3"/>
    <w:rsid w:val="07A0F1EB"/>
    <w:rsid w:val="07C51A74"/>
    <w:rsid w:val="07D8098A"/>
    <w:rsid w:val="0800A951"/>
    <w:rsid w:val="0800C3A0"/>
    <w:rsid w:val="0823E365"/>
    <w:rsid w:val="08255642"/>
    <w:rsid w:val="08263B62"/>
    <w:rsid w:val="082B71E9"/>
    <w:rsid w:val="084018F9"/>
    <w:rsid w:val="0857E074"/>
    <w:rsid w:val="087113EF"/>
    <w:rsid w:val="0894C03C"/>
    <w:rsid w:val="08A008F0"/>
    <w:rsid w:val="08DD16C3"/>
    <w:rsid w:val="08E13D1E"/>
    <w:rsid w:val="08E91BBC"/>
    <w:rsid w:val="08FDA5AF"/>
    <w:rsid w:val="09053CA5"/>
    <w:rsid w:val="0907BCE1"/>
    <w:rsid w:val="091183B4"/>
    <w:rsid w:val="09135ABA"/>
    <w:rsid w:val="0959F3E8"/>
    <w:rsid w:val="09666E1B"/>
    <w:rsid w:val="09A5C5A1"/>
    <w:rsid w:val="09B5385C"/>
    <w:rsid w:val="09C26782"/>
    <w:rsid w:val="09D1E42A"/>
    <w:rsid w:val="09DB2305"/>
    <w:rsid w:val="0A1058F3"/>
    <w:rsid w:val="0A321DD5"/>
    <w:rsid w:val="0A71A5B2"/>
    <w:rsid w:val="0A71A65F"/>
    <w:rsid w:val="0A9B482F"/>
    <w:rsid w:val="0AAA9AA3"/>
    <w:rsid w:val="0AB59D3B"/>
    <w:rsid w:val="0AB6C725"/>
    <w:rsid w:val="0AB7DD0D"/>
    <w:rsid w:val="0AC2A158"/>
    <w:rsid w:val="0AC83FC8"/>
    <w:rsid w:val="0AEF080D"/>
    <w:rsid w:val="0B023B7F"/>
    <w:rsid w:val="0B1A7BBA"/>
    <w:rsid w:val="0B1D5199"/>
    <w:rsid w:val="0B207997"/>
    <w:rsid w:val="0B22DB07"/>
    <w:rsid w:val="0B315885"/>
    <w:rsid w:val="0B331E38"/>
    <w:rsid w:val="0B4977B4"/>
    <w:rsid w:val="0B52D872"/>
    <w:rsid w:val="0B59947D"/>
    <w:rsid w:val="0B664379"/>
    <w:rsid w:val="0B74A0C8"/>
    <w:rsid w:val="0B9E9C24"/>
    <w:rsid w:val="0BAFDF49"/>
    <w:rsid w:val="0BC9F3CB"/>
    <w:rsid w:val="0BD712AA"/>
    <w:rsid w:val="0BDD9431"/>
    <w:rsid w:val="0BE49773"/>
    <w:rsid w:val="0C1A2855"/>
    <w:rsid w:val="0C55316E"/>
    <w:rsid w:val="0C5D7D89"/>
    <w:rsid w:val="0C7CD5FA"/>
    <w:rsid w:val="0C8C9111"/>
    <w:rsid w:val="0C8E0BAB"/>
    <w:rsid w:val="0CA32E1C"/>
    <w:rsid w:val="0CA8899F"/>
    <w:rsid w:val="0CBF116C"/>
    <w:rsid w:val="0CBF67C1"/>
    <w:rsid w:val="0CC77377"/>
    <w:rsid w:val="0CCEC403"/>
    <w:rsid w:val="0CF38DD2"/>
    <w:rsid w:val="0D17C2B0"/>
    <w:rsid w:val="0D1F5030"/>
    <w:rsid w:val="0D24EA04"/>
    <w:rsid w:val="0D27C017"/>
    <w:rsid w:val="0D2977FF"/>
    <w:rsid w:val="0D310410"/>
    <w:rsid w:val="0D328310"/>
    <w:rsid w:val="0D662459"/>
    <w:rsid w:val="0D6EF093"/>
    <w:rsid w:val="0D71672F"/>
    <w:rsid w:val="0D83484E"/>
    <w:rsid w:val="0D86EAC8"/>
    <w:rsid w:val="0D90209F"/>
    <w:rsid w:val="0D955702"/>
    <w:rsid w:val="0DA3CEE3"/>
    <w:rsid w:val="0DA97082"/>
    <w:rsid w:val="0DAA3565"/>
    <w:rsid w:val="0DCF112B"/>
    <w:rsid w:val="0DD20724"/>
    <w:rsid w:val="0DD6736F"/>
    <w:rsid w:val="0DE616B4"/>
    <w:rsid w:val="0DF157ED"/>
    <w:rsid w:val="0DFF5682"/>
    <w:rsid w:val="0E02FCB6"/>
    <w:rsid w:val="0E1248E7"/>
    <w:rsid w:val="0E13DBFF"/>
    <w:rsid w:val="0E1ED5E5"/>
    <w:rsid w:val="0E228A49"/>
    <w:rsid w:val="0E2BBCA5"/>
    <w:rsid w:val="0E325F16"/>
    <w:rsid w:val="0E66B7CA"/>
    <w:rsid w:val="0E8095C9"/>
    <w:rsid w:val="0E81AE15"/>
    <w:rsid w:val="0E97C6D5"/>
    <w:rsid w:val="0EA440D0"/>
    <w:rsid w:val="0EB1CF28"/>
    <w:rsid w:val="0EB3ED1E"/>
    <w:rsid w:val="0EB5A510"/>
    <w:rsid w:val="0EBB62D8"/>
    <w:rsid w:val="0EBD0D3F"/>
    <w:rsid w:val="0ECC1D74"/>
    <w:rsid w:val="0ECCA4A0"/>
    <w:rsid w:val="0ECE08B1"/>
    <w:rsid w:val="0ED161CD"/>
    <w:rsid w:val="0EE23F18"/>
    <w:rsid w:val="0EF56B2E"/>
    <w:rsid w:val="0F06EC6E"/>
    <w:rsid w:val="0F1126B9"/>
    <w:rsid w:val="0F2392FF"/>
    <w:rsid w:val="0F43780D"/>
    <w:rsid w:val="0F592579"/>
    <w:rsid w:val="0FB32112"/>
    <w:rsid w:val="0FB6B257"/>
    <w:rsid w:val="0FB802C9"/>
    <w:rsid w:val="0FC5FE8C"/>
    <w:rsid w:val="0FF491C6"/>
    <w:rsid w:val="10100AAA"/>
    <w:rsid w:val="101084FA"/>
    <w:rsid w:val="101CDE0A"/>
    <w:rsid w:val="102830A3"/>
    <w:rsid w:val="1036F8E9"/>
    <w:rsid w:val="103C4722"/>
    <w:rsid w:val="10453E48"/>
    <w:rsid w:val="1068275E"/>
    <w:rsid w:val="10816445"/>
    <w:rsid w:val="108A1AC9"/>
    <w:rsid w:val="1095D69E"/>
    <w:rsid w:val="10A5A23A"/>
    <w:rsid w:val="10B38E9F"/>
    <w:rsid w:val="10B793E8"/>
    <w:rsid w:val="10BABAB3"/>
    <w:rsid w:val="10C9165F"/>
    <w:rsid w:val="10E41745"/>
    <w:rsid w:val="10FE2A13"/>
    <w:rsid w:val="11134E58"/>
    <w:rsid w:val="117BF476"/>
    <w:rsid w:val="117E1526"/>
    <w:rsid w:val="119F2730"/>
    <w:rsid w:val="11BDBA70"/>
    <w:rsid w:val="11D5E791"/>
    <w:rsid w:val="11D6A866"/>
    <w:rsid w:val="11DB8916"/>
    <w:rsid w:val="11F427BA"/>
    <w:rsid w:val="11F4E65D"/>
    <w:rsid w:val="1205FA2C"/>
    <w:rsid w:val="12251823"/>
    <w:rsid w:val="12254CEB"/>
    <w:rsid w:val="1229D00E"/>
    <w:rsid w:val="1250E176"/>
    <w:rsid w:val="1259F4FB"/>
    <w:rsid w:val="126B5351"/>
    <w:rsid w:val="126E7DE9"/>
    <w:rsid w:val="1286446F"/>
    <w:rsid w:val="12A0A8C3"/>
    <w:rsid w:val="12ADD8E9"/>
    <w:rsid w:val="12B73053"/>
    <w:rsid w:val="12BD3F9A"/>
    <w:rsid w:val="12C53FD9"/>
    <w:rsid w:val="12C97CF1"/>
    <w:rsid w:val="12CC8C62"/>
    <w:rsid w:val="12CD2EC6"/>
    <w:rsid w:val="12D3A89B"/>
    <w:rsid w:val="12E19B51"/>
    <w:rsid w:val="12ED44B3"/>
    <w:rsid w:val="12EFC10A"/>
    <w:rsid w:val="131EB534"/>
    <w:rsid w:val="13417BC7"/>
    <w:rsid w:val="134B971F"/>
    <w:rsid w:val="135671B4"/>
    <w:rsid w:val="1357039D"/>
    <w:rsid w:val="13678E5F"/>
    <w:rsid w:val="1370C439"/>
    <w:rsid w:val="1399D2FA"/>
    <w:rsid w:val="139C4D67"/>
    <w:rsid w:val="139F2612"/>
    <w:rsid w:val="13C1525B"/>
    <w:rsid w:val="13D4467D"/>
    <w:rsid w:val="13D57C78"/>
    <w:rsid w:val="13FB4A2E"/>
    <w:rsid w:val="140B7D45"/>
    <w:rsid w:val="1455B457"/>
    <w:rsid w:val="145EADD1"/>
    <w:rsid w:val="14650D84"/>
    <w:rsid w:val="1481DD04"/>
    <w:rsid w:val="1485BC0D"/>
    <w:rsid w:val="148A1CC7"/>
    <w:rsid w:val="148AB9B8"/>
    <w:rsid w:val="14DEA352"/>
    <w:rsid w:val="14F1B662"/>
    <w:rsid w:val="150220F2"/>
    <w:rsid w:val="1525DBCD"/>
    <w:rsid w:val="152A6346"/>
    <w:rsid w:val="154263C8"/>
    <w:rsid w:val="154877E8"/>
    <w:rsid w:val="154D53E4"/>
    <w:rsid w:val="15539029"/>
    <w:rsid w:val="15817BA4"/>
    <w:rsid w:val="15834652"/>
    <w:rsid w:val="158F1988"/>
    <w:rsid w:val="15D44934"/>
    <w:rsid w:val="15D6D6C2"/>
    <w:rsid w:val="15F5F82A"/>
    <w:rsid w:val="1605B7CA"/>
    <w:rsid w:val="16256E68"/>
    <w:rsid w:val="162A4049"/>
    <w:rsid w:val="163B19DB"/>
    <w:rsid w:val="1645ED7F"/>
    <w:rsid w:val="16462D5B"/>
    <w:rsid w:val="1689E7C5"/>
    <w:rsid w:val="168CC08D"/>
    <w:rsid w:val="16915B36"/>
    <w:rsid w:val="169C7D36"/>
    <w:rsid w:val="16B2B81A"/>
    <w:rsid w:val="16B2B915"/>
    <w:rsid w:val="16C69C1F"/>
    <w:rsid w:val="16CAC1A2"/>
    <w:rsid w:val="16E910AA"/>
    <w:rsid w:val="16F5E03B"/>
    <w:rsid w:val="1704CF92"/>
    <w:rsid w:val="17062A40"/>
    <w:rsid w:val="17145648"/>
    <w:rsid w:val="17170DD6"/>
    <w:rsid w:val="17512E1F"/>
    <w:rsid w:val="176D07D5"/>
    <w:rsid w:val="176D57E9"/>
    <w:rsid w:val="178160FB"/>
    <w:rsid w:val="17929D01"/>
    <w:rsid w:val="1792B822"/>
    <w:rsid w:val="179A9EA8"/>
    <w:rsid w:val="17A259CD"/>
    <w:rsid w:val="17AC296C"/>
    <w:rsid w:val="17B70079"/>
    <w:rsid w:val="17BBD154"/>
    <w:rsid w:val="17D0D39C"/>
    <w:rsid w:val="17D5DB77"/>
    <w:rsid w:val="17DDD674"/>
    <w:rsid w:val="17E44F2A"/>
    <w:rsid w:val="17EC9244"/>
    <w:rsid w:val="183D35DF"/>
    <w:rsid w:val="18458675"/>
    <w:rsid w:val="185E5D31"/>
    <w:rsid w:val="186E29A6"/>
    <w:rsid w:val="18739D53"/>
    <w:rsid w:val="187A81BF"/>
    <w:rsid w:val="188A470C"/>
    <w:rsid w:val="188E31D2"/>
    <w:rsid w:val="189C6D5A"/>
    <w:rsid w:val="18C3F5C7"/>
    <w:rsid w:val="18CBE305"/>
    <w:rsid w:val="18D8D868"/>
    <w:rsid w:val="18E2FFA3"/>
    <w:rsid w:val="18E32EF2"/>
    <w:rsid w:val="18F27ECB"/>
    <w:rsid w:val="18FC2487"/>
    <w:rsid w:val="190ABF35"/>
    <w:rsid w:val="190E243A"/>
    <w:rsid w:val="19338B0D"/>
    <w:rsid w:val="193E2FA4"/>
    <w:rsid w:val="19400028"/>
    <w:rsid w:val="196675DD"/>
    <w:rsid w:val="1977724A"/>
    <w:rsid w:val="198C283E"/>
    <w:rsid w:val="19990D58"/>
    <w:rsid w:val="19A68474"/>
    <w:rsid w:val="19C2B527"/>
    <w:rsid w:val="19CE556C"/>
    <w:rsid w:val="19EE9E85"/>
    <w:rsid w:val="19FC3F58"/>
    <w:rsid w:val="1A06C995"/>
    <w:rsid w:val="1A1A4EBB"/>
    <w:rsid w:val="1A30E4EE"/>
    <w:rsid w:val="1A331F0E"/>
    <w:rsid w:val="1A391A58"/>
    <w:rsid w:val="1A5DCB05"/>
    <w:rsid w:val="1A666A87"/>
    <w:rsid w:val="1A6E9B07"/>
    <w:rsid w:val="1AA71B94"/>
    <w:rsid w:val="1AC5B79C"/>
    <w:rsid w:val="1AD404AC"/>
    <w:rsid w:val="1AD63F75"/>
    <w:rsid w:val="1AD98178"/>
    <w:rsid w:val="1ADB34FD"/>
    <w:rsid w:val="1B1725E6"/>
    <w:rsid w:val="1B196864"/>
    <w:rsid w:val="1B2EA3A2"/>
    <w:rsid w:val="1B39B19D"/>
    <w:rsid w:val="1B3CAB3C"/>
    <w:rsid w:val="1B577914"/>
    <w:rsid w:val="1B72106D"/>
    <w:rsid w:val="1B78F8FD"/>
    <w:rsid w:val="1B890109"/>
    <w:rsid w:val="1B8943F4"/>
    <w:rsid w:val="1BA03E0C"/>
    <w:rsid w:val="1BA1B65D"/>
    <w:rsid w:val="1BB7E473"/>
    <w:rsid w:val="1BB7E6E2"/>
    <w:rsid w:val="1BC42497"/>
    <w:rsid w:val="1BCE2400"/>
    <w:rsid w:val="1BD21B87"/>
    <w:rsid w:val="1BD6B380"/>
    <w:rsid w:val="1BF6D61A"/>
    <w:rsid w:val="1BF9667B"/>
    <w:rsid w:val="1C0C56CF"/>
    <w:rsid w:val="1C12F40B"/>
    <w:rsid w:val="1C1FD5B4"/>
    <w:rsid w:val="1C265A3C"/>
    <w:rsid w:val="1C2B42FE"/>
    <w:rsid w:val="1C3284D9"/>
    <w:rsid w:val="1C3AF057"/>
    <w:rsid w:val="1C46A358"/>
    <w:rsid w:val="1C63EAF9"/>
    <w:rsid w:val="1C6ED2CA"/>
    <w:rsid w:val="1C723350"/>
    <w:rsid w:val="1C762867"/>
    <w:rsid w:val="1C8FEF68"/>
    <w:rsid w:val="1CA1F0C1"/>
    <w:rsid w:val="1CA3C1E7"/>
    <w:rsid w:val="1CBEAB21"/>
    <w:rsid w:val="1CC229EC"/>
    <w:rsid w:val="1CC5D449"/>
    <w:rsid w:val="1CD50058"/>
    <w:rsid w:val="1CE27469"/>
    <w:rsid w:val="1CF21241"/>
    <w:rsid w:val="1CF4C1DF"/>
    <w:rsid w:val="1CFF121A"/>
    <w:rsid w:val="1D07AFCE"/>
    <w:rsid w:val="1D18247C"/>
    <w:rsid w:val="1D18BC6D"/>
    <w:rsid w:val="1D2ECE5E"/>
    <w:rsid w:val="1D5DDD40"/>
    <w:rsid w:val="1D63C714"/>
    <w:rsid w:val="1D6D86F9"/>
    <w:rsid w:val="1D8AD63F"/>
    <w:rsid w:val="1D91A525"/>
    <w:rsid w:val="1DA9E78F"/>
    <w:rsid w:val="1DC28196"/>
    <w:rsid w:val="1DD0736B"/>
    <w:rsid w:val="1DD14B55"/>
    <w:rsid w:val="1DD4E86C"/>
    <w:rsid w:val="1DF9B33A"/>
    <w:rsid w:val="1E127AD2"/>
    <w:rsid w:val="1E172DF3"/>
    <w:rsid w:val="1E1B42F9"/>
    <w:rsid w:val="1E297386"/>
    <w:rsid w:val="1E2C641B"/>
    <w:rsid w:val="1E321615"/>
    <w:rsid w:val="1E3B723E"/>
    <w:rsid w:val="1E436A91"/>
    <w:rsid w:val="1E45CC08"/>
    <w:rsid w:val="1E71F54A"/>
    <w:rsid w:val="1E83C7F7"/>
    <w:rsid w:val="1E8A6790"/>
    <w:rsid w:val="1E911C4A"/>
    <w:rsid w:val="1E96DD78"/>
    <w:rsid w:val="1E96F0DF"/>
    <w:rsid w:val="1EACDAA6"/>
    <w:rsid w:val="1EB2382D"/>
    <w:rsid w:val="1EC1FA08"/>
    <w:rsid w:val="1F229E1F"/>
    <w:rsid w:val="1F3D8BD9"/>
    <w:rsid w:val="1F4F55C8"/>
    <w:rsid w:val="1F5302C5"/>
    <w:rsid w:val="1F55B3F9"/>
    <w:rsid w:val="1F597AED"/>
    <w:rsid w:val="1F6344D5"/>
    <w:rsid w:val="1F7ABD92"/>
    <w:rsid w:val="1F7D0160"/>
    <w:rsid w:val="1F861B4C"/>
    <w:rsid w:val="1FA18E5E"/>
    <w:rsid w:val="1FA63D0C"/>
    <w:rsid w:val="1FB1FF19"/>
    <w:rsid w:val="1FBBEFEE"/>
    <w:rsid w:val="1FC81015"/>
    <w:rsid w:val="1FD3B065"/>
    <w:rsid w:val="1FF0A6B3"/>
    <w:rsid w:val="1FF11C73"/>
    <w:rsid w:val="2013F23E"/>
    <w:rsid w:val="2014B8EB"/>
    <w:rsid w:val="20304DC9"/>
    <w:rsid w:val="2064228D"/>
    <w:rsid w:val="207038C3"/>
    <w:rsid w:val="207406CB"/>
    <w:rsid w:val="2080F205"/>
    <w:rsid w:val="20850ECC"/>
    <w:rsid w:val="208AB768"/>
    <w:rsid w:val="208F6EEE"/>
    <w:rsid w:val="2092F24D"/>
    <w:rsid w:val="2099C5FF"/>
    <w:rsid w:val="20A319F4"/>
    <w:rsid w:val="20C82A43"/>
    <w:rsid w:val="20F30E9C"/>
    <w:rsid w:val="20F4B034"/>
    <w:rsid w:val="20FF9FF3"/>
    <w:rsid w:val="2116B718"/>
    <w:rsid w:val="2117E679"/>
    <w:rsid w:val="211E732E"/>
    <w:rsid w:val="21574855"/>
    <w:rsid w:val="2161630D"/>
    <w:rsid w:val="216447C7"/>
    <w:rsid w:val="218B36FC"/>
    <w:rsid w:val="21923848"/>
    <w:rsid w:val="21A44E1F"/>
    <w:rsid w:val="21ABEEB3"/>
    <w:rsid w:val="21B10C78"/>
    <w:rsid w:val="21B43ABA"/>
    <w:rsid w:val="21BA9DB7"/>
    <w:rsid w:val="21BD7147"/>
    <w:rsid w:val="21C06C77"/>
    <w:rsid w:val="21C66FE8"/>
    <w:rsid w:val="21D4E3A4"/>
    <w:rsid w:val="21E99F60"/>
    <w:rsid w:val="223A3328"/>
    <w:rsid w:val="223C94B9"/>
    <w:rsid w:val="2256E47E"/>
    <w:rsid w:val="2280B5A7"/>
    <w:rsid w:val="22903D8A"/>
    <w:rsid w:val="229AB055"/>
    <w:rsid w:val="22A1A988"/>
    <w:rsid w:val="22A51BBC"/>
    <w:rsid w:val="22AC14BC"/>
    <w:rsid w:val="22C577C4"/>
    <w:rsid w:val="22C83649"/>
    <w:rsid w:val="22F41C78"/>
    <w:rsid w:val="23025AF0"/>
    <w:rsid w:val="23079879"/>
    <w:rsid w:val="2320B486"/>
    <w:rsid w:val="2326651C"/>
    <w:rsid w:val="2326A00A"/>
    <w:rsid w:val="23297DC4"/>
    <w:rsid w:val="232D5472"/>
    <w:rsid w:val="23383339"/>
    <w:rsid w:val="23446010"/>
    <w:rsid w:val="2360267D"/>
    <w:rsid w:val="2362EEDE"/>
    <w:rsid w:val="23784EAD"/>
    <w:rsid w:val="23A7F318"/>
    <w:rsid w:val="23B460EB"/>
    <w:rsid w:val="23C5BB9C"/>
    <w:rsid w:val="23F0A738"/>
    <w:rsid w:val="23F0E1C2"/>
    <w:rsid w:val="23F4AAB1"/>
    <w:rsid w:val="24015D65"/>
    <w:rsid w:val="241A124D"/>
    <w:rsid w:val="24284E25"/>
    <w:rsid w:val="242888A5"/>
    <w:rsid w:val="243B01F2"/>
    <w:rsid w:val="243F46CC"/>
    <w:rsid w:val="2446CD5F"/>
    <w:rsid w:val="24520B87"/>
    <w:rsid w:val="245CB282"/>
    <w:rsid w:val="2466FD6D"/>
    <w:rsid w:val="246BD9D5"/>
    <w:rsid w:val="24714CBA"/>
    <w:rsid w:val="249073DD"/>
    <w:rsid w:val="24A475EB"/>
    <w:rsid w:val="24BA260D"/>
    <w:rsid w:val="24CDFE00"/>
    <w:rsid w:val="24F1D148"/>
    <w:rsid w:val="250EE752"/>
    <w:rsid w:val="251773BB"/>
    <w:rsid w:val="251BEE87"/>
    <w:rsid w:val="2520122E"/>
    <w:rsid w:val="2538DD9E"/>
    <w:rsid w:val="25675E99"/>
    <w:rsid w:val="25700B6E"/>
    <w:rsid w:val="25902005"/>
    <w:rsid w:val="25960F91"/>
    <w:rsid w:val="25962422"/>
    <w:rsid w:val="25A0FF82"/>
    <w:rsid w:val="25B2CF97"/>
    <w:rsid w:val="25C290E9"/>
    <w:rsid w:val="25D5F00F"/>
    <w:rsid w:val="25E4728A"/>
    <w:rsid w:val="25EC28E8"/>
    <w:rsid w:val="25FDFA39"/>
    <w:rsid w:val="2617A0D3"/>
    <w:rsid w:val="261C63B0"/>
    <w:rsid w:val="26257D37"/>
    <w:rsid w:val="26403A8A"/>
    <w:rsid w:val="264BB789"/>
    <w:rsid w:val="26579965"/>
    <w:rsid w:val="266C71F9"/>
    <w:rsid w:val="266ED730"/>
    <w:rsid w:val="26831B67"/>
    <w:rsid w:val="26858665"/>
    <w:rsid w:val="26A90A8F"/>
    <w:rsid w:val="26AAAD82"/>
    <w:rsid w:val="26C39454"/>
    <w:rsid w:val="26CBA47B"/>
    <w:rsid w:val="26D51841"/>
    <w:rsid w:val="26E3A64C"/>
    <w:rsid w:val="270BE3D4"/>
    <w:rsid w:val="27273232"/>
    <w:rsid w:val="2739EC35"/>
    <w:rsid w:val="27518A85"/>
    <w:rsid w:val="27536A2F"/>
    <w:rsid w:val="2758F5A8"/>
    <w:rsid w:val="27624031"/>
    <w:rsid w:val="27672DB1"/>
    <w:rsid w:val="27687C30"/>
    <w:rsid w:val="276F3AE8"/>
    <w:rsid w:val="2779812F"/>
    <w:rsid w:val="277A55D8"/>
    <w:rsid w:val="278CA428"/>
    <w:rsid w:val="27B3C18C"/>
    <w:rsid w:val="27B7A07C"/>
    <w:rsid w:val="27C71556"/>
    <w:rsid w:val="27CC64F1"/>
    <w:rsid w:val="27EADCCB"/>
    <w:rsid w:val="27F74142"/>
    <w:rsid w:val="2801AEAD"/>
    <w:rsid w:val="2816D57C"/>
    <w:rsid w:val="28238240"/>
    <w:rsid w:val="28254D22"/>
    <w:rsid w:val="284D92E2"/>
    <w:rsid w:val="285E076C"/>
    <w:rsid w:val="28AEC474"/>
    <w:rsid w:val="28B44E4A"/>
    <w:rsid w:val="28C08850"/>
    <w:rsid w:val="28C21100"/>
    <w:rsid w:val="28D71E09"/>
    <w:rsid w:val="28EB1C13"/>
    <w:rsid w:val="28F4A1D7"/>
    <w:rsid w:val="28F664D3"/>
    <w:rsid w:val="28FB8B23"/>
    <w:rsid w:val="290B9BAB"/>
    <w:rsid w:val="2917C39D"/>
    <w:rsid w:val="2927764F"/>
    <w:rsid w:val="292F5DED"/>
    <w:rsid w:val="293BAC4B"/>
    <w:rsid w:val="294BFEAC"/>
    <w:rsid w:val="2951FE7F"/>
    <w:rsid w:val="295EC2B6"/>
    <w:rsid w:val="297C5169"/>
    <w:rsid w:val="2992F10F"/>
    <w:rsid w:val="299FC284"/>
    <w:rsid w:val="29B0601E"/>
    <w:rsid w:val="29B58173"/>
    <w:rsid w:val="29CA8BCA"/>
    <w:rsid w:val="29EA5600"/>
    <w:rsid w:val="29F4495A"/>
    <w:rsid w:val="2A0DFDAA"/>
    <w:rsid w:val="2A149B63"/>
    <w:rsid w:val="2A16AFD2"/>
    <w:rsid w:val="2A5192A0"/>
    <w:rsid w:val="2A5FE3E4"/>
    <w:rsid w:val="2A7B1739"/>
    <w:rsid w:val="2A80555C"/>
    <w:rsid w:val="2A82175F"/>
    <w:rsid w:val="2A9FCFEC"/>
    <w:rsid w:val="2AB6B93D"/>
    <w:rsid w:val="2AB786A7"/>
    <w:rsid w:val="2AC07067"/>
    <w:rsid w:val="2AC5DA07"/>
    <w:rsid w:val="2AC7CE0C"/>
    <w:rsid w:val="2AC9D2BC"/>
    <w:rsid w:val="2AE06E3B"/>
    <w:rsid w:val="2AE7ABC4"/>
    <w:rsid w:val="2AEFD99C"/>
    <w:rsid w:val="2AF538DB"/>
    <w:rsid w:val="2B091E46"/>
    <w:rsid w:val="2B3355AD"/>
    <w:rsid w:val="2B4273BD"/>
    <w:rsid w:val="2B46089A"/>
    <w:rsid w:val="2B5EBEC0"/>
    <w:rsid w:val="2BA050C0"/>
    <w:rsid w:val="2BA78712"/>
    <w:rsid w:val="2BB03F49"/>
    <w:rsid w:val="2BB1AD28"/>
    <w:rsid w:val="2BB89842"/>
    <w:rsid w:val="2BBB3528"/>
    <w:rsid w:val="2BCC1020"/>
    <w:rsid w:val="2BD4FF75"/>
    <w:rsid w:val="2BFCE833"/>
    <w:rsid w:val="2C0BE28A"/>
    <w:rsid w:val="2C2673F5"/>
    <w:rsid w:val="2C38467F"/>
    <w:rsid w:val="2C43E0EB"/>
    <w:rsid w:val="2C47DA1D"/>
    <w:rsid w:val="2C4B1C77"/>
    <w:rsid w:val="2C7A439B"/>
    <w:rsid w:val="2C8FFD33"/>
    <w:rsid w:val="2C9A4BBA"/>
    <w:rsid w:val="2CA5BDA8"/>
    <w:rsid w:val="2CAB6F56"/>
    <w:rsid w:val="2CB35296"/>
    <w:rsid w:val="2CB533C6"/>
    <w:rsid w:val="2CB88D86"/>
    <w:rsid w:val="2CC51D51"/>
    <w:rsid w:val="2CCEE806"/>
    <w:rsid w:val="2CF54A0F"/>
    <w:rsid w:val="2CFA6BA8"/>
    <w:rsid w:val="2D03914E"/>
    <w:rsid w:val="2D06872B"/>
    <w:rsid w:val="2D10073A"/>
    <w:rsid w:val="2D1A7D81"/>
    <w:rsid w:val="2D21E186"/>
    <w:rsid w:val="2D3364B9"/>
    <w:rsid w:val="2D35188A"/>
    <w:rsid w:val="2D4805AC"/>
    <w:rsid w:val="2D4A2549"/>
    <w:rsid w:val="2D4DE815"/>
    <w:rsid w:val="2D701C5F"/>
    <w:rsid w:val="2D89DF89"/>
    <w:rsid w:val="2D927A83"/>
    <w:rsid w:val="2D931821"/>
    <w:rsid w:val="2D9CD351"/>
    <w:rsid w:val="2DAD849E"/>
    <w:rsid w:val="2DBBF448"/>
    <w:rsid w:val="2DD0BC7E"/>
    <w:rsid w:val="2DD1942E"/>
    <w:rsid w:val="2DE1B887"/>
    <w:rsid w:val="2DEAB913"/>
    <w:rsid w:val="2DEB7722"/>
    <w:rsid w:val="2DF4A2A8"/>
    <w:rsid w:val="2DFE08FA"/>
    <w:rsid w:val="2E2EE153"/>
    <w:rsid w:val="2E2FB4A0"/>
    <w:rsid w:val="2E39D0FE"/>
    <w:rsid w:val="2E435214"/>
    <w:rsid w:val="2E90F8CB"/>
    <w:rsid w:val="2EA3A96A"/>
    <w:rsid w:val="2EB51661"/>
    <w:rsid w:val="2EE41C05"/>
    <w:rsid w:val="2EEAFE38"/>
    <w:rsid w:val="2F0B3093"/>
    <w:rsid w:val="2F16276D"/>
    <w:rsid w:val="2F1EF651"/>
    <w:rsid w:val="2F227215"/>
    <w:rsid w:val="2F2403A6"/>
    <w:rsid w:val="2F35A45D"/>
    <w:rsid w:val="2F62DF1D"/>
    <w:rsid w:val="2F8C2739"/>
    <w:rsid w:val="2F985BD7"/>
    <w:rsid w:val="2FA71560"/>
    <w:rsid w:val="2FCA87B9"/>
    <w:rsid w:val="2FD76EE2"/>
    <w:rsid w:val="30132A95"/>
    <w:rsid w:val="30141B46"/>
    <w:rsid w:val="301C42F4"/>
    <w:rsid w:val="30363BE6"/>
    <w:rsid w:val="30387BEB"/>
    <w:rsid w:val="303ADF14"/>
    <w:rsid w:val="304D1865"/>
    <w:rsid w:val="30593E67"/>
    <w:rsid w:val="306CAFE6"/>
    <w:rsid w:val="3078B43E"/>
    <w:rsid w:val="308C79E5"/>
    <w:rsid w:val="30923B0D"/>
    <w:rsid w:val="30AF0BF6"/>
    <w:rsid w:val="30D96498"/>
    <w:rsid w:val="30DB9BC3"/>
    <w:rsid w:val="30FD0E59"/>
    <w:rsid w:val="314D3E01"/>
    <w:rsid w:val="314F4A87"/>
    <w:rsid w:val="3154486B"/>
    <w:rsid w:val="31578636"/>
    <w:rsid w:val="31666260"/>
    <w:rsid w:val="318726A7"/>
    <w:rsid w:val="31923CE7"/>
    <w:rsid w:val="319D6E2D"/>
    <w:rsid w:val="31A5E26E"/>
    <w:rsid w:val="31B1BA94"/>
    <w:rsid w:val="31B7496F"/>
    <w:rsid w:val="31C91351"/>
    <w:rsid w:val="31DA8365"/>
    <w:rsid w:val="31E08751"/>
    <w:rsid w:val="31E386D1"/>
    <w:rsid w:val="3202F217"/>
    <w:rsid w:val="32031D7F"/>
    <w:rsid w:val="320357A0"/>
    <w:rsid w:val="32056109"/>
    <w:rsid w:val="321118D3"/>
    <w:rsid w:val="32219FA8"/>
    <w:rsid w:val="323F618E"/>
    <w:rsid w:val="3253809D"/>
    <w:rsid w:val="325FDB31"/>
    <w:rsid w:val="32616DA7"/>
    <w:rsid w:val="3275C5C0"/>
    <w:rsid w:val="329BAF00"/>
    <w:rsid w:val="32A2AA27"/>
    <w:rsid w:val="32D614B6"/>
    <w:rsid w:val="32E24654"/>
    <w:rsid w:val="32FA2841"/>
    <w:rsid w:val="32FCEF77"/>
    <w:rsid w:val="32FDA52E"/>
    <w:rsid w:val="333E7C83"/>
    <w:rsid w:val="3355BDFD"/>
    <w:rsid w:val="336B9C4E"/>
    <w:rsid w:val="3387249B"/>
    <w:rsid w:val="338964BF"/>
    <w:rsid w:val="33A1559B"/>
    <w:rsid w:val="33B61A21"/>
    <w:rsid w:val="33BB6CDE"/>
    <w:rsid w:val="33C198D7"/>
    <w:rsid w:val="33C39EDF"/>
    <w:rsid w:val="33F8A532"/>
    <w:rsid w:val="33FD5D21"/>
    <w:rsid w:val="33FF8201"/>
    <w:rsid w:val="3412264F"/>
    <w:rsid w:val="34139923"/>
    <w:rsid w:val="34170BE2"/>
    <w:rsid w:val="34344D31"/>
    <w:rsid w:val="344AC745"/>
    <w:rsid w:val="345BC6B5"/>
    <w:rsid w:val="345F5810"/>
    <w:rsid w:val="3461921F"/>
    <w:rsid w:val="346E9B4A"/>
    <w:rsid w:val="3478EF9F"/>
    <w:rsid w:val="34B2061E"/>
    <w:rsid w:val="34C465A1"/>
    <w:rsid w:val="34C6FF29"/>
    <w:rsid w:val="34CFC2F5"/>
    <w:rsid w:val="34D84AE2"/>
    <w:rsid w:val="34E134F6"/>
    <w:rsid w:val="34EAE309"/>
    <w:rsid w:val="34EBD2EC"/>
    <w:rsid w:val="34F1D562"/>
    <w:rsid w:val="35151331"/>
    <w:rsid w:val="352480DC"/>
    <w:rsid w:val="35259EC0"/>
    <w:rsid w:val="3527098C"/>
    <w:rsid w:val="3536E8D4"/>
    <w:rsid w:val="356A1655"/>
    <w:rsid w:val="3570524F"/>
    <w:rsid w:val="3579811F"/>
    <w:rsid w:val="3594283C"/>
    <w:rsid w:val="359AE92A"/>
    <w:rsid w:val="359BC9BC"/>
    <w:rsid w:val="35C8E6D1"/>
    <w:rsid w:val="35EE862F"/>
    <w:rsid w:val="35F70FE0"/>
    <w:rsid w:val="35F75094"/>
    <w:rsid w:val="35F7F1B7"/>
    <w:rsid w:val="35F9E33B"/>
    <w:rsid w:val="36183386"/>
    <w:rsid w:val="3633D960"/>
    <w:rsid w:val="364A18CF"/>
    <w:rsid w:val="367F9A5A"/>
    <w:rsid w:val="3693DFFA"/>
    <w:rsid w:val="369BCD85"/>
    <w:rsid w:val="369C4ADA"/>
    <w:rsid w:val="36C13727"/>
    <w:rsid w:val="36D57C13"/>
    <w:rsid w:val="36E67070"/>
    <w:rsid w:val="36EC8F42"/>
    <w:rsid w:val="36F02B46"/>
    <w:rsid w:val="36FA7F5F"/>
    <w:rsid w:val="3713E0B6"/>
    <w:rsid w:val="373690D5"/>
    <w:rsid w:val="377C319B"/>
    <w:rsid w:val="378AF064"/>
    <w:rsid w:val="3790E5FC"/>
    <w:rsid w:val="37A7B765"/>
    <w:rsid w:val="37B38178"/>
    <w:rsid w:val="37C64AB6"/>
    <w:rsid w:val="37CDE62B"/>
    <w:rsid w:val="37EC5490"/>
    <w:rsid w:val="3803A802"/>
    <w:rsid w:val="380DC34C"/>
    <w:rsid w:val="38418CAF"/>
    <w:rsid w:val="384AAF6F"/>
    <w:rsid w:val="384AC95F"/>
    <w:rsid w:val="3877B682"/>
    <w:rsid w:val="388AE6EB"/>
    <w:rsid w:val="38A3B8D8"/>
    <w:rsid w:val="38AC16C9"/>
    <w:rsid w:val="38E8F596"/>
    <w:rsid w:val="38EDFDB9"/>
    <w:rsid w:val="38F549A9"/>
    <w:rsid w:val="390B49EC"/>
    <w:rsid w:val="39327975"/>
    <w:rsid w:val="3944C0CD"/>
    <w:rsid w:val="394DC3E9"/>
    <w:rsid w:val="39518A42"/>
    <w:rsid w:val="39717188"/>
    <w:rsid w:val="398D0FCD"/>
    <w:rsid w:val="398F8081"/>
    <w:rsid w:val="399006F9"/>
    <w:rsid w:val="399A7145"/>
    <w:rsid w:val="39AC58FB"/>
    <w:rsid w:val="39B8B1F9"/>
    <w:rsid w:val="39F65424"/>
    <w:rsid w:val="39F6CF37"/>
    <w:rsid w:val="3A02818B"/>
    <w:rsid w:val="3A0B298D"/>
    <w:rsid w:val="3A145DDC"/>
    <w:rsid w:val="3A2D5741"/>
    <w:rsid w:val="3A5F41AE"/>
    <w:rsid w:val="3A6448C5"/>
    <w:rsid w:val="3A9E3202"/>
    <w:rsid w:val="3AB802C8"/>
    <w:rsid w:val="3ABF6413"/>
    <w:rsid w:val="3B0B02CF"/>
    <w:rsid w:val="3B0CC6FD"/>
    <w:rsid w:val="3B45085A"/>
    <w:rsid w:val="3B496BA9"/>
    <w:rsid w:val="3B4C79C8"/>
    <w:rsid w:val="3B6F8AFF"/>
    <w:rsid w:val="3B8475E7"/>
    <w:rsid w:val="3B90DC48"/>
    <w:rsid w:val="3BA8735C"/>
    <w:rsid w:val="3BB0DF6B"/>
    <w:rsid w:val="3BB80C8F"/>
    <w:rsid w:val="3BBEA9F1"/>
    <w:rsid w:val="3BFA7612"/>
    <w:rsid w:val="3BFCF494"/>
    <w:rsid w:val="3C2257D2"/>
    <w:rsid w:val="3C306807"/>
    <w:rsid w:val="3C3C2ABB"/>
    <w:rsid w:val="3C520296"/>
    <w:rsid w:val="3C76663F"/>
    <w:rsid w:val="3C97286C"/>
    <w:rsid w:val="3CB3AEE9"/>
    <w:rsid w:val="3CBB397D"/>
    <w:rsid w:val="3CC5EF95"/>
    <w:rsid w:val="3CD010F6"/>
    <w:rsid w:val="3D0C4340"/>
    <w:rsid w:val="3D4241CB"/>
    <w:rsid w:val="3D5BACF4"/>
    <w:rsid w:val="3D62C4BB"/>
    <w:rsid w:val="3D65E5F8"/>
    <w:rsid w:val="3D76CD89"/>
    <w:rsid w:val="3D7E91A2"/>
    <w:rsid w:val="3D9BBACA"/>
    <w:rsid w:val="3DB7B72C"/>
    <w:rsid w:val="3DBAD1FB"/>
    <w:rsid w:val="3DC33349"/>
    <w:rsid w:val="3DC75730"/>
    <w:rsid w:val="3DD031F1"/>
    <w:rsid w:val="3DD1DB03"/>
    <w:rsid w:val="3DD4553B"/>
    <w:rsid w:val="3DD9D8D2"/>
    <w:rsid w:val="3DDE77C2"/>
    <w:rsid w:val="3DE901C4"/>
    <w:rsid w:val="3E13FC70"/>
    <w:rsid w:val="3E17D6EF"/>
    <w:rsid w:val="3E191A12"/>
    <w:rsid w:val="3E191E74"/>
    <w:rsid w:val="3E296FA8"/>
    <w:rsid w:val="3E58C921"/>
    <w:rsid w:val="3E59EC46"/>
    <w:rsid w:val="3E615F88"/>
    <w:rsid w:val="3E62989D"/>
    <w:rsid w:val="3E66A801"/>
    <w:rsid w:val="3E7C85BB"/>
    <w:rsid w:val="3E902BD9"/>
    <w:rsid w:val="3EB23DF4"/>
    <w:rsid w:val="3EB9FEDF"/>
    <w:rsid w:val="3EC65DE9"/>
    <w:rsid w:val="3ED4DDCE"/>
    <w:rsid w:val="3ED64D51"/>
    <w:rsid w:val="3EDCC691"/>
    <w:rsid w:val="3EE306B0"/>
    <w:rsid w:val="3EEB6431"/>
    <w:rsid w:val="3EF269B6"/>
    <w:rsid w:val="3F066FFF"/>
    <w:rsid w:val="3F19B437"/>
    <w:rsid w:val="3F316869"/>
    <w:rsid w:val="3F58E129"/>
    <w:rsid w:val="3F6C60CF"/>
    <w:rsid w:val="3F6E65CC"/>
    <w:rsid w:val="3F76314D"/>
    <w:rsid w:val="3F9506EF"/>
    <w:rsid w:val="3FB25470"/>
    <w:rsid w:val="3FB62BD2"/>
    <w:rsid w:val="3FC6E7F1"/>
    <w:rsid w:val="3FD8EDE9"/>
    <w:rsid w:val="3FEA205A"/>
    <w:rsid w:val="3FEE2071"/>
    <w:rsid w:val="4005935B"/>
    <w:rsid w:val="400E3ACA"/>
    <w:rsid w:val="402201AF"/>
    <w:rsid w:val="40243B99"/>
    <w:rsid w:val="402B6339"/>
    <w:rsid w:val="4036B57F"/>
    <w:rsid w:val="403FA7AE"/>
    <w:rsid w:val="404C9AFE"/>
    <w:rsid w:val="405312FD"/>
    <w:rsid w:val="4062AFA2"/>
    <w:rsid w:val="406D2B7B"/>
    <w:rsid w:val="406EC942"/>
    <w:rsid w:val="4072D961"/>
    <w:rsid w:val="40752B7A"/>
    <w:rsid w:val="40781891"/>
    <w:rsid w:val="40790F1F"/>
    <w:rsid w:val="40A77412"/>
    <w:rsid w:val="40B1F674"/>
    <w:rsid w:val="40CB6B9E"/>
    <w:rsid w:val="40E87A14"/>
    <w:rsid w:val="4111B033"/>
    <w:rsid w:val="412725CC"/>
    <w:rsid w:val="41560033"/>
    <w:rsid w:val="41570ECE"/>
    <w:rsid w:val="4157A6FD"/>
    <w:rsid w:val="41739172"/>
    <w:rsid w:val="41A868EF"/>
    <w:rsid w:val="41C7C1E5"/>
    <w:rsid w:val="41D28127"/>
    <w:rsid w:val="420076BF"/>
    <w:rsid w:val="420CA3F1"/>
    <w:rsid w:val="421DCB80"/>
    <w:rsid w:val="4225AE44"/>
    <w:rsid w:val="422B6F37"/>
    <w:rsid w:val="42826C82"/>
    <w:rsid w:val="428A81DF"/>
    <w:rsid w:val="429570FD"/>
    <w:rsid w:val="4298B094"/>
    <w:rsid w:val="42B2CED5"/>
    <w:rsid w:val="42B33340"/>
    <w:rsid w:val="42B45889"/>
    <w:rsid w:val="42B567E5"/>
    <w:rsid w:val="42C0AB98"/>
    <w:rsid w:val="42D7F094"/>
    <w:rsid w:val="42F0D47D"/>
    <w:rsid w:val="430566DD"/>
    <w:rsid w:val="430F28D7"/>
    <w:rsid w:val="431155B8"/>
    <w:rsid w:val="431426C4"/>
    <w:rsid w:val="432C1203"/>
    <w:rsid w:val="434A6E31"/>
    <w:rsid w:val="43646327"/>
    <w:rsid w:val="436BBEF2"/>
    <w:rsid w:val="436EDC3C"/>
    <w:rsid w:val="437197B2"/>
    <w:rsid w:val="439477F3"/>
    <w:rsid w:val="439E3517"/>
    <w:rsid w:val="43A9FDA6"/>
    <w:rsid w:val="43E12D33"/>
    <w:rsid w:val="43EA2481"/>
    <w:rsid w:val="4417E43F"/>
    <w:rsid w:val="442FD27E"/>
    <w:rsid w:val="4447E6B3"/>
    <w:rsid w:val="4448FBC5"/>
    <w:rsid w:val="4457F22E"/>
    <w:rsid w:val="446480B8"/>
    <w:rsid w:val="447A58D2"/>
    <w:rsid w:val="447B30D6"/>
    <w:rsid w:val="44870D6F"/>
    <w:rsid w:val="449D5C2B"/>
    <w:rsid w:val="44C247A8"/>
    <w:rsid w:val="44F7BCDE"/>
    <w:rsid w:val="44F88C0A"/>
    <w:rsid w:val="450550E4"/>
    <w:rsid w:val="450B43F3"/>
    <w:rsid w:val="45116EB1"/>
    <w:rsid w:val="4528F4AC"/>
    <w:rsid w:val="456FE23F"/>
    <w:rsid w:val="45786F38"/>
    <w:rsid w:val="458B7E11"/>
    <w:rsid w:val="458C6F00"/>
    <w:rsid w:val="45911293"/>
    <w:rsid w:val="4599CE24"/>
    <w:rsid w:val="45A4E5D7"/>
    <w:rsid w:val="45C9FD90"/>
    <w:rsid w:val="45D811C8"/>
    <w:rsid w:val="45EFDA83"/>
    <w:rsid w:val="461627AC"/>
    <w:rsid w:val="4617B6C7"/>
    <w:rsid w:val="461A521A"/>
    <w:rsid w:val="4623ADC4"/>
    <w:rsid w:val="4628F0A6"/>
    <w:rsid w:val="464EB5BC"/>
    <w:rsid w:val="4658D3DE"/>
    <w:rsid w:val="465D2E10"/>
    <w:rsid w:val="4691C541"/>
    <w:rsid w:val="469B8410"/>
    <w:rsid w:val="469BC141"/>
    <w:rsid w:val="46A577DC"/>
    <w:rsid w:val="46AC8EE4"/>
    <w:rsid w:val="46AEFD2A"/>
    <w:rsid w:val="46B1404F"/>
    <w:rsid w:val="46B1F212"/>
    <w:rsid w:val="46B4926B"/>
    <w:rsid w:val="46BA0FB4"/>
    <w:rsid w:val="46C2AE57"/>
    <w:rsid w:val="471EA752"/>
    <w:rsid w:val="47228443"/>
    <w:rsid w:val="4726C31C"/>
    <w:rsid w:val="4735F375"/>
    <w:rsid w:val="47386998"/>
    <w:rsid w:val="4747392F"/>
    <w:rsid w:val="4758CE50"/>
    <w:rsid w:val="47830E00"/>
    <w:rsid w:val="47911ABF"/>
    <w:rsid w:val="47938DE2"/>
    <w:rsid w:val="47A1E03C"/>
    <w:rsid w:val="47C1A7C5"/>
    <w:rsid w:val="47C2D290"/>
    <w:rsid w:val="47FB9BDC"/>
    <w:rsid w:val="4804DEB2"/>
    <w:rsid w:val="4818ACA0"/>
    <w:rsid w:val="4841BA3E"/>
    <w:rsid w:val="486F1F5F"/>
    <w:rsid w:val="48A1BC02"/>
    <w:rsid w:val="48A9A041"/>
    <w:rsid w:val="48AC3496"/>
    <w:rsid w:val="48B336C8"/>
    <w:rsid w:val="48B3850C"/>
    <w:rsid w:val="48B523B8"/>
    <w:rsid w:val="48C1FB42"/>
    <w:rsid w:val="48C975AE"/>
    <w:rsid w:val="48D1A6CA"/>
    <w:rsid w:val="48E0A6A3"/>
    <w:rsid w:val="48FD7E8E"/>
    <w:rsid w:val="490A1BC1"/>
    <w:rsid w:val="49374D9D"/>
    <w:rsid w:val="494BF46F"/>
    <w:rsid w:val="496B2806"/>
    <w:rsid w:val="4986BBD6"/>
    <w:rsid w:val="4996FFB7"/>
    <w:rsid w:val="49A5D61A"/>
    <w:rsid w:val="49AF388F"/>
    <w:rsid w:val="49D77D9C"/>
    <w:rsid w:val="49E8C11D"/>
    <w:rsid w:val="4A00C6D1"/>
    <w:rsid w:val="4A1B4A17"/>
    <w:rsid w:val="4A242EB2"/>
    <w:rsid w:val="4A5D8BDB"/>
    <w:rsid w:val="4A5F0B5B"/>
    <w:rsid w:val="4A656822"/>
    <w:rsid w:val="4A9504F4"/>
    <w:rsid w:val="4AA0C108"/>
    <w:rsid w:val="4AC38B94"/>
    <w:rsid w:val="4AD01080"/>
    <w:rsid w:val="4AD7EF09"/>
    <w:rsid w:val="4ADE0AFC"/>
    <w:rsid w:val="4AF1FAD1"/>
    <w:rsid w:val="4AF405E1"/>
    <w:rsid w:val="4AF9B5FC"/>
    <w:rsid w:val="4AF9DD61"/>
    <w:rsid w:val="4AFCEBF4"/>
    <w:rsid w:val="4B039BBB"/>
    <w:rsid w:val="4B107ADA"/>
    <w:rsid w:val="4B2227CC"/>
    <w:rsid w:val="4B23F9B8"/>
    <w:rsid w:val="4B2A5CA9"/>
    <w:rsid w:val="4B50813E"/>
    <w:rsid w:val="4B5EC220"/>
    <w:rsid w:val="4B64CFF0"/>
    <w:rsid w:val="4B6A1A02"/>
    <w:rsid w:val="4B76B917"/>
    <w:rsid w:val="4B8AF2DF"/>
    <w:rsid w:val="4BC6D663"/>
    <w:rsid w:val="4C143313"/>
    <w:rsid w:val="4C355740"/>
    <w:rsid w:val="4C356270"/>
    <w:rsid w:val="4C5E5544"/>
    <w:rsid w:val="4C5FDD16"/>
    <w:rsid w:val="4C65EA0D"/>
    <w:rsid w:val="4C71DFEE"/>
    <w:rsid w:val="4C743364"/>
    <w:rsid w:val="4C743545"/>
    <w:rsid w:val="4C8A45CF"/>
    <w:rsid w:val="4C990ABB"/>
    <w:rsid w:val="4CBB4C59"/>
    <w:rsid w:val="4CC8D376"/>
    <w:rsid w:val="4CCEA86F"/>
    <w:rsid w:val="4CE1F2FD"/>
    <w:rsid w:val="4CFFEB46"/>
    <w:rsid w:val="4D05F041"/>
    <w:rsid w:val="4D09E734"/>
    <w:rsid w:val="4D0BCCFA"/>
    <w:rsid w:val="4D0C05BB"/>
    <w:rsid w:val="4D167D37"/>
    <w:rsid w:val="4D1DC1D7"/>
    <w:rsid w:val="4D4735DF"/>
    <w:rsid w:val="4D48391B"/>
    <w:rsid w:val="4D514284"/>
    <w:rsid w:val="4D832CEF"/>
    <w:rsid w:val="4D8D60F9"/>
    <w:rsid w:val="4DA45151"/>
    <w:rsid w:val="4DC32F43"/>
    <w:rsid w:val="4DCAD191"/>
    <w:rsid w:val="4DD3F8CD"/>
    <w:rsid w:val="4DD823CD"/>
    <w:rsid w:val="4DE32740"/>
    <w:rsid w:val="4DE7A788"/>
    <w:rsid w:val="4E061234"/>
    <w:rsid w:val="4E1DED52"/>
    <w:rsid w:val="4E362B86"/>
    <w:rsid w:val="4E4FE047"/>
    <w:rsid w:val="4E6BF25F"/>
    <w:rsid w:val="4E716C60"/>
    <w:rsid w:val="4E87CA87"/>
    <w:rsid w:val="4E8B4C38"/>
    <w:rsid w:val="4E8CF19D"/>
    <w:rsid w:val="4E904EF7"/>
    <w:rsid w:val="4E90EDB9"/>
    <w:rsid w:val="4EAD56AA"/>
    <w:rsid w:val="4EB16674"/>
    <w:rsid w:val="4EC652E0"/>
    <w:rsid w:val="4EE33B15"/>
    <w:rsid w:val="4EE66AA1"/>
    <w:rsid w:val="4EF19ADD"/>
    <w:rsid w:val="4EF1B701"/>
    <w:rsid w:val="4EF2B840"/>
    <w:rsid w:val="4F4CE202"/>
    <w:rsid w:val="4F55A5C9"/>
    <w:rsid w:val="4F637B86"/>
    <w:rsid w:val="4F7B10F6"/>
    <w:rsid w:val="4F80FF87"/>
    <w:rsid w:val="4F9337CB"/>
    <w:rsid w:val="4F9AB0F3"/>
    <w:rsid w:val="4FAAD397"/>
    <w:rsid w:val="4FB574C6"/>
    <w:rsid w:val="4FB5EE6C"/>
    <w:rsid w:val="4FBCB2E4"/>
    <w:rsid w:val="4FDC19DE"/>
    <w:rsid w:val="5019F2D0"/>
    <w:rsid w:val="50377FB4"/>
    <w:rsid w:val="505904DA"/>
    <w:rsid w:val="505F55EC"/>
    <w:rsid w:val="506367EB"/>
    <w:rsid w:val="506C9781"/>
    <w:rsid w:val="507D5AB6"/>
    <w:rsid w:val="507E291C"/>
    <w:rsid w:val="5091B07C"/>
    <w:rsid w:val="50D27AD8"/>
    <w:rsid w:val="50E30DE8"/>
    <w:rsid w:val="50F8C6EB"/>
    <w:rsid w:val="510629CA"/>
    <w:rsid w:val="5127F8D6"/>
    <w:rsid w:val="514D4132"/>
    <w:rsid w:val="5174DD98"/>
    <w:rsid w:val="517DB1D3"/>
    <w:rsid w:val="51957103"/>
    <w:rsid w:val="5197F61D"/>
    <w:rsid w:val="51C321C0"/>
    <w:rsid w:val="51DE1621"/>
    <w:rsid w:val="51E9E5E7"/>
    <w:rsid w:val="51ED472F"/>
    <w:rsid w:val="51F0E700"/>
    <w:rsid w:val="521F0261"/>
    <w:rsid w:val="52251618"/>
    <w:rsid w:val="5231BDF2"/>
    <w:rsid w:val="52359E7B"/>
    <w:rsid w:val="523AB2E4"/>
    <w:rsid w:val="524B36D6"/>
    <w:rsid w:val="524F3FD0"/>
    <w:rsid w:val="525B21A7"/>
    <w:rsid w:val="52632F17"/>
    <w:rsid w:val="5267A042"/>
    <w:rsid w:val="5290F43A"/>
    <w:rsid w:val="5292D91D"/>
    <w:rsid w:val="52966E45"/>
    <w:rsid w:val="52B8ECFB"/>
    <w:rsid w:val="52C16917"/>
    <w:rsid w:val="52CA3DB8"/>
    <w:rsid w:val="52D90903"/>
    <w:rsid w:val="52ED4953"/>
    <w:rsid w:val="52F7AB56"/>
    <w:rsid w:val="52FC8DB7"/>
    <w:rsid w:val="52FFD841"/>
    <w:rsid w:val="53025C07"/>
    <w:rsid w:val="5337EE79"/>
    <w:rsid w:val="53423A63"/>
    <w:rsid w:val="536BC1AC"/>
    <w:rsid w:val="536BC875"/>
    <w:rsid w:val="5382E66F"/>
    <w:rsid w:val="5383EF41"/>
    <w:rsid w:val="53B45137"/>
    <w:rsid w:val="53BBBE1F"/>
    <w:rsid w:val="53C54C63"/>
    <w:rsid w:val="53DD3DEC"/>
    <w:rsid w:val="53E95504"/>
    <w:rsid w:val="540B688C"/>
    <w:rsid w:val="54128E9D"/>
    <w:rsid w:val="54137C9C"/>
    <w:rsid w:val="54148F16"/>
    <w:rsid w:val="541F56C8"/>
    <w:rsid w:val="542F1E9A"/>
    <w:rsid w:val="543CBC1E"/>
    <w:rsid w:val="544FC841"/>
    <w:rsid w:val="545F005C"/>
    <w:rsid w:val="5466D4E5"/>
    <w:rsid w:val="54714A47"/>
    <w:rsid w:val="54824FCF"/>
    <w:rsid w:val="54948055"/>
    <w:rsid w:val="549FF736"/>
    <w:rsid w:val="54D33311"/>
    <w:rsid w:val="54D5A897"/>
    <w:rsid w:val="54E18BF9"/>
    <w:rsid w:val="54E63701"/>
    <w:rsid w:val="54EE86A8"/>
    <w:rsid w:val="54F239A6"/>
    <w:rsid w:val="54F37020"/>
    <w:rsid w:val="5502C345"/>
    <w:rsid w:val="5518D49B"/>
    <w:rsid w:val="5549A576"/>
    <w:rsid w:val="55A42F51"/>
    <w:rsid w:val="55A591BE"/>
    <w:rsid w:val="55B29853"/>
    <w:rsid w:val="55B34121"/>
    <w:rsid w:val="55BA968C"/>
    <w:rsid w:val="55E0DDC5"/>
    <w:rsid w:val="55ED0CA4"/>
    <w:rsid w:val="560B42E5"/>
    <w:rsid w:val="5620BBC2"/>
    <w:rsid w:val="5630B8CF"/>
    <w:rsid w:val="563D0D66"/>
    <w:rsid w:val="564A58CD"/>
    <w:rsid w:val="56613F76"/>
    <w:rsid w:val="5669E3EB"/>
    <w:rsid w:val="567E4CE9"/>
    <w:rsid w:val="5681BE89"/>
    <w:rsid w:val="568A1322"/>
    <w:rsid w:val="56AA05A7"/>
    <w:rsid w:val="56AB20A9"/>
    <w:rsid w:val="56D3459F"/>
    <w:rsid w:val="56EF65AA"/>
    <w:rsid w:val="56F29BA2"/>
    <w:rsid w:val="57089E78"/>
    <w:rsid w:val="570B6526"/>
    <w:rsid w:val="570F4242"/>
    <w:rsid w:val="5715EB90"/>
    <w:rsid w:val="57172130"/>
    <w:rsid w:val="5718B683"/>
    <w:rsid w:val="571DFB93"/>
    <w:rsid w:val="571F0CBD"/>
    <w:rsid w:val="5730BA3F"/>
    <w:rsid w:val="573E0449"/>
    <w:rsid w:val="574751D7"/>
    <w:rsid w:val="575FD47B"/>
    <w:rsid w:val="5776735A"/>
    <w:rsid w:val="577DC0E1"/>
    <w:rsid w:val="5783D04F"/>
    <w:rsid w:val="5786CB62"/>
    <w:rsid w:val="578EEC34"/>
    <w:rsid w:val="579B42D3"/>
    <w:rsid w:val="57C944C4"/>
    <w:rsid w:val="57E0F38E"/>
    <w:rsid w:val="580CB7AD"/>
    <w:rsid w:val="58216803"/>
    <w:rsid w:val="582D05F2"/>
    <w:rsid w:val="583D75C4"/>
    <w:rsid w:val="583EDEE6"/>
    <w:rsid w:val="58442057"/>
    <w:rsid w:val="58531F55"/>
    <w:rsid w:val="586349EB"/>
    <w:rsid w:val="5868D838"/>
    <w:rsid w:val="587645BF"/>
    <w:rsid w:val="587938F4"/>
    <w:rsid w:val="58812BCB"/>
    <w:rsid w:val="58BD2819"/>
    <w:rsid w:val="58BEBF2A"/>
    <w:rsid w:val="58C501D7"/>
    <w:rsid w:val="58CCE7DA"/>
    <w:rsid w:val="58D38F0B"/>
    <w:rsid w:val="58D5093F"/>
    <w:rsid w:val="58DEA6F4"/>
    <w:rsid w:val="58E121DA"/>
    <w:rsid w:val="58E59E9B"/>
    <w:rsid w:val="58F9C3B8"/>
    <w:rsid w:val="58FABB65"/>
    <w:rsid w:val="591DABF3"/>
    <w:rsid w:val="592D382F"/>
    <w:rsid w:val="59306FA8"/>
    <w:rsid w:val="59362921"/>
    <w:rsid w:val="593ADCF3"/>
    <w:rsid w:val="5944B9BE"/>
    <w:rsid w:val="595F7686"/>
    <w:rsid w:val="5962C92C"/>
    <w:rsid w:val="5968186D"/>
    <w:rsid w:val="596976F6"/>
    <w:rsid w:val="596C04C8"/>
    <w:rsid w:val="5978490C"/>
    <w:rsid w:val="597B06F1"/>
    <w:rsid w:val="598454F6"/>
    <w:rsid w:val="598724BC"/>
    <w:rsid w:val="5993D70E"/>
    <w:rsid w:val="59A43A30"/>
    <w:rsid w:val="59AA0AE4"/>
    <w:rsid w:val="59D15C2E"/>
    <w:rsid w:val="59D31FAB"/>
    <w:rsid w:val="59DFD548"/>
    <w:rsid w:val="59E17E63"/>
    <w:rsid w:val="59F723B2"/>
    <w:rsid w:val="59FA9673"/>
    <w:rsid w:val="59FFD38D"/>
    <w:rsid w:val="5A1E5820"/>
    <w:rsid w:val="5A2152EA"/>
    <w:rsid w:val="5A3335D9"/>
    <w:rsid w:val="5A3FB81B"/>
    <w:rsid w:val="5A424BA2"/>
    <w:rsid w:val="5A613351"/>
    <w:rsid w:val="5A62CFD7"/>
    <w:rsid w:val="5A7F2FA9"/>
    <w:rsid w:val="5A8E3035"/>
    <w:rsid w:val="5A8E9594"/>
    <w:rsid w:val="5A9AF548"/>
    <w:rsid w:val="5A9E4CEF"/>
    <w:rsid w:val="5AA2A32C"/>
    <w:rsid w:val="5AC01AF7"/>
    <w:rsid w:val="5AE46155"/>
    <w:rsid w:val="5AF132C2"/>
    <w:rsid w:val="5B00A3A8"/>
    <w:rsid w:val="5B1F7CA5"/>
    <w:rsid w:val="5B314417"/>
    <w:rsid w:val="5B607F04"/>
    <w:rsid w:val="5B6B3678"/>
    <w:rsid w:val="5B86370B"/>
    <w:rsid w:val="5B8B2544"/>
    <w:rsid w:val="5BA439F5"/>
    <w:rsid w:val="5BB29876"/>
    <w:rsid w:val="5BBDFEB8"/>
    <w:rsid w:val="5BD7FB2F"/>
    <w:rsid w:val="5BF1A618"/>
    <w:rsid w:val="5C08D10D"/>
    <w:rsid w:val="5C0FD3AC"/>
    <w:rsid w:val="5C12AEDC"/>
    <w:rsid w:val="5C1F33C4"/>
    <w:rsid w:val="5C43A459"/>
    <w:rsid w:val="5C53321F"/>
    <w:rsid w:val="5C642196"/>
    <w:rsid w:val="5C6C9DC1"/>
    <w:rsid w:val="5C6F8B53"/>
    <w:rsid w:val="5C8FC2FE"/>
    <w:rsid w:val="5C9F6E31"/>
    <w:rsid w:val="5CA577F4"/>
    <w:rsid w:val="5CB5C390"/>
    <w:rsid w:val="5CC44DE6"/>
    <w:rsid w:val="5CD57A59"/>
    <w:rsid w:val="5CE2604E"/>
    <w:rsid w:val="5CF777AC"/>
    <w:rsid w:val="5D03EF4E"/>
    <w:rsid w:val="5D0E65A0"/>
    <w:rsid w:val="5D0EB65A"/>
    <w:rsid w:val="5D1309F0"/>
    <w:rsid w:val="5D2325DE"/>
    <w:rsid w:val="5D30CF44"/>
    <w:rsid w:val="5D397AF6"/>
    <w:rsid w:val="5D3A27FD"/>
    <w:rsid w:val="5D4DB15A"/>
    <w:rsid w:val="5D5621D3"/>
    <w:rsid w:val="5D65A54E"/>
    <w:rsid w:val="5D68A00C"/>
    <w:rsid w:val="5D71F7C8"/>
    <w:rsid w:val="5D8127EF"/>
    <w:rsid w:val="5D8BDFE1"/>
    <w:rsid w:val="5D8C047C"/>
    <w:rsid w:val="5D9239B3"/>
    <w:rsid w:val="5D93288D"/>
    <w:rsid w:val="5D9E4009"/>
    <w:rsid w:val="5DA43C10"/>
    <w:rsid w:val="5DB56D65"/>
    <w:rsid w:val="5DBA4F64"/>
    <w:rsid w:val="5DC3B5CE"/>
    <w:rsid w:val="5DC40E95"/>
    <w:rsid w:val="5DC99819"/>
    <w:rsid w:val="5DD618C8"/>
    <w:rsid w:val="5DDB6266"/>
    <w:rsid w:val="5DFB2E9B"/>
    <w:rsid w:val="5DFE80EA"/>
    <w:rsid w:val="5E0393C9"/>
    <w:rsid w:val="5E15F563"/>
    <w:rsid w:val="5E1798A1"/>
    <w:rsid w:val="5E20545E"/>
    <w:rsid w:val="5E23E7C8"/>
    <w:rsid w:val="5E29CB82"/>
    <w:rsid w:val="5E49EBB7"/>
    <w:rsid w:val="5E50FC2C"/>
    <w:rsid w:val="5E571695"/>
    <w:rsid w:val="5E6ADDFD"/>
    <w:rsid w:val="5E6BDCAC"/>
    <w:rsid w:val="5E839E08"/>
    <w:rsid w:val="5E85CEA9"/>
    <w:rsid w:val="5E8FA675"/>
    <w:rsid w:val="5E99EBAC"/>
    <w:rsid w:val="5E9A929B"/>
    <w:rsid w:val="5ECDBED0"/>
    <w:rsid w:val="5EE75C8C"/>
    <w:rsid w:val="5EF3F483"/>
    <w:rsid w:val="5EF6155B"/>
    <w:rsid w:val="5EF748D4"/>
    <w:rsid w:val="5F0668DE"/>
    <w:rsid w:val="5F0F8AEC"/>
    <w:rsid w:val="5F28E82C"/>
    <w:rsid w:val="5F3751A5"/>
    <w:rsid w:val="5F3F3FD3"/>
    <w:rsid w:val="5F5E9782"/>
    <w:rsid w:val="5F6D8CD9"/>
    <w:rsid w:val="5F72BF38"/>
    <w:rsid w:val="5FA2F376"/>
    <w:rsid w:val="5FCB0F66"/>
    <w:rsid w:val="5FD7E084"/>
    <w:rsid w:val="5FD901E5"/>
    <w:rsid w:val="5FDD7F0C"/>
    <w:rsid w:val="5FE5C4EE"/>
    <w:rsid w:val="6002A504"/>
    <w:rsid w:val="6011AA9E"/>
    <w:rsid w:val="6015E8F8"/>
    <w:rsid w:val="601AE5FB"/>
    <w:rsid w:val="60289FCA"/>
    <w:rsid w:val="6033C032"/>
    <w:rsid w:val="6040B5DA"/>
    <w:rsid w:val="6045FAB9"/>
    <w:rsid w:val="605509DE"/>
    <w:rsid w:val="6060F68E"/>
    <w:rsid w:val="607FC364"/>
    <w:rsid w:val="60805D90"/>
    <w:rsid w:val="60AFD1D3"/>
    <w:rsid w:val="60E276E3"/>
    <w:rsid w:val="60F3827B"/>
    <w:rsid w:val="60FC183D"/>
    <w:rsid w:val="610C35AC"/>
    <w:rsid w:val="6118D6F5"/>
    <w:rsid w:val="611B2303"/>
    <w:rsid w:val="611C57B3"/>
    <w:rsid w:val="6121CAD8"/>
    <w:rsid w:val="613B9D6C"/>
    <w:rsid w:val="615BCA6D"/>
    <w:rsid w:val="61769AEB"/>
    <w:rsid w:val="617F7994"/>
    <w:rsid w:val="6194028B"/>
    <w:rsid w:val="61970CFA"/>
    <w:rsid w:val="61A6E7FE"/>
    <w:rsid w:val="61C67722"/>
    <w:rsid w:val="61CFCF03"/>
    <w:rsid w:val="61F36382"/>
    <w:rsid w:val="61FE03BC"/>
    <w:rsid w:val="622DDDCB"/>
    <w:rsid w:val="6235D67A"/>
    <w:rsid w:val="623A7E13"/>
    <w:rsid w:val="625CB427"/>
    <w:rsid w:val="626A2A83"/>
    <w:rsid w:val="62920843"/>
    <w:rsid w:val="62A620C5"/>
    <w:rsid w:val="62C55B50"/>
    <w:rsid w:val="62C71C3A"/>
    <w:rsid w:val="62CC10AF"/>
    <w:rsid w:val="62D0B249"/>
    <w:rsid w:val="632B1E90"/>
    <w:rsid w:val="6344FCDE"/>
    <w:rsid w:val="636DBE16"/>
    <w:rsid w:val="63746D62"/>
    <w:rsid w:val="63785C91"/>
    <w:rsid w:val="637CD979"/>
    <w:rsid w:val="63803A80"/>
    <w:rsid w:val="638D170B"/>
    <w:rsid w:val="63921AF7"/>
    <w:rsid w:val="6396AD0F"/>
    <w:rsid w:val="639F79BF"/>
    <w:rsid w:val="63A39545"/>
    <w:rsid w:val="63A7A959"/>
    <w:rsid w:val="63BBFE0A"/>
    <w:rsid w:val="63F50A82"/>
    <w:rsid w:val="6405BDDB"/>
    <w:rsid w:val="64069130"/>
    <w:rsid w:val="64660D01"/>
    <w:rsid w:val="646A0AF5"/>
    <w:rsid w:val="646FDDE0"/>
    <w:rsid w:val="64BC20B9"/>
    <w:rsid w:val="64CA5C4A"/>
    <w:rsid w:val="64CA94A2"/>
    <w:rsid w:val="65138EC7"/>
    <w:rsid w:val="651A45C1"/>
    <w:rsid w:val="65277147"/>
    <w:rsid w:val="6529AC65"/>
    <w:rsid w:val="652A1884"/>
    <w:rsid w:val="652E8D9D"/>
    <w:rsid w:val="6535526E"/>
    <w:rsid w:val="6555B480"/>
    <w:rsid w:val="6561F790"/>
    <w:rsid w:val="6565A199"/>
    <w:rsid w:val="65784730"/>
    <w:rsid w:val="659899CD"/>
    <w:rsid w:val="65B4D6C8"/>
    <w:rsid w:val="65F455EF"/>
    <w:rsid w:val="65F85220"/>
    <w:rsid w:val="660E122F"/>
    <w:rsid w:val="6612BE3C"/>
    <w:rsid w:val="661408BB"/>
    <w:rsid w:val="6615A999"/>
    <w:rsid w:val="664140C3"/>
    <w:rsid w:val="664DA4B2"/>
    <w:rsid w:val="66545E21"/>
    <w:rsid w:val="6660C002"/>
    <w:rsid w:val="6670F8EF"/>
    <w:rsid w:val="6682664D"/>
    <w:rsid w:val="66888532"/>
    <w:rsid w:val="668D6C3A"/>
    <w:rsid w:val="669C9C49"/>
    <w:rsid w:val="66A369E1"/>
    <w:rsid w:val="66AFA90A"/>
    <w:rsid w:val="66BF7896"/>
    <w:rsid w:val="66D08F1F"/>
    <w:rsid w:val="66DC3D47"/>
    <w:rsid w:val="66E79A66"/>
    <w:rsid w:val="670FB7DE"/>
    <w:rsid w:val="67196D35"/>
    <w:rsid w:val="67273015"/>
    <w:rsid w:val="6727BA56"/>
    <w:rsid w:val="6728EE7E"/>
    <w:rsid w:val="672E4CBF"/>
    <w:rsid w:val="6730E72C"/>
    <w:rsid w:val="6739F7BA"/>
    <w:rsid w:val="67484210"/>
    <w:rsid w:val="67550976"/>
    <w:rsid w:val="67573727"/>
    <w:rsid w:val="6760D142"/>
    <w:rsid w:val="677A4C6E"/>
    <w:rsid w:val="677B4BA3"/>
    <w:rsid w:val="67841370"/>
    <w:rsid w:val="678A35D5"/>
    <w:rsid w:val="678E6645"/>
    <w:rsid w:val="6791B2CF"/>
    <w:rsid w:val="67C84BAE"/>
    <w:rsid w:val="67CA4FFC"/>
    <w:rsid w:val="67CF65C4"/>
    <w:rsid w:val="67DE0010"/>
    <w:rsid w:val="67E3F520"/>
    <w:rsid w:val="67ED4385"/>
    <w:rsid w:val="6827F223"/>
    <w:rsid w:val="683751BB"/>
    <w:rsid w:val="6856EB38"/>
    <w:rsid w:val="6876BC91"/>
    <w:rsid w:val="687ADEA3"/>
    <w:rsid w:val="687FD8F4"/>
    <w:rsid w:val="689AEC42"/>
    <w:rsid w:val="68AC4F34"/>
    <w:rsid w:val="68B51842"/>
    <w:rsid w:val="68C0B011"/>
    <w:rsid w:val="68C309F0"/>
    <w:rsid w:val="68CDA760"/>
    <w:rsid w:val="691214A1"/>
    <w:rsid w:val="69146D4A"/>
    <w:rsid w:val="695E35F3"/>
    <w:rsid w:val="6966A751"/>
    <w:rsid w:val="69851B74"/>
    <w:rsid w:val="69A022CF"/>
    <w:rsid w:val="69A2D089"/>
    <w:rsid w:val="69A8619E"/>
    <w:rsid w:val="69AD829A"/>
    <w:rsid w:val="69B7CA8E"/>
    <w:rsid w:val="69CD616F"/>
    <w:rsid w:val="69CE4B8B"/>
    <w:rsid w:val="69FAE1D6"/>
    <w:rsid w:val="6A17561D"/>
    <w:rsid w:val="6A1865BE"/>
    <w:rsid w:val="6A1AD865"/>
    <w:rsid w:val="6A1C9D44"/>
    <w:rsid w:val="6A2C2018"/>
    <w:rsid w:val="6A4A4035"/>
    <w:rsid w:val="6A8F4DD1"/>
    <w:rsid w:val="6A990D79"/>
    <w:rsid w:val="6A9A3ADF"/>
    <w:rsid w:val="6AB3207A"/>
    <w:rsid w:val="6AB3C7D5"/>
    <w:rsid w:val="6AB93A22"/>
    <w:rsid w:val="6AC25398"/>
    <w:rsid w:val="6AC999A2"/>
    <w:rsid w:val="6AD863E0"/>
    <w:rsid w:val="6AF3D4D6"/>
    <w:rsid w:val="6B0546A0"/>
    <w:rsid w:val="6B13A3CE"/>
    <w:rsid w:val="6B191F60"/>
    <w:rsid w:val="6B2A4368"/>
    <w:rsid w:val="6B4FA131"/>
    <w:rsid w:val="6B505255"/>
    <w:rsid w:val="6B574E15"/>
    <w:rsid w:val="6B6369D9"/>
    <w:rsid w:val="6B7D6EDC"/>
    <w:rsid w:val="6B8612F8"/>
    <w:rsid w:val="6B9F0EB4"/>
    <w:rsid w:val="6BA39398"/>
    <w:rsid w:val="6BE8EDAA"/>
    <w:rsid w:val="6BF063D6"/>
    <w:rsid w:val="6BF4BF19"/>
    <w:rsid w:val="6C18771E"/>
    <w:rsid w:val="6C4DE6E0"/>
    <w:rsid w:val="6C6C6064"/>
    <w:rsid w:val="6C71DE39"/>
    <w:rsid w:val="6C857A92"/>
    <w:rsid w:val="6CB1E83B"/>
    <w:rsid w:val="6CBCC7AA"/>
    <w:rsid w:val="6CBDB505"/>
    <w:rsid w:val="6CC27CDD"/>
    <w:rsid w:val="6CCCD9E4"/>
    <w:rsid w:val="6CDAF6F6"/>
    <w:rsid w:val="6CDE8FF0"/>
    <w:rsid w:val="6CE724B4"/>
    <w:rsid w:val="6D26C73C"/>
    <w:rsid w:val="6D2C2F43"/>
    <w:rsid w:val="6D2EC9DA"/>
    <w:rsid w:val="6D320533"/>
    <w:rsid w:val="6D36AAB6"/>
    <w:rsid w:val="6D4E4B62"/>
    <w:rsid w:val="6D5E41E7"/>
    <w:rsid w:val="6D745FAF"/>
    <w:rsid w:val="6D781420"/>
    <w:rsid w:val="6D7C0D1D"/>
    <w:rsid w:val="6D8138F5"/>
    <w:rsid w:val="6D864C85"/>
    <w:rsid w:val="6D924589"/>
    <w:rsid w:val="6DB4E459"/>
    <w:rsid w:val="6DC30419"/>
    <w:rsid w:val="6DC46F96"/>
    <w:rsid w:val="6DD001DA"/>
    <w:rsid w:val="6DDA74D0"/>
    <w:rsid w:val="6DFC29AC"/>
    <w:rsid w:val="6DFF428A"/>
    <w:rsid w:val="6E045359"/>
    <w:rsid w:val="6E099E4E"/>
    <w:rsid w:val="6E1DDF91"/>
    <w:rsid w:val="6E3FE13C"/>
    <w:rsid w:val="6E47FCD8"/>
    <w:rsid w:val="6E540FD2"/>
    <w:rsid w:val="6E5B79E4"/>
    <w:rsid w:val="6E61075E"/>
    <w:rsid w:val="6E7875F9"/>
    <w:rsid w:val="6E8E2247"/>
    <w:rsid w:val="6EA90485"/>
    <w:rsid w:val="6EAE0391"/>
    <w:rsid w:val="6EC9D53B"/>
    <w:rsid w:val="6ED525CB"/>
    <w:rsid w:val="6EE6E192"/>
    <w:rsid w:val="6EF0A424"/>
    <w:rsid w:val="6EFA0D2D"/>
    <w:rsid w:val="6F01F7DC"/>
    <w:rsid w:val="6F18979F"/>
    <w:rsid w:val="6F23A212"/>
    <w:rsid w:val="6F2780D2"/>
    <w:rsid w:val="6F2F920E"/>
    <w:rsid w:val="6F3046BD"/>
    <w:rsid w:val="6F58A049"/>
    <w:rsid w:val="6F864AF5"/>
    <w:rsid w:val="6FB8C9C9"/>
    <w:rsid w:val="6FBAAF5B"/>
    <w:rsid w:val="6FBCE046"/>
    <w:rsid w:val="6FC1845A"/>
    <w:rsid w:val="6FC52D1F"/>
    <w:rsid w:val="6FC8DDAB"/>
    <w:rsid w:val="6FD4DD17"/>
    <w:rsid w:val="6FF0D597"/>
    <w:rsid w:val="6FF122B2"/>
    <w:rsid w:val="6FF2665B"/>
    <w:rsid w:val="6FF2C649"/>
    <w:rsid w:val="6FFADF30"/>
    <w:rsid w:val="70085CDD"/>
    <w:rsid w:val="701BCC3C"/>
    <w:rsid w:val="701C4D09"/>
    <w:rsid w:val="701DF41A"/>
    <w:rsid w:val="7021C489"/>
    <w:rsid w:val="70232A6B"/>
    <w:rsid w:val="7025D5D0"/>
    <w:rsid w:val="702BF135"/>
    <w:rsid w:val="702C8B8A"/>
    <w:rsid w:val="7034E724"/>
    <w:rsid w:val="706DCA62"/>
    <w:rsid w:val="707846F5"/>
    <w:rsid w:val="7087412E"/>
    <w:rsid w:val="70A7B23D"/>
    <w:rsid w:val="70ACA5A0"/>
    <w:rsid w:val="70B0034D"/>
    <w:rsid w:val="70CF20D5"/>
    <w:rsid w:val="710768B5"/>
    <w:rsid w:val="710E1B2D"/>
    <w:rsid w:val="71333260"/>
    <w:rsid w:val="713E3021"/>
    <w:rsid w:val="7147348A"/>
    <w:rsid w:val="71513BE3"/>
    <w:rsid w:val="715459A4"/>
    <w:rsid w:val="7168B2FE"/>
    <w:rsid w:val="71868FA5"/>
    <w:rsid w:val="7186D7DC"/>
    <w:rsid w:val="71949523"/>
    <w:rsid w:val="719E192C"/>
    <w:rsid w:val="719E9565"/>
    <w:rsid w:val="71A41774"/>
    <w:rsid w:val="71AA1F0A"/>
    <w:rsid w:val="71AB47CF"/>
    <w:rsid w:val="71AC0EBC"/>
    <w:rsid w:val="71BE26A6"/>
    <w:rsid w:val="71E710CE"/>
    <w:rsid w:val="7213E344"/>
    <w:rsid w:val="72495CA0"/>
    <w:rsid w:val="72764ED9"/>
    <w:rsid w:val="7290FB99"/>
    <w:rsid w:val="72918CB6"/>
    <w:rsid w:val="72982994"/>
    <w:rsid w:val="72B51776"/>
    <w:rsid w:val="72C5C9C9"/>
    <w:rsid w:val="72C93D75"/>
    <w:rsid w:val="72CC003C"/>
    <w:rsid w:val="72F9D7C7"/>
    <w:rsid w:val="72FB77B3"/>
    <w:rsid w:val="72FD56F0"/>
    <w:rsid w:val="73098A94"/>
    <w:rsid w:val="7311815F"/>
    <w:rsid w:val="7317BC1F"/>
    <w:rsid w:val="731D7621"/>
    <w:rsid w:val="731F123B"/>
    <w:rsid w:val="73213992"/>
    <w:rsid w:val="7328A29D"/>
    <w:rsid w:val="736B95DC"/>
    <w:rsid w:val="73BFEF2B"/>
    <w:rsid w:val="73C680B8"/>
    <w:rsid w:val="73C7177E"/>
    <w:rsid w:val="73D4CE68"/>
    <w:rsid w:val="73D5DD85"/>
    <w:rsid w:val="73DE7D00"/>
    <w:rsid w:val="73EAFE75"/>
    <w:rsid w:val="73F80534"/>
    <w:rsid w:val="7400E68A"/>
    <w:rsid w:val="740DF67F"/>
    <w:rsid w:val="740FA6ED"/>
    <w:rsid w:val="74108BE8"/>
    <w:rsid w:val="7423FE70"/>
    <w:rsid w:val="742A21E6"/>
    <w:rsid w:val="742E3670"/>
    <w:rsid w:val="744677CD"/>
    <w:rsid w:val="7456C2B5"/>
    <w:rsid w:val="745BBBC7"/>
    <w:rsid w:val="7470CFCA"/>
    <w:rsid w:val="747FE338"/>
    <w:rsid w:val="748D696D"/>
    <w:rsid w:val="7493DE68"/>
    <w:rsid w:val="74BA2A58"/>
    <w:rsid w:val="74C1655A"/>
    <w:rsid w:val="74C79DF2"/>
    <w:rsid w:val="74CB142A"/>
    <w:rsid w:val="74DD4BA1"/>
    <w:rsid w:val="74E8FF64"/>
    <w:rsid w:val="74EB2F3B"/>
    <w:rsid w:val="74F85323"/>
    <w:rsid w:val="750414AD"/>
    <w:rsid w:val="75049E00"/>
    <w:rsid w:val="750A9D8B"/>
    <w:rsid w:val="7511052E"/>
    <w:rsid w:val="751282A7"/>
    <w:rsid w:val="7516A2AB"/>
    <w:rsid w:val="75216C39"/>
    <w:rsid w:val="75571676"/>
    <w:rsid w:val="75631CF1"/>
    <w:rsid w:val="7577C52E"/>
    <w:rsid w:val="757C555F"/>
    <w:rsid w:val="75B0F33D"/>
    <w:rsid w:val="75CA52FB"/>
    <w:rsid w:val="75CB1E00"/>
    <w:rsid w:val="75CEF267"/>
    <w:rsid w:val="75E6F7BD"/>
    <w:rsid w:val="75F0DCCA"/>
    <w:rsid w:val="75F23BDC"/>
    <w:rsid w:val="75F6688E"/>
    <w:rsid w:val="7601235F"/>
    <w:rsid w:val="7609226F"/>
    <w:rsid w:val="76114224"/>
    <w:rsid w:val="76161A5A"/>
    <w:rsid w:val="76189C7C"/>
    <w:rsid w:val="76582464"/>
    <w:rsid w:val="76637168"/>
    <w:rsid w:val="766A8242"/>
    <w:rsid w:val="766FE632"/>
    <w:rsid w:val="76861ECA"/>
    <w:rsid w:val="768C88BF"/>
    <w:rsid w:val="76A2D767"/>
    <w:rsid w:val="76A48DE2"/>
    <w:rsid w:val="76C0456B"/>
    <w:rsid w:val="76C65A7A"/>
    <w:rsid w:val="76E979D3"/>
    <w:rsid w:val="76F07022"/>
    <w:rsid w:val="770A8178"/>
    <w:rsid w:val="772AAEAA"/>
    <w:rsid w:val="774CE23C"/>
    <w:rsid w:val="77801C24"/>
    <w:rsid w:val="7795606C"/>
    <w:rsid w:val="779EA745"/>
    <w:rsid w:val="77B5D028"/>
    <w:rsid w:val="77C5AFA8"/>
    <w:rsid w:val="77E74950"/>
    <w:rsid w:val="77EA63B3"/>
    <w:rsid w:val="77EA8057"/>
    <w:rsid w:val="77ED31C6"/>
    <w:rsid w:val="77F73DCE"/>
    <w:rsid w:val="7801AAF3"/>
    <w:rsid w:val="7809DE08"/>
    <w:rsid w:val="78155B03"/>
    <w:rsid w:val="782BF617"/>
    <w:rsid w:val="7833BEC0"/>
    <w:rsid w:val="784C2A0B"/>
    <w:rsid w:val="7853E0E2"/>
    <w:rsid w:val="7862577E"/>
    <w:rsid w:val="7871CB73"/>
    <w:rsid w:val="7872F30E"/>
    <w:rsid w:val="78859429"/>
    <w:rsid w:val="78A4238F"/>
    <w:rsid w:val="78AD1B49"/>
    <w:rsid w:val="78C84D03"/>
    <w:rsid w:val="78C9335B"/>
    <w:rsid w:val="78CA7B64"/>
    <w:rsid w:val="78CDB0E6"/>
    <w:rsid w:val="78D32577"/>
    <w:rsid w:val="78DDCF46"/>
    <w:rsid w:val="78DE9558"/>
    <w:rsid w:val="79176E04"/>
    <w:rsid w:val="791A61B8"/>
    <w:rsid w:val="79276C49"/>
    <w:rsid w:val="7937F9F2"/>
    <w:rsid w:val="79620F5C"/>
    <w:rsid w:val="797D3256"/>
    <w:rsid w:val="797D95BB"/>
    <w:rsid w:val="79894D68"/>
    <w:rsid w:val="79BEF3B8"/>
    <w:rsid w:val="79C23D8E"/>
    <w:rsid w:val="79C77773"/>
    <w:rsid w:val="79D42035"/>
    <w:rsid w:val="79DE835F"/>
    <w:rsid w:val="79E9A924"/>
    <w:rsid w:val="79F35855"/>
    <w:rsid w:val="79F73D91"/>
    <w:rsid w:val="79FDC9F3"/>
    <w:rsid w:val="79FF6296"/>
    <w:rsid w:val="7A0499F7"/>
    <w:rsid w:val="7A1B10AA"/>
    <w:rsid w:val="7A277FCC"/>
    <w:rsid w:val="7A485392"/>
    <w:rsid w:val="7A4C9568"/>
    <w:rsid w:val="7A56BCC6"/>
    <w:rsid w:val="7A647CBA"/>
    <w:rsid w:val="7A894071"/>
    <w:rsid w:val="7AAAF61A"/>
    <w:rsid w:val="7AB03C55"/>
    <w:rsid w:val="7ABA1963"/>
    <w:rsid w:val="7ADA6D27"/>
    <w:rsid w:val="7ADEF977"/>
    <w:rsid w:val="7AE40A6D"/>
    <w:rsid w:val="7AEA6249"/>
    <w:rsid w:val="7AF1BE32"/>
    <w:rsid w:val="7B01F577"/>
    <w:rsid w:val="7B0E789D"/>
    <w:rsid w:val="7B15323B"/>
    <w:rsid w:val="7B3153D1"/>
    <w:rsid w:val="7B3D8724"/>
    <w:rsid w:val="7B4D24EC"/>
    <w:rsid w:val="7B6E3F25"/>
    <w:rsid w:val="7B75A151"/>
    <w:rsid w:val="7B98DD24"/>
    <w:rsid w:val="7BB27D7E"/>
    <w:rsid w:val="7BCB8E04"/>
    <w:rsid w:val="7BD7732B"/>
    <w:rsid w:val="7BDDC12C"/>
    <w:rsid w:val="7BE0B1C1"/>
    <w:rsid w:val="7BE2AA2B"/>
    <w:rsid w:val="7BEA58C4"/>
    <w:rsid w:val="7BFC9ECF"/>
    <w:rsid w:val="7C1E9543"/>
    <w:rsid w:val="7C292300"/>
    <w:rsid w:val="7C444E47"/>
    <w:rsid w:val="7C6D4181"/>
    <w:rsid w:val="7C7255D9"/>
    <w:rsid w:val="7C94A0AE"/>
    <w:rsid w:val="7C94C4CC"/>
    <w:rsid w:val="7C993865"/>
    <w:rsid w:val="7CAB7474"/>
    <w:rsid w:val="7CBE3AF1"/>
    <w:rsid w:val="7CC92426"/>
    <w:rsid w:val="7CD1DC1E"/>
    <w:rsid w:val="7CD33017"/>
    <w:rsid w:val="7CDE93C7"/>
    <w:rsid w:val="7CE9E7C1"/>
    <w:rsid w:val="7D1B0031"/>
    <w:rsid w:val="7D28F3BE"/>
    <w:rsid w:val="7D3B72A8"/>
    <w:rsid w:val="7D3D46D5"/>
    <w:rsid w:val="7D3E1748"/>
    <w:rsid w:val="7D5BC681"/>
    <w:rsid w:val="7D7A3BE0"/>
    <w:rsid w:val="7D83762B"/>
    <w:rsid w:val="7D909C12"/>
    <w:rsid w:val="7DA0A636"/>
    <w:rsid w:val="7DAFE0A1"/>
    <w:rsid w:val="7DD9D99E"/>
    <w:rsid w:val="7DE98FDD"/>
    <w:rsid w:val="7E027C3F"/>
    <w:rsid w:val="7E0B972F"/>
    <w:rsid w:val="7E1D0F16"/>
    <w:rsid w:val="7E2C17CD"/>
    <w:rsid w:val="7E4E285B"/>
    <w:rsid w:val="7E515482"/>
    <w:rsid w:val="7E52C015"/>
    <w:rsid w:val="7E591D25"/>
    <w:rsid w:val="7E5EB1C0"/>
    <w:rsid w:val="7E85BB48"/>
    <w:rsid w:val="7E92B130"/>
    <w:rsid w:val="7EA8EF62"/>
    <w:rsid w:val="7EAF216A"/>
    <w:rsid w:val="7EC890FC"/>
    <w:rsid w:val="7ED9991F"/>
    <w:rsid w:val="7EEB945C"/>
    <w:rsid w:val="7F1CE61A"/>
    <w:rsid w:val="7F1D557C"/>
    <w:rsid w:val="7F1E5732"/>
    <w:rsid w:val="7F227001"/>
    <w:rsid w:val="7F47096A"/>
    <w:rsid w:val="7F532ADA"/>
    <w:rsid w:val="7F5EB1BB"/>
    <w:rsid w:val="7F72F2EC"/>
    <w:rsid w:val="7F8BB593"/>
    <w:rsid w:val="7F8D1C20"/>
    <w:rsid w:val="7F9827D2"/>
    <w:rsid w:val="7FD7AAC3"/>
    <w:rsid w:val="7FE2BA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8EE7E"/>
  <w15:chartTrackingRefBased/>
  <w15:docId w15:val="{100BE79C-327F-4F8A-9727-088E1009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D1F5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D1F5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D1F5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D1F5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D1F5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D1F5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D1F5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D1F5030"/>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D1F5030"/>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D1F5030"/>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D1F5030"/>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D1F5030"/>
    <w:pPr>
      <w:spacing w:before="160"/>
      <w:jc w:val="center"/>
    </w:pPr>
    <w:rPr>
      <w:i/>
      <w:iCs/>
      <w:color w:val="404040" w:themeColor="text1" w:themeTint="BF"/>
    </w:rPr>
  </w:style>
  <w:style w:type="paragraph" w:styleId="IntenseQuote">
    <w:name w:val="Intense Quote"/>
    <w:basedOn w:val="Normal"/>
    <w:next w:val="Normal"/>
    <w:link w:val="IntenseQuoteChar"/>
    <w:uiPriority w:val="30"/>
    <w:qFormat/>
    <w:rsid w:val="0D1F5030"/>
    <w:pPr>
      <w:spacing w:before="360" w:after="360"/>
      <w:ind w:left="864" w:right="864"/>
      <w:jc w:val="center"/>
    </w:pPr>
    <w:rPr>
      <w:i/>
      <w:iCs/>
      <w:color w:val="0F4761" w:themeColor="accent1" w:themeShade="BF"/>
    </w:rPr>
  </w:style>
  <w:style w:type="character" w:styleId="SubtleReference">
    <w:name w:val="Subtle Reference"/>
    <w:basedOn w:val="DefaultParagraphFont"/>
    <w:uiPriority w:val="31"/>
    <w:qFormat/>
    <w:rsid w:val="0D1F5030"/>
    <w:rPr>
      <w:smallCaps/>
      <w:color w:val="5A5A5A"/>
    </w:rPr>
  </w:style>
  <w:style w:type="character" w:styleId="IntenseReference">
    <w:name w:val="Intense Reference"/>
    <w:basedOn w:val="DefaultParagraphFont"/>
    <w:uiPriority w:val="32"/>
    <w:qFormat/>
    <w:rsid w:val="0D1F5030"/>
    <w:rPr>
      <w:b/>
      <w:bCs/>
      <w:smallCaps/>
      <w:color w:val="0F4761" w:themeColor="accent1" w:themeShade="BF"/>
    </w:rPr>
  </w:style>
  <w:style w:type="character" w:customStyle="1" w:styleId="Heading1Char">
    <w:name w:val="Heading 1 Char"/>
    <w:basedOn w:val="DefaultParagraphFont"/>
    <w:link w:val="Heading1"/>
    <w:uiPriority w:val="9"/>
    <w:rsid w:val="0D1F5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D1F5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D1F5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D1F5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D1F5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D1F5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D1F503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D1F5030"/>
    <w:rPr>
      <w:rFonts w:eastAsiaTheme="majorEastAsia" w:cstheme="majorBidi"/>
      <w:i/>
      <w:iCs/>
      <w:color w:val="272727"/>
    </w:rPr>
  </w:style>
  <w:style w:type="character" w:customStyle="1" w:styleId="Heading9Char">
    <w:name w:val="Heading 9 Char"/>
    <w:basedOn w:val="DefaultParagraphFont"/>
    <w:link w:val="Heading9"/>
    <w:uiPriority w:val="9"/>
    <w:rsid w:val="0D1F5030"/>
    <w:rPr>
      <w:rFonts w:eastAsiaTheme="majorEastAsia" w:cstheme="majorBidi"/>
      <w:color w:val="272727"/>
    </w:rPr>
  </w:style>
  <w:style w:type="character" w:customStyle="1" w:styleId="SubtitleChar">
    <w:name w:val="Subtitle Char"/>
    <w:basedOn w:val="DefaultParagraphFont"/>
    <w:link w:val="Subtitle"/>
    <w:uiPriority w:val="11"/>
    <w:rsid w:val="0D1F5030"/>
    <w:rPr>
      <w:rFonts w:eastAsiaTheme="majorEastAsia" w:cstheme="majorBidi"/>
      <w:color w:val="595959" w:themeColor="text1" w:themeTint="A6"/>
      <w:sz w:val="28"/>
      <w:szCs w:val="28"/>
    </w:rPr>
  </w:style>
  <w:style w:type="character" w:customStyle="1" w:styleId="QuoteChar">
    <w:name w:val="Quote Char"/>
    <w:basedOn w:val="DefaultParagraphFont"/>
    <w:link w:val="Quote"/>
    <w:uiPriority w:val="29"/>
    <w:rsid w:val="0D1F5030"/>
    <w:rPr>
      <w:i/>
      <w:iCs/>
      <w:color w:val="404040" w:themeColor="text1" w:themeTint="BF"/>
    </w:rPr>
  </w:style>
  <w:style w:type="character" w:customStyle="1" w:styleId="IntenseQuoteChar">
    <w:name w:val="Intense Quote Char"/>
    <w:basedOn w:val="DefaultParagraphFont"/>
    <w:link w:val="IntenseQuote"/>
    <w:uiPriority w:val="30"/>
    <w:rsid w:val="0D1F5030"/>
    <w:rPr>
      <w:i/>
      <w:iCs/>
      <w:color w:val="0F4761" w:themeColor="accent1" w:themeShade="BF"/>
    </w:rPr>
  </w:style>
  <w:style w:type="paragraph" w:styleId="Footer">
    <w:name w:val="footer"/>
    <w:basedOn w:val="Normal"/>
    <w:link w:val="FooterChar"/>
    <w:uiPriority w:val="99"/>
    <w:unhideWhenUsed/>
    <w:rsid w:val="0D1F5030"/>
    <w:pPr>
      <w:spacing w:after="0" w:line="240" w:lineRule="auto"/>
    </w:pPr>
  </w:style>
  <w:style w:type="character" w:customStyle="1" w:styleId="FooterChar">
    <w:name w:val="Footer Char"/>
    <w:basedOn w:val="DefaultParagraphFont"/>
    <w:link w:val="Footer"/>
    <w:uiPriority w:val="99"/>
    <w:rsid w:val="0D1F5030"/>
  </w:style>
  <w:style w:type="paragraph" w:styleId="Header">
    <w:name w:val="header"/>
    <w:basedOn w:val="Normal"/>
    <w:link w:val="HeaderChar"/>
    <w:uiPriority w:val="99"/>
    <w:unhideWhenUsed/>
    <w:rsid w:val="0D1F5030"/>
    <w:pPr>
      <w:spacing w:after="0" w:line="240" w:lineRule="auto"/>
    </w:pPr>
  </w:style>
  <w:style w:type="character" w:customStyle="1" w:styleId="HeaderChar">
    <w:name w:val="Header Char"/>
    <w:basedOn w:val="DefaultParagraphFont"/>
    <w:link w:val="Header"/>
    <w:uiPriority w:val="99"/>
    <w:rsid w:val="0D1F5030"/>
  </w:style>
  <w:style w:type="paragraph" w:styleId="ListParagraph">
    <w:name w:val="List Paragraph"/>
    <w:basedOn w:val="Normal"/>
    <w:uiPriority w:val="34"/>
    <w:qFormat/>
    <w:rsid w:val="0D1F5030"/>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010A7"/>
    <w:rPr>
      <w:b/>
      <w:bCs/>
    </w:rPr>
  </w:style>
  <w:style w:type="character" w:customStyle="1" w:styleId="CommentSubjectChar">
    <w:name w:val="Comment Subject Char"/>
    <w:basedOn w:val="CommentTextChar"/>
    <w:link w:val="CommentSubject"/>
    <w:uiPriority w:val="99"/>
    <w:semiHidden/>
    <w:rsid w:val="00A010A7"/>
    <w:rPr>
      <w:b/>
      <w:bCs/>
      <w:sz w:val="20"/>
      <w:szCs w:val="20"/>
    </w:rPr>
  </w:style>
  <w:style w:type="character" w:styleId="PlaceholderText">
    <w:name w:val="Placeholder Text"/>
    <w:basedOn w:val="DefaultParagraphFont"/>
    <w:uiPriority w:val="99"/>
    <w:semiHidden/>
    <w:rsid w:val="00A010A7"/>
    <w:rPr>
      <w:color w:val="666666"/>
    </w:rPr>
  </w:style>
  <w:style w:type="table" w:styleId="PlainTable3">
    <w:name w:val="Plain Table 3"/>
    <w:basedOn w:val="TableNormal"/>
    <w:uiPriority w:val="99"/>
    <w:rsid w:val="00873255"/>
    <w:pPr>
      <w:spacing w:after="0" w:line="240" w:lineRule="auto"/>
    </w:pPr>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E1E9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E1E9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0E25D9"/>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0E25D9"/>
  </w:style>
  <w:style w:type="character" w:customStyle="1" w:styleId="eop">
    <w:name w:val="eop"/>
    <w:basedOn w:val="DefaultParagraphFont"/>
    <w:rsid w:val="000E25D9"/>
  </w:style>
  <w:style w:type="character" w:customStyle="1" w:styleId="superscript">
    <w:name w:val="superscript"/>
    <w:basedOn w:val="DefaultParagraphFont"/>
    <w:rsid w:val="000E25D9"/>
  </w:style>
  <w:style w:type="table" w:customStyle="1" w:styleId="TableGridLight1">
    <w:name w:val="Table Grid Light1"/>
    <w:basedOn w:val="TableNormal"/>
    <w:uiPriority w:val="40"/>
    <w:rsid w:val="00D704C7"/>
    <w:pPr>
      <w:spacing w:after="0" w:line="240" w:lineRule="auto"/>
    </w:pPr>
    <w:rPr>
      <w:rFonts w:eastAsiaTheme="minorHAns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Char">
    <w:name w:val="Title Char"/>
    <w:basedOn w:val="DefaultParagraphFont"/>
    <w:link w:val="Title"/>
    <w:uiPriority w:val="10"/>
    <w:rsid w:val="0051112E"/>
    <w:rPr>
      <w:rFonts w:asciiTheme="majorHAnsi" w:eastAsiaTheme="majorEastAsia" w:hAnsiTheme="majorHAnsi" w:cstheme="majorBidi"/>
      <w:sz w:val="56"/>
      <w:szCs w:val="56"/>
    </w:rPr>
  </w:style>
  <w:style w:type="character" w:styleId="IntenseEmphasis">
    <w:name w:val="Intense Emphasis"/>
    <w:basedOn w:val="DefaultParagraphFont"/>
    <w:uiPriority w:val="21"/>
    <w:qFormat/>
    <w:rsid w:val="0051112E"/>
    <w:rPr>
      <w:i/>
      <w:iCs/>
      <w:color w:val="0F4761" w:themeColor="accent1" w:themeShade="BF"/>
    </w:rPr>
  </w:style>
  <w:style w:type="character" w:styleId="Hyperlink">
    <w:name w:val="Hyperlink"/>
    <w:basedOn w:val="DefaultParagraphFont"/>
    <w:uiPriority w:val="99"/>
    <w:unhideWhenUsed/>
    <w:rsid w:val="0051112E"/>
    <w:rPr>
      <w:color w:val="467886"/>
      <w:u w:val="single"/>
    </w:rPr>
  </w:style>
  <w:style w:type="character" w:styleId="FollowedHyperlink">
    <w:name w:val="FollowedHyperlink"/>
    <w:basedOn w:val="DefaultParagraphFont"/>
    <w:uiPriority w:val="99"/>
    <w:semiHidden/>
    <w:unhideWhenUsed/>
    <w:rsid w:val="0051112E"/>
    <w:rPr>
      <w:color w:val="96607D"/>
      <w:u w:val="single"/>
    </w:rPr>
  </w:style>
  <w:style w:type="paragraph" w:customStyle="1" w:styleId="msonormal0">
    <w:name w:val="msonormal"/>
    <w:basedOn w:val="Normal"/>
    <w:rsid w:val="0051112E"/>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font5">
    <w:name w:val="font5"/>
    <w:basedOn w:val="Normal"/>
    <w:rsid w:val="0051112E"/>
    <w:pPr>
      <w:spacing w:before="100" w:beforeAutospacing="1" w:after="100" w:afterAutospacing="1" w:line="240" w:lineRule="auto"/>
    </w:pPr>
    <w:rPr>
      <w:rFonts w:ascii="Aptos Narrow" w:eastAsia="Times New Roman" w:hAnsi="Aptos Narrow" w:cs="Times New Roman"/>
      <w:color w:val="000000"/>
      <w:sz w:val="22"/>
      <w:szCs w:val="22"/>
      <w:lang w:eastAsia="en-GB"/>
    </w:rPr>
  </w:style>
  <w:style w:type="paragraph" w:customStyle="1" w:styleId="font6">
    <w:name w:val="font6"/>
    <w:basedOn w:val="Normal"/>
    <w:rsid w:val="0051112E"/>
    <w:pPr>
      <w:spacing w:before="100" w:beforeAutospacing="1" w:after="100" w:afterAutospacing="1" w:line="240" w:lineRule="auto"/>
    </w:pPr>
    <w:rPr>
      <w:rFonts w:ascii="Aptos Narrow" w:eastAsia="Times New Roman" w:hAnsi="Aptos Narrow" w:cs="Times New Roman"/>
      <w:color w:val="000000"/>
      <w:sz w:val="22"/>
      <w:szCs w:val="22"/>
      <w:u w:val="single"/>
      <w:lang w:eastAsia="en-GB"/>
    </w:rPr>
  </w:style>
  <w:style w:type="paragraph" w:customStyle="1" w:styleId="font7">
    <w:name w:val="font7"/>
    <w:basedOn w:val="Normal"/>
    <w:rsid w:val="0051112E"/>
    <w:pPr>
      <w:spacing w:before="100" w:beforeAutospacing="1" w:after="100" w:afterAutospacing="1" w:line="240" w:lineRule="auto"/>
    </w:pPr>
    <w:rPr>
      <w:rFonts w:ascii="Aptos Narrow" w:eastAsia="Times New Roman" w:hAnsi="Aptos Narrow" w:cs="Times New Roman"/>
      <w:b/>
      <w:bCs/>
      <w:color w:val="000000"/>
      <w:sz w:val="22"/>
      <w:szCs w:val="22"/>
      <w:lang w:eastAsia="en-GB"/>
    </w:rPr>
  </w:style>
  <w:style w:type="paragraph" w:customStyle="1" w:styleId="xl65">
    <w:name w:val="xl65"/>
    <w:basedOn w:val="Normal"/>
    <w:rsid w:val="0051112E"/>
    <w:pP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66">
    <w:name w:val="xl66"/>
    <w:basedOn w:val="Normal"/>
    <w:rsid w:val="0051112E"/>
    <w:pPr>
      <w:pBdr>
        <w:right w:val="single" w:sz="4" w:space="0" w:color="000000"/>
      </w:pBdr>
      <w:shd w:val="clear" w:color="000000" w:fill="DAE9F8"/>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67">
    <w:name w:val="xl67"/>
    <w:basedOn w:val="Normal"/>
    <w:rsid w:val="0051112E"/>
    <w:pPr>
      <w:pBdr>
        <w:right w:val="single" w:sz="4" w:space="0" w:color="000000"/>
      </w:pBdr>
      <w:shd w:val="clear" w:color="000000" w:fill="E8E8E8"/>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68">
    <w:name w:val="xl68"/>
    <w:basedOn w:val="Normal"/>
    <w:rsid w:val="0051112E"/>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69">
    <w:name w:val="xl69"/>
    <w:basedOn w:val="Normal"/>
    <w:rsid w:val="0051112E"/>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70">
    <w:name w:val="xl70"/>
    <w:basedOn w:val="Normal"/>
    <w:rsid w:val="0051112E"/>
    <w:pPr>
      <w:pBdr>
        <w:right w:val="single" w:sz="4" w:space="0" w:color="000000"/>
      </w:pBdr>
      <w:shd w:val="clear" w:color="000000" w:fill="E8E8E8"/>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71">
    <w:name w:val="xl71"/>
    <w:basedOn w:val="Normal"/>
    <w:rsid w:val="0051112E"/>
    <w:pPr>
      <w:pBdr>
        <w:right w:val="single" w:sz="4" w:space="0" w:color="000000"/>
      </w:pBdr>
      <w:shd w:val="clear" w:color="000000" w:fill="A6C9EC"/>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72">
    <w:name w:val="xl72"/>
    <w:basedOn w:val="Normal"/>
    <w:rsid w:val="0051112E"/>
    <w:pPr>
      <w:pBdr>
        <w:top w:val="single" w:sz="4" w:space="0" w:color="000000"/>
        <w:right w:val="single" w:sz="4" w:space="0" w:color="000000"/>
      </w:pBdr>
      <w:shd w:val="clear" w:color="000000" w:fill="A6C9EC"/>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73">
    <w:name w:val="xl73"/>
    <w:basedOn w:val="Normal"/>
    <w:rsid w:val="0051112E"/>
    <w:pPr>
      <w:spacing w:before="100" w:beforeAutospacing="1" w:after="100" w:afterAutospacing="1" w:line="240" w:lineRule="auto"/>
      <w:textAlignment w:val="top"/>
    </w:pPr>
    <w:rPr>
      <w:rFonts w:ascii="Calibri" w:eastAsia="Times New Roman" w:hAnsi="Calibri" w:cs="Calibri"/>
      <w:color w:val="000000"/>
      <w:lang w:eastAsia="en-GB"/>
    </w:rPr>
  </w:style>
  <w:style w:type="paragraph" w:customStyle="1" w:styleId="xl74">
    <w:name w:val="xl74"/>
    <w:basedOn w:val="Normal"/>
    <w:rsid w:val="0051112E"/>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75">
    <w:name w:val="xl75"/>
    <w:basedOn w:val="Normal"/>
    <w:rsid w:val="0051112E"/>
    <w:pPr>
      <w:pBdr>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b/>
      <w:bCs/>
      <w:lang w:eastAsia="en-GB"/>
    </w:rPr>
  </w:style>
  <w:style w:type="paragraph" w:customStyle="1" w:styleId="xl76">
    <w:name w:val="xl76"/>
    <w:basedOn w:val="Normal"/>
    <w:rsid w:val="0051112E"/>
    <w:pP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77">
    <w:name w:val="xl77"/>
    <w:basedOn w:val="Normal"/>
    <w:rsid w:val="0051112E"/>
    <w:pPr>
      <w:pBdr>
        <w:right w:val="single" w:sz="4" w:space="0" w:color="000000"/>
      </w:pBdr>
      <w:spacing w:before="100" w:beforeAutospacing="1" w:after="100" w:afterAutospacing="1" w:line="240" w:lineRule="auto"/>
      <w:textAlignment w:val="top"/>
    </w:pPr>
    <w:rPr>
      <w:rFonts w:ascii="Aptos Narrow" w:eastAsia="Times New Roman" w:hAnsi="Aptos Narrow" w:cs="Times New Roman"/>
      <w:color w:val="000000"/>
      <w:lang w:eastAsia="en-GB"/>
    </w:rPr>
  </w:style>
  <w:style w:type="paragraph" w:customStyle="1" w:styleId="xl78">
    <w:name w:val="xl78"/>
    <w:basedOn w:val="Normal"/>
    <w:rsid w:val="0051112E"/>
    <w:pPr>
      <w:pBdr>
        <w:right w:val="single" w:sz="4" w:space="0" w:color="000000"/>
      </w:pBdr>
      <w:shd w:val="clear" w:color="000000" w:fill="FFFFFF"/>
      <w:spacing w:before="100" w:beforeAutospacing="1" w:after="100" w:afterAutospacing="1" w:line="240" w:lineRule="auto"/>
      <w:textAlignment w:val="top"/>
    </w:pPr>
    <w:rPr>
      <w:rFonts w:ascii="Aptos Narrow" w:eastAsia="Times New Roman" w:hAnsi="Aptos Narrow" w:cs="Times New Roman"/>
      <w:color w:val="000000"/>
      <w:lang w:eastAsia="en-GB"/>
    </w:rPr>
  </w:style>
  <w:style w:type="paragraph" w:customStyle="1" w:styleId="xl79">
    <w:name w:val="xl79"/>
    <w:basedOn w:val="Normal"/>
    <w:rsid w:val="0051112E"/>
    <w:pPr>
      <w:pBdr>
        <w:top w:val="single" w:sz="4" w:space="0" w:color="000000"/>
        <w:right w:val="single" w:sz="4" w:space="0" w:color="000000"/>
      </w:pBdr>
      <w:shd w:val="clear" w:color="000000" w:fill="D0D0D0"/>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paragraph" w:customStyle="1" w:styleId="xl80">
    <w:name w:val="xl80"/>
    <w:basedOn w:val="Normal"/>
    <w:rsid w:val="0051112E"/>
    <w:pPr>
      <w:pBdr>
        <w:right w:val="single" w:sz="4" w:space="0" w:color="000000"/>
      </w:pBdr>
      <w:shd w:val="clear" w:color="000000" w:fill="D0D0D0"/>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paragraph" w:customStyle="1" w:styleId="xl81">
    <w:name w:val="xl81"/>
    <w:basedOn w:val="Normal"/>
    <w:rsid w:val="0051112E"/>
    <w:pPr>
      <w:pBdr>
        <w:top w:val="single" w:sz="4" w:space="0" w:color="000000"/>
        <w:right w:val="single" w:sz="4" w:space="0" w:color="000000"/>
      </w:pBdr>
      <w:shd w:val="clear" w:color="000000" w:fill="A6C9EC"/>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paragraph" w:customStyle="1" w:styleId="xl82">
    <w:name w:val="xl82"/>
    <w:basedOn w:val="Normal"/>
    <w:rsid w:val="0051112E"/>
    <w:pPr>
      <w:pBdr>
        <w:top w:val="single" w:sz="4" w:space="0" w:color="000000"/>
        <w:right w:val="single" w:sz="4" w:space="0" w:color="000000"/>
      </w:pBdr>
      <w:shd w:val="clear" w:color="000000" w:fill="D0D0D0"/>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paragraph" w:customStyle="1" w:styleId="xl83">
    <w:name w:val="xl83"/>
    <w:basedOn w:val="Normal"/>
    <w:rsid w:val="0051112E"/>
    <w:pPr>
      <w:pBdr>
        <w:top w:val="single" w:sz="4" w:space="0" w:color="000000"/>
      </w:pBdr>
      <w:shd w:val="clear" w:color="000000" w:fill="A6C9EC"/>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paragraph" w:customStyle="1" w:styleId="xl84">
    <w:name w:val="xl84"/>
    <w:basedOn w:val="Normal"/>
    <w:rsid w:val="0051112E"/>
    <w:pPr>
      <w:pBdr>
        <w:top w:val="single" w:sz="4" w:space="0" w:color="000000"/>
        <w:right w:val="single" w:sz="4" w:space="0" w:color="000000"/>
      </w:pBdr>
      <w:shd w:val="clear" w:color="000000" w:fill="A6C9EC"/>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paragraph" w:customStyle="1" w:styleId="xl85">
    <w:name w:val="xl85"/>
    <w:basedOn w:val="Normal"/>
    <w:rsid w:val="0051112E"/>
    <w:pPr>
      <w:pBdr>
        <w:right w:val="single" w:sz="4" w:space="0" w:color="000000"/>
      </w:pBdr>
      <w:shd w:val="clear" w:color="000000" w:fill="A6C9EC"/>
      <w:spacing w:before="100" w:beforeAutospacing="1" w:after="100" w:afterAutospacing="1" w:line="240" w:lineRule="auto"/>
      <w:jc w:val="center"/>
      <w:textAlignment w:val="top"/>
    </w:pPr>
    <w:rPr>
      <w:rFonts w:ascii="Times New Roman" w:eastAsia="Times New Roman" w:hAnsi="Times New Roman" w:cs="Times New Roman"/>
      <w:b/>
      <w:bCs/>
      <w:lang w:eastAsia="en-GB"/>
    </w:rPr>
  </w:style>
  <w:style w:type="table" w:styleId="GridTable7ColourfulAccent6">
    <w:name w:val="Grid Table 7 Colorful Accent 6"/>
    <w:basedOn w:val="TableNormal"/>
    <w:uiPriority w:val="52"/>
    <w:rsid w:val="0051112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
    <w:name w:val="List Table 1 Light"/>
    <w:basedOn w:val="TableNormal"/>
    <w:uiPriority w:val="46"/>
    <w:rsid w:val="0051112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6A2FB3"/>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6A2FB3"/>
    <w:rPr>
      <w:b/>
      <w:bCs/>
    </w:rPr>
  </w:style>
  <w:style w:type="paragraph" w:customStyle="1" w:styleId="p1">
    <w:name w:val="p1"/>
    <w:basedOn w:val="Normal"/>
    <w:rsid w:val="00A75683"/>
    <w:pPr>
      <w:spacing w:after="0" w:line="240" w:lineRule="auto"/>
    </w:pPr>
    <w:rPr>
      <w:rFonts w:ascii="Helvetica" w:eastAsia="Times New Roman" w:hAnsi="Helvetica" w:cs="Times New Roman"/>
      <w:color w:val="000000"/>
      <w:sz w:val="18"/>
      <w:szCs w:val="18"/>
      <w:lang w:eastAsia="en-GB"/>
    </w:rPr>
  </w:style>
  <w:style w:type="character" w:styleId="Emphasis">
    <w:name w:val="Emphasis"/>
    <w:basedOn w:val="DefaultParagraphFont"/>
    <w:uiPriority w:val="20"/>
    <w:qFormat/>
    <w:rsid w:val="00A75683"/>
    <w:rPr>
      <w:i/>
      <w:iCs/>
    </w:rPr>
  </w:style>
  <w:style w:type="paragraph" w:styleId="Revision">
    <w:name w:val="Revision"/>
    <w:hidden/>
    <w:uiPriority w:val="99"/>
    <w:semiHidden/>
    <w:rsid w:val="002A4058"/>
    <w:pPr>
      <w:spacing w:after="0" w:line="240" w:lineRule="auto"/>
    </w:pPr>
  </w:style>
  <w:style w:type="character" w:styleId="UnresolvedMention">
    <w:name w:val="Unresolved Mention"/>
    <w:basedOn w:val="DefaultParagraphFont"/>
    <w:uiPriority w:val="99"/>
    <w:semiHidden/>
    <w:unhideWhenUsed/>
    <w:rsid w:val="008F5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799">
      <w:marLeft w:val="640"/>
      <w:marRight w:val="0"/>
      <w:marTop w:val="0"/>
      <w:marBottom w:val="0"/>
      <w:divBdr>
        <w:top w:val="none" w:sz="0" w:space="0" w:color="auto"/>
        <w:left w:val="none" w:sz="0" w:space="0" w:color="auto"/>
        <w:bottom w:val="none" w:sz="0" w:space="0" w:color="auto"/>
        <w:right w:val="none" w:sz="0" w:space="0" w:color="auto"/>
      </w:divBdr>
    </w:div>
    <w:div w:id="7417415">
      <w:marLeft w:val="640"/>
      <w:marRight w:val="0"/>
      <w:marTop w:val="0"/>
      <w:marBottom w:val="0"/>
      <w:divBdr>
        <w:top w:val="none" w:sz="0" w:space="0" w:color="auto"/>
        <w:left w:val="none" w:sz="0" w:space="0" w:color="auto"/>
        <w:bottom w:val="none" w:sz="0" w:space="0" w:color="auto"/>
        <w:right w:val="none" w:sz="0" w:space="0" w:color="auto"/>
      </w:divBdr>
    </w:div>
    <w:div w:id="9452757">
      <w:marLeft w:val="640"/>
      <w:marRight w:val="0"/>
      <w:marTop w:val="0"/>
      <w:marBottom w:val="0"/>
      <w:divBdr>
        <w:top w:val="none" w:sz="0" w:space="0" w:color="auto"/>
        <w:left w:val="none" w:sz="0" w:space="0" w:color="auto"/>
        <w:bottom w:val="none" w:sz="0" w:space="0" w:color="auto"/>
        <w:right w:val="none" w:sz="0" w:space="0" w:color="auto"/>
      </w:divBdr>
    </w:div>
    <w:div w:id="10962673">
      <w:marLeft w:val="640"/>
      <w:marRight w:val="0"/>
      <w:marTop w:val="0"/>
      <w:marBottom w:val="0"/>
      <w:divBdr>
        <w:top w:val="none" w:sz="0" w:space="0" w:color="auto"/>
        <w:left w:val="none" w:sz="0" w:space="0" w:color="auto"/>
        <w:bottom w:val="none" w:sz="0" w:space="0" w:color="auto"/>
        <w:right w:val="none" w:sz="0" w:space="0" w:color="auto"/>
      </w:divBdr>
    </w:div>
    <w:div w:id="12150104">
      <w:marLeft w:val="640"/>
      <w:marRight w:val="0"/>
      <w:marTop w:val="0"/>
      <w:marBottom w:val="0"/>
      <w:divBdr>
        <w:top w:val="none" w:sz="0" w:space="0" w:color="auto"/>
        <w:left w:val="none" w:sz="0" w:space="0" w:color="auto"/>
        <w:bottom w:val="none" w:sz="0" w:space="0" w:color="auto"/>
        <w:right w:val="none" w:sz="0" w:space="0" w:color="auto"/>
      </w:divBdr>
    </w:div>
    <w:div w:id="13190177">
      <w:marLeft w:val="640"/>
      <w:marRight w:val="0"/>
      <w:marTop w:val="0"/>
      <w:marBottom w:val="0"/>
      <w:divBdr>
        <w:top w:val="none" w:sz="0" w:space="0" w:color="auto"/>
        <w:left w:val="none" w:sz="0" w:space="0" w:color="auto"/>
        <w:bottom w:val="none" w:sz="0" w:space="0" w:color="auto"/>
        <w:right w:val="none" w:sz="0" w:space="0" w:color="auto"/>
      </w:divBdr>
    </w:div>
    <w:div w:id="17245252">
      <w:marLeft w:val="640"/>
      <w:marRight w:val="0"/>
      <w:marTop w:val="0"/>
      <w:marBottom w:val="0"/>
      <w:divBdr>
        <w:top w:val="none" w:sz="0" w:space="0" w:color="auto"/>
        <w:left w:val="none" w:sz="0" w:space="0" w:color="auto"/>
        <w:bottom w:val="none" w:sz="0" w:space="0" w:color="auto"/>
        <w:right w:val="none" w:sz="0" w:space="0" w:color="auto"/>
      </w:divBdr>
    </w:div>
    <w:div w:id="25103892">
      <w:marLeft w:val="640"/>
      <w:marRight w:val="0"/>
      <w:marTop w:val="0"/>
      <w:marBottom w:val="0"/>
      <w:divBdr>
        <w:top w:val="none" w:sz="0" w:space="0" w:color="auto"/>
        <w:left w:val="none" w:sz="0" w:space="0" w:color="auto"/>
        <w:bottom w:val="none" w:sz="0" w:space="0" w:color="auto"/>
        <w:right w:val="none" w:sz="0" w:space="0" w:color="auto"/>
      </w:divBdr>
    </w:div>
    <w:div w:id="27265375">
      <w:marLeft w:val="640"/>
      <w:marRight w:val="0"/>
      <w:marTop w:val="0"/>
      <w:marBottom w:val="0"/>
      <w:divBdr>
        <w:top w:val="none" w:sz="0" w:space="0" w:color="auto"/>
        <w:left w:val="none" w:sz="0" w:space="0" w:color="auto"/>
        <w:bottom w:val="none" w:sz="0" w:space="0" w:color="auto"/>
        <w:right w:val="none" w:sz="0" w:space="0" w:color="auto"/>
      </w:divBdr>
    </w:div>
    <w:div w:id="31196374">
      <w:marLeft w:val="640"/>
      <w:marRight w:val="0"/>
      <w:marTop w:val="0"/>
      <w:marBottom w:val="0"/>
      <w:divBdr>
        <w:top w:val="none" w:sz="0" w:space="0" w:color="auto"/>
        <w:left w:val="none" w:sz="0" w:space="0" w:color="auto"/>
        <w:bottom w:val="none" w:sz="0" w:space="0" w:color="auto"/>
        <w:right w:val="none" w:sz="0" w:space="0" w:color="auto"/>
      </w:divBdr>
    </w:div>
    <w:div w:id="31274015">
      <w:marLeft w:val="640"/>
      <w:marRight w:val="0"/>
      <w:marTop w:val="0"/>
      <w:marBottom w:val="0"/>
      <w:divBdr>
        <w:top w:val="none" w:sz="0" w:space="0" w:color="auto"/>
        <w:left w:val="none" w:sz="0" w:space="0" w:color="auto"/>
        <w:bottom w:val="none" w:sz="0" w:space="0" w:color="auto"/>
        <w:right w:val="none" w:sz="0" w:space="0" w:color="auto"/>
      </w:divBdr>
    </w:div>
    <w:div w:id="31347932">
      <w:marLeft w:val="640"/>
      <w:marRight w:val="0"/>
      <w:marTop w:val="0"/>
      <w:marBottom w:val="0"/>
      <w:divBdr>
        <w:top w:val="none" w:sz="0" w:space="0" w:color="auto"/>
        <w:left w:val="none" w:sz="0" w:space="0" w:color="auto"/>
        <w:bottom w:val="none" w:sz="0" w:space="0" w:color="auto"/>
        <w:right w:val="none" w:sz="0" w:space="0" w:color="auto"/>
      </w:divBdr>
    </w:div>
    <w:div w:id="32073533">
      <w:marLeft w:val="640"/>
      <w:marRight w:val="0"/>
      <w:marTop w:val="0"/>
      <w:marBottom w:val="0"/>
      <w:divBdr>
        <w:top w:val="none" w:sz="0" w:space="0" w:color="auto"/>
        <w:left w:val="none" w:sz="0" w:space="0" w:color="auto"/>
        <w:bottom w:val="none" w:sz="0" w:space="0" w:color="auto"/>
        <w:right w:val="none" w:sz="0" w:space="0" w:color="auto"/>
      </w:divBdr>
    </w:div>
    <w:div w:id="32779679">
      <w:marLeft w:val="640"/>
      <w:marRight w:val="0"/>
      <w:marTop w:val="0"/>
      <w:marBottom w:val="0"/>
      <w:divBdr>
        <w:top w:val="none" w:sz="0" w:space="0" w:color="auto"/>
        <w:left w:val="none" w:sz="0" w:space="0" w:color="auto"/>
        <w:bottom w:val="none" w:sz="0" w:space="0" w:color="auto"/>
        <w:right w:val="none" w:sz="0" w:space="0" w:color="auto"/>
      </w:divBdr>
    </w:div>
    <w:div w:id="40986529">
      <w:marLeft w:val="640"/>
      <w:marRight w:val="0"/>
      <w:marTop w:val="0"/>
      <w:marBottom w:val="0"/>
      <w:divBdr>
        <w:top w:val="none" w:sz="0" w:space="0" w:color="auto"/>
        <w:left w:val="none" w:sz="0" w:space="0" w:color="auto"/>
        <w:bottom w:val="none" w:sz="0" w:space="0" w:color="auto"/>
        <w:right w:val="none" w:sz="0" w:space="0" w:color="auto"/>
      </w:divBdr>
    </w:div>
    <w:div w:id="45571925">
      <w:marLeft w:val="640"/>
      <w:marRight w:val="0"/>
      <w:marTop w:val="0"/>
      <w:marBottom w:val="0"/>
      <w:divBdr>
        <w:top w:val="none" w:sz="0" w:space="0" w:color="auto"/>
        <w:left w:val="none" w:sz="0" w:space="0" w:color="auto"/>
        <w:bottom w:val="none" w:sz="0" w:space="0" w:color="auto"/>
        <w:right w:val="none" w:sz="0" w:space="0" w:color="auto"/>
      </w:divBdr>
    </w:div>
    <w:div w:id="47338281">
      <w:marLeft w:val="640"/>
      <w:marRight w:val="0"/>
      <w:marTop w:val="0"/>
      <w:marBottom w:val="0"/>
      <w:divBdr>
        <w:top w:val="none" w:sz="0" w:space="0" w:color="auto"/>
        <w:left w:val="none" w:sz="0" w:space="0" w:color="auto"/>
        <w:bottom w:val="none" w:sz="0" w:space="0" w:color="auto"/>
        <w:right w:val="none" w:sz="0" w:space="0" w:color="auto"/>
      </w:divBdr>
    </w:div>
    <w:div w:id="52512930">
      <w:marLeft w:val="640"/>
      <w:marRight w:val="0"/>
      <w:marTop w:val="0"/>
      <w:marBottom w:val="0"/>
      <w:divBdr>
        <w:top w:val="none" w:sz="0" w:space="0" w:color="auto"/>
        <w:left w:val="none" w:sz="0" w:space="0" w:color="auto"/>
        <w:bottom w:val="none" w:sz="0" w:space="0" w:color="auto"/>
        <w:right w:val="none" w:sz="0" w:space="0" w:color="auto"/>
      </w:divBdr>
    </w:div>
    <w:div w:id="54162058">
      <w:marLeft w:val="640"/>
      <w:marRight w:val="0"/>
      <w:marTop w:val="0"/>
      <w:marBottom w:val="0"/>
      <w:divBdr>
        <w:top w:val="none" w:sz="0" w:space="0" w:color="auto"/>
        <w:left w:val="none" w:sz="0" w:space="0" w:color="auto"/>
        <w:bottom w:val="none" w:sz="0" w:space="0" w:color="auto"/>
        <w:right w:val="none" w:sz="0" w:space="0" w:color="auto"/>
      </w:divBdr>
    </w:div>
    <w:div w:id="59065643">
      <w:marLeft w:val="640"/>
      <w:marRight w:val="0"/>
      <w:marTop w:val="0"/>
      <w:marBottom w:val="0"/>
      <w:divBdr>
        <w:top w:val="none" w:sz="0" w:space="0" w:color="auto"/>
        <w:left w:val="none" w:sz="0" w:space="0" w:color="auto"/>
        <w:bottom w:val="none" w:sz="0" w:space="0" w:color="auto"/>
        <w:right w:val="none" w:sz="0" w:space="0" w:color="auto"/>
      </w:divBdr>
    </w:div>
    <w:div w:id="59983286">
      <w:marLeft w:val="640"/>
      <w:marRight w:val="0"/>
      <w:marTop w:val="0"/>
      <w:marBottom w:val="0"/>
      <w:divBdr>
        <w:top w:val="none" w:sz="0" w:space="0" w:color="auto"/>
        <w:left w:val="none" w:sz="0" w:space="0" w:color="auto"/>
        <w:bottom w:val="none" w:sz="0" w:space="0" w:color="auto"/>
        <w:right w:val="none" w:sz="0" w:space="0" w:color="auto"/>
      </w:divBdr>
    </w:div>
    <w:div w:id="67776402">
      <w:marLeft w:val="640"/>
      <w:marRight w:val="0"/>
      <w:marTop w:val="0"/>
      <w:marBottom w:val="0"/>
      <w:divBdr>
        <w:top w:val="none" w:sz="0" w:space="0" w:color="auto"/>
        <w:left w:val="none" w:sz="0" w:space="0" w:color="auto"/>
        <w:bottom w:val="none" w:sz="0" w:space="0" w:color="auto"/>
        <w:right w:val="none" w:sz="0" w:space="0" w:color="auto"/>
      </w:divBdr>
    </w:div>
    <w:div w:id="68233344">
      <w:marLeft w:val="640"/>
      <w:marRight w:val="0"/>
      <w:marTop w:val="0"/>
      <w:marBottom w:val="0"/>
      <w:divBdr>
        <w:top w:val="none" w:sz="0" w:space="0" w:color="auto"/>
        <w:left w:val="none" w:sz="0" w:space="0" w:color="auto"/>
        <w:bottom w:val="none" w:sz="0" w:space="0" w:color="auto"/>
        <w:right w:val="none" w:sz="0" w:space="0" w:color="auto"/>
      </w:divBdr>
    </w:div>
    <w:div w:id="68312557">
      <w:marLeft w:val="640"/>
      <w:marRight w:val="0"/>
      <w:marTop w:val="0"/>
      <w:marBottom w:val="0"/>
      <w:divBdr>
        <w:top w:val="none" w:sz="0" w:space="0" w:color="auto"/>
        <w:left w:val="none" w:sz="0" w:space="0" w:color="auto"/>
        <w:bottom w:val="none" w:sz="0" w:space="0" w:color="auto"/>
        <w:right w:val="none" w:sz="0" w:space="0" w:color="auto"/>
      </w:divBdr>
    </w:div>
    <w:div w:id="71124820">
      <w:marLeft w:val="640"/>
      <w:marRight w:val="0"/>
      <w:marTop w:val="0"/>
      <w:marBottom w:val="0"/>
      <w:divBdr>
        <w:top w:val="none" w:sz="0" w:space="0" w:color="auto"/>
        <w:left w:val="none" w:sz="0" w:space="0" w:color="auto"/>
        <w:bottom w:val="none" w:sz="0" w:space="0" w:color="auto"/>
        <w:right w:val="none" w:sz="0" w:space="0" w:color="auto"/>
      </w:divBdr>
    </w:div>
    <w:div w:id="71508779">
      <w:marLeft w:val="640"/>
      <w:marRight w:val="0"/>
      <w:marTop w:val="0"/>
      <w:marBottom w:val="0"/>
      <w:divBdr>
        <w:top w:val="none" w:sz="0" w:space="0" w:color="auto"/>
        <w:left w:val="none" w:sz="0" w:space="0" w:color="auto"/>
        <w:bottom w:val="none" w:sz="0" w:space="0" w:color="auto"/>
        <w:right w:val="none" w:sz="0" w:space="0" w:color="auto"/>
      </w:divBdr>
    </w:div>
    <w:div w:id="71854582">
      <w:marLeft w:val="640"/>
      <w:marRight w:val="0"/>
      <w:marTop w:val="0"/>
      <w:marBottom w:val="0"/>
      <w:divBdr>
        <w:top w:val="none" w:sz="0" w:space="0" w:color="auto"/>
        <w:left w:val="none" w:sz="0" w:space="0" w:color="auto"/>
        <w:bottom w:val="none" w:sz="0" w:space="0" w:color="auto"/>
        <w:right w:val="none" w:sz="0" w:space="0" w:color="auto"/>
      </w:divBdr>
    </w:div>
    <w:div w:id="72820053">
      <w:marLeft w:val="640"/>
      <w:marRight w:val="0"/>
      <w:marTop w:val="0"/>
      <w:marBottom w:val="0"/>
      <w:divBdr>
        <w:top w:val="none" w:sz="0" w:space="0" w:color="auto"/>
        <w:left w:val="none" w:sz="0" w:space="0" w:color="auto"/>
        <w:bottom w:val="none" w:sz="0" w:space="0" w:color="auto"/>
        <w:right w:val="none" w:sz="0" w:space="0" w:color="auto"/>
      </w:divBdr>
    </w:div>
    <w:div w:id="74401618">
      <w:marLeft w:val="640"/>
      <w:marRight w:val="0"/>
      <w:marTop w:val="0"/>
      <w:marBottom w:val="0"/>
      <w:divBdr>
        <w:top w:val="none" w:sz="0" w:space="0" w:color="auto"/>
        <w:left w:val="none" w:sz="0" w:space="0" w:color="auto"/>
        <w:bottom w:val="none" w:sz="0" w:space="0" w:color="auto"/>
        <w:right w:val="none" w:sz="0" w:space="0" w:color="auto"/>
      </w:divBdr>
    </w:div>
    <w:div w:id="75514337">
      <w:marLeft w:val="640"/>
      <w:marRight w:val="0"/>
      <w:marTop w:val="0"/>
      <w:marBottom w:val="0"/>
      <w:divBdr>
        <w:top w:val="none" w:sz="0" w:space="0" w:color="auto"/>
        <w:left w:val="none" w:sz="0" w:space="0" w:color="auto"/>
        <w:bottom w:val="none" w:sz="0" w:space="0" w:color="auto"/>
        <w:right w:val="none" w:sz="0" w:space="0" w:color="auto"/>
      </w:divBdr>
    </w:div>
    <w:div w:id="77531471">
      <w:marLeft w:val="640"/>
      <w:marRight w:val="0"/>
      <w:marTop w:val="0"/>
      <w:marBottom w:val="0"/>
      <w:divBdr>
        <w:top w:val="none" w:sz="0" w:space="0" w:color="auto"/>
        <w:left w:val="none" w:sz="0" w:space="0" w:color="auto"/>
        <w:bottom w:val="none" w:sz="0" w:space="0" w:color="auto"/>
        <w:right w:val="none" w:sz="0" w:space="0" w:color="auto"/>
      </w:divBdr>
    </w:div>
    <w:div w:id="77752400">
      <w:marLeft w:val="640"/>
      <w:marRight w:val="0"/>
      <w:marTop w:val="0"/>
      <w:marBottom w:val="0"/>
      <w:divBdr>
        <w:top w:val="none" w:sz="0" w:space="0" w:color="auto"/>
        <w:left w:val="none" w:sz="0" w:space="0" w:color="auto"/>
        <w:bottom w:val="none" w:sz="0" w:space="0" w:color="auto"/>
        <w:right w:val="none" w:sz="0" w:space="0" w:color="auto"/>
      </w:divBdr>
    </w:div>
    <w:div w:id="78140048">
      <w:marLeft w:val="640"/>
      <w:marRight w:val="0"/>
      <w:marTop w:val="0"/>
      <w:marBottom w:val="0"/>
      <w:divBdr>
        <w:top w:val="none" w:sz="0" w:space="0" w:color="auto"/>
        <w:left w:val="none" w:sz="0" w:space="0" w:color="auto"/>
        <w:bottom w:val="none" w:sz="0" w:space="0" w:color="auto"/>
        <w:right w:val="none" w:sz="0" w:space="0" w:color="auto"/>
      </w:divBdr>
    </w:div>
    <w:div w:id="79106391">
      <w:marLeft w:val="640"/>
      <w:marRight w:val="0"/>
      <w:marTop w:val="0"/>
      <w:marBottom w:val="0"/>
      <w:divBdr>
        <w:top w:val="none" w:sz="0" w:space="0" w:color="auto"/>
        <w:left w:val="none" w:sz="0" w:space="0" w:color="auto"/>
        <w:bottom w:val="none" w:sz="0" w:space="0" w:color="auto"/>
        <w:right w:val="none" w:sz="0" w:space="0" w:color="auto"/>
      </w:divBdr>
    </w:div>
    <w:div w:id="79642866">
      <w:marLeft w:val="640"/>
      <w:marRight w:val="0"/>
      <w:marTop w:val="0"/>
      <w:marBottom w:val="0"/>
      <w:divBdr>
        <w:top w:val="none" w:sz="0" w:space="0" w:color="auto"/>
        <w:left w:val="none" w:sz="0" w:space="0" w:color="auto"/>
        <w:bottom w:val="none" w:sz="0" w:space="0" w:color="auto"/>
        <w:right w:val="none" w:sz="0" w:space="0" w:color="auto"/>
      </w:divBdr>
    </w:div>
    <w:div w:id="79907826">
      <w:marLeft w:val="640"/>
      <w:marRight w:val="0"/>
      <w:marTop w:val="0"/>
      <w:marBottom w:val="0"/>
      <w:divBdr>
        <w:top w:val="none" w:sz="0" w:space="0" w:color="auto"/>
        <w:left w:val="none" w:sz="0" w:space="0" w:color="auto"/>
        <w:bottom w:val="none" w:sz="0" w:space="0" w:color="auto"/>
        <w:right w:val="none" w:sz="0" w:space="0" w:color="auto"/>
      </w:divBdr>
    </w:div>
    <w:div w:id="81344233">
      <w:marLeft w:val="640"/>
      <w:marRight w:val="0"/>
      <w:marTop w:val="0"/>
      <w:marBottom w:val="0"/>
      <w:divBdr>
        <w:top w:val="none" w:sz="0" w:space="0" w:color="auto"/>
        <w:left w:val="none" w:sz="0" w:space="0" w:color="auto"/>
        <w:bottom w:val="none" w:sz="0" w:space="0" w:color="auto"/>
        <w:right w:val="none" w:sz="0" w:space="0" w:color="auto"/>
      </w:divBdr>
    </w:div>
    <w:div w:id="84039897">
      <w:marLeft w:val="640"/>
      <w:marRight w:val="0"/>
      <w:marTop w:val="0"/>
      <w:marBottom w:val="0"/>
      <w:divBdr>
        <w:top w:val="none" w:sz="0" w:space="0" w:color="auto"/>
        <w:left w:val="none" w:sz="0" w:space="0" w:color="auto"/>
        <w:bottom w:val="none" w:sz="0" w:space="0" w:color="auto"/>
        <w:right w:val="none" w:sz="0" w:space="0" w:color="auto"/>
      </w:divBdr>
    </w:div>
    <w:div w:id="90324125">
      <w:marLeft w:val="640"/>
      <w:marRight w:val="0"/>
      <w:marTop w:val="0"/>
      <w:marBottom w:val="0"/>
      <w:divBdr>
        <w:top w:val="none" w:sz="0" w:space="0" w:color="auto"/>
        <w:left w:val="none" w:sz="0" w:space="0" w:color="auto"/>
        <w:bottom w:val="none" w:sz="0" w:space="0" w:color="auto"/>
        <w:right w:val="none" w:sz="0" w:space="0" w:color="auto"/>
      </w:divBdr>
    </w:div>
    <w:div w:id="91509918">
      <w:marLeft w:val="640"/>
      <w:marRight w:val="0"/>
      <w:marTop w:val="0"/>
      <w:marBottom w:val="0"/>
      <w:divBdr>
        <w:top w:val="none" w:sz="0" w:space="0" w:color="auto"/>
        <w:left w:val="none" w:sz="0" w:space="0" w:color="auto"/>
        <w:bottom w:val="none" w:sz="0" w:space="0" w:color="auto"/>
        <w:right w:val="none" w:sz="0" w:space="0" w:color="auto"/>
      </w:divBdr>
    </w:div>
    <w:div w:id="92088816">
      <w:marLeft w:val="640"/>
      <w:marRight w:val="0"/>
      <w:marTop w:val="0"/>
      <w:marBottom w:val="0"/>
      <w:divBdr>
        <w:top w:val="none" w:sz="0" w:space="0" w:color="auto"/>
        <w:left w:val="none" w:sz="0" w:space="0" w:color="auto"/>
        <w:bottom w:val="none" w:sz="0" w:space="0" w:color="auto"/>
        <w:right w:val="none" w:sz="0" w:space="0" w:color="auto"/>
      </w:divBdr>
    </w:div>
    <w:div w:id="104925483">
      <w:marLeft w:val="640"/>
      <w:marRight w:val="0"/>
      <w:marTop w:val="0"/>
      <w:marBottom w:val="0"/>
      <w:divBdr>
        <w:top w:val="none" w:sz="0" w:space="0" w:color="auto"/>
        <w:left w:val="none" w:sz="0" w:space="0" w:color="auto"/>
        <w:bottom w:val="none" w:sz="0" w:space="0" w:color="auto"/>
        <w:right w:val="none" w:sz="0" w:space="0" w:color="auto"/>
      </w:divBdr>
    </w:div>
    <w:div w:id="105736451">
      <w:marLeft w:val="640"/>
      <w:marRight w:val="0"/>
      <w:marTop w:val="0"/>
      <w:marBottom w:val="0"/>
      <w:divBdr>
        <w:top w:val="none" w:sz="0" w:space="0" w:color="auto"/>
        <w:left w:val="none" w:sz="0" w:space="0" w:color="auto"/>
        <w:bottom w:val="none" w:sz="0" w:space="0" w:color="auto"/>
        <w:right w:val="none" w:sz="0" w:space="0" w:color="auto"/>
      </w:divBdr>
    </w:div>
    <w:div w:id="109057924">
      <w:marLeft w:val="640"/>
      <w:marRight w:val="0"/>
      <w:marTop w:val="0"/>
      <w:marBottom w:val="0"/>
      <w:divBdr>
        <w:top w:val="none" w:sz="0" w:space="0" w:color="auto"/>
        <w:left w:val="none" w:sz="0" w:space="0" w:color="auto"/>
        <w:bottom w:val="none" w:sz="0" w:space="0" w:color="auto"/>
        <w:right w:val="none" w:sz="0" w:space="0" w:color="auto"/>
      </w:divBdr>
    </w:div>
    <w:div w:id="114257166">
      <w:marLeft w:val="640"/>
      <w:marRight w:val="0"/>
      <w:marTop w:val="0"/>
      <w:marBottom w:val="0"/>
      <w:divBdr>
        <w:top w:val="none" w:sz="0" w:space="0" w:color="auto"/>
        <w:left w:val="none" w:sz="0" w:space="0" w:color="auto"/>
        <w:bottom w:val="none" w:sz="0" w:space="0" w:color="auto"/>
        <w:right w:val="none" w:sz="0" w:space="0" w:color="auto"/>
      </w:divBdr>
    </w:div>
    <w:div w:id="115175895">
      <w:marLeft w:val="640"/>
      <w:marRight w:val="0"/>
      <w:marTop w:val="0"/>
      <w:marBottom w:val="0"/>
      <w:divBdr>
        <w:top w:val="none" w:sz="0" w:space="0" w:color="auto"/>
        <w:left w:val="none" w:sz="0" w:space="0" w:color="auto"/>
        <w:bottom w:val="none" w:sz="0" w:space="0" w:color="auto"/>
        <w:right w:val="none" w:sz="0" w:space="0" w:color="auto"/>
      </w:divBdr>
    </w:div>
    <w:div w:id="121535207">
      <w:marLeft w:val="640"/>
      <w:marRight w:val="0"/>
      <w:marTop w:val="0"/>
      <w:marBottom w:val="0"/>
      <w:divBdr>
        <w:top w:val="none" w:sz="0" w:space="0" w:color="auto"/>
        <w:left w:val="none" w:sz="0" w:space="0" w:color="auto"/>
        <w:bottom w:val="none" w:sz="0" w:space="0" w:color="auto"/>
        <w:right w:val="none" w:sz="0" w:space="0" w:color="auto"/>
      </w:divBdr>
    </w:div>
    <w:div w:id="124931413">
      <w:marLeft w:val="640"/>
      <w:marRight w:val="0"/>
      <w:marTop w:val="0"/>
      <w:marBottom w:val="0"/>
      <w:divBdr>
        <w:top w:val="none" w:sz="0" w:space="0" w:color="auto"/>
        <w:left w:val="none" w:sz="0" w:space="0" w:color="auto"/>
        <w:bottom w:val="none" w:sz="0" w:space="0" w:color="auto"/>
        <w:right w:val="none" w:sz="0" w:space="0" w:color="auto"/>
      </w:divBdr>
    </w:div>
    <w:div w:id="139659609">
      <w:marLeft w:val="640"/>
      <w:marRight w:val="0"/>
      <w:marTop w:val="0"/>
      <w:marBottom w:val="0"/>
      <w:divBdr>
        <w:top w:val="none" w:sz="0" w:space="0" w:color="auto"/>
        <w:left w:val="none" w:sz="0" w:space="0" w:color="auto"/>
        <w:bottom w:val="none" w:sz="0" w:space="0" w:color="auto"/>
        <w:right w:val="none" w:sz="0" w:space="0" w:color="auto"/>
      </w:divBdr>
    </w:div>
    <w:div w:id="145324127">
      <w:marLeft w:val="640"/>
      <w:marRight w:val="0"/>
      <w:marTop w:val="0"/>
      <w:marBottom w:val="0"/>
      <w:divBdr>
        <w:top w:val="none" w:sz="0" w:space="0" w:color="auto"/>
        <w:left w:val="none" w:sz="0" w:space="0" w:color="auto"/>
        <w:bottom w:val="none" w:sz="0" w:space="0" w:color="auto"/>
        <w:right w:val="none" w:sz="0" w:space="0" w:color="auto"/>
      </w:divBdr>
    </w:div>
    <w:div w:id="147672871">
      <w:marLeft w:val="640"/>
      <w:marRight w:val="0"/>
      <w:marTop w:val="0"/>
      <w:marBottom w:val="0"/>
      <w:divBdr>
        <w:top w:val="none" w:sz="0" w:space="0" w:color="auto"/>
        <w:left w:val="none" w:sz="0" w:space="0" w:color="auto"/>
        <w:bottom w:val="none" w:sz="0" w:space="0" w:color="auto"/>
        <w:right w:val="none" w:sz="0" w:space="0" w:color="auto"/>
      </w:divBdr>
    </w:div>
    <w:div w:id="150875405">
      <w:marLeft w:val="640"/>
      <w:marRight w:val="0"/>
      <w:marTop w:val="0"/>
      <w:marBottom w:val="0"/>
      <w:divBdr>
        <w:top w:val="none" w:sz="0" w:space="0" w:color="auto"/>
        <w:left w:val="none" w:sz="0" w:space="0" w:color="auto"/>
        <w:bottom w:val="none" w:sz="0" w:space="0" w:color="auto"/>
        <w:right w:val="none" w:sz="0" w:space="0" w:color="auto"/>
      </w:divBdr>
    </w:div>
    <w:div w:id="153693296">
      <w:marLeft w:val="640"/>
      <w:marRight w:val="0"/>
      <w:marTop w:val="0"/>
      <w:marBottom w:val="0"/>
      <w:divBdr>
        <w:top w:val="none" w:sz="0" w:space="0" w:color="auto"/>
        <w:left w:val="none" w:sz="0" w:space="0" w:color="auto"/>
        <w:bottom w:val="none" w:sz="0" w:space="0" w:color="auto"/>
        <w:right w:val="none" w:sz="0" w:space="0" w:color="auto"/>
      </w:divBdr>
    </w:div>
    <w:div w:id="153767689">
      <w:marLeft w:val="640"/>
      <w:marRight w:val="0"/>
      <w:marTop w:val="0"/>
      <w:marBottom w:val="0"/>
      <w:divBdr>
        <w:top w:val="none" w:sz="0" w:space="0" w:color="auto"/>
        <w:left w:val="none" w:sz="0" w:space="0" w:color="auto"/>
        <w:bottom w:val="none" w:sz="0" w:space="0" w:color="auto"/>
        <w:right w:val="none" w:sz="0" w:space="0" w:color="auto"/>
      </w:divBdr>
    </w:div>
    <w:div w:id="154611319">
      <w:marLeft w:val="640"/>
      <w:marRight w:val="0"/>
      <w:marTop w:val="0"/>
      <w:marBottom w:val="0"/>
      <w:divBdr>
        <w:top w:val="none" w:sz="0" w:space="0" w:color="auto"/>
        <w:left w:val="none" w:sz="0" w:space="0" w:color="auto"/>
        <w:bottom w:val="none" w:sz="0" w:space="0" w:color="auto"/>
        <w:right w:val="none" w:sz="0" w:space="0" w:color="auto"/>
      </w:divBdr>
    </w:div>
    <w:div w:id="156460050">
      <w:marLeft w:val="640"/>
      <w:marRight w:val="0"/>
      <w:marTop w:val="0"/>
      <w:marBottom w:val="0"/>
      <w:divBdr>
        <w:top w:val="none" w:sz="0" w:space="0" w:color="auto"/>
        <w:left w:val="none" w:sz="0" w:space="0" w:color="auto"/>
        <w:bottom w:val="none" w:sz="0" w:space="0" w:color="auto"/>
        <w:right w:val="none" w:sz="0" w:space="0" w:color="auto"/>
      </w:divBdr>
    </w:div>
    <w:div w:id="163396671">
      <w:marLeft w:val="640"/>
      <w:marRight w:val="0"/>
      <w:marTop w:val="0"/>
      <w:marBottom w:val="0"/>
      <w:divBdr>
        <w:top w:val="none" w:sz="0" w:space="0" w:color="auto"/>
        <w:left w:val="none" w:sz="0" w:space="0" w:color="auto"/>
        <w:bottom w:val="none" w:sz="0" w:space="0" w:color="auto"/>
        <w:right w:val="none" w:sz="0" w:space="0" w:color="auto"/>
      </w:divBdr>
    </w:div>
    <w:div w:id="164974475">
      <w:marLeft w:val="640"/>
      <w:marRight w:val="0"/>
      <w:marTop w:val="0"/>
      <w:marBottom w:val="0"/>
      <w:divBdr>
        <w:top w:val="none" w:sz="0" w:space="0" w:color="auto"/>
        <w:left w:val="none" w:sz="0" w:space="0" w:color="auto"/>
        <w:bottom w:val="none" w:sz="0" w:space="0" w:color="auto"/>
        <w:right w:val="none" w:sz="0" w:space="0" w:color="auto"/>
      </w:divBdr>
    </w:div>
    <w:div w:id="166748319">
      <w:marLeft w:val="640"/>
      <w:marRight w:val="0"/>
      <w:marTop w:val="0"/>
      <w:marBottom w:val="0"/>
      <w:divBdr>
        <w:top w:val="none" w:sz="0" w:space="0" w:color="auto"/>
        <w:left w:val="none" w:sz="0" w:space="0" w:color="auto"/>
        <w:bottom w:val="none" w:sz="0" w:space="0" w:color="auto"/>
        <w:right w:val="none" w:sz="0" w:space="0" w:color="auto"/>
      </w:divBdr>
    </w:div>
    <w:div w:id="167721896">
      <w:marLeft w:val="640"/>
      <w:marRight w:val="0"/>
      <w:marTop w:val="0"/>
      <w:marBottom w:val="0"/>
      <w:divBdr>
        <w:top w:val="none" w:sz="0" w:space="0" w:color="auto"/>
        <w:left w:val="none" w:sz="0" w:space="0" w:color="auto"/>
        <w:bottom w:val="none" w:sz="0" w:space="0" w:color="auto"/>
        <w:right w:val="none" w:sz="0" w:space="0" w:color="auto"/>
      </w:divBdr>
    </w:div>
    <w:div w:id="170529285">
      <w:marLeft w:val="640"/>
      <w:marRight w:val="0"/>
      <w:marTop w:val="0"/>
      <w:marBottom w:val="0"/>
      <w:divBdr>
        <w:top w:val="none" w:sz="0" w:space="0" w:color="auto"/>
        <w:left w:val="none" w:sz="0" w:space="0" w:color="auto"/>
        <w:bottom w:val="none" w:sz="0" w:space="0" w:color="auto"/>
        <w:right w:val="none" w:sz="0" w:space="0" w:color="auto"/>
      </w:divBdr>
    </w:div>
    <w:div w:id="170724913">
      <w:marLeft w:val="640"/>
      <w:marRight w:val="0"/>
      <w:marTop w:val="0"/>
      <w:marBottom w:val="0"/>
      <w:divBdr>
        <w:top w:val="none" w:sz="0" w:space="0" w:color="auto"/>
        <w:left w:val="none" w:sz="0" w:space="0" w:color="auto"/>
        <w:bottom w:val="none" w:sz="0" w:space="0" w:color="auto"/>
        <w:right w:val="none" w:sz="0" w:space="0" w:color="auto"/>
      </w:divBdr>
    </w:div>
    <w:div w:id="176307577">
      <w:marLeft w:val="640"/>
      <w:marRight w:val="0"/>
      <w:marTop w:val="0"/>
      <w:marBottom w:val="0"/>
      <w:divBdr>
        <w:top w:val="none" w:sz="0" w:space="0" w:color="auto"/>
        <w:left w:val="none" w:sz="0" w:space="0" w:color="auto"/>
        <w:bottom w:val="none" w:sz="0" w:space="0" w:color="auto"/>
        <w:right w:val="none" w:sz="0" w:space="0" w:color="auto"/>
      </w:divBdr>
    </w:div>
    <w:div w:id="177431486">
      <w:marLeft w:val="640"/>
      <w:marRight w:val="0"/>
      <w:marTop w:val="0"/>
      <w:marBottom w:val="0"/>
      <w:divBdr>
        <w:top w:val="none" w:sz="0" w:space="0" w:color="auto"/>
        <w:left w:val="none" w:sz="0" w:space="0" w:color="auto"/>
        <w:bottom w:val="none" w:sz="0" w:space="0" w:color="auto"/>
        <w:right w:val="none" w:sz="0" w:space="0" w:color="auto"/>
      </w:divBdr>
    </w:div>
    <w:div w:id="180172792">
      <w:marLeft w:val="640"/>
      <w:marRight w:val="0"/>
      <w:marTop w:val="0"/>
      <w:marBottom w:val="0"/>
      <w:divBdr>
        <w:top w:val="none" w:sz="0" w:space="0" w:color="auto"/>
        <w:left w:val="none" w:sz="0" w:space="0" w:color="auto"/>
        <w:bottom w:val="none" w:sz="0" w:space="0" w:color="auto"/>
        <w:right w:val="none" w:sz="0" w:space="0" w:color="auto"/>
      </w:divBdr>
    </w:div>
    <w:div w:id="183639442">
      <w:marLeft w:val="640"/>
      <w:marRight w:val="0"/>
      <w:marTop w:val="0"/>
      <w:marBottom w:val="0"/>
      <w:divBdr>
        <w:top w:val="none" w:sz="0" w:space="0" w:color="auto"/>
        <w:left w:val="none" w:sz="0" w:space="0" w:color="auto"/>
        <w:bottom w:val="none" w:sz="0" w:space="0" w:color="auto"/>
        <w:right w:val="none" w:sz="0" w:space="0" w:color="auto"/>
      </w:divBdr>
    </w:div>
    <w:div w:id="187911199">
      <w:marLeft w:val="640"/>
      <w:marRight w:val="0"/>
      <w:marTop w:val="0"/>
      <w:marBottom w:val="0"/>
      <w:divBdr>
        <w:top w:val="none" w:sz="0" w:space="0" w:color="auto"/>
        <w:left w:val="none" w:sz="0" w:space="0" w:color="auto"/>
        <w:bottom w:val="none" w:sz="0" w:space="0" w:color="auto"/>
        <w:right w:val="none" w:sz="0" w:space="0" w:color="auto"/>
      </w:divBdr>
    </w:div>
    <w:div w:id="191505455">
      <w:marLeft w:val="640"/>
      <w:marRight w:val="0"/>
      <w:marTop w:val="0"/>
      <w:marBottom w:val="0"/>
      <w:divBdr>
        <w:top w:val="none" w:sz="0" w:space="0" w:color="auto"/>
        <w:left w:val="none" w:sz="0" w:space="0" w:color="auto"/>
        <w:bottom w:val="none" w:sz="0" w:space="0" w:color="auto"/>
        <w:right w:val="none" w:sz="0" w:space="0" w:color="auto"/>
      </w:divBdr>
    </w:div>
    <w:div w:id="202638919">
      <w:marLeft w:val="640"/>
      <w:marRight w:val="0"/>
      <w:marTop w:val="0"/>
      <w:marBottom w:val="0"/>
      <w:divBdr>
        <w:top w:val="none" w:sz="0" w:space="0" w:color="auto"/>
        <w:left w:val="none" w:sz="0" w:space="0" w:color="auto"/>
        <w:bottom w:val="none" w:sz="0" w:space="0" w:color="auto"/>
        <w:right w:val="none" w:sz="0" w:space="0" w:color="auto"/>
      </w:divBdr>
    </w:div>
    <w:div w:id="212154050">
      <w:marLeft w:val="640"/>
      <w:marRight w:val="0"/>
      <w:marTop w:val="0"/>
      <w:marBottom w:val="0"/>
      <w:divBdr>
        <w:top w:val="none" w:sz="0" w:space="0" w:color="auto"/>
        <w:left w:val="none" w:sz="0" w:space="0" w:color="auto"/>
        <w:bottom w:val="none" w:sz="0" w:space="0" w:color="auto"/>
        <w:right w:val="none" w:sz="0" w:space="0" w:color="auto"/>
      </w:divBdr>
    </w:div>
    <w:div w:id="212472930">
      <w:marLeft w:val="640"/>
      <w:marRight w:val="0"/>
      <w:marTop w:val="0"/>
      <w:marBottom w:val="0"/>
      <w:divBdr>
        <w:top w:val="none" w:sz="0" w:space="0" w:color="auto"/>
        <w:left w:val="none" w:sz="0" w:space="0" w:color="auto"/>
        <w:bottom w:val="none" w:sz="0" w:space="0" w:color="auto"/>
        <w:right w:val="none" w:sz="0" w:space="0" w:color="auto"/>
      </w:divBdr>
    </w:div>
    <w:div w:id="213389419">
      <w:marLeft w:val="640"/>
      <w:marRight w:val="0"/>
      <w:marTop w:val="0"/>
      <w:marBottom w:val="0"/>
      <w:divBdr>
        <w:top w:val="none" w:sz="0" w:space="0" w:color="auto"/>
        <w:left w:val="none" w:sz="0" w:space="0" w:color="auto"/>
        <w:bottom w:val="none" w:sz="0" w:space="0" w:color="auto"/>
        <w:right w:val="none" w:sz="0" w:space="0" w:color="auto"/>
      </w:divBdr>
    </w:div>
    <w:div w:id="215245044">
      <w:marLeft w:val="640"/>
      <w:marRight w:val="0"/>
      <w:marTop w:val="0"/>
      <w:marBottom w:val="0"/>
      <w:divBdr>
        <w:top w:val="none" w:sz="0" w:space="0" w:color="auto"/>
        <w:left w:val="none" w:sz="0" w:space="0" w:color="auto"/>
        <w:bottom w:val="none" w:sz="0" w:space="0" w:color="auto"/>
        <w:right w:val="none" w:sz="0" w:space="0" w:color="auto"/>
      </w:divBdr>
    </w:div>
    <w:div w:id="221141491">
      <w:marLeft w:val="640"/>
      <w:marRight w:val="0"/>
      <w:marTop w:val="0"/>
      <w:marBottom w:val="0"/>
      <w:divBdr>
        <w:top w:val="none" w:sz="0" w:space="0" w:color="auto"/>
        <w:left w:val="none" w:sz="0" w:space="0" w:color="auto"/>
        <w:bottom w:val="none" w:sz="0" w:space="0" w:color="auto"/>
        <w:right w:val="none" w:sz="0" w:space="0" w:color="auto"/>
      </w:divBdr>
    </w:div>
    <w:div w:id="222640425">
      <w:marLeft w:val="640"/>
      <w:marRight w:val="0"/>
      <w:marTop w:val="0"/>
      <w:marBottom w:val="0"/>
      <w:divBdr>
        <w:top w:val="none" w:sz="0" w:space="0" w:color="auto"/>
        <w:left w:val="none" w:sz="0" w:space="0" w:color="auto"/>
        <w:bottom w:val="none" w:sz="0" w:space="0" w:color="auto"/>
        <w:right w:val="none" w:sz="0" w:space="0" w:color="auto"/>
      </w:divBdr>
    </w:div>
    <w:div w:id="227768912">
      <w:marLeft w:val="640"/>
      <w:marRight w:val="0"/>
      <w:marTop w:val="0"/>
      <w:marBottom w:val="0"/>
      <w:divBdr>
        <w:top w:val="none" w:sz="0" w:space="0" w:color="auto"/>
        <w:left w:val="none" w:sz="0" w:space="0" w:color="auto"/>
        <w:bottom w:val="none" w:sz="0" w:space="0" w:color="auto"/>
        <w:right w:val="none" w:sz="0" w:space="0" w:color="auto"/>
      </w:divBdr>
    </w:div>
    <w:div w:id="231932606">
      <w:marLeft w:val="640"/>
      <w:marRight w:val="0"/>
      <w:marTop w:val="0"/>
      <w:marBottom w:val="0"/>
      <w:divBdr>
        <w:top w:val="none" w:sz="0" w:space="0" w:color="auto"/>
        <w:left w:val="none" w:sz="0" w:space="0" w:color="auto"/>
        <w:bottom w:val="none" w:sz="0" w:space="0" w:color="auto"/>
        <w:right w:val="none" w:sz="0" w:space="0" w:color="auto"/>
      </w:divBdr>
    </w:div>
    <w:div w:id="234633985">
      <w:marLeft w:val="640"/>
      <w:marRight w:val="0"/>
      <w:marTop w:val="0"/>
      <w:marBottom w:val="0"/>
      <w:divBdr>
        <w:top w:val="none" w:sz="0" w:space="0" w:color="auto"/>
        <w:left w:val="none" w:sz="0" w:space="0" w:color="auto"/>
        <w:bottom w:val="none" w:sz="0" w:space="0" w:color="auto"/>
        <w:right w:val="none" w:sz="0" w:space="0" w:color="auto"/>
      </w:divBdr>
    </w:div>
    <w:div w:id="235820760">
      <w:marLeft w:val="640"/>
      <w:marRight w:val="0"/>
      <w:marTop w:val="0"/>
      <w:marBottom w:val="0"/>
      <w:divBdr>
        <w:top w:val="none" w:sz="0" w:space="0" w:color="auto"/>
        <w:left w:val="none" w:sz="0" w:space="0" w:color="auto"/>
        <w:bottom w:val="none" w:sz="0" w:space="0" w:color="auto"/>
        <w:right w:val="none" w:sz="0" w:space="0" w:color="auto"/>
      </w:divBdr>
    </w:div>
    <w:div w:id="242567782">
      <w:marLeft w:val="640"/>
      <w:marRight w:val="0"/>
      <w:marTop w:val="0"/>
      <w:marBottom w:val="0"/>
      <w:divBdr>
        <w:top w:val="none" w:sz="0" w:space="0" w:color="auto"/>
        <w:left w:val="none" w:sz="0" w:space="0" w:color="auto"/>
        <w:bottom w:val="none" w:sz="0" w:space="0" w:color="auto"/>
        <w:right w:val="none" w:sz="0" w:space="0" w:color="auto"/>
      </w:divBdr>
    </w:div>
    <w:div w:id="252935776">
      <w:marLeft w:val="640"/>
      <w:marRight w:val="0"/>
      <w:marTop w:val="0"/>
      <w:marBottom w:val="0"/>
      <w:divBdr>
        <w:top w:val="none" w:sz="0" w:space="0" w:color="auto"/>
        <w:left w:val="none" w:sz="0" w:space="0" w:color="auto"/>
        <w:bottom w:val="none" w:sz="0" w:space="0" w:color="auto"/>
        <w:right w:val="none" w:sz="0" w:space="0" w:color="auto"/>
      </w:divBdr>
    </w:div>
    <w:div w:id="255940107">
      <w:marLeft w:val="640"/>
      <w:marRight w:val="0"/>
      <w:marTop w:val="0"/>
      <w:marBottom w:val="0"/>
      <w:divBdr>
        <w:top w:val="none" w:sz="0" w:space="0" w:color="auto"/>
        <w:left w:val="none" w:sz="0" w:space="0" w:color="auto"/>
        <w:bottom w:val="none" w:sz="0" w:space="0" w:color="auto"/>
        <w:right w:val="none" w:sz="0" w:space="0" w:color="auto"/>
      </w:divBdr>
    </w:div>
    <w:div w:id="257443002">
      <w:marLeft w:val="640"/>
      <w:marRight w:val="0"/>
      <w:marTop w:val="0"/>
      <w:marBottom w:val="0"/>
      <w:divBdr>
        <w:top w:val="none" w:sz="0" w:space="0" w:color="auto"/>
        <w:left w:val="none" w:sz="0" w:space="0" w:color="auto"/>
        <w:bottom w:val="none" w:sz="0" w:space="0" w:color="auto"/>
        <w:right w:val="none" w:sz="0" w:space="0" w:color="auto"/>
      </w:divBdr>
    </w:div>
    <w:div w:id="261838011">
      <w:marLeft w:val="640"/>
      <w:marRight w:val="0"/>
      <w:marTop w:val="0"/>
      <w:marBottom w:val="0"/>
      <w:divBdr>
        <w:top w:val="none" w:sz="0" w:space="0" w:color="auto"/>
        <w:left w:val="none" w:sz="0" w:space="0" w:color="auto"/>
        <w:bottom w:val="none" w:sz="0" w:space="0" w:color="auto"/>
        <w:right w:val="none" w:sz="0" w:space="0" w:color="auto"/>
      </w:divBdr>
    </w:div>
    <w:div w:id="265768752">
      <w:marLeft w:val="640"/>
      <w:marRight w:val="0"/>
      <w:marTop w:val="0"/>
      <w:marBottom w:val="0"/>
      <w:divBdr>
        <w:top w:val="none" w:sz="0" w:space="0" w:color="auto"/>
        <w:left w:val="none" w:sz="0" w:space="0" w:color="auto"/>
        <w:bottom w:val="none" w:sz="0" w:space="0" w:color="auto"/>
        <w:right w:val="none" w:sz="0" w:space="0" w:color="auto"/>
      </w:divBdr>
    </w:div>
    <w:div w:id="270547892">
      <w:marLeft w:val="640"/>
      <w:marRight w:val="0"/>
      <w:marTop w:val="0"/>
      <w:marBottom w:val="0"/>
      <w:divBdr>
        <w:top w:val="none" w:sz="0" w:space="0" w:color="auto"/>
        <w:left w:val="none" w:sz="0" w:space="0" w:color="auto"/>
        <w:bottom w:val="none" w:sz="0" w:space="0" w:color="auto"/>
        <w:right w:val="none" w:sz="0" w:space="0" w:color="auto"/>
      </w:divBdr>
    </w:div>
    <w:div w:id="271211657">
      <w:marLeft w:val="640"/>
      <w:marRight w:val="0"/>
      <w:marTop w:val="0"/>
      <w:marBottom w:val="0"/>
      <w:divBdr>
        <w:top w:val="none" w:sz="0" w:space="0" w:color="auto"/>
        <w:left w:val="none" w:sz="0" w:space="0" w:color="auto"/>
        <w:bottom w:val="none" w:sz="0" w:space="0" w:color="auto"/>
        <w:right w:val="none" w:sz="0" w:space="0" w:color="auto"/>
      </w:divBdr>
    </w:div>
    <w:div w:id="271980568">
      <w:marLeft w:val="640"/>
      <w:marRight w:val="0"/>
      <w:marTop w:val="0"/>
      <w:marBottom w:val="0"/>
      <w:divBdr>
        <w:top w:val="none" w:sz="0" w:space="0" w:color="auto"/>
        <w:left w:val="none" w:sz="0" w:space="0" w:color="auto"/>
        <w:bottom w:val="none" w:sz="0" w:space="0" w:color="auto"/>
        <w:right w:val="none" w:sz="0" w:space="0" w:color="auto"/>
      </w:divBdr>
    </w:div>
    <w:div w:id="275403951">
      <w:marLeft w:val="640"/>
      <w:marRight w:val="0"/>
      <w:marTop w:val="0"/>
      <w:marBottom w:val="0"/>
      <w:divBdr>
        <w:top w:val="none" w:sz="0" w:space="0" w:color="auto"/>
        <w:left w:val="none" w:sz="0" w:space="0" w:color="auto"/>
        <w:bottom w:val="none" w:sz="0" w:space="0" w:color="auto"/>
        <w:right w:val="none" w:sz="0" w:space="0" w:color="auto"/>
      </w:divBdr>
    </w:div>
    <w:div w:id="277413895">
      <w:marLeft w:val="640"/>
      <w:marRight w:val="0"/>
      <w:marTop w:val="0"/>
      <w:marBottom w:val="0"/>
      <w:divBdr>
        <w:top w:val="none" w:sz="0" w:space="0" w:color="auto"/>
        <w:left w:val="none" w:sz="0" w:space="0" w:color="auto"/>
        <w:bottom w:val="none" w:sz="0" w:space="0" w:color="auto"/>
        <w:right w:val="none" w:sz="0" w:space="0" w:color="auto"/>
      </w:divBdr>
    </w:div>
    <w:div w:id="279265138">
      <w:marLeft w:val="640"/>
      <w:marRight w:val="0"/>
      <w:marTop w:val="0"/>
      <w:marBottom w:val="0"/>
      <w:divBdr>
        <w:top w:val="none" w:sz="0" w:space="0" w:color="auto"/>
        <w:left w:val="none" w:sz="0" w:space="0" w:color="auto"/>
        <w:bottom w:val="none" w:sz="0" w:space="0" w:color="auto"/>
        <w:right w:val="none" w:sz="0" w:space="0" w:color="auto"/>
      </w:divBdr>
    </w:div>
    <w:div w:id="279726540">
      <w:marLeft w:val="640"/>
      <w:marRight w:val="0"/>
      <w:marTop w:val="0"/>
      <w:marBottom w:val="0"/>
      <w:divBdr>
        <w:top w:val="none" w:sz="0" w:space="0" w:color="auto"/>
        <w:left w:val="none" w:sz="0" w:space="0" w:color="auto"/>
        <w:bottom w:val="none" w:sz="0" w:space="0" w:color="auto"/>
        <w:right w:val="none" w:sz="0" w:space="0" w:color="auto"/>
      </w:divBdr>
    </w:div>
    <w:div w:id="280259779">
      <w:marLeft w:val="640"/>
      <w:marRight w:val="0"/>
      <w:marTop w:val="0"/>
      <w:marBottom w:val="0"/>
      <w:divBdr>
        <w:top w:val="none" w:sz="0" w:space="0" w:color="auto"/>
        <w:left w:val="none" w:sz="0" w:space="0" w:color="auto"/>
        <w:bottom w:val="none" w:sz="0" w:space="0" w:color="auto"/>
        <w:right w:val="none" w:sz="0" w:space="0" w:color="auto"/>
      </w:divBdr>
    </w:div>
    <w:div w:id="283078834">
      <w:marLeft w:val="640"/>
      <w:marRight w:val="0"/>
      <w:marTop w:val="0"/>
      <w:marBottom w:val="0"/>
      <w:divBdr>
        <w:top w:val="none" w:sz="0" w:space="0" w:color="auto"/>
        <w:left w:val="none" w:sz="0" w:space="0" w:color="auto"/>
        <w:bottom w:val="none" w:sz="0" w:space="0" w:color="auto"/>
        <w:right w:val="none" w:sz="0" w:space="0" w:color="auto"/>
      </w:divBdr>
    </w:div>
    <w:div w:id="286088656">
      <w:marLeft w:val="640"/>
      <w:marRight w:val="0"/>
      <w:marTop w:val="0"/>
      <w:marBottom w:val="0"/>
      <w:divBdr>
        <w:top w:val="none" w:sz="0" w:space="0" w:color="auto"/>
        <w:left w:val="none" w:sz="0" w:space="0" w:color="auto"/>
        <w:bottom w:val="none" w:sz="0" w:space="0" w:color="auto"/>
        <w:right w:val="none" w:sz="0" w:space="0" w:color="auto"/>
      </w:divBdr>
    </w:div>
    <w:div w:id="290016726">
      <w:marLeft w:val="640"/>
      <w:marRight w:val="0"/>
      <w:marTop w:val="0"/>
      <w:marBottom w:val="0"/>
      <w:divBdr>
        <w:top w:val="none" w:sz="0" w:space="0" w:color="auto"/>
        <w:left w:val="none" w:sz="0" w:space="0" w:color="auto"/>
        <w:bottom w:val="none" w:sz="0" w:space="0" w:color="auto"/>
        <w:right w:val="none" w:sz="0" w:space="0" w:color="auto"/>
      </w:divBdr>
    </w:div>
    <w:div w:id="290786714">
      <w:marLeft w:val="640"/>
      <w:marRight w:val="0"/>
      <w:marTop w:val="0"/>
      <w:marBottom w:val="0"/>
      <w:divBdr>
        <w:top w:val="none" w:sz="0" w:space="0" w:color="auto"/>
        <w:left w:val="none" w:sz="0" w:space="0" w:color="auto"/>
        <w:bottom w:val="none" w:sz="0" w:space="0" w:color="auto"/>
        <w:right w:val="none" w:sz="0" w:space="0" w:color="auto"/>
      </w:divBdr>
    </w:div>
    <w:div w:id="291906475">
      <w:marLeft w:val="640"/>
      <w:marRight w:val="0"/>
      <w:marTop w:val="0"/>
      <w:marBottom w:val="0"/>
      <w:divBdr>
        <w:top w:val="none" w:sz="0" w:space="0" w:color="auto"/>
        <w:left w:val="none" w:sz="0" w:space="0" w:color="auto"/>
        <w:bottom w:val="none" w:sz="0" w:space="0" w:color="auto"/>
        <w:right w:val="none" w:sz="0" w:space="0" w:color="auto"/>
      </w:divBdr>
    </w:div>
    <w:div w:id="293563634">
      <w:marLeft w:val="640"/>
      <w:marRight w:val="0"/>
      <w:marTop w:val="0"/>
      <w:marBottom w:val="0"/>
      <w:divBdr>
        <w:top w:val="none" w:sz="0" w:space="0" w:color="auto"/>
        <w:left w:val="none" w:sz="0" w:space="0" w:color="auto"/>
        <w:bottom w:val="none" w:sz="0" w:space="0" w:color="auto"/>
        <w:right w:val="none" w:sz="0" w:space="0" w:color="auto"/>
      </w:divBdr>
    </w:div>
    <w:div w:id="297031935">
      <w:marLeft w:val="640"/>
      <w:marRight w:val="0"/>
      <w:marTop w:val="0"/>
      <w:marBottom w:val="0"/>
      <w:divBdr>
        <w:top w:val="none" w:sz="0" w:space="0" w:color="auto"/>
        <w:left w:val="none" w:sz="0" w:space="0" w:color="auto"/>
        <w:bottom w:val="none" w:sz="0" w:space="0" w:color="auto"/>
        <w:right w:val="none" w:sz="0" w:space="0" w:color="auto"/>
      </w:divBdr>
    </w:div>
    <w:div w:id="303431923">
      <w:marLeft w:val="640"/>
      <w:marRight w:val="0"/>
      <w:marTop w:val="0"/>
      <w:marBottom w:val="0"/>
      <w:divBdr>
        <w:top w:val="none" w:sz="0" w:space="0" w:color="auto"/>
        <w:left w:val="none" w:sz="0" w:space="0" w:color="auto"/>
        <w:bottom w:val="none" w:sz="0" w:space="0" w:color="auto"/>
        <w:right w:val="none" w:sz="0" w:space="0" w:color="auto"/>
      </w:divBdr>
    </w:div>
    <w:div w:id="307902748">
      <w:marLeft w:val="640"/>
      <w:marRight w:val="0"/>
      <w:marTop w:val="0"/>
      <w:marBottom w:val="0"/>
      <w:divBdr>
        <w:top w:val="none" w:sz="0" w:space="0" w:color="auto"/>
        <w:left w:val="none" w:sz="0" w:space="0" w:color="auto"/>
        <w:bottom w:val="none" w:sz="0" w:space="0" w:color="auto"/>
        <w:right w:val="none" w:sz="0" w:space="0" w:color="auto"/>
      </w:divBdr>
    </w:div>
    <w:div w:id="311838478">
      <w:marLeft w:val="640"/>
      <w:marRight w:val="0"/>
      <w:marTop w:val="0"/>
      <w:marBottom w:val="0"/>
      <w:divBdr>
        <w:top w:val="none" w:sz="0" w:space="0" w:color="auto"/>
        <w:left w:val="none" w:sz="0" w:space="0" w:color="auto"/>
        <w:bottom w:val="none" w:sz="0" w:space="0" w:color="auto"/>
        <w:right w:val="none" w:sz="0" w:space="0" w:color="auto"/>
      </w:divBdr>
    </w:div>
    <w:div w:id="311955298">
      <w:marLeft w:val="640"/>
      <w:marRight w:val="0"/>
      <w:marTop w:val="0"/>
      <w:marBottom w:val="0"/>
      <w:divBdr>
        <w:top w:val="none" w:sz="0" w:space="0" w:color="auto"/>
        <w:left w:val="none" w:sz="0" w:space="0" w:color="auto"/>
        <w:bottom w:val="none" w:sz="0" w:space="0" w:color="auto"/>
        <w:right w:val="none" w:sz="0" w:space="0" w:color="auto"/>
      </w:divBdr>
    </w:div>
    <w:div w:id="312223894">
      <w:marLeft w:val="640"/>
      <w:marRight w:val="0"/>
      <w:marTop w:val="0"/>
      <w:marBottom w:val="0"/>
      <w:divBdr>
        <w:top w:val="none" w:sz="0" w:space="0" w:color="auto"/>
        <w:left w:val="none" w:sz="0" w:space="0" w:color="auto"/>
        <w:bottom w:val="none" w:sz="0" w:space="0" w:color="auto"/>
        <w:right w:val="none" w:sz="0" w:space="0" w:color="auto"/>
      </w:divBdr>
    </w:div>
    <w:div w:id="313067358">
      <w:marLeft w:val="640"/>
      <w:marRight w:val="0"/>
      <w:marTop w:val="0"/>
      <w:marBottom w:val="0"/>
      <w:divBdr>
        <w:top w:val="none" w:sz="0" w:space="0" w:color="auto"/>
        <w:left w:val="none" w:sz="0" w:space="0" w:color="auto"/>
        <w:bottom w:val="none" w:sz="0" w:space="0" w:color="auto"/>
        <w:right w:val="none" w:sz="0" w:space="0" w:color="auto"/>
      </w:divBdr>
    </w:div>
    <w:div w:id="318382481">
      <w:marLeft w:val="640"/>
      <w:marRight w:val="0"/>
      <w:marTop w:val="0"/>
      <w:marBottom w:val="0"/>
      <w:divBdr>
        <w:top w:val="none" w:sz="0" w:space="0" w:color="auto"/>
        <w:left w:val="none" w:sz="0" w:space="0" w:color="auto"/>
        <w:bottom w:val="none" w:sz="0" w:space="0" w:color="auto"/>
        <w:right w:val="none" w:sz="0" w:space="0" w:color="auto"/>
      </w:divBdr>
    </w:div>
    <w:div w:id="319384883">
      <w:marLeft w:val="640"/>
      <w:marRight w:val="0"/>
      <w:marTop w:val="0"/>
      <w:marBottom w:val="0"/>
      <w:divBdr>
        <w:top w:val="none" w:sz="0" w:space="0" w:color="auto"/>
        <w:left w:val="none" w:sz="0" w:space="0" w:color="auto"/>
        <w:bottom w:val="none" w:sz="0" w:space="0" w:color="auto"/>
        <w:right w:val="none" w:sz="0" w:space="0" w:color="auto"/>
      </w:divBdr>
    </w:div>
    <w:div w:id="320164646">
      <w:marLeft w:val="640"/>
      <w:marRight w:val="0"/>
      <w:marTop w:val="0"/>
      <w:marBottom w:val="0"/>
      <w:divBdr>
        <w:top w:val="none" w:sz="0" w:space="0" w:color="auto"/>
        <w:left w:val="none" w:sz="0" w:space="0" w:color="auto"/>
        <w:bottom w:val="none" w:sz="0" w:space="0" w:color="auto"/>
        <w:right w:val="none" w:sz="0" w:space="0" w:color="auto"/>
      </w:divBdr>
    </w:div>
    <w:div w:id="320743370">
      <w:marLeft w:val="640"/>
      <w:marRight w:val="0"/>
      <w:marTop w:val="0"/>
      <w:marBottom w:val="0"/>
      <w:divBdr>
        <w:top w:val="none" w:sz="0" w:space="0" w:color="auto"/>
        <w:left w:val="none" w:sz="0" w:space="0" w:color="auto"/>
        <w:bottom w:val="none" w:sz="0" w:space="0" w:color="auto"/>
        <w:right w:val="none" w:sz="0" w:space="0" w:color="auto"/>
      </w:divBdr>
    </w:div>
    <w:div w:id="322586265">
      <w:marLeft w:val="640"/>
      <w:marRight w:val="0"/>
      <w:marTop w:val="0"/>
      <w:marBottom w:val="0"/>
      <w:divBdr>
        <w:top w:val="none" w:sz="0" w:space="0" w:color="auto"/>
        <w:left w:val="none" w:sz="0" w:space="0" w:color="auto"/>
        <w:bottom w:val="none" w:sz="0" w:space="0" w:color="auto"/>
        <w:right w:val="none" w:sz="0" w:space="0" w:color="auto"/>
      </w:divBdr>
    </w:div>
    <w:div w:id="329068992">
      <w:marLeft w:val="640"/>
      <w:marRight w:val="0"/>
      <w:marTop w:val="0"/>
      <w:marBottom w:val="0"/>
      <w:divBdr>
        <w:top w:val="none" w:sz="0" w:space="0" w:color="auto"/>
        <w:left w:val="none" w:sz="0" w:space="0" w:color="auto"/>
        <w:bottom w:val="none" w:sz="0" w:space="0" w:color="auto"/>
        <w:right w:val="none" w:sz="0" w:space="0" w:color="auto"/>
      </w:divBdr>
    </w:div>
    <w:div w:id="329717331">
      <w:marLeft w:val="640"/>
      <w:marRight w:val="0"/>
      <w:marTop w:val="0"/>
      <w:marBottom w:val="0"/>
      <w:divBdr>
        <w:top w:val="none" w:sz="0" w:space="0" w:color="auto"/>
        <w:left w:val="none" w:sz="0" w:space="0" w:color="auto"/>
        <w:bottom w:val="none" w:sz="0" w:space="0" w:color="auto"/>
        <w:right w:val="none" w:sz="0" w:space="0" w:color="auto"/>
      </w:divBdr>
    </w:div>
    <w:div w:id="331377030">
      <w:marLeft w:val="640"/>
      <w:marRight w:val="0"/>
      <w:marTop w:val="0"/>
      <w:marBottom w:val="0"/>
      <w:divBdr>
        <w:top w:val="none" w:sz="0" w:space="0" w:color="auto"/>
        <w:left w:val="none" w:sz="0" w:space="0" w:color="auto"/>
        <w:bottom w:val="none" w:sz="0" w:space="0" w:color="auto"/>
        <w:right w:val="none" w:sz="0" w:space="0" w:color="auto"/>
      </w:divBdr>
    </w:div>
    <w:div w:id="333463295">
      <w:marLeft w:val="640"/>
      <w:marRight w:val="0"/>
      <w:marTop w:val="0"/>
      <w:marBottom w:val="0"/>
      <w:divBdr>
        <w:top w:val="none" w:sz="0" w:space="0" w:color="auto"/>
        <w:left w:val="none" w:sz="0" w:space="0" w:color="auto"/>
        <w:bottom w:val="none" w:sz="0" w:space="0" w:color="auto"/>
        <w:right w:val="none" w:sz="0" w:space="0" w:color="auto"/>
      </w:divBdr>
    </w:div>
    <w:div w:id="334303329">
      <w:marLeft w:val="640"/>
      <w:marRight w:val="0"/>
      <w:marTop w:val="0"/>
      <w:marBottom w:val="0"/>
      <w:divBdr>
        <w:top w:val="none" w:sz="0" w:space="0" w:color="auto"/>
        <w:left w:val="none" w:sz="0" w:space="0" w:color="auto"/>
        <w:bottom w:val="none" w:sz="0" w:space="0" w:color="auto"/>
        <w:right w:val="none" w:sz="0" w:space="0" w:color="auto"/>
      </w:divBdr>
    </w:div>
    <w:div w:id="337657098">
      <w:marLeft w:val="640"/>
      <w:marRight w:val="0"/>
      <w:marTop w:val="0"/>
      <w:marBottom w:val="0"/>
      <w:divBdr>
        <w:top w:val="none" w:sz="0" w:space="0" w:color="auto"/>
        <w:left w:val="none" w:sz="0" w:space="0" w:color="auto"/>
        <w:bottom w:val="none" w:sz="0" w:space="0" w:color="auto"/>
        <w:right w:val="none" w:sz="0" w:space="0" w:color="auto"/>
      </w:divBdr>
    </w:div>
    <w:div w:id="339041258">
      <w:marLeft w:val="640"/>
      <w:marRight w:val="0"/>
      <w:marTop w:val="0"/>
      <w:marBottom w:val="0"/>
      <w:divBdr>
        <w:top w:val="none" w:sz="0" w:space="0" w:color="auto"/>
        <w:left w:val="none" w:sz="0" w:space="0" w:color="auto"/>
        <w:bottom w:val="none" w:sz="0" w:space="0" w:color="auto"/>
        <w:right w:val="none" w:sz="0" w:space="0" w:color="auto"/>
      </w:divBdr>
    </w:div>
    <w:div w:id="339822799">
      <w:marLeft w:val="640"/>
      <w:marRight w:val="0"/>
      <w:marTop w:val="0"/>
      <w:marBottom w:val="0"/>
      <w:divBdr>
        <w:top w:val="none" w:sz="0" w:space="0" w:color="auto"/>
        <w:left w:val="none" w:sz="0" w:space="0" w:color="auto"/>
        <w:bottom w:val="none" w:sz="0" w:space="0" w:color="auto"/>
        <w:right w:val="none" w:sz="0" w:space="0" w:color="auto"/>
      </w:divBdr>
    </w:div>
    <w:div w:id="341010167">
      <w:marLeft w:val="640"/>
      <w:marRight w:val="0"/>
      <w:marTop w:val="0"/>
      <w:marBottom w:val="0"/>
      <w:divBdr>
        <w:top w:val="none" w:sz="0" w:space="0" w:color="auto"/>
        <w:left w:val="none" w:sz="0" w:space="0" w:color="auto"/>
        <w:bottom w:val="none" w:sz="0" w:space="0" w:color="auto"/>
        <w:right w:val="none" w:sz="0" w:space="0" w:color="auto"/>
      </w:divBdr>
    </w:div>
    <w:div w:id="350230238">
      <w:marLeft w:val="640"/>
      <w:marRight w:val="0"/>
      <w:marTop w:val="0"/>
      <w:marBottom w:val="0"/>
      <w:divBdr>
        <w:top w:val="none" w:sz="0" w:space="0" w:color="auto"/>
        <w:left w:val="none" w:sz="0" w:space="0" w:color="auto"/>
        <w:bottom w:val="none" w:sz="0" w:space="0" w:color="auto"/>
        <w:right w:val="none" w:sz="0" w:space="0" w:color="auto"/>
      </w:divBdr>
    </w:div>
    <w:div w:id="351077424">
      <w:marLeft w:val="640"/>
      <w:marRight w:val="0"/>
      <w:marTop w:val="0"/>
      <w:marBottom w:val="0"/>
      <w:divBdr>
        <w:top w:val="none" w:sz="0" w:space="0" w:color="auto"/>
        <w:left w:val="none" w:sz="0" w:space="0" w:color="auto"/>
        <w:bottom w:val="none" w:sz="0" w:space="0" w:color="auto"/>
        <w:right w:val="none" w:sz="0" w:space="0" w:color="auto"/>
      </w:divBdr>
    </w:div>
    <w:div w:id="353113720">
      <w:marLeft w:val="640"/>
      <w:marRight w:val="0"/>
      <w:marTop w:val="0"/>
      <w:marBottom w:val="0"/>
      <w:divBdr>
        <w:top w:val="none" w:sz="0" w:space="0" w:color="auto"/>
        <w:left w:val="none" w:sz="0" w:space="0" w:color="auto"/>
        <w:bottom w:val="none" w:sz="0" w:space="0" w:color="auto"/>
        <w:right w:val="none" w:sz="0" w:space="0" w:color="auto"/>
      </w:divBdr>
    </w:div>
    <w:div w:id="354960499">
      <w:marLeft w:val="640"/>
      <w:marRight w:val="0"/>
      <w:marTop w:val="0"/>
      <w:marBottom w:val="0"/>
      <w:divBdr>
        <w:top w:val="none" w:sz="0" w:space="0" w:color="auto"/>
        <w:left w:val="none" w:sz="0" w:space="0" w:color="auto"/>
        <w:bottom w:val="none" w:sz="0" w:space="0" w:color="auto"/>
        <w:right w:val="none" w:sz="0" w:space="0" w:color="auto"/>
      </w:divBdr>
    </w:div>
    <w:div w:id="356077092">
      <w:marLeft w:val="640"/>
      <w:marRight w:val="0"/>
      <w:marTop w:val="0"/>
      <w:marBottom w:val="0"/>
      <w:divBdr>
        <w:top w:val="none" w:sz="0" w:space="0" w:color="auto"/>
        <w:left w:val="none" w:sz="0" w:space="0" w:color="auto"/>
        <w:bottom w:val="none" w:sz="0" w:space="0" w:color="auto"/>
        <w:right w:val="none" w:sz="0" w:space="0" w:color="auto"/>
      </w:divBdr>
    </w:div>
    <w:div w:id="363409246">
      <w:marLeft w:val="640"/>
      <w:marRight w:val="0"/>
      <w:marTop w:val="0"/>
      <w:marBottom w:val="0"/>
      <w:divBdr>
        <w:top w:val="none" w:sz="0" w:space="0" w:color="auto"/>
        <w:left w:val="none" w:sz="0" w:space="0" w:color="auto"/>
        <w:bottom w:val="none" w:sz="0" w:space="0" w:color="auto"/>
        <w:right w:val="none" w:sz="0" w:space="0" w:color="auto"/>
      </w:divBdr>
    </w:div>
    <w:div w:id="373240925">
      <w:marLeft w:val="640"/>
      <w:marRight w:val="0"/>
      <w:marTop w:val="0"/>
      <w:marBottom w:val="0"/>
      <w:divBdr>
        <w:top w:val="none" w:sz="0" w:space="0" w:color="auto"/>
        <w:left w:val="none" w:sz="0" w:space="0" w:color="auto"/>
        <w:bottom w:val="none" w:sz="0" w:space="0" w:color="auto"/>
        <w:right w:val="none" w:sz="0" w:space="0" w:color="auto"/>
      </w:divBdr>
    </w:div>
    <w:div w:id="377046040">
      <w:marLeft w:val="640"/>
      <w:marRight w:val="0"/>
      <w:marTop w:val="0"/>
      <w:marBottom w:val="0"/>
      <w:divBdr>
        <w:top w:val="none" w:sz="0" w:space="0" w:color="auto"/>
        <w:left w:val="none" w:sz="0" w:space="0" w:color="auto"/>
        <w:bottom w:val="none" w:sz="0" w:space="0" w:color="auto"/>
        <w:right w:val="none" w:sz="0" w:space="0" w:color="auto"/>
      </w:divBdr>
    </w:div>
    <w:div w:id="383453413">
      <w:marLeft w:val="640"/>
      <w:marRight w:val="0"/>
      <w:marTop w:val="0"/>
      <w:marBottom w:val="0"/>
      <w:divBdr>
        <w:top w:val="none" w:sz="0" w:space="0" w:color="auto"/>
        <w:left w:val="none" w:sz="0" w:space="0" w:color="auto"/>
        <w:bottom w:val="none" w:sz="0" w:space="0" w:color="auto"/>
        <w:right w:val="none" w:sz="0" w:space="0" w:color="auto"/>
      </w:divBdr>
    </w:div>
    <w:div w:id="385493676">
      <w:marLeft w:val="640"/>
      <w:marRight w:val="0"/>
      <w:marTop w:val="0"/>
      <w:marBottom w:val="0"/>
      <w:divBdr>
        <w:top w:val="none" w:sz="0" w:space="0" w:color="auto"/>
        <w:left w:val="none" w:sz="0" w:space="0" w:color="auto"/>
        <w:bottom w:val="none" w:sz="0" w:space="0" w:color="auto"/>
        <w:right w:val="none" w:sz="0" w:space="0" w:color="auto"/>
      </w:divBdr>
    </w:div>
    <w:div w:id="386540128">
      <w:marLeft w:val="640"/>
      <w:marRight w:val="0"/>
      <w:marTop w:val="0"/>
      <w:marBottom w:val="0"/>
      <w:divBdr>
        <w:top w:val="none" w:sz="0" w:space="0" w:color="auto"/>
        <w:left w:val="none" w:sz="0" w:space="0" w:color="auto"/>
        <w:bottom w:val="none" w:sz="0" w:space="0" w:color="auto"/>
        <w:right w:val="none" w:sz="0" w:space="0" w:color="auto"/>
      </w:divBdr>
    </w:div>
    <w:div w:id="390232583">
      <w:marLeft w:val="640"/>
      <w:marRight w:val="0"/>
      <w:marTop w:val="0"/>
      <w:marBottom w:val="0"/>
      <w:divBdr>
        <w:top w:val="none" w:sz="0" w:space="0" w:color="auto"/>
        <w:left w:val="none" w:sz="0" w:space="0" w:color="auto"/>
        <w:bottom w:val="none" w:sz="0" w:space="0" w:color="auto"/>
        <w:right w:val="none" w:sz="0" w:space="0" w:color="auto"/>
      </w:divBdr>
    </w:div>
    <w:div w:id="393088816">
      <w:marLeft w:val="640"/>
      <w:marRight w:val="0"/>
      <w:marTop w:val="0"/>
      <w:marBottom w:val="0"/>
      <w:divBdr>
        <w:top w:val="none" w:sz="0" w:space="0" w:color="auto"/>
        <w:left w:val="none" w:sz="0" w:space="0" w:color="auto"/>
        <w:bottom w:val="none" w:sz="0" w:space="0" w:color="auto"/>
        <w:right w:val="none" w:sz="0" w:space="0" w:color="auto"/>
      </w:divBdr>
    </w:div>
    <w:div w:id="395055875">
      <w:marLeft w:val="640"/>
      <w:marRight w:val="0"/>
      <w:marTop w:val="0"/>
      <w:marBottom w:val="0"/>
      <w:divBdr>
        <w:top w:val="none" w:sz="0" w:space="0" w:color="auto"/>
        <w:left w:val="none" w:sz="0" w:space="0" w:color="auto"/>
        <w:bottom w:val="none" w:sz="0" w:space="0" w:color="auto"/>
        <w:right w:val="none" w:sz="0" w:space="0" w:color="auto"/>
      </w:divBdr>
    </w:div>
    <w:div w:id="395665901">
      <w:marLeft w:val="640"/>
      <w:marRight w:val="0"/>
      <w:marTop w:val="0"/>
      <w:marBottom w:val="0"/>
      <w:divBdr>
        <w:top w:val="none" w:sz="0" w:space="0" w:color="auto"/>
        <w:left w:val="none" w:sz="0" w:space="0" w:color="auto"/>
        <w:bottom w:val="none" w:sz="0" w:space="0" w:color="auto"/>
        <w:right w:val="none" w:sz="0" w:space="0" w:color="auto"/>
      </w:divBdr>
    </w:div>
    <w:div w:id="418598382">
      <w:marLeft w:val="640"/>
      <w:marRight w:val="0"/>
      <w:marTop w:val="0"/>
      <w:marBottom w:val="0"/>
      <w:divBdr>
        <w:top w:val="none" w:sz="0" w:space="0" w:color="auto"/>
        <w:left w:val="none" w:sz="0" w:space="0" w:color="auto"/>
        <w:bottom w:val="none" w:sz="0" w:space="0" w:color="auto"/>
        <w:right w:val="none" w:sz="0" w:space="0" w:color="auto"/>
      </w:divBdr>
    </w:div>
    <w:div w:id="420416205">
      <w:marLeft w:val="640"/>
      <w:marRight w:val="0"/>
      <w:marTop w:val="0"/>
      <w:marBottom w:val="0"/>
      <w:divBdr>
        <w:top w:val="none" w:sz="0" w:space="0" w:color="auto"/>
        <w:left w:val="none" w:sz="0" w:space="0" w:color="auto"/>
        <w:bottom w:val="none" w:sz="0" w:space="0" w:color="auto"/>
        <w:right w:val="none" w:sz="0" w:space="0" w:color="auto"/>
      </w:divBdr>
    </w:div>
    <w:div w:id="426198807">
      <w:marLeft w:val="640"/>
      <w:marRight w:val="0"/>
      <w:marTop w:val="0"/>
      <w:marBottom w:val="0"/>
      <w:divBdr>
        <w:top w:val="none" w:sz="0" w:space="0" w:color="auto"/>
        <w:left w:val="none" w:sz="0" w:space="0" w:color="auto"/>
        <w:bottom w:val="none" w:sz="0" w:space="0" w:color="auto"/>
        <w:right w:val="none" w:sz="0" w:space="0" w:color="auto"/>
      </w:divBdr>
    </w:div>
    <w:div w:id="426461572">
      <w:marLeft w:val="640"/>
      <w:marRight w:val="0"/>
      <w:marTop w:val="0"/>
      <w:marBottom w:val="0"/>
      <w:divBdr>
        <w:top w:val="none" w:sz="0" w:space="0" w:color="auto"/>
        <w:left w:val="none" w:sz="0" w:space="0" w:color="auto"/>
        <w:bottom w:val="none" w:sz="0" w:space="0" w:color="auto"/>
        <w:right w:val="none" w:sz="0" w:space="0" w:color="auto"/>
      </w:divBdr>
    </w:div>
    <w:div w:id="427509968">
      <w:marLeft w:val="640"/>
      <w:marRight w:val="0"/>
      <w:marTop w:val="0"/>
      <w:marBottom w:val="0"/>
      <w:divBdr>
        <w:top w:val="none" w:sz="0" w:space="0" w:color="auto"/>
        <w:left w:val="none" w:sz="0" w:space="0" w:color="auto"/>
        <w:bottom w:val="none" w:sz="0" w:space="0" w:color="auto"/>
        <w:right w:val="none" w:sz="0" w:space="0" w:color="auto"/>
      </w:divBdr>
    </w:div>
    <w:div w:id="429011122">
      <w:marLeft w:val="640"/>
      <w:marRight w:val="0"/>
      <w:marTop w:val="0"/>
      <w:marBottom w:val="0"/>
      <w:divBdr>
        <w:top w:val="none" w:sz="0" w:space="0" w:color="auto"/>
        <w:left w:val="none" w:sz="0" w:space="0" w:color="auto"/>
        <w:bottom w:val="none" w:sz="0" w:space="0" w:color="auto"/>
        <w:right w:val="none" w:sz="0" w:space="0" w:color="auto"/>
      </w:divBdr>
    </w:div>
    <w:div w:id="430584276">
      <w:marLeft w:val="640"/>
      <w:marRight w:val="0"/>
      <w:marTop w:val="0"/>
      <w:marBottom w:val="0"/>
      <w:divBdr>
        <w:top w:val="none" w:sz="0" w:space="0" w:color="auto"/>
        <w:left w:val="none" w:sz="0" w:space="0" w:color="auto"/>
        <w:bottom w:val="none" w:sz="0" w:space="0" w:color="auto"/>
        <w:right w:val="none" w:sz="0" w:space="0" w:color="auto"/>
      </w:divBdr>
    </w:div>
    <w:div w:id="432362263">
      <w:marLeft w:val="640"/>
      <w:marRight w:val="0"/>
      <w:marTop w:val="0"/>
      <w:marBottom w:val="0"/>
      <w:divBdr>
        <w:top w:val="none" w:sz="0" w:space="0" w:color="auto"/>
        <w:left w:val="none" w:sz="0" w:space="0" w:color="auto"/>
        <w:bottom w:val="none" w:sz="0" w:space="0" w:color="auto"/>
        <w:right w:val="none" w:sz="0" w:space="0" w:color="auto"/>
      </w:divBdr>
    </w:div>
    <w:div w:id="440994188">
      <w:marLeft w:val="640"/>
      <w:marRight w:val="0"/>
      <w:marTop w:val="0"/>
      <w:marBottom w:val="0"/>
      <w:divBdr>
        <w:top w:val="none" w:sz="0" w:space="0" w:color="auto"/>
        <w:left w:val="none" w:sz="0" w:space="0" w:color="auto"/>
        <w:bottom w:val="none" w:sz="0" w:space="0" w:color="auto"/>
        <w:right w:val="none" w:sz="0" w:space="0" w:color="auto"/>
      </w:divBdr>
    </w:div>
    <w:div w:id="444888965">
      <w:marLeft w:val="640"/>
      <w:marRight w:val="0"/>
      <w:marTop w:val="0"/>
      <w:marBottom w:val="0"/>
      <w:divBdr>
        <w:top w:val="none" w:sz="0" w:space="0" w:color="auto"/>
        <w:left w:val="none" w:sz="0" w:space="0" w:color="auto"/>
        <w:bottom w:val="none" w:sz="0" w:space="0" w:color="auto"/>
        <w:right w:val="none" w:sz="0" w:space="0" w:color="auto"/>
      </w:divBdr>
    </w:div>
    <w:div w:id="454061738">
      <w:marLeft w:val="640"/>
      <w:marRight w:val="0"/>
      <w:marTop w:val="0"/>
      <w:marBottom w:val="0"/>
      <w:divBdr>
        <w:top w:val="none" w:sz="0" w:space="0" w:color="auto"/>
        <w:left w:val="none" w:sz="0" w:space="0" w:color="auto"/>
        <w:bottom w:val="none" w:sz="0" w:space="0" w:color="auto"/>
        <w:right w:val="none" w:sz="0" w:space="0" w:color="auto"/>
      </w:divBdr>
    </w:div>
    <w:div w:id="454251158">
      <w:marLeft w:val="640"/>
      <w:marRight w:val="0"/>
      <w:marTop w:val="0"/>
      <w:marBottom w:val="0"/>
      <w:divBdr>
        <w:top w:val="none" w:sz="0" w:space="0" w:color="auto"/>
        <w:left w:val="none" w:sz="0" w:space="0" w:color="auto"/>
        <w:bottom w:val="none" w:sz="0" w:space="0" w:color="auto"/>
        <w:right w:val="none" w:sz="0" w:space="0" w:color="auto"/>
      </w:divBdr>
    </w:div>
    <w:div w:id="457917163">
      <w:marLeft w:val="640"/>
      <w:marRight w:val="0"/>
      <w:marTop w:val="0"/>
      <w:marBottom w:val="0"/>
      <w:divBdr>
        <w:top w:val="none" w:sz="0" w:space="0" w:color="auto"/>
        <w:left w:val="none" w:sz="0" w:space="0" w:color="auto"/>
        <w:bottom w:val="none" w:sz="0" w:space="0" w:color="auto"/>
        <w:right w:val="none" w:sz="0" w:space="0" w:color="auto"/>
      </w:divBdr>
    </w:div>
    <w:div w:id="458494314">
      <w:marLeft w:val="640"/>
      <w:marRight w:val="0"/>
      <w:marTop w:val="0"/>
      <w:marBottom w:val="0"/>
      <w:divBdr>
        <w:top w:val="none" w:sz="0" w:space="0" w:color="auto"/>
        <w:left w:val="none" w:sz="0" w:space="0" w:color="auto"/>
        <w:bottom w:val="none" w:sz="0" w:space="0" w:color="auto"/>
        <w:right w:val="none" w:sz="0" w:space="0" w:color="auto"/>
      </w:divBdr>
    </w:div>
    <w:div w:id="463281505">
      <w:marLeft w:val="640"/>
      <w:marRight w:val="0"/>
      <w:marTop w:val="0"/>
      <w:marBottom w:val="0"/>
      <w:divBdr>
        <w:top w:val="none" w:sz="0" w:space="0" w:color="auto"/>
        <w:left w:val="none" w:sz="0" w:space="0" w:color="auto"/>
        <w:bottom w:val="none" w:sz="0" w:space="0" w:color="auto"/>
        <w:right w:val="none" w:sz="0" w:space="0" w:color="auto"/>
      </w:divBdr>
    </w:div>
    <w:div w:id="465514619">
      <w:marLeft w:val="640"/>
      <w:marRight w:val="0"/>
      <w:marTop w:val="0"/>
      <w:marBottom w:val="0"/>
      <w:divBdr>
        <w:top w:val="none" w:sz="0" w:space="0" w:color="auto"/>
        <w:left w:val="none" w:sz="0" w:space="0" w:color="auto"/>
        <w:bottom w:val="none" w:sz="0" w:space="0" w:color="auto"/>
        <w:right w:val="none" w:sz="0" w:space="0" w:color="auto"/>
      </w:divBdr>
    </w:div>
    <w:div w:id="474492324">
      <w:marLeft w:val="640"/>
      <w:marRight w:val="0"/>
      <w:marTop w:val="0"/>
      <w:marBottom w:val="0"/>
      <w:divBdr>
        <w:top w:val="none" w:sz="0" w:space="0" w:color="auto"/>
        <w:left w:val="none" w:sz="0" w:space="0" w:color="auto"/>
        <w:bottom w:val="none" w:sz="0" w:space="0" w:color="auto"/>
        <w:right w:val="none" w:sz="0" w:space="0" w:color="auto"/>
      </w:divBdr>
    </w:div>
    <w:div w:id="476529237">
      <w:marLeft w:val="640"/>
      <w:marRight w:val="0"/>
      <w:marTop w:val="0"/>
      <w:marBottom w:val="0"/>
      <w:divBdr>
        <w:top w:val="none" w:sz="0" w:space="0" w:color="auto"/>
        <w:left w:val="none" w:sz="0" w:space="0" w:color="auto"/>
        <w:bottom w:val="none" w:sz="0" w:space="0" w:color="auto"/>
        <w:right w:val="none" w:sz="0" w:space="0" w:color="auto"/>
      </w:divBdr>
    </w:div>
    <w:div w:id="477114267">
      <w:marLeft w:val="640"/>
      <w:marRight w:val="0"/>
      <w:marTop w:val="0"/>
      <w:marBottom w:val="0"/>
      <w:divBdr>
        <w:top w:val="none" w:sz="0" w:space="0" w:color="auto"/>
        <w:left w:val="none" w:sz="0" w:space="0" w:color="auto"/>
        <w:bottom w:val="none" w:sz="0" w:space="0" w:color="auto"/>
        <w:right w:val="none" w:sz="0" w:space="0" w:color="auto"/>
      </w:divBdr>
    </w:div>
    <w:div w:id="484973468">
      <w:marLeft w:val="640"/>
      <w:marRight w:val="0"/>
      <w:marTop w:val="0"/>
      <w:marBottom w:val="0"/>
      <w:divBdr>
        <w:top w:val="none" w:sz="0" w:space="0" w:color="auto"/>
        <w:left w:val="none" w:sz="0" w:space="0" w:color="auto"/>
        <w:bottom w:val="none" w:sz="0" w:space="0" w:color="auto"/>
        <w:right w:val="none" w:sz="0" w:space="0" w:color="auto"/>
      </w:divBdr>
    </w:div>
    <w:div w:id="492061858">
      <w:marLeft w:val="640"/>
      <w:marRight w:val="0"/>
      <w:marTop w:val="0"/>
      <w:marBottom w:val="0"/>
      <w:divBdr>
        <w:top w:val="none" w:sz="0" w:space="0" w:color="auto"/>
        <w:left w:val="none" w:sz="0" w:space="0" w:color="auto"/>
        <w:bottom w:val="none" w:sz="0" w:space="0" w:color="auto"/>
        <w:right w:val="none" w:sz="0" w:space="0" w:color="auto"/>
      </w:divBdr>
    </w:div>
    <w:div w:id="502596005">
      <w:marLeft w:val="640"/>
      <w:marRight w:val="0"/>
      <w:marTop w:val="0"/>
      <w:marBottom w:val="0"/>
      <w:divBdr>
        <w:top w:val="none" w:sz="0" w:space="0" w:color="auto"/>
        <w:left w:val="none" w:sz="0" w:space="0" w:color="auto"/>
        <w:bottom w:val="none" w:sz="0" w:space="0" w:color="auto"/>
        <w:right w:val="none" w:sz="0" w:space="0" w:color="auto"/>
      </w:divBdr>
    </w:div>
    <w:div w:id="503395235">
      <w:marLeft w:val="640"/>
      <w:marRight w:val="0"/>
      <w:marTop w:val="0"/>
      <w:marBottom w:val="0"/>
      <w:divBdr>
        <w:top w:val="none" w:sz="0" w:space="0" w:color="auto"/>
        <w:left w:val="none" w:sz="0" w:space="0" w:color="auto"/>
        <w:bottom w:val="none" w:sz="0" w:space="0" w:color="auto"/>
        <w:right w:val="none" w:sz="0" w:space="0" w:color="auto"/>
      </w:divBdr>
    </w:div>
    <w:div w:id="505435844">
      <w:marLeft w:val="640"/>
      <w:marRight w:val="0"/>
      <w:marTop w:val="0"/>
      <w:marBottom w:val="0"/>
      <w:divBdr>
        <w:top w:val="none" w:sz="0" w:space="0" w:color="auto"/>
        <w:left w:val="none" w:sz="0" w:space="0" w:color="auto"/>
        <w:bottom w:val="none" w:sz="0" w:space="0" w:color="auto"/>
        <w:right w:val="none" w:sz="0" w:space="0" w:color="auto"/>
      </w:divBdr>
    </w:div>
    <w:div w:id="513610235">
      <w:marLeft w:val="640"/>
      <w:marRight w:val="0"/>
      <w:marTop w:val="0"/>
      <w:marBottom w:val="0"/>
      <w:divBdr>
        <w:top w:val="none" w:sz="0" w:space="0" w:color="auto"/>
        <w:left w:val="none" w:sz="0" w:space="0" w:color="auto"/>
        <w:bottom w:val="none" w:sz="0" w:space="0" w:color="auto"/>
        <w:right w:val="none" w:sz="0" w:space="0" w:color="auto"/>
      </w:divBdr>
    </w:div>
    <w:div w:id="515121583">
      <w:marLeft w:val="640"/>
      <w:marRight w:val="0"/>
      <w:marTop w:val="0"/>
      <w:marBottom w:val="0"/>
      <w:divBdr>
        <w:top w:val="none" w:sz="0" w:space="0" w:color="auto"/>
        <w:left w:val="none" w:sz="0" w:space="0" w:color="auto"/>
        <w:bottom w:val="none" w:sz="0" w:space="0" w:color="auto"/>
        <w:right w:val="none" w:sz="0" w:space="0" w:color="auto"/>
      </w:divBdr>
    </w:div>
    <w:div w:id="518857557">
      <w:marLeft w:val="640"/>
      <w:marRight w:val="0"/>
      <w:marTop w:val="0"/>
      <w:marBottom w:val="0"/>
      <w:divBdr>
        <w:top w:val="none" w:sz="0" w:space="0" w:color="auto"/>
        <w:left w:val="none" w:sz="0" w:space="0" w:color="auto"/>
        <w:bottom w:val="none" w:sz="0" w:space="0" w:color="auto"/>
        <w:right w:val="none" w:sz="0" w:space="0" w:color="auto"/>
      </w:divBdr>
    </w:div>
    <w:div w:id="521822500">
      <w:marLeft w:val="640"/>
      <w:marRight w:val="0"/>
      <w:marTop w:val="0"/>
      <w:marBottom w:val="0"/>
      <w:divBdr>
        <w:top w:val="none" w:sz="0" w:space="0" w:color="auto"/>
        <w:left w:val="none" w:sz="0" w:space="0" w:color="auto"/>
        <w:bottom w:val="none" w:sz="0" w:space="0" w:color="auto"/>
        <w:right w:val="none" w:sz="0" w:space="0" w:color="auto"/>
      </w:divBdr>
    </w:div>
    <w:div w:id="523056798">
      <w:marLeft w:val="640"/>
      <w:marRight w:val="0"/>
      <w:marTop w:val="0"/>
      <w:marBottom w:val="0"/>
      <w:divBdr>
        <w:top w:val="none" w:sz="0" w:space="0" w:color="auto"/>
        <w:left w:val="none" w:sz="0" w:space="0" w:color="auto"/>
        <w:bottom w:val="none" w:sz="0" w:space="0" w:color="auto"/>
        <w:right w:val="none" w:sz="0" w:space="0" w:color="auto"/>
      </w:divBdr>
    </w:div>
    <w:div w:id="524949522">
      <w:marLeft w:val="640"/>
      <w:marRight w:val="0"/>
      <w:marTop w:val="0"/>
      <w:marBottom w:val="0"/>
      <w:divBdr>
        <w:top w:val="none" w:sz="0" w:space="0" w:color="auto"/>
        <w:left w:val="none" w:sz="0" w:space="0" w:color="auto"/>
        <w:bottom w:val="none" w:sz="0" w:space="0" w:color="auto"/>
        <w:right w:val="none" w:sz="0" w:space="0" w:color="auto"/>
      </w:divBdr>
    </w:div>
    <w:div w:id="527644154">
      <w:marLeft w:val="640"/>
      <w:marRight w:val="0"/>
      <w:marTop w:val="0"/>
      <w:marBottom w:val="0"/>
      <w:divBdr>
        <w:top w:val="none" w:sz="0" w:space="0" w:color="auto"/>
        <w:left w:val="none" w:sz="0" w:space="0" w:color="auto"/>
        <w:bottom w:val="none" w:sz="0" w:space="0" w:color="auto"/>
        <w:right w:val="none" w:sz="0" w:space="0" w:color="auto"/>
      </w:divBdr>
    </w:div>
    <w:div w:id="530459788">
      <w:marLeft w:val="640"/>
      <w:marRight w:val="0"/>
      <w:marTop w:val="0"/>
      <w:marBottom w:val="0"/>
      <w:divBdr>
        <w:top w:val="none" w:sz="0" w:space="0" w:color="auto"/>
        <w:left w:val="none" w:sz="0" w:space="0" w:color="auto"/>
        <w:bottom w:val="none" w:sz="0" w:space="0" w:color="auto"/>
        <w:right w:val="none" w:sz="0" w:space="0" w:color="auto"/>
      </w:divBdr>
    </w:div>
    <w:div w:id="533229771">
      <w:marLeft w:val="640"/>
      <w:marRight w:val="0"/>
      <w:marTop w:val="0"/>
      <w:marBottom w:val="0"/>
      <w:divBdr>
        <w:top w:val="none" w:sz="0" w:space="0" w:color="auto"/>
        <w:left w:val="none" w:sz="0" w:space="0" w:color="auto"/>
        <w:bottom w:val="none" w:sz="0" w:space="0" w:color="auto"/>
        <w:right w:val="none" w:sz="0" w:space="0" w:color="auto"/>
      </w:divBdr>
    </w:div>
    <w:div w:id="533231838">
      <w:marLeft w:val="640"/>
      <w:marRight w:val="0"/>
      <w:marTop w:val="0"/>
      <w:marBottom w:val="0"/>
      <w:divBdr>
        <w:top w:val="none" w:sz="0" w:space="0" w:color="auto"/>
        <w:left w:val="none" w:sz="0" w:space="0" w:color="auto"/>
        <w:bottom w:val="none" w:sz="0" w:space="0" w:color="auto"/>
        <w:right w:val="none" w:sz="0" w:space="0" w:color="auto"/>
      </w:divBdr>
    </w:div>
    <w:div w:id="534778330">
      <w:marLeft w:val="640"/>
      <w:marRight w:val="0"/>
      <w:marTop w:val="0"/>
      <w:marBottom w:val="0"/>
      <w:divBdr>
        <w:top w:val="none" w:sz="0" w:space="0" w:color="auto"/>
        <w:left w:val="none" w:sz="0" w:space="0" w:color="auto"/>
        <w:bottom w:val="none" w:sz="0" w:space="0" w:color="auto"/>
        <w:right w:val="none" w:sz="0" w:space="0" w:color="auto"/>
      </w:divBdr>
    </w:div>
    <w:div w:id="536115615">
      <w:marLeft w:val="640"/>
      <w:marRight w:val="0"/>
      <w:marTop w:val="0"/>
      <w:marBottom w:val="0"/>
      <w:divBdr>
        <w:top w:val="none" w:sz="0" w:space="0" w:color="auto"/>
        <w:left w:val="none" w:sz="0" w:space="0" w:color="auto"/>
        <w:bottom w:val="none" w:sz="0" w:space="0" w:color="auto"/>
        <w:right w:val="none" w:sz="0" w:space="0" w:color="auto"/>
      </w:divBdr>
    </w:div>
    <w:div w:id="540213537">
      <w:marLeft w:val="640"/>
      <w:marRight w:val="0"/>
      <w:marTop w:val="0"/>
      <w:marBottom w:val="0"/>
      <w:divBdr>
        <w:top w:val="none" w:sz="0" w:space="0" w:color="auto"/>
        <w:left w:val="none" w:sz="0" w:space="0" w:color="auto"/>
        <w:bottom w:val="none" w:sz="0" w:space="0" w:color="auto"/>
        <w:right w:val="none" w:sz="0" w:space="0" w:color="auto"/>
      </w:divBdr>
    </w:div>
    <w:div w:id="542208002">
      <w:marLeft w:val="640"/>
      <w:marRight w:val="0"/>
      <w:marTop w:val="0"/>
      <w:marBottom w:val="0"/>
      <w:divBdr>
        <w:top w:val="none" w:sz="0" w:space="0" w:color="auto"/>
        <w:left w:val="none" w:sz="0" w:space="0" w:color="auto"/>
        <w:bottom w:val="none" w:sz="0" w:space="0" w:color="auto"/>
        <w:right w:val="none" w:sz="0" w:space="0" w:color="auto"/>
      </w:divBdr>
    </w:div>
    <w:div w:id="544368833">
      <w:marLeft w:val="640"/>
      <w:marRight w:val="0"/>
      <w:marTop w:val="0"/>
      <w:marBottom w:val="0"/>
      <w:divBdr>
        <w:top w:val="none" w:sz="0" w:space="0" w:color="auto"/>
        <w:left w:val="none" w:sz="0" w:space="0" w:color="auto"/>
        <w:bottom w:val="none" w:sz="0" w:space="0" w:color="auto"/>
        <w:right w:val="none" w:sz="0" w:space="0" w:color="auto"/>
      </w:divBdr>
    </w:div>
    <w:div w:id="546456086">
      <w:marLeft w:val="640"/>
      <w:marRight w:val="0"/>
      <w:marTop w:val="0"/>
      <w:marBottom w:val="0"/>
      <w:divBdr>
        <w:top w:val="none" w:sz="0" w:space="0" w:color="auto"/>
        <w:left w:val="none" w:sz="0" w:space="0" w:color="auto"/>
        <w:bottom w:val="none" w:sz="0" w:space="0" w:color="auto"/>
        <w:right w:val="none" w:sz="0" w:space="0" w:color="auto"/>
      </w:divBdr>
    </w:div>
    <w:div w:id="554975722">
      <w:marLeft w:val="640"/>
      <w:marRight w:val="0"/>
      <w:marTop w:val="0"/>
      <w:marBottom w:val="0"/>
      <w:divBdr>
        <w:top w:val="none" w:sz="0" w:space="0" w:color="auto"/>
        <w:left w:val="none" w:sz="0" w:space="0" w:color="auto"/>
        <w:bottom w:val="none" w:sz="0" w:space="0" w:color="auto"/>
        <w:right w:val="none" w:sz="0" w:space="0" w:color="auto"/>
      </w:divBdr>
    </w:div>
    <w:div w:id="555438133">
      <w:marLeft w:val="640"/>
      <w:marRight w:val="0"/>
      <w:marTop w:val="0"/>
      <w:marBottom w:val="0"/>
      <w:divBdr>
        <w:top w:val="none" w:sz="0" w:space="0" w:color="auto"/>
        <w:left w:val="none" w:sz="0" w:space="0" w:color="auto"/>
        <w:bottom w:val="none" w:sz="0" w:space="0" w:color="auto"/>
        <w:right w:val="none" w:sz="0" w:space="0" w:color="auto"/>
      </w:divBdr>
    </w:div>
    <w:div w:id="555816222">
      <w:marLeft w:val="640"/>
      <w:marRight w:val="0"/>
      <w:marTop w:val="0"/>
      <w:marBottom w:val="0"/>
      <w:divBdr>
        <w:top w:val="none" w:sz="0" w:space="0" w:color="auto"/>
        <w:left w:val="none" w:sz="0" w:space="0" w:color="auto"/>
        <w:bottom w:val="none" w:sz="0" w:space="0" w:color="auto"/>
        <w:right w:val="none" w:sz="0" w:space="0" w:color="auto"/>
      </w:divBdr>
    </w:div>
    <w:div w:id="558127242">
      <w:marLeft w:val="640"/>
      <w:marRight w:val="0"/>
      <w:marTop w:val="0"/>
      <w:marBottom w:val="0"/>
      <w:divBdr>
        <w:top w:val="none" w:sz="0" w:space="0" w:color="auto"/>
        <w:left w:val="none" w:sz="0" w:space="0" w:color="auto"/>
        <w:bottom w:val="none" w:sz="0" w:space="0" w:color="auto"/>
        <w:right w:val="none" w:sz="0" w:space="0" w:color="auto"/>
      </w:divBdr>
    </w:div>
    <w:div w:id="559368849">
      <w:marLeft w:val="640"/>
      <w:marRight w:val="0"/>
      <w:marTop w:val="0"/>
      <w:marBottom w:val="0"/>
      <w:divBdr>
        <w:top w:val="none" w:sz="0" w:space="0" w:color="auto"/>
        <w:left w:val="none" w:sz="0" w:space="0" w:color="auto"/>
        <w:bottom w:val="none" w:sz="0" w:space="0" w:color="auto"/>
        <w:right w:val="none" w:sz="0" w:space="0" w:color="auto"/>
      </w:divBdr>
    </w:div>
    <w:div w:id="562446952">
      <w:marLeft w:val="640"/>
      <w:marRight w:val="0"/>
      <w:marTop w:val="0"/>
      <w:marBottom w:val="0"/>
      <w:divBdr>
        <w:top w:val="none" w:sz="0" w:space="0" w:color="auto"/>
        <w:left w:val="none" w:sz="0" w:space="0" w:color="auto"/>
        <w:bottom w:val="none" w:sz="0" w:space="0" w:color="auto"/>
        <w:right w:val="none" w:sz="0" w:space="0" w:color="auto"/>
      </w:divBdr>
    </w:div>
    <w:div w:id="565338539">
      <w:marLeft w:val="640"/>
      <w:marRight w:val="0"/>
      <w:marTop w:val="0"/>
      <w:marBottom w:val="0"/>
      <w:divBdr>
        <w:top w:val="none" w:sz="0" w:space="0" w:color="auto"/>
        <w:left w:val="none" w:sz="0" w:space="0" w:color="auto"/>
        <w:bottom w:val="none" w:sz="0" w:space="0" w:color="auto"/>
        <w:right w:val="none" w:sz="0" w:space="0" w:color="auto"/>
      </w:divBdr>
    </w:div>
    <w:div w:id="577981637">
      <w:marLeft w:val="640"/>
      <w:marRight w:val="0"/>
      <w:marTop w:val="0"/>
      <w:marBottom w:val="0"/>
      <w:divBdr>
        <w:top w:val="none" w:sz="0" w:space="0" w:color="auto"/>
        <w:left w:val="none" w:sz="0" w:space="0" w:color="auto"/>
        <w:bottom w:val="none" w:sz="0" w:space="0" w:color="auto"/>
        <w:right w:val="none" w:sz="0" w:space="0" w:color="auto"/>
      </w:divBdr>
    </w:div>
    <w:div w:id="579825503">
      <w:marLeft w:val="640"/>
      <w:marRight w:val="0"/>
      <w:marTop w:val="0"/>
      <w:marBottom w:val="0"/>
      <w:divBdr>
        <w:top w:val="none" w:sz="0" w:space="0" w:color="auto"/>
        <w:left w:val="none" w:sz="0" w:space="0" w:color="auto"/>
        <w:bottom w:val="none" w:sz="0" w:space="0" w:color="auto"/>
        <w:right w:val="none" w:sz="0" w:space="0" w:color="auto"/>
      </w:divBdr>
    </w:div>
    <w:div w:id="580603663">
      <w:marLeft w:val="640"/>
      <w:marRight w:val="0"/>
      <w:marTop w:val="0"/>
      <w:marBottom w:val="0"/>
      <w:divBdr>
        <w:top w:val="none" w:sz="0" w:space="0" w:color="auto"/>
        <w:left w:val="none" w:sz="0" w:space="0" w:color="auto"/>
        <w:bottom w:val="none" w:sz="0" w:space="0" w:color="auto"/>
        <w:right w:val="none" w:sz="0" w:space="0" w:color="auto"/>
      </w:divBdr>
    </w:div>
    <w:div w:id="581062662">
      <w:marLeft w:val="640"/>
      <w:marRight w:val="0"/>
      <w:marTop w:val="0"/>
      <w:marBottom w:val="0"/>
      <w:divBdr>
        <w:top w:val="none" w:sz="0" w:space="0" w:color="auto"/>
        <w:left w:val="none" w:sz="0" w:space="0" w:color="auto"/>
        <w:bottom w:val="none" w:sz="0" w:space="0" w:color="auto"/>
        <w:right w:val="none" w:sz="0" w:space="0" w:color="auto"/>
      </w:divBdr>
    </w:div>
    <w:div w:id="585186778">
      <w:marLeft w:val="640"/>
      <w:marRight w:val="0"/>
      <w:marTop w:val="0"/>
      <w:marBottom w:val="0"/>
      <w:divBdr>
        <w:top w:val="none" w:sz="0" w:space="0" w:color="auto"/>
        <w:left w:val="none" w:sz="0" w:space="0" w:color="auto"/>
        <w:bottom w:val="none" w:sz="0" w:space="0" w:color="auto"/>
        <w:right w:val="none" w:sz="0" w:space="0" w:color="auto"/>
      </w:divBdr>
    </w:div>
    <w:div w:id="589237899">
      <w:marLeft w:val="640"/>
      <w:marRight w:val="0"/>
      <w:marTop w:val="0"/>
      <w:marBottom w:val="0"/>
      <w:divBdr>
        <w:top w:val="none" w:sz="0" w:space="0" w:color="auto"/>
        <w:left w:val="none" w:sz="0" w:space="0" w:color="auto"/>
        <w:bottom w:val="none" w:sz="0" w:space="0" w:color="auto"/>
        <w:right w:val="none" w:sz="0" w:space="0" w:color="auto"/>
      </w:divBdr>
    </w:div>
    <w:div w:id="593975281">
      <w:marLeft w:val="640"/>
      <w:marRight w:val="0"/>
      <w:marTop w:val="0"/>
      <w:marBottom w:val="0"/>
      <w:divBdr>
        <w:top w:val="none" w:sz="0" w:space="0" w:color="auto"/>
        <w:left w:val="none" w:sz="0" w:space="0" w:color="auto"/>
        <w:bottom w:val="none" w:sz="0" w:space="0" w:color="auto"/>
        <w:right w:val="none" w:sz="0" w:space="0" w:color="auto"/>
      </w:divBdr>
    </w:div>
    <w:div w:id="598684818">
      <w:marLeft w:val="640"/>
      <w:marRight w:val="0"/>
      <w:marTop w:val="0"/>
      <w:marBottom w:val="0"/>
      <w:divBdr>
        <w:top w:val="none" w:sz="0" w:space="0" w:color="auto"/>
        <w:left w:val="none" w:sz="0" w:space="0" w:color="auto"/>
        <w:bottom w:val="none" w:sz="0" w:space="0" w:color="auto"/>
        <w:right w:val="none" w:sz="0" w:space="0" w:color="auto"/>
      </w:divBdr>
    </w:div>
    <w:div w:id="599066970">
      <w:marLeft w:val="640"/>
      <w:marRight w:val="0"/>
      <w:marTop w:val="0"/>
      <w:marBottom w:val="0"/>
      <w:divBdr>
        <w:top w:val="none" w:sz="0" w:space="0" w:color="auto"/>
        <w:left w:val="none" w:sz="0" w:space="0" w:color="auto"/>
        <w:bottom w:val="none" w:sz="0" w:space="0" w:color="auto"/>
        <w:right w:val="none" w:sz="0" w:space="0" w:color="auto"/>
      </w:divBdr>
    </w:div>
    <w:div w:id="599609976">
      <w:marLeft w:val="640"/>
      <w:marRight w:val="0"/>
      <w:marTop w:val="0"/>
      <w:marBottom w:val="0"/>
      <w:divBdr>
        <w:top w:val="none" w:sz="0" w:space="0" w:color="auto"/>
        <w:left w:val="none" w:sz="0" w:space="0" w:color="auto"/>
        <w:bottom w:val="none" w:sz="0" w:space="0" w:color="auto"/>
        <w:right w:val="none" w:sz="0" w:space="0" w:color="auto"/>
      </w:divBdr>
    </w:div>
    <w:div w:id="604850675">
      <w:marLeft w:val="640"/>
      <w:marRight w:val="0"/>
      <w:marTop w:val="0"/>
      <w:marBottom w:val="0"/>
      <w:divBdr>
        <w:top w:val="none" w:sz="0" w:space="0" w:color="auto"/>
        <w:left w:val="none" w:sz="0" w:space="0" w:color="auto"/>
        <w:bottom w:val="none" w:sz="0" w:space="0" w:color="auto"/>
        <w:right w:val="none" w:sz="0" w:space="0" w:color="auto"/>
      </w:divBdr>
    </w:div>
    <w:div w:id="606621990">
      <w:marLeft w:val="640"/>
      <w:marRight w:val="0"/>
      <w:marTop w:val="0"/>
      <w:marBottom w:val="0"/>
      <w:divBdr>
        <w:top w:val="none" w:sz="0" w:space="0" w:color="auto"/>
        <w:left w:val="none" w:sz="0" w:space="0" w:color="auto"/>
        <w:bottom w:val="none" w:sz="0" w:space="0" w:color="auto"/>
        <w:right w:val="none" w:sz="0" w:space="0" w:color="auto"/>
      </w:divBdr>
    </w:div>
    <w:div w:id="607347846">
      <w:marLeft w:val="640"/>
      <w:marRight w:val="0"/>
      <w:marTop w:val="0"/>
      <w:marBottom w:val="0"/>
      <w:divBdr>
        <w:top w:val="none" w:sz="0" w:space="0" w:color="auto"/>
        <w:left w:val="none" w:sz="0" w:space="0" w:color="auto"/>
        <w:bottom w:val="none" w:sz="0" w:space="0" w:color="auto"/>
        <w:right w:val="none" w:sz="0" w:space="0" w:color="auto"/>
      </w:divBdr>
    </w:div>
    <w:div w:id="609288817">
      <w:marLeft w:val="640"/>
      <w:marRight w:val="0"/>
      <w:marTop w:val="0"/>
      <w:marBottom w:val="0"/>
      <w:divBdr>
        <w:top w:val="none" w:sz="0" w:space="0" w:color="auto"/>
        <w:left w:val="none" w:sz="0" w:space="0" w:color="auto"/>
        <w:bottom w:val="none" w:sz="0" w:space="0" w:color="auto"/>
        <w:right w:val="none" w:sz="0" w:space="0" w:color="auto"/>
      </w:divBdr>
    </w:div>
    <w:div w:id="610087433">
      <w:marLeft w:val="640"/>
      <w:marRight w:val="0"/>
      <w:marTop w:val="0"/>
      <w:marBottom w:val="0"/>
      <w:divBdr>
        <w:top w:val="none" w:sz="0" w:space="0" w:color="auto"/>
        <w:left w:val="none" w:sz="0" w:space="0" w:color="auto"/>
        <w:bottom w:val="none" w:sz="0" w:space="0" w:color="auto"/>
        <w:right w:val="none" w:sz="0" w:space="0" w:color="auto"/>
      </w:divBdr>
    </w:div>
    <w:div w:id="612905562">
      <w:marLeft w:val="640"/>
      <w:marRight w:val="0"/>
      <w:marTop w:val="0"/>
      <w:marBottom w:val="0"/>
      <w:divBdr>
        <w:top w:val="none" w:sz="0" w:space="0" w:color="auto"/>
        <w:left w:val="none" w:sz="0" w:space="0" w:color="auto"/>
        <w:bottom w:val="none" w:sz="0" w:space="0" w:color="auto"/>
        <w:right w:val="none" w:sz="0" w:space="0" w:color="auto"/>
      </w:divBdr>
    </w:div>
    <w:div w:id="615873892">
      <w:marLeft w:val="640"/>
      <w:marRight w:val="0"/>
      <w:marTop w:val="0"/>
      <w:marBottom w:val="0"/>
      <w:divBdr>
        <w:top w:val="none" w:sz="0" w:space="0" w:color="auto"/>
        <w:left w:val="none" w:sz="0" w:space="0" w:color="auto"/>
        <w:bottom w:val="none" w:sz="0" w:space="0" w:color="auto"/>
        <w:right w:val="none" w:sz="0" w:space="0" w:color="auto"/>
      </w:divBdr>
    </w:div>
    <w:div w:id="616788809">
      <w:marLeft w:val="640"/>
      <w:marRight w:val="0"/>
      <w:marTop w:val="0"/>
      <w:marBottom w:val="0"/>
      <w:divBdr>
        <w:top w:val="none" w:sz="0" w:space="0" w:color="auto"/>
        <w:left w:val="none" w:sz="0" w:space="0" w:color="auto"/>
        <w:bottom w:val="none" w:sz="0" w:space="0" w:color="auto"/>
        <w:right w:val="none" w:sz="0" w:space="0" w:color="auto"/>
      </w:divBdr>
    </w:div>
    <w:div w:id="618995526">
      <w:marLeft w:val="640"/>
      <w:marRight w:val="0"/>
      <w:marTop w:val="0"/>
      <w:marBottom w:val="0"/>
      <w:divBdr>
        <w:top w:val="none" w:sz="0" w:space="0" w:color="auto"/>
        <w:left w:val="none" w:sz="0" w:space="0" w:color="auto"/>
        <w:bottom w:val="none" w:sz="0" w:space="0" w:color="auto"/>
        <w:right w:val="none" w:sz="0" w:space="0" w:color="auto"/>
      </w:divBdr>
    </w:div>
    <w:div w:id="619997428">
      <w:marLeft w:val="640"/>
      <w:marRight w:val="0"/>
      <w:marTop w:val="0"/>
      <w:marBottom w:val="0"/>
      <w:divBdr>
        <w:top w:val="none" w:sz="0" w:space="0" w:color="auto"/>
        <w:left w:val="none" w:sz="0" w:space="0" w:color="auto"/>
        <w:bottom w:val="none" w:sz="0" w:space="0" w:color="auto"/>
        <w:right w:val="none" w:sz="0" w:space="0" w:color="auto"/>
      </w:divBdr>
    </w:div>
    <w:div w:id="633799586">
      <w:marLeft w:val="640"/>
      <w:marRight w:val="0"/>
      <w:marTop w:val="0"/>
      <w:marBottom w:val="0"/>
      <w:divBdr>
        <w:top w:val="none" w:sz="0" w:space="0" w:color="auto"/>
        <w:left w:val="none" w:sz="0" w:space="0" w:color="auto"/>
        <w:bottom w:val="none" w:sz="0" w:space="0" w:color="auto"/>
        <w:right w:val="none" w:sz="0" w:space="0" w:color="auto"/>
      </w:divBdr>
    </w:div>
    <w:div w:id="634261971">
      <w:marLeft w:val="640"/>
      <w:marRight w:val="0"/>
      <w:marTop w:val="0"/>
      <w:marBottom w:val="0"/>
      <w:divBdr>
        <w:top w:val="none" w:sz="0" w:space="0" w:color="auto"/>
        <w:left w:val="none" w:sz="0" w:space="0" w:color="auto"/>
        <w:bottom w:val="none" w:sz="0" w:space="0" w:color="auto"/>
        <w:right w:val="none" w:sz="0" w:space="0" w:color="auto"/>
      </w:divBdr>
    </w:div>
    <w:div w:id="635918566">
      <w:marLeft w:val="640"/>
      <w:marRight w:val="0"/>
      <w:marTop w:val="0"/>
      <w:marBottom w:val="0"/>
      <w:divBdr>
        <w:top w:val="none" w:sz="0" w:space="0" w:color="auto"/>
        <w:left w:val="none" w:sz="0" w:space="0" w:color="auto"/>
        <w:bottom w:val="none" w:sz="0" w:space="0" w:color="auto"/>
        <w:right w:val="none" w:sz="0" w:space="0" w:color="auto"/>
      </w:divBdr>
    </w:div>
    <w:div w:id="639188823">
      <w:marLeft w:val="640"/>
      <w:marRight w:val="0"/>
      <w:marTop w:val="0"/>
      <w:marBottom w:val="0"/>
      <w:divBdr>
        <w:top w:val="none" w:sz="0" w:space="0" w:color="auto"/>
        <w:left w:val="none" w:sz="0" w:space="0" w:color="auto"/>
        <w:bottom w:val="none" w:sz="0" w:space="0" w:color="auto"/>
        <w:right w:val="none" w:sz="0" w:space="0" w:color="auto"/>
      </w:divBdr>
    </w:div>
    <w:div w:id="641614079">
      <w:marLeft w:val="640"/>
      <w:marRight w:val="0"/>
      <w:marTop w:val="0"/>
      <w:marBottom w:val="0"/>
      <w:divBdr>
        <w:top w:val="none" w:sz="0" w:space="0" w:color="auto"/>
        <w:left w:val="none" w:sz="0" w:space="0" w:color="auto"/>
        <w:bottom w:val="none" w:sz="0" w:space="0" w:color="auto"/>
        <w:right w:val="none" w:sz="0" w:space="0" w:color="auto"/>
      </w:divBdr>
    </w:div>
    <w:div w:id="641811882">
      <w:marLeft w:val="640"/>
      <w:marRight w:val="0"/>
      <w:marTop w:val="0"/>
      <w:marBottom w:val="0"/>
      <w:divBdr>
        <w:top w:val="none" w:sz="0" w:space="0" w:color="auto"/>
        <w:left w:val="none" w:sz="0" w:space="0" w:color="auto"/>
        <w:bottom w:val="none" w:sz="0" w:space="0" w:color="auto"/>
        <w:right w:val="none" w:sz="0" w:space="0" w:color="auto"/>
      </w:divBdr>
    </w:div>
    <w:div w:id="644773689">
      <w:marLeft w:val="640"/>
      <w:marRight w:val="0"/>
      <w:marTop w:val="0"/>
      <w:marBottom w:val="0"/>
      <w:divBdr>
        <w:top w:val="none" w:sz="0" w:space="0" w:color="auto"/>
        <w:left w:val="none" w:sz="0" w:space="0" w:color="auto"/>
        <w:bottom w:val="none" w:sz="0" w:space="0" w:color="auto"/>
        <w:right w:val="none" w:sz="0" w:space="0" w:color="auto"/>
      </w:divBdr>
    </w:div>
    <w:div w:id="647906354">
      <w:marLeft w:val="640"/>
      <w:marRight w:val="0"/>
      <w:marTop w:val="0"/>
      <w:marBottom w:val="0"/>
      <w:divBdr>
        <w:top w:val="none" w:sz="0" w:space="0" w:color="auto"/>
        <w:left w:val="none" w:sz="0" w:space="0" w:color="auto"/>
        <w:bottom w:val="none" w:sz="0" w:space="0" w:color="auto"/>
        <w:right w:val="none" w:sz="0" w:space="0" w:color="auto"/>
      </w:divBdr>
    </w:div>
    <w:div w:id="665011377">
      <w:marLeft w:val="640"/>
      <w:marRight w:val="0"/>
      <w:marTop w:val="0"/>
      <w:marBottom w:val="0"/>
      <w:divBdr>
        <w:top w:val="none" w:sz="0" w:space="0" w:color="auto"/>
        <w:left w:val="none" w:sz="0" w:space="0" w:color="auto"/>
        <w:bottom w:val="none" w:sz="0" w:space="0" w:color="auto"/>
        <w:right w:val="none" w:sz="0" w:space="0" w:color="auto"/>
      </w:divBdr>
    </w:div>
    <w:div w:id="670839780">
      <w:marLeft w:val="640"/>
      <w:marRight w:val="0"/>
      <w:marTop w:val="0"/>
      <w:marBottom w:val="0"/>
      <w:divBdr>
        <w:top w:val="none" w:sz="0" w:space="0" w:color="auto"/>
        <w:left w:val="none" w:sz="0" w:space="0" w:color="auto"/>
        <w:bottom w:val="none" w:sz="0" w:space="0" w:color="auto"/>
        <w:right w:val="none" w:sz="0" w:space="0" w:color="auto"/>
      </w:divBdr>
    </w:div>
    <w:div w:id="675498242">
      <w:marLeft w:val="640"/>
      <w:marRight w:val="0"/>
      <w:marTop w:val="0"/>
      <w:marBottom w:val="0"/>
      <w:divBdr>
        <w:top w:val="none" w:sz="0" w:space="0" w:color="auto"/>
        <w:left w:val="none" w:sz="0" w:space="0" w:color="auto"/>
        <w:bottom w:val="none" w:sz="0" w:space="0" w:color="auto"/>
        <w:right w:val="none" w:sz="0" w:space="0" w:color="auto"/>
      </w:divBdr>
    </w:div>
    <w:div w:id="677196610">
      <w:marLeft w:val="640"/>
      <w:marRight w:val="0"/>
      <w:marTop w:val="0"/>
      <w:marBottom w:val="0"/>
      <w:divBdr>
        <w:top w:val="none" w:sz="0" w:space="0" w:color="auto"/>
        <w:left w:val="none" w:sz="0" w:space="0" w:color="auto"/>
        <w:bottom w:val="none" w:sz="0" w:space="0" w:color="auto"/>
        <w:right w:val="none" w:sz="0" w:space="0" w:color="auto"/>
      </w:divBdr>
    </w:div>
    <w:div w:id="677658922">
      <w:marLeft w:val="640"/>
      <w:marRight w:val="0"/>
      <w:marTop w:val="0"/>
      <w:marBottom w:val="0"/>
      <w:divBdr>
        <w:top w:val="none" w:sz="0" w:space="0" w:color="auto"/>
        <w:left w:val="none" w:sz="0" w:space="0" w:color="auto"/>
        <w:bottom w:val="none" w:sz="0" w:space="0" w:color="auto"/>
        <w:right w:val="none" w:sz="0" w:space="0" w:color="auto"/>
      </w:divBdr>
    </w:div>
    <w:div w:id="678698882">
      <w:marLeft w:val="640"/>
      <w:marRight w:val="0"/>
      <w:marTop w:val="0"/>
      <w:marBottom w:val="0"/>
      <w:divBdr>
        <w:top w:val="none" w:sz="0" w:space="0" w:color="auto"/>
        <w:left w:val="none" w:sz="0" w:space="0" w:color="auto"/>
        <w:bottom w:val="none" w:sz="0" w:space="0" w:color="auto"/>
        <w:right w:val="none" w:sz="0" w:space="0" w:color="auto"/>
      </w:divBdr>
    </w:div>
    <w:div w:id="682126512">
      <w:marLeft w:val="640"/>
      <w:marRight w:val="0"/>
      <w:marTop w:val="0"/>
      <w:marBottom w:val="0"/>
      <w:divBdr>
        <w:top w:val="none" w:sz="0" w:space="0" w:color="auto"/>
        <w:left w:val="none" w:sz="0" w:space="0" w:color="auto"/>
        <w:bottom w:val="none" w:sz="0" w:space="0" w:color="auto"/>
        <w:right w:val="none" w:sz="0" w:space="0" w:color="auto"/>
      </w:divBdr>
    </w:div>
    <w:div w:id="682317107">
      <w:marLeft w:val="640"/>
      <w:marRight w:val="0"/>
      <w:marTop w:val="0"/>
      <w:marBottom w:val="0"/>
      <w:divBdr>
        <w:top w:val="none" w:sz="0" w:space="0" w:color="auto"/>
        <w:left w:val="none" w:sz="0" w:space="0" w:color="auto"/>
        <w:bottom w:val="none" w:sz="0" w:space="0" w:color="auto"/>
        <w:right w:val="none" w:sz="0" w:space="0" w:color="auto"/>
      </w:divBdr>
    </w:div>
    <w:div w:id="682393405">
      <w:marLeft w:val="640"/>
      <w:marRight w:val="0"/>
      <w:marTop w:val="0"/>
      <w:marBottom w:val="0"/>
      <w:divBdr>
        <w:top w:val="none" w:sz="0" w:space="0" w:color="auto"/>
        <w:left w:val="none" w:sz="0" w:space="0" w:color="auto"/>
        <w:bottom w:val="none" w:sz="0" w:space="0" w:color="auto"/>
        <w:right w:val="none" w:sz="0" w:space="0" w:color="auto"/>
      </w:divBdr>
    </w:div>
    <w:div w:id="684555005">
      <w:marLeft w:val="640"/>
      <w:marRight w:val="0"/>
      <w:marTop w:val="0"/>
      <w:marBottom w:val="0"/>
      <w:divBdr>
        <w:top w:val="none" w:sz="0" w:space="0" w:color="auto"/>
        <w:left w:val="none" w:sz="0" w:space="0" w:color="auto"/>
        <w:bottom w:val="none" w:sz="0" w:space="0" w:color="auto"/>
        <w:right w:val="none" w:sz="0" w:space="0" w:color="auto"/>
      </w:divBdr>
    </w:div>
    <w:div w:id="692153101">
      <w:marLeft w:val="640"/>
      <w:marRight w:val="0"/>
      <w:marTop w:val="0"/>
      <w:marBottom w:val="0"/>
      <w:divBdr>
        <w:top w:val="none" w:sz="0" w:space="0" w:color="auto"/>
        <w:left w:val="none" w:sz="0" w:space="0" w:color="auto"/>
        <w:bottom w:val="none" w:sz="0" w:space="0" w:color="auto"/>
        <w:right w:val="none" w:sz="0" w:space="0" w:color="auto"/>
      </w:divBdr>
    </w:div>
    <w:div w:id="693188215">
      <w:marLeft w:val="640"/>
      <w:marRight w:val="0"/>
      <w:marTop w:val="0"/>
      <w:marBottom w:val="0"/>
      <w:divBdr>
        <w:top w:val="none" w:sz="0" w:space="0" w:color="auto"/>
        <w:left w:val="none" w:sz="0" w:space="0" w:color="auto"/>
        <w:bottom w:val="none" w:sz="0" w:space="0" w:color="auto"/>
        <w:right w:val="none" w:sz="0" w:space="0" w:color="auto"/>
      </w:divBdr>
    </w:div>
    <w:div w:id="695884205">
      <w:marLeft w:val="640"/>
      <w:marRight w:val="0"/>
      <w:marTop w:val="0"/>
      <w:marBottom w:val="0"/>
      <w:divBdr>
        <w:top w:val="none" w:sz="0" w:space="0" w:color="auto"/>
        <w:left w:val="none" w:sz="0" w:space="0" w:color="auto"/>
        <w:bottom w:val="none" w:sz="0" w:space="0" w:color="auto"/>
        <w:right w:val="none" w:sz="0" w:space="0" w:color="auto"/>
      </w:divBdr>
    </w:div>
    <w:div w:id="698048759">
      <w:marLeft w:val="640"/>
      <w:marRight w:val="0"/>
      <w:marTop w:val="0"/>
      <w:marBottom w:val="0"/>
      <w:divBdr>
        <w:top w:val="none" w:sz="0" w:space="0" w:color="auto"/>
        <w:left w:val="none" w:sz="0" w:space="0" w:color="auto"/>
        <w:bottom w:val="none" w:sz="0" w:space="0" w:color="auto"/>
        <w:right w:val="none" w:sz="0" w:space="0" w:color="auto"/>
      </w:divBdr>
    </w:div>
    <w:div w:id="700127553">
      <w:marLeft w:val="640"/>
      <w:marRight w:val="0"/>
      <w:marTop w:val="0"/>
      <w:marBottom w:val="0"/>
      <w:divBdr>
        <w:top w:val="none" w:sz="0" w:space="0" w:color="auto"/>
        <w:left w:val="none" w:sz="0" w:space="0" w:color="auto"/>
        <w:bottom w:val="none" w:sz="0" w:space="0" w:color="auto"/>
        <w:right w:val="none" w:sz="0" w:space="0" w:color="auto"/>
      </w:divBdr>
    </w:div>
    <w:div w:id="701059004">
      <w:marLeft w:val="640"/>
      <w:marRight w:val="0"/>
      <w:marTop w:val="0"/>
      <w:marBottom w:val="0"/>
      <w:divBdr>
        <w:top w:val="none" w:sz="0" w:space="0" w:color="auto"/>
        <w:left w:val="none" w:sz="0" w:space="0" w:color="auto"/>
        <w:bottom w:val="none" w:sz="0" w:space="0" w:color="auto"/>
        <w:right w:val="none" w:sz="0" w:space="0" w:color="auto"/>
      </w:divBdr>
    </w:div>
    <w:div w:id="708795908">
      <w:marLeft w:val="640"/>
      <w:marRight w:val="0"/>
      <w:marTop w:val="0"/>
      <w:marBottom w:val="0"/>
      <w:divBdr>
        <w:top w:val="none" w:sz="0" w:space="0" w:color="auto"/>
        <w:left w:val="none" w:sz="0" w:space="0" w:color="auto"/>
        <w:bottom w:val="none" w:sz="0" w:space="0" w:color="auto"/>
        <w:right w:val="none" w:sz="0" w:space="0" w:color="auto"/>
      </w:divBdr>
    </w:div>
    <w:div w:id="712652280">
      <w:marLeft w:val="640"/>
      <w:marRight w:val="0"/>
      <w:marTop w:val="0"/>
      <w:marBottom w:val="0"/>
      <w:divBdr>
        <w:top w:val="none" w:sz="0" w:space="0" w:color="auto"/>
        <w:left w:val="none" w:sz="0" w:space="0" w:color="auto"/>
        <w:bottom w:val="none" w:sz="0" w:space="0" w:color="auto"/>
        <w:right w:val="none" w:sz="0" w:space="0" w:color="auto"/>
      </w:divBdr>
    </w:div>
    <w:div w:id="715204172">
      <w:marLeft w:val="640"/>
      <w:marRight w:val="0"/>
      <w:marTop w:val="0"/>
      <w:marBottom w:val="0"/>
      <w:divBdr>
        <w:top w:val="none" w:sz="0" w:space="0" w:color="auto"/>
        <w:left w:val="none" w:sz="0" w:space="0" w:color="auto"/>
        <w:bottom w:val="none" w:sz="0" w:space="0" w:color="auto"/>
        <w:right w:val="none" w:sz="0" w:space="0" w:color="auto"/>
      </w:divBdr>
    </w:div>
    <w:div w:id="716973629">
      <w:marLeft w:val="640"/>
      <w:marRight w:val="0"/>
      <w:marTop w:val="0"/>
      <w:marBottom w:val="0"/>
      <w:divBdr>
        <w:top w:val="none" w:sz="0" w:space="0" w:color="auto"/>
        <w:left w:val="none" w:sz="0" w:space="0" w:color="auto"/>
        <w:bottom w:val="none" w:sz="0" w:space="0" w:color="auto"/>
        <w:right w:val="none" w:sz="0" w:space="0" w:color="auto"/>
      </w:divBdr>
    </w:div>
    <w:div w:id="720830717">
      <w:marLeft w:val="640"/>
      <w:marRight w:val="0"/>
      <w:marTop w:val="0"/>
      <w:marBottom w:val="0"/>
      <w:divBdr>
        <w:top w:val="none" w:sz="0" w:space="0" w:color="auto"/>
        <w:left w:val="none" w:sz="0" w:space="0" w:color="auto"/>
        <w:bottom w:val="none" w:sz="0" w:space="0" w:color="auto"/>
        <w:right w:val="none" w:sz="0" w:space="0" w:color="auto"/>
      </w:divBdr>
    </w:div>
    <w:div w:id="722406212">
      <w:marLeft w:val="640"/>
      <w:marRight w:val="0"/>
      <w:marTop w:val="0"/>
      <w:marBottom w:val="0"/>
      <w:divBdr>
        <w:top w:val="none" w:sz="0" w:space="0" w:color="auto"/>
        <w:left w:val="none" w:sz="0" w:space="0" w:color="auto"/>
        <w:bottom w:val="none" w:sz="0" w:space="0" w:color="auto"/>
        <w:right w:val="none" w:sz="0" w:space="0" w:color="auto"/>
      </w:divBdr>
    </w:div>
    <w:div w:id="730545606">
      <w:marLeft w:val="640"/>
      <w:marRight w:val="0"/>
      <w:marTop w:val="0"/>
      <w:marBottom w:val="0"/>
      <w:divBdr>
        <w:top w:val="none" w:sz="0" w:space="0" w:color="auto"/>
        <w:left w:val="none" w:sz="0" w:space="0" w:color="auto"/>
        <w:bottom w:val="none" w:sz="0" w:space="0" w:color="auto"/>
        <w:right w:val="none" w:sz="0" w:space="0" w:color="auto"/>
      </w:divBdr>
    </w:div>
    <w:div w:id="732774805">
      <w:marLeft w:val="640"/>
      <w:marRight w:val="0"/>
      <w:marTop w:val="0"/>
      <w:marBottom w:val="0"/>
      <w:divBdr>
        <w:top w:val="none" w:sz="0" w:space="0" w:color="auto"/>
        <w:left w:val="none" w:sz="0" w:space="0" w:color="auto"/>
        <w:bottom w:val="none" w:sz="0" w:space="0" w:color="auto"/>
        <w:right w:val="none" w:sz="0" w:space="0" w:color="auto"/>
      </w:divBdr>
    </w:div>
    <w:div w:id="742916859">
      <w:marLeft w:val="640"/>
      <w:marRight w:val="0"/>
      <w:marTop w:val="0"/>
      <w:marBottom w:val="0"/>
      <w:divBdr>
        <w:top w:val="none" w:sz="0" w:space="0" w:color="auto"/>
        <w:left w:val="none" w:sz="0" w:space="0" w:color="auto"/>
        <w:bottom w:val="none" w:sz="0" w:space="0" w:color="auto"/>
        <w:right w:val="none" w:sz="0" w:space="0" w:color="auto"/>
      </w:divBdr>
    </w:div>
    <w:div w:id="746002698">
      <w:marLeft w:val="640"/>
      <w:marRight w:val="0"/>
      <w:marTop w:val="0"/>
      <w:marBottom w:val="0"/>
      <w:divBdr>
        <w:top w:val="none" w:sz="0" w:space="0" w:color="auto"/>
        <w:left w:val="none" w:sz="0" w:space="0" w:color="auto"/>
        <w:bottom w:val="none" w:sz="0" w:space="0" w:color="auto"/>
        <w:right w:val="none" w:sz="0" w:space="0" w:color="auto"/>
      </w:divBdr>
    </w:div>
    <w:div w:id="751197325">
      <w:marLeft w:val="640"/>
      <w:marRight w:val="0"/>
      <w:marTop w:val="0"/>
      <w:marBottom w:val="0"/>
      <w:divBdr>
        <w:top w:val="none" w:sz="0" w:space="0" w:color="auto"/>
        <w:left w:val="none" w:sz="0" w:space="0" w:color="auto"/>
        <w:bottom w:val="none" w:sz="0" w:space="0" w:color="auto"/>
        <w:right w:val="none" w:sz="0" w:space="0" w:color="auto"/>
      </w:divBdr>
    </w:div>
    <w:div w:id="751317678">
      <w:marLeft w:val="640"/>
      <w:marRight w:val="0"/>
      <w:marTop w:val="0"/>
      <w:marBottom w:val="0"/>
      <w:divBdr>
        <w:top w:val="none" w:sz="0" w:space="0" w:color="auto"/>
        <w:left w:val="none" w:sz="0" w:space="0" w:color="auto"/>
        <w:bottom w:val="none" w:sz="0" w:space="0" w:color="auto"/>
        <w:right w:val="none" w:sz="0" w:space="0" w:color="auto"/>
      </w:divBdr>
    </w:div>
    <w:div w:id="751318126">
      <w:marLeft w:val="640"/>
      <w:marRight w:val="0"/>
      <w:marTop w:val="0"/>
      <w:marBottom w:val="0"/>
      <w:divBdr>
        <w:top w:val="none" w:sz="0" w:space="0" w:color="auto"/>
        <w:left w:val="none" w:sz="0" w:space="0" w:color="auto"/>
        <w:bottom w:val="none" w:sz="0" w:space="0" w:color="auto"/>
        <w:right w:val="none" w:sz="0" w:space="0" w:color="auto"/>
      </w:divBdr>
    </w:div>
    <w:div w:id="751701596">
      <w:marLeft w:val="640"/>
      <w:marRight w:val="0"/>
      <w:marTop w:val="0"/>
      <w:marBottom w:val="0"/>
      <w:divBdr>
        <w:top w:val="none" w:sz="0" w:space="0" w:color="auto"/>
        <w:left w:val="none" w:sz="0" w:space="0" w:color="auto"/>
        <w:bottom w:val="none" w:sz="0" w:space="0" w:color="auto"/>
        <w:right w:val="none" w:sz="0" w:space="0" w:color="auto"/>
      </w:divBdr>
    </w:div>
    <w:div w:id="752511656">
      <w:marLeft w:val="640"/>
      <w:marRight w:val="0"/>
      <w:marTop w:val="0"/>
      <w:marBottom w:val="0"/>
      <w:divBdr>
        <w:top w:val="none" w:sz="0" w:space="0" w:color="auto"/>
        <w:left w:val="none" w:sz="0" w:space="0" w:color="auto"/>
        <w:bottom w:val="none" w:sz="0" w:space="0" w:color="auto"/>
        <w:right w:val="none" w:sz="0" w:space="0" w:color="auto"/>
      </w:divBdr>
    </w:div>
    <w:div w:id="754548087">
      <w:marLeft w:val="640"/>
      <w:marRight w:val="0"/>
      <w:marTop w:val="0"/>
      <w:marBottom w:val="0"/>
      <w:divBdr>
        <w:top w:val="none" w:sz="0" w:space="0" w:color="auto"/>
        <w:left w:val="none" w:sz="0" w:space="0" w:color="auto"/>
        <w:bottom w:val="none" w:sz="0" w:space="0" w:color="auto"/>
        <w:right w:val="none" w:sz="0" w:space="0" w:color="auto"/>
      </w:divBdr>
    </w:div>
    <w:div w:id="760180964">
      <w:marLeft w:val="640"/>
      <w:marRight w:val="0"/>
      <w:marTop w:val="0"/>
      <w:marBottom w:val="0"/>
      <w:divBdr>
        <w:top w:val="none" w:sz="0" w:space="0" w:color="auto"/>
        <w:left w:val="none" w:sz="0" w:space="0" w:color="auto"/>
        <w:bottom w:val="none" w:sz="0" w:space="0" w:color="auto"/>
        <w:right w:val="none" w:sz="0" w:space="0" w:color="auto"/>
      </w:divBdr>
    </w:div>
    <w:div w:id="766971428">
      <w:marLeft w:val="640"/>
      <w:marRight w:val="0"/>
      <w:marTop w:val="0"/>
      <w:marBottom w:val="0"/>
      <w:divBdr>
        <w:top w:val="none" w:sz="0" w:space="0" w:color="auto"/>
        <w:left w:val="none" w:sz="0" w:space="0" w:color="auto"/>
        <w:bottom w:val="none" w:sz="0" w:space="0" w:color="auto"/>
        <w:right w:val="none" w:sz="0" w:space="0" w:color="auto"/>
      </w:divBdr>
    </w:div>
    <w:div w:id="773482712">
      <w:marLeft w:val="640"/>
      <w:marRight w:val="0"/>
      <w:marTop w:val="0"/>
      <w:marBottom w:val="0"/>
      <w:divBdr>
        <w:top w:val="none" w:sz="0" w:space="0" w:color="auto"/>
        <w:left w:val="none" w:sz="0" w:space="0" w:color="auto"/>
        <w:bottom w:val="none" w:sz="0" w:space="0" w:color="auto"/>
        <w:right w:val="none" w:sz="0" w:space="0" w:color="auto"/>
      </w:divBdr>
    </w:div>
    <w:div w:id="778373544">
      <w:marLeft w:val="640"/>
      <w:marRight w:val="0"/>
      <w:marTop w:val="0"/>
      <w:marBottom w:val="0"/>
      <w:divBdr>
        <w:top w:val="none" w:sz="0" w:space="0" w:color="auto"/>
        <w:left w:val="none" w:sz="0" w:space="0" w:color="auto"/>
        <w:bottom w:val="none" w:sz="0" w:space="0" w:color="auto"/>
        <w:right w:val="none" w:sz="0" w:space="0" w:color="auto"/>
      </w:divBdr>
    </w:div>
    <w:div w:id="778450236">
      <w:marLeft w:val="640"/>
      <w:marRight w:val="0"/>
      <w:marTop w:val="0"/>
      <w:marBottom w:val="0"/>
      <w:divBdr>
        <w:top w:val="none" w:sz="0" w:space="0" w:color="auto"/>
        <w:left w:val="none" w:sz="0" w:space="0" w:color="auto"/>
        <w:bottom w:val="none" w:sz="0" w:space="0" w:color="auto"/>
        <w:right w:val="none" w:sz="0" w:space="0" w:color="auto"/>
      </w:divBdr>
    </w:div>
    <w:div w:id="781538492">
      <w:marLeft w:val="640"/>
      <w:marRight w:val="0"/>
      <w:marTop w:val="0"/>
      <w:marBottom w:val="0"/>
      <w:divBdr>
        <w:top w:val="none" w:sz="0" w:space="0" w:color="auto"/>
        <w:left w:val="none" w:sz="0" w:space="0" w:color="auto"/>
        <w:bottom w:val="none" w:sz="0" w:space="0" w:color="auto"/>
        <w:right w:val="none" w:sz="0" w:space="0" w:color="auto"/>
      </w:divBdr>
    </w:div>
    <w:div w:id="790171104">
      <w:marLeft w:val="640"/>
      <w:marRight w:val="0"/>
      <w:marTop w:val="0"/>
      <w:marBottom w:val="0"/>
      <w:divBdr>
        <w:top w:val="none" w:sz="0" w:space="0" w:color="auto"/>
        <w:left w:val="none" w:sz="0" w:space="0" w:color="auto"/>
        <w:bottom w:val="none" w:sz="0" w:space="0" w:color="auto"/>
        <w:right w:val="none" w:sz="0" w:space="0" w:color="auto"/>
      </w:divBdr>
    </w:div>
    <w:div w:id="799617458">
      <w:marLeft w:val="640"/>
      <w:marRight w:val="0"/>
      <w:marTop w:val="0"/>
      <w:marBottom w:val="0"/>
      <w:divBdr>
        <w:top w:val="none" w:sz="0" w:space="0" w:color="auto"/>
        <w:left w:val="none" w:sz="0" w:space="0" w:color="auto"/>
        <w:bottom w:val="none" w:sz="0" w:space="0" w:color="auto"/>
        <w:right w:val="none" w:sz="0" w:space="0" w:color="auto"/>
      </w:divBdr>
    </w:div>
    <w:div w:id="799761933">
      <w:marLeft w:val="640"/>
      <w:marRight w:val="0"/>
      <w:marTop w:val="0"/>
      <w:marBottom w:val="0"/>
      <w:divBdr>
        <w:top w:val="none" w:sz="0" w:space="0" w:color="auto"/>
        <w:left w:val="none" w:sz="0" w:space="0" w:color="auto"/>
        <w:bottom w:val="none" w:sz="0" w:space="0" w:color="auto"/>
        <w:right w:val="none" w:sz="0" w:space="0" w:color="auto"/>
      </w:divBdr>
    </w:div>
    <w:div w:id="807624969">
      <w:marLeft w:val="640"/>
      <w:marRight w:val="0"/>
      <w:marTop w:val="0"/>
      <w:marBottom w:val="0"/>
      <w:divBdr>
        <w:top w:val="none" w:sz="0" w:space="0" w:color="auto"/>
        <w:left w:val="none" w:sz="0" w:space="0" w:color="auto"/>
        <w:bottom w:val="none" w:sz="0" w:space="0" w:color="auto"/>
        <w:right w:val="none" w:sz="0" w:space="0" w:color="auto"/>
      </w:divBdr>
    </w:div>
    <w:div w:id="807671762">
      <w:marLeft w:val="640"/>
      <w:marRight w:val="0"/>
      <w:marTop w:val="0"/>
      <w:marBottom w:val="0"/>
      <w:divBdr>
        <w:top w:val="none" w:sz="0" w:space="0" w:color="auto"/>
        <w:left w:val="none" w:sz="0" w:space="0" w:color="auto"/>
        <w:bottom w:val="none" w:sz="0" w:space="0" w:color="auto"/>
        <w:right w:val="none" w:sz="0" w:space="0" w:color="auto"/>
      </w:divBdr>
    </w:div>
    <w:div w:id="808060012">
      <w:marLeft w:val="640"/>
      <w:marRight w:val="0"/>
      <w:marTop w:val="0"/>
      <w:marBottom w:val="0"/>
      <w:divBdr>
        <w:top w:val="none" w:sz="0" w:space="0" w:color="auto"/>
        <w:left w:val="none" w:sz="0" w:space="0" w:color="auto"/>
        <w:bottom w:val="none" w:sz="0" w:space="0" w:color="auto"/>
        <w:right w:val="none" w:sz="0" w:space="0" w:color="auto"/>
      </w:divBdr>
    </w:div>
    <w:div w:id="808548774">
      <w:marLeft w:val="640"/>
      <w:marRight w:val="0"/>
      <w:marTop w:val="0"/>
      <w:marBottom w:val="0"/>
      <w:divBdr>
        <w:top w:val="none" w:sz="0" w:space="0" w:color="auto"/>
        <w:left w:val="none" w:sz="0" w:space="0" w:color="auto"/>
        <w:bottom w:val="none" w:sz="0" w:space="0" w:color="auto"/>
        <w:right w:val="none" w:sz="0" w:space="0" w:color="auto"/>
      </w:divBdr>
    </w:div>
    <w:div w:id="808673583">
      <w:marLeft w:val="640"/>
      <w:marRight w:val="0"/>
      <w:marTop w:val="0"/>
      <w:marBottom w:val="0"/>
      <w:divBdr>
        <w:top w:val="none" w:sz="0" w:space="0" w:color="auto"/>
        <w:left w:val="none" w:sz="0" w:space="0" w:color="auto"/>
        <w:bottom w:val="none" w:sz="0" w:space="0" w:color="auto"/>
        <w:right w:val="none" w:sz="0" w:space="0" w:color="auto"/>
      </w:divBdr>
    </w:div>
    <w:div w:id="809707337">
      <w:marLeft w:val="640"/>
      <w:marRight w:val="0"/>
      <w:marTop w:val="0"/>
      <w:marBottom w:val="0"/>
      <w:divBdr>
        <w:top w:val="none" w:sz="0" w:space="0" w:color="auto"/>
        <w:left w:val="none" w:sz="0" w:space="0" w:color="auto"/>
        <w:bottom w:val="none" w:sz="0" w:space="0" w:color="auto"/>
        <w:right w:val="none" w:sz="0" w:space="0" w:color="auto"/>
      </w:divBdr>
    </w:div>
    <w:div w:id="812605977">
      <w:marLeft w:val="640"/>
      <w:marRight w:val="0"/>
      <w:marTop w:val="0"/>
      <w:marBottom w:val="0"/>
      <w:divBdr>
        <w:top w:val="none" w:sz="0" w:space="0" w:color="auto"/>
        <w:left w:val="none" w:sz="0" w:space="0" w:color="auto"/>
        <w:bottom w:val="none" w:sz="0" w:space="0" w:color="auto"/>
        <w:right w:val="none" w:sz="0" w:space="0" w:color="auto"/>
      </w:divBdr>
    </w:div>
    <w:div w:id="813065227">
      <w:marLeft w:val="640"/>
      <w:marRight w:val="0"/>
      <w:marTop w:val="0"/>
      <w:marBottom w:val="0"/>
      <w:divBdr>
        <w:top w:val="none" w:sz="0" w:space="0" w:color="auto"/>
        <w:left w:val="none" w:sz="0" w:space="0" w:color="auto"/>
        <w:bottom w:val="none" w:sz="0" w:space="0" w:color="auto"/>
        <w:right w:val="none" w:sz="0" w:space="0" w:color="auto"/>
      </w:divBdr>
    </w:div>
    <w:div w:id="814759968">
      <w:marLeft w:val="640"/>
      <w:marRight w:val="0"/>
      <w:marTop w:val="0"/>
      <w:marBottom w:val="0"/>
      <w:divBdr>
        <w:top w:val="none" w:sz="0" w:space="0" w:color="auto"/>
        <w:left w:val="none" w:sz="0" w:space="0" w:color="auto"/>
        <w:bottom w:val="none" w:sz="0" w:space="0" w:color="auto"/>
        <w:right w:val="none" w:sz="0" w:space="0" w:color="auto"/>
      </w:divBdr>
    </w:div>
    <w:div w:id="817380944">
      <w:marLeft w:val="640"/>
      <w:marRight w:val="0"/>
      <w:marTop w:val="0"/>
      <w:marBottom w:val="0"/>
      <w:divBdr>
        <w:top w:val="none" w:sz="0" w:space="0" w:color="auto"/>
        <w:left w:val="none" w:sz="0" w:space="0" w:color="auto"/>
        <w:bottom w:val="none" w:sz="0" w:space="0" w:color="auto"/>
        <w:right w:val="none" w:sz="0" w:space="0" w:color="auto"/>
      </w:divBdr>
    </w:div>
    <w:div w:id="820344490">
      <w:marLeft w:val="640"/>
      <w:marRight w:val="0"/>
      <w:marTop w:val="0"/>
      <w:marBottom w:val="0"/>
      <w:divBdr>
        <w:top w:val="none" w:sz="0" w:space="0" w:color="auto"/>
        <w:left w:val="none" w:sz="0" w:space="0" w:color="auto"/>
        <w:bottom w:val="none" w:sz="0" w:space="0" w:color="auto"/>
        <w:right w:val="none" w:sz="0" w:space="0" w:color="auto"/>
      </w:divBdr>
    </w:div>
    <w:div w:id="823281086">
      <w:marLeft w:val="640"/>
      <w:marRight w:val="0"/>
      <w:marTop w:val="0"/>
      <w:marBottom w:val="0"/>
      <w:divBdr>
        <w:top w:val="none" w:sz="0" w:space="0" w:color="auto"/>
        <w:left w:val="none" w:sz="0" w:space="0" w:color="auto"/>
        <w:bottom w:val="none" w:sz="0" w:space="0" w:color="auto"/>
        <w:right w:val="none" w:sz="0" w:space="0" w:color="auto"/>
      </w:divBdr>
    </w:div>
    <w:div w:id="825783993">
      <w:marLeft w:val="640"/>
      <w:marRight w:val="0"/>
      <w:marTop w:val="0"/>
      <w:marBottom w:val="0"/>
      <w:divBdr>
        <w:top w:val="none" w:sz="0" w:space="0" w:color="auto"/>
        <w:left w:val="none" w:sz="0" w:space="0" w:color="auto"/>
        <w:bottom w:val="none" w:sz="0" w:space="0" w:color="auto"/>
        <w:right w:val="none" w:sz="0" w:space="0" w:color="auto"/>
      </w:divBdr>
    </w:div>
    <w:div w:id="826554141">
      <w:marLeft w:val="640"/>
      <w:marRight w:val="0"/>
      <w:marTop w:val="0"/>
      <w:marBottom w:val="0"/>
      <w:divBdr>
        <w:top w:val="none" w:sz="0" w:space="0" w:color="auto"/>
        <w:left w:val="none" w:sz="0" w:space="0" w:color="auto"/>
        <w:bottom w:val="none" w:sz="0" w:space="0" w:color="auto"/>
        <w:right w:val="none" w:sz="0" w:space="0" w:color="auto"/>
      </w:divBdr>
    </w:div>
    <w:div w:id="831406205">
      <w:marLeft w:val="640"/>
      <w:marRight w:val="0"/>
      <w:marTop w:val="0"/>
      <w:marBottom w:val="0"/>
      <w:divBdr>
        <w:top w:val="none" w:sz="0" w:space="0" w:color="auto"/>
        <w:left w:val="none" w:sz="0" w:space="0" w:color="auto"/>
        <w:bottom w:val="none" w:sz="0" w:space="0" w:color="auto"/>
        <w:right w:val="none" w:sz="0" w:space="0" w:color="auto"/>
      </w:divBdr>
    </w:div>
    <w:div w:id="833491570">
      <w:marLeft w:val="640"/>
      <w:marRight w:val="0"/>
      <w:marTop w:val="0"/>
      <w:marBottom w:val="0"/>
      <w:divBdr>
        <w:top w:val="none" w:sz="0" w:space="0" w:color="auto"/>
        <w:left w:val="none" w:sz="0" w:space="0" w:color="auto"/>
        <w:bottom w:val="none" w:sz="0" w:space="0" w:color="auto"/>
        <w:right w:val="none" w:sz="0" w:space="0" w:color="auto"/>
      </w:divBdr>
    </w:div>
    <w:div w:id="838887541">
      <w:marLeft w:val="640"/>
      <w:marRight w:val="0"/>
      <w:marTop w:val="0"/>
      <w:marBottom w:val="0"/>
      <w:divBdr>
        <w:top w:val="none" w:sz="0" w:space="0" w:color="auto"/>
        <w:left w:val="none" w:sz="0" w:space="0" w:color="auto"/>
        <w:bottom w:val="none" w:sz="0" w:space="0" w:color="auto"/>
        <w:right w:val="none" w:sz="0" w:space="0" w:color="auto"/>
      </w:divBdr>
    </w:div>
    <w:div w:id="839386975">
      <w:marLeft w:val="640"/>
      <w:marRight w:val="0"/>
      <w:marTop w:val="0"/>
      <w:marBottom w:val="0"/>
      <w:divBdr>
        <w:top w:val="none" w:sz="0" w:space="0" w:color="auto"/>
        <w:left w:val="none" w:sz="0" w:space="0" w:color="auto"/>
        <w:bottom w:val="none" w:sz="0" w:space="0" w:color="auto"/>
        <w:right w:val="none" w:sz="0" w:space="0" w:color="auto"/>
      </w:divBdr>
    </w:div>
    <w:div w:id="853760639">
      <w:marLeft w:val="640"/>
      <w:marRight w:val="0"/>
      <w:marTop w:val="0"/>
      <w:marBottom w:val="0"/>
      <w:divBdr>
        <w:top w:val="none" w:sz="0" w:space="0" w:color="auto"/>
        <w:left w:val="none" w:sz="0" w:space="0" w:color="auto"/>
        <w:bottom w:val="none" w:sz="0" w:space="0" w:color="auto"/>
        <w:right w:val="none" w:sz="0" w:space="0" w:color="auto"/>
      </w:divBdr>
    </w:div>
    <w:div w:id="853962396">
      <w:marLeft w:val="640"/>
      <w:marRight w:val="0"/>
      <w:marTop w:val="0"/>
      <w:marBottom w:val="0"/>
      <w:divBdr>
        <w:top w:val="none" w:sz="0" w:space="0" w:color="auto"/>
        <w:left w:val="none" w:sz="0" w:space="0" w:color="auto"/>
        <w:bottom w:val="none" w:sz="0" w:space="0" w:color="auto"/>
        <w:right w:val="none" w:sz="0" w:space="0" w:color="auto"/>
      </w:divBdr>
    </w:div>
    <w:div w:id="858541973">
      <w:marLeft w:val="640"/>
      <w:marRight w:val="0"/>
      <w:marTop w:val="0"/>
      <w:marBottom w:val="0"/>
      <w:divBdr>
        <w:top w:val="none" w:sz="0" w:space="0" w:color="auto"/>
        <w:left w:val="none" w:sz="0" w:space="0" w:color="auto"/>
        <w:bottom w:val="none" w:sz="0" w:space="0" w:color="auto"/>
        <w:right w:val="none" w:sz="0" w:space="0" w:color="auto"/>
      </w:divBdr>
    </w:div>
    <w:div w:id="860775400">
      <w:marLeft w:val="640"/>
      <w:marRight w:val="0"/>
      <w:marTop w:val="0"/>
      <w:marBottom w:val="0"/>
      <w:divBdr>
        <w:top w:val="none" w:sz="0" w:space="0" w:color="auto"/>
        <w:left w:val="none" w:sz="0" w:space="0" w:color="auto"/>
        <w:bottom w:val="none" w:sz="0" w:space="0" w:color="auto"/>
        <w:right w:val="none" w:sz="0" w:space="0" w:color="auto"/>
      </w:divBdr>
    </w:div>
    <w:div w:id="862206674">
      <w:marLeft w:val="640"/>
      <w:marRight w:val="0"/>
      <w:marTop w:val="0"/>
      <w:marBottom w:val="0"/>
      <w:divBdr>
        <w:top w:val="none" w:sz="0" w:space="0" w:color="auto"/>
        <w:left w:val="none" w:sz="0" w:space="0" w:color="auto"/>
        <w:bottom w:val="none" w:sz="0" w:space="0" w:color="auto"/>
        <w:right w:val="none" w:sz="0" w:space="0" w:color="auto"/>
      </w:divBdr>
    </w:div>
    <w:div w:id="869298261">
      <w:marLeft w:val="640"/>
      <w:marRight w:val="0"/>
      <w:marTop w:val="0"/>
      <w:marBottom w:val="0"/>
      <w:divBdr>
        <w:top w:val="none" w:sz="0" w:space="0" w:color="auto"/>
        <w:left w:val="none" w:sz="0" w:space="0" w:color="auto"/>
        <w:bottom w:val="none" w:sz="0" w:space="0" w:color="auto"/>
        <w:right w:val="none" w:sz="0" w:space="0" w:color="auto"/>
      </w:divBdr>
    </w:div>
    <w:div w:id="870461668">
      <w:marLeft w:val="640"/>
      <w:marRight w:val="0"/>
      <w:marTop w:val="0"/>
      <w:marBottom w:val="0"/>
      <w:divBdr>
        <w:top w:val="none" w:sz="0" w:space="0" w:color="auto"/>
        <w:left w:val="none" w:sz="0" w:space="0" w:color="auto"/>
        <w:bottom w:val="none" w:sz="0" w:space="0" w:color="auto"/>
        <w:right w:val="none" w:sz="0" w:space="0" w:color="auto"/>
      </w:divBdr>
    </w:div>
    <w:div w:id="870999841">
      <w:marLeft w:val="640"/>
      <w:marRight w:val="0"/>
      <w:marTop w:val="0"/>
      <w:marBottom w:val="0"/>
      <w:divBdr>
        <w:top w:val="none" w:sz="0" w:space="0" w:color="auto"/>
        <w:left w:val="none" w:sz="0" w:space="0" w:color="auto"/>
        <w:bottom w:val="none" w:sz="0" w:space="0" w:color="auto"/>
        <w:right w:val="none" w:sz="0" w:space="0" w:color="auto"/>
      </w:divBdr>
    </w:div>
    <w:div w:id="873887214">
      <w:marLeft w:val="640"/>
      <w:marRight w:val="0"/>
      <w:marTop w:val="0"/>
      <w:marBottom w:val="0"/>
      <w:divBdr>
        <w:top w:val="none" w:sz="0" w:space="0" w:color="auto"/>
        <w:left w:val="none" w:sz="0" w:space="0" w:color="auto"/>
        <w:bottom w:val="none" w:sz="0" w:space="0" w:color="auto"/>
        <w:right w:val="none" w:sz="0" w:space="0" w:color="auto"/>
      </w:divBdr>
    </w:div>
    <w:div w:id="876357863">
      <w:marLeft w:val="640"/>
      <w:marRight w:val="0"/>
      <w:marTop w:val="0"/>
      <w:marBottom w:val="0"/>
      <w:divBdr>
        <w:top w:val="none" w:sz="0" w:space="0" w:color="auto"/>
        <w:left w:val="none" w:sz="0" w:space="0" w:color="auto"/>
        <w:bottom w:val="none" w:sz="0" w:space="0" w:color="auto"/>
        <w:right w:val="none" w:sz="0" w:space="0" w:color="auto"/>
      </w:divBdr>
    </w:div>
    <w:div w:id="882133703">
      <w:marLeft w:val="640"/>
      <w:marRight w:val="0"/>
      <w:marTop w:val="0"/>
      <w:marBottom w:val="0"/>
      <w:divBdr>
        <w:top w:val="none" w:sz="0" w:space="0" w:color="auto"/>
        <w:left w:val="none" w:sz="0" w:space="0" w:color="auto"/>
        <w:bottom w:val="none" w:sz="0" w:space="0" w:color="auto"/>
        <w:right w:val="none" w:sz="0" w:space="0" w:color="auto"/>
      </w:divBdr>
    </w:div>
    <w:div w:id="886724437">
      <w:marLeft w:val="640"/>
      <w:marRight w:val="0"/>
      <w:marTop w:val="0"/>
      <w:marBottom w:val="0"/>
      <w:divBdr>
        <w:top w:val="none" w:sz="0" w:space="0" w:color="auto"/>
        <w:left w:val="none" w:sz="0" w:space="0" w:color="auto"/>
        <w:bottom w:val="none" w:sz="0" w:space="0" w:color="auto"/>
        <w:right w:val="none" w:sz="0" w:space="0" w:color="auto"/>
      </w:divBdr>
    </w:div>
    <w:div w:id="889341436">
      <w:marLeft w:val="640"/>
      <w:marRight w:val="0"/>
      <w:marTop w:val="0"/>
      <w:marBottom w:val="0"/>
      <w:divBdr>
        <w:top w:val="none" w:sz="0" w:space="0" w:color="auto"/>
        <w:left w:val="none" w:sz="0" w:space="0" w:color="auto"/>
        <w:bottom w:val="none" w:sz="0" w:space="0" w:color="auto"/>
        <w:right w:val="none" w:sz="0" w:space="0" w:color="auto"/>
      </w:divBdr>
    </w:div>
    <w:div w:id="890962839">
      <w:marLeft w:val="640"/>
      <w:marRight w:val="0"/>
      <w:marTop w:val="0"/>
      <w:marBottom w:val="0"/>
      <w:divBdr>
        <w:top w:val="none" w:sz="0" w:space="0" w:color="auto"/>
        <w:left w:val="none" w:sz="0" w:space="0" w:color="auto"/>
        <w:bottom w:val="none" w:sz="0" w:space="0" w:color="auto"/>
        <w:right w:val="none" w:sz="0" w:space="0" w:color="auto"/>
      </w:divBdr>
    </w:div>
    <w:div w:id="891843448">
      <w:marLeft w:val="640"/>
      <w:marRight w:val="0"/>
      <w:marTop w:val="0"/>
      <w:marBottom w:val="0"/>
      <w:divBdr>
        <w:top w:val="none" w:sz="0" w:space="0" w:color="auto"/>
        <w:left w:val="none" w:sz="0" w:space="0" w:color="auto"/>
        <w:bottom w:val="none" w:sz="0" w:space="0" w:color="auto"/>
        <w:right w:val="none" w:sz="0" w:space="0" w:color="auto"/>
      </w:divBdr>
    </w:div>
    <w:div w:id="894007593">
      <w:marLeft w:val="640"/>
      <w:marRight w:val="0"/>
      <w:marTop w:val="0"/>
      <w:marBottom w:val="0"/>
      <w:divBdr>
        <w:top w:val="none" w:sz="0" w:space="0" w:color="auto"/>
        <w:left w:val="none" w:sz="0" w:space="0" w:color="auto"/>
        <w:bottom w:val="none" w:sz="0" w:space="0" w:color="auto"/>
        <w:right w:val="none" w:sz="0" w:space="0" w:color="auto"/>
      </w:divBdr>
    </w:div>
    <w:div w:id="906577636">
      <w:marLeft w:val="640"/>
      <w:marRight w:val="0"/>
      <w:marTop w:val="0"/>
      <w:marBottom w:val="0"/>
      <w:divBdr>
        <w:top w:val="none" w:sz="0" w:space="0" w:color="auto"/>
        <w:left w:val="none" w:sz="0" w:space="0" w:color="auto"/>
        <w:bottom w:val="none" w:sz="0" w:space="0" w:color="auto"/>
        <w:right w:val="none" w:sz="0" w:space="0" w:color="auto"/>
      </w:divBdr>
    </w:div>
    <w:div w:id="912273153">
      <w:marLeft w:val="640"/>
      <w:marRight w:val="0"/>
      <w:marTop w:val="0"/>
      <w:marBottom w:val="0"/>
      <w:divBdr>
        <w:top w:val="none" w:sz="0" w:space="0" w:color="auto"/>
        <w:left w:val="none" w:sz="0" w:space="0" w:color="auto"/>
        <w:bottom w:val="none" w:sz="0" w:space="0" w:color="auto"/>
        <w:right w:val="none" w:sz="0" w:space="0" w:color="auto"/>
      </w:divBdr>
    </w:div>
    <w:div w:id="919339387">
      <w:marLeft w:val="640"/>
      <w:marRight w:val="0"/>
      <w:marTop w:val="0"/>
      <w:marBottom w:val="0"/>
      <w:divBdr>
        <w:top w:val="none" w:sz="0" w:space="0" w:color="auto"/>
        <w:left w:val="none" w:sz="0" w:space="0" w:color="auto"/>
        <w:bottom w:val="none" w:sz="0" w:space="0" w:color="auto"/>
        <w:right w:val="none" w:sz="0" w:space="0" w:color="auto"/>
      </w:divBdr>
    </w:div>
    <w:div w:id="920873358">
      <w:marLeft w:val="640"/>
      <w:marRight w:val="0"/>
      <w:marTop w:val="0"/>
      <w:marBottom w:val="0"/>
      <w:divBdr>
        <w:top w:val="none" w:sz="0" w:space="0" w:color="auto"/>
        <w:left w:val="none" w:sz="0" w:space="0" w:color="auto"/>
        <w:bottom w:val="none" w:sz="0" w:space="0" w:color="auto"/>
        <w:right w:val="none" w:sz="0" w:space="0" w:color="auto"/>
      </w:divBdr>
    </w:div>
    <w:div w:id="932662021">
      <w:marLeft w:val="640"/>
      <w:marRight w:val="0"/>
      <w:marTop w:val="0"/>
      <w:marBottom w:val="0"/>
      <w:divBdr>
        <w:top w:val="none" w:sz="0" w:space="0" w:color="auto"/>
        <w:left w:val="none" w:sz="0" w:space="0" w:color="auto"/>
        <w:bottom w:val="none" w:sz="0" w:space="0" w:color="auto"/>
        <w:right w:val="none" w:sz="0" w:space="0" w:color="auto"/>
      </w:divBdr>
    </w:div>
    <w:div w:id="937832403">
      <w:marLeft w:val="640"/>
      <w:marRight w:val="0"/>
      <w:marTop w:val="0"/>
      <w:marBottom w:val="0"/>
      <w:divBdr>
        <w:top w:val="none" w:sz="0" w:space="0" w:color="auto"/>
        <w:left w:val="none" w:sz="0" w:space="0" w:color="auto"/>
        <w:bottom w:val="none" w:sz="0" w:space="0" w:color="auto"/>
        <w:right w:val="none" w:sz="0" w:space="0" w:color="auto"/>
      </w:divBdr>
    </w:div>
    <w:div w:id="938491941">
      <w:marLeft w:val="640"/>
      <w:marRight w:val="0"/>
      <w:marTop w:val="0"/>
      <w:marBottom w:val="0"/>
      <w:divBdr>
        <w:top w:val="none" w:sz="0" w:space="0" w:color="auto"/>
        <w:left w:val="none" w:sz="0" w:space="0" w:color="auto"/>
        <w:bottom w:val="none" w:sz="0" w:space="0" w:color="auto"/>
        <w:right w:val="none" w:sz="0" w:space="0" w:color="auto"/>
      </w:divBdr>
    </w:div>
    <w:div w:id="946691946">
      <w:marLeft w:val="640"/>
      <w:marRight w:val="0"/>
      <w:marTop w:val="0"/>
      <w:marBottom w:val="0"/>
      <w:divBdr>
        <w:top w:val="none" w:sz="0" w:space="0" w:color="auto"/>
        <w:left w:val="none" w:sz="0" w:space="0" w:color="auto"/>
        <w:bottom w:val="none" w:sz="0" w:space="0" w:color="auto"/>
        <w:right w:val="none" w:sz="0" w:space="0" w:color="auto"/>
      </w:divBdr>
    </w:div>
    <w:div w:id="948389145">
      <w:marLeft w:val="640"/>
      <w:marRight w:val="0"/>
      <w:marTop w:val="0"/>
      <w:marBottom w:val="0"/>
      <w:divBdr>
        <w:top w:val="none" w:sz="0" w:space="0" w:color="auto"/>
        <w:left w:val="none" w:sz="0" w:space="0" w:color="auto"/>
        <w:bottom w:val="none" w:sz="0" w:space="0" w:color="auto"/>
        <w:right w:val="none" w:sz="0" w:space="0" w:color="auto"/>
      </w:divBdr>
    </w:div>
    <w:div w:id="948513670">
      <w:marLeft w:val="640"/>
      <w:marRight w:val="0"/>
      <w:marTop w:val="0"/>
      <w:marBottom w:val="0"/>
      <w:divBdr>
        <w:top w:val="none" w:sz="0" w:space="0" w:color="auto"/>
        <w:left w:val="none" w:sz="0" w:space="0" w:color="auto"/>
        <w:bottom w:val="none" w:sz="0" w:space="0" w:color="auto"/>
        <w:right w:val="none" w:sz="0" w:space="0" w:color="auto"/>
      </w:divBdr>
    </w:div>
    <w:div w:id="949092841">
      <w:marLeft w:val="640"/>
      <w:marRight w:val="0"/>
      <w:marTop w:val="0"/>
      <w:marBottom w:val="0"/>
      <w:divBdr>
        <w:top w:val="none" w:sz="0" w:space="0" w:color="auto"/>
        <w:left w:val="none" w:sz="0" w:space="0" w:color="auto"/>
        <w:bottom w:val="none" w:sz="0" w:space="0" w:color="auto"/>
        <w:right w:val="none" w:sz="0" w:space="0" w:color="auto"/>
      </w:divBdr>
    </w:div>
    <w:div w:id="952711229">
      <w:marLeft w:val="640"/>
      <w:marRight w:val="0"/>
      <w:marTop w:val="0"/>
      <w:marBottom w:val="0"/>
      <w:divBdr>
        <w:top w:val="none" w:sz="0" w:space="0" w:color="auto"/>
        <w:left w:val="none" w:sz="0" w:space="0" w:color="auto"/>
        <w:bottom w:val="none" w:sz="0" w:space="0" w:color="auto"/>
        <w:right w:val="none" w:sz="0" w:space="0" w:color="auto"/>
      </w:divBdr>
    </w:div>
    <w:div w:id="955790399">
      <w:marLeft w:val="640"/>
      <w:marRight w:val="0"/>
      <w:marTop w:val="0"/>
      <w:marBottom w:val="0"/>
      <w:divBdr>
        <w:top w:val="none" w:sz="0" w:space="0" w:color="auto"/>
        <w:left w:val="none" w:sz="0" w:space="0" w:color="auto"/>
        <w:bottom w:val="none" w:sz="0" w:space="0" w:color="auto"/>
        <w:right w:val="none" w:sz="0" w:space="0" w:color="auto"/>
      </w:divBdr>
    </w:div>
    <w:div w:id="963119198">
      <w:marLeft w:val="640"/>
      <w:marRight w:val="0"/>
      <w:marTop w:val="0"/>
      <w:marBottom w:val="0"/>
      <w:divBdr>
        <w:top w:val="none" w:sz="0" w:space="0" w:color="auto"/>
        <w:left w:val="none" w:sz="0" w:space="0" w:color="auto"/>
        <w:bottom w:val="none" w:sz="0" w:space="0" w:color="auto"/>
        <w:right w:val="none" w:sz="0" w:space="0" w:color="auto"/>
      </w:divBdr>
    </w:div>
    <w:div w:id="967050100">
      <w:marLeft w:val="640"/>
      <w:marRight w:val="0"/>
      <w:marTop w:val="0"/>
      <w:marBottom w:val="0"/>
      <w:divBdr>
        <w:top w:val="none" w:sz="0" w:space="0" w:color="auto"/>
        <w:left w:val="none" w:sz="0" w:space="0" w:color="auto"/>
        <w:bottom w:val="none" w:sz="0" w:space="0" w:color="auto"/>
        <w:right w:val="none" w:sz="0" w:space="0" w:color="auto"/>
      </w:divBdr>
    </w:div>
    <w:div w:id="969089482">
      <w:marLeft w:val="640"/>
      <w:marRight w:val="0"/>
      <w:marTop w:val="0"/>
      <w:marBottom w:val="0"/>
      <w:divBdr>
        <w:top w:val="none" w:sz="0" w:space="0" w:color="auto"/>
        <w:left w:val="none" w:sz="0" w:space="0" w:color="auto"/>
        <w:bottom w:val="none" w:sz="0" w:space="0" w:color="auto"/>
        <w:right w:val="none" w:sz="0" w:space="0" w:color="auto"/>
      </w:divBdr>
    </w:div>
    <w:div w:id="969558378">
      <w:marLeft w:val="640"/>
      <w:marRight w:val="0"/>
      <w:marTop w:val="0"/>
      <w:marBottom w:val="0"/>
      <w:divBdr>
        <w:top w:val="none" w:sz="0" w:space="0" w:color="auto"/>
        <w:left w:val="none" w:sz="0" w:space="0" w:color="auto"/>
        <w:bottom w:val="none" w:sz="0" w:space="0" w:color="auto"/>
        <w:right w:val="none" w:sz="0" w:space="0" w:color="auto"/>
      </w:divBdr>
    </w:div>
    <w:div w:id="969943974">
      <w:marLeft w:val="640"/>
      <w:marRight w:val="0"/>
      <w:marTop w:val="0"/>
      <w:marBottom w:val="0"/>
      <w:divBdr>
        <w:top w:val="none" w:sz="0" w:space="0" w:color="auto"/>
        <w:left w:val="none" w:sz="0" w:space="0" w:color="auto"/>
        <w:bottom w:val="none" w:sz="0" w:space="0" w:color="auto"/>
        <w:right w:val="none" w:sz="0" w:space="0" w:color="auto"/>
      </w:divBdr>
    </w:div>
    <w:div w:id="971907132">
      <w:marLeft w:val="640"/>
      <w:marRight w:val="0"/>
      <w:marTop w:val="0"/>
      <w:marBottom w:val="0"/>
      <w:divBdr>
        <w:top w:val="none" w:sz="0" w:space="0" w:color="auto"/>
        <w:left w:val="none" w:sz="0" w:space="0" w:color="auto"/>
        <w:bottom w:val="none" w:sz="0" w:space="0" w:color="auto"/>
        <w:right w:val="none" w:sz="0" w:space="0" w:color="auto"/>
      </w:divBdr>
    </w:div>
    <w:div w:id="972253287">
      <w:marLeft w:val="640"/>
      <w:marRight w:val="0"/>
      <w:marTop w:val="0"/>
      <w:marBottom w:val="0"/>
      <w:divBdr>
        <w:top w:val="none" w:sz="0" w:space="0" w:color="auto"/>
        <w:left w:val="none" w:sz="0" w:space="0" w:color="auto"/>
        <w:bottom w:val="none" w:sz="0" w:space="0" w:color="auto"/>
        <w:right w:val="none" w:sz="0" w:space="0" w:color="auto"/>
      </w:divBdr>
    </w:div>
    <w:div w:id="980697871">
      <w:marLeft w:val="640"/>
      <w:marRight w:val="0"/>
      <w:marTop w:val="0"/>
      <w:marBottom w:val="0"/>
      <w:divBdr>
        <w:top w:val="none" w:sz="0" w:space="0" w:color="auto"/>
        <w:left w:val="none" w:sz="0" w:space="0" w:color="auto"/>
        <w:bottom w:val="none" w:sz="0" w:space="0" w:color="auto"/>
        <w:right w:val="none" w:sz="0" w:space="0" w:color="auto"/>
      </w:divBdr>
    </w:div>
    <w:div w:id="983198468">
      <w:marLeft w:val="640"/>
      <w:marRight w:val="0"/>
      <w:marTop w:val="0"/>
      <w:marBottom w:val="0"/>
      <w:divBdr>
        <w:top w:val="none" w:sz="0" w:space="0" w:color="auto"/>
        <w:left w:val="none" w:sz="0" w:space="0" w:color="auto"/>
        <w:bottom w:val="none" w:sz="0" w:space="0" w:color="auto"/>
        <w:right w:val="none" w:sz="0" w:space="0" w:color="auto"/>
      </w:divBdr>
    </w:div>
    <w:div w:id="989015696">
      <w:marLeft w:val="640"/>
      <w:marRight w:val="0"/>
      <w:marTop w:val="0"/>
      <w:marBottom w:val="0"/>
      <w:divBdr>
        <w:top w:val="none" w:sz="0" w:space="0" w:color="auto"/>
        <w:left w:val="none" w:sz="0" w:space="0" w:color="auto"/>
        <w:bottom w:val="none" w:sz="0" w:space="0" w:color="auto"/>
        <w:right w:val="none" w:sz="0" w:space="0" w:color="auto"/>
      </w:divBdr>
    </w:div>
    <w:div w:id="989141964">
      <w:marLeft w:val="640"/>
      <w:marRight w:val="0"/>
      <w:marTop w:val="0"/>
      <w:marBottom w:val="0"/>
      <w:divBdr>
        <w:top w:val="none" w:sz="0" w:space="0" w:color="auto"/>
        <w:left w:val="none" w:sz="0" w:space="0" w:color="auto"/>
        <w:bottom w:val="none" w:sz="0" w:space="0" w:color="auto"/>
        <w:right w:val="none" w:sz="0" w:space="0" w:color="auto"/>
      </w:divBdr>
    </w:div>
    <w:div w:id="992295888">
      <w:marLeft w:val="640"/>
      <w:marRight w:val="0"/>
      <w:marTop w:val="0"/>
      <w:marBottom w:val="0"/>
      <w:divBdr>
        <w:top w:val="none" w:sz="0" w:space="0" w:color="auto"/>
        <w:left w:val="none" w:sz="0" w:space="0" w:color="auto"/>
        <w:bottom w:val="none" w:sz="0" w:space="0" w:color="auto"/>
        <w:right w:val="none" w:sz="0" w:space="0" w:color="auto"/>
      </w:divBdr>
    </w:div>
    <w:div w:id="993677702">
      <w:marLeft w:val="640"/>
      <w:marRight w:val="0"/>
      <w:marTop w:val="0"/>
      <w:marBottom w:val="0"/>
      <w:divBdr>
        <w:top w:val="none" w:sz="0" w:space="0" w:color="auto"/>
        <w:left w:val="none" w:sz="0" w:space="0" w:color="auto"/>
        <w:bottom w:val="none" w:sz="0" w:space="0" w:color="auto"/>
        <w:right w:val="none" w:sz="0" w:space="0" w:color="auto"/>
      </w:divBdr>
    </w:div>
    <w:div w:id="993997479">
      <w:marLeft w:val="640"/>
      <w:marRight w:val="0"/>
      <w:marTop w:val="0"/>
      <w:marBottom w:val="0"/>
      <w:divBdr>
        <w:top w:val="none" w:sz="0" w:space="0" w:color="auto"/>
        <w:left w:val="none" w:sz="0" w:space="0" w:color="auto"/>
        <w:bottom w:val="none" w:sz="0" w:space="0" w:color="auto"/>
        <w:right w:val="none" w:sz="0" w:space="0" w:color="auto"/>
      </w:divBdr>
    </w:div>
    <w:div w:id="1001199724">
      <w:marLeft w:val="640"/>
      <w:marRight w:val="0"/>
      <w:marTop w:val="0"/>
      <w:marBottom w:val="0"/>
      <w:divBdr>
        <w:top w:val="none" w:sz="0" w:space="0" w:color="auto"/>
        <w:left w:val="none" w:sz="0" w:space="0" w:color="auto"/>
        <w:bottom w:val="none" w:sz="0" w:space="0" w:color="auto"/>
        <w:right w:val="none" w:sz="0" w:space="0" w:color="auto"/>
      </w:divBdr>
    </w:div>
    <w:div w:id="1003360370">
      <w:marLeft w:val="640"/>
      <w:marRight w:val="0"/>
      <w:marTop w:val="0"/>
      <w:marBottom w:val="0"/>
      <w:divBdr>
        <w:top w:val="none" w:sz="0" w:space="0" w:color="auto"/>
        <w:left w:val="none" w:sz="0" w:space="0" w:color="auto"/>
        <w:bottom w:val="none" w:sz="0" w:space="0" w:color="auto"/>
        <w:right w:val="none" w:sz="0" w:space="0" w:color="auto"/>
      </w:divBdr>
    </w:div>
    <w:div w:id="1003775932">
      <w:marLeft w:val="640"/>
      <w:marRight w:val="0"/>
      <w:marTop w:val="0"/>
      <w:marBottom w:val="0"/>
      <w:divBdr>
        <w:top w:val="none" w:sz="0" w:space="0" w:color="auto"/>
        <w:left w:val="none" w:sz="0" w:space="0" w:color="auto"/>
        <w:bottom w:val="none" w:sz="0" w:space="0" w:color="auto"/>
        <w:right w:val="none" w:sz="0" w:space="0" w:color="auto"/>
      </w:divBdr>
    </w:div>
    <w:div w:id="1007442183">
      <w:marLeft w:val="640"/>
      <w:marRight w:val="0"/>
      <w:marTop w:val="0"/>
      <w:marBottom w:val="0"/>
      <w:divBdr>
        <w:top w:val="none" w:sz="0" w:space="0" w:color="auto"/>
        <w:left w:val="none" w:sz="0" w:space="0" w:color="auto"/>
        <w:bottom w:val="none" w:sz="0" w:space="0" w:color="auto"/>
        <w:right w:val="none" w:sz="0" w:space="0" w:color="auto"/>
      </w:divBdr>
    </w:div>
    <w:div w:id="1030841645">
      <w:marLeft w:val="640"/>
      <w:marRight w:val="0"/>
      <w:marTop w:val="0"/>
      <w:marBottom w:val="0"/>
      <w:divBdr>
        <w:top w:val="none" w:sz="0" w:space="0" w:color="auto"/>
        <w:left w:val="none" w:sz="0" w:space="0" w:color="auto"/>
        <w:bottom w:val="none" w:sz="0" w:space="0" w:color="auto"/>
        <w:right w:val="none" w:sz="0" w:space="0" w:color="auto"/>
      </w:divBdr>
    </w:div>
    <w:div w:id="1032271178">
      <w:marLeft w:val="640"/>
      <w:marRight w:val="0"/>
      <w:marTop w:val="0"/>
      <w:marBottom w:val="0"/>
      <w:divBdr>
        <w:top w:val="none" w:sz="0" w:space="0" w:color="auto"/>
        <w:left w:val="none" w:sz="0" w:space="0" w:color="auto"/>
        <w:bottom w:val="none" w:sz="0" w:space="0" w:color="auto"/>
        <w:right w:val="none" w:sz="0" w:space="0" w:color="auto"/>
      </w:divBdr>
    </w:div>
    <w:div w:id="1034845307">
      <w:marLeft w:val="640"/>
      <w:marRight w:val="0"/>
      <w:marTop w:val="0"/>
      <w:marBottom w:val="0"/>
      <w:divBdr>
        <w:top w:val="none" w:sz="0" w:space="0" w:color="auto"/>
        <w:left w:val="none" w:sz="0" w:space="0" w:color="auto"/>
        <w:bottom w:val="none" w:sz="0" w:space="0" w:color="auto"/>
        <w:right w:val="none" w:sz="0" w:space="0" w:color="auto"/>
      </w:divBdr>
    </w:div>
    <w:div w:id="1034890121">
      <w:marLeft w:val="640"/>
      <w:marRight w:val="0"/>
      <w:marTop w:val="0"/>
      <w:marBottom w:val="0"/>
      <w:divBdr>
        <w:top w:val="none" w:sz="0" w:space="0" w:color="auto"/>
        <w:left w:val="none" w:sz="0" w:space="0" w:color="auto"/>
        <w:bottom w:val="none" w:sz="0" w:space="0" w:color="auto"/>
        <w:right w:val="none" w:sz="0" w:space="0" w:color="auto"/>
      </w:divBdr>
    </w:div>
    <w:div w:id="1035036627">
      <w:marLeft w:val="640"/>
      <w:marRight w:val="0"/>
      <w:marTop w:val="0"/>
      <w:marBottom w:val="0"/>
      <w:divBdr>
        <w:top w:val="none" w:sz="0" w:space="0" w:color="auto"/>
        <w:left w:val="none" w:sz="0" w:space="0" w:color="auto"/>
        <w:bottom w:val="none" w:sz="0" w:space="0" w:color="auto"/>
        <w:right w:val="none" w:sz="0" w:space="0" w:color="auto"/>
      </w:divBdr>
    </w:div>
    <w:div w:id="1035427280">
      <w:marLeft w:val="640"/>
      <w:marRight w:val="0"/>
      <w:marTop w:val="0"/>
      <w:marBottom w:val="0"/>
      <w:divBdr>
        <w:top w:val="none" w:sz="0" w:space="0" w:color="auto"/>
        <w:left w:val="none" w:sz="0" w:space="0" w:color="auto"/>
        <w:bottom w:val="none" w:sz="0" w:space="0" w:color="auto"/>
        <w:right w:val="none" w:sz="0" w:space="0" w:color="auto"/>
      </w:divBdr>
    </w:div>
    <w:div w:id="1038510525">
      <w:marLeft w:val="640"/>
      <w:marRight w:val="0"/>
      <w:marTop w:val="0"/>
      <w:marBottom w:val="0"/>
      <w:divBdr>
        <w:top w:val="none" w:sz="0" w:space="0" w:color="auto"/>
        <w:left w:val="none" w:sz="0" w:space="0" w:color="auto"/>
        <w:bottom w:val="none" w:sz="0" w:space="0" w:color="auto"/>
        <w:right w:val="none" w:sz="0" w:space="0" w:color="auto"/>
      </w:divBdr>
    </w:div>
    <w:div w:id="1044020084">
      <w:marLeft w:val="640"/>
      <w:marRight w:val="0"/>
      <w:marTop w:val="0"/>
      <w:marBottom w:val="0"/>
      <w:divBdr>
        <w:top w:val="none" w:sz="0" w:space="0" w:color="auto"/>
        <w:left w:val="none" w:sz="0" w:space="0" w:color="auto"/>
        <w:bottom w:val="none" w:sz="0" w:space="0" w:color="auto"/>
        <w:right w:val="none" w:sz="0" w:space="0" w:color="auto"/>
      </w:divBdr>
    </w:div>
    <w:div w:id="1046025049">
      <w:marLeft w:val="640"/>
      <w:marRight w:val="0"/>
      <w:marTop w:val="0"/>
      <w:marBottom w:val="0"/>
      <w:divBdr>
        <w:top w:val="none" w:sz="0" w:space="0" w:color="auto"/>
        <w:left w:val="none" w:sz="0" w:space="0" w:color="auto"/>
        <w:bottom w:val="none" w:sz="0" w:space="0" w:color="auto"/>
        <w:right w:val="none" w:sz="0" w:space="0" w:color="auto"/>
      </w:divBdr>
    </w:div>
    <w:div w:id="1048870319">
      <w:marLeft w:val="640"/>
      <w:marRight w:val="0"/>
      <w:marTop w:val="0"/>
      <w:marBottom w:val="0"/>
      <w:divBdr>
        <w:top w:val="none" w:sz="0" w:space="0" w:color="auto"/>
        <w:left w:val="none" w:sz="0" w:space="0" w:color="auto"/>
        <w:bottom w:val="none" w:sz="0" w:space="0" w:color="auto"/>
        <w:right w:val="none" w:sz="0" w:space="0" w:color="auto"/>
      </w:divBdr>
    </w:div>
    <w:div w:id="1050886556">
      <w:marLeft w:val="640"/>
      <w:marRight w:val="0"/>
      <w:marTop w:val="0"/>
      <w:marBottom w:val="0"/>
      <w:divBdr>
        <w:top w:val="none" w:sz="0" w:space="0" w:color="auto"/>
        <w:left w:val="none" w:sz="0" w:space="0" w:color="auto"/>
        <w:bottom w:val="none" w:sz="0" w:space="0" w:color="auto"/>
        <w:right w:val="none" w:sz="0" w:space="0" w:color="auto"/>
      </w:divBdr>
    </w:div>
    <w:div w:id="1051658212">
      <w:marLeft w:val="640"/>
      <w:marRight w:val="0"/>
      <w:marTop w:val="0"/>
      <w:marBottom w:val="0"/>
      <w:divBdr>
        <w:top w:val="none" w:sz="0" w:space="0" w:color="auto"/>
        <w:left w:val="none" w:sz="0" w:space="0" w:color="auto"/>
        <w:bottom w:val="none" w:sz="0" w:space="0" w:color="auto"/>
        <w:right w:val="none" w:sz="0" w:space="0" w:color="auto"/>
      </w:divBdr>
    </w:div>
    <w:div w:id="1063602493">
      <w:marLeft w:val="640"/>
      <w:marRight w:val="0"/>
      <w:marTop w:val="0"/>
      <w:marBottom w:val="0"/>
      <w:divBdr>
        <w:top w:val="none" w:sz="0" w:space="0" w:color="auto"/>
        <w:left w:val="none" w:sz="0" w:space="0" w:color="auto"/>
        <w:bottom w:val="none" w:sz="0" w:space="0" w:color="auto"/>
        <w:right w:val="none" w:sz="0" w:space="0" w:color="auto"/>
      </w:divBdr>
    </w:div>
    <w:div w:id="1067531310">
      <w:marLeft w:val="640"/>
      <w:marRight w:val="0"/>
      <w:marTop w:val="0"/>
      <w:marBottom w:val="0"/>
      <w:divBdr>
        <w:top w:val="none" w:sz="0" w:space="0" w:color="auto"/>
        <w:left w:val="none" w:sz="0" w:space="0" w:color="auto"/>
        <w:bottom w:val="none" w:sz="0" w:space="0" w:color="auto"/>
        <w:right w:val="none" w:sz="0" w:space="0" w:color="auto"/>
      </w:divBdr>
    </w:div>
    <w:div w:id="1070805663">
      <w:marLeft w:val="640"/>
      <w:marRight w:val="0"/>
      <w:marTop w:val="0"/>
      <w:marBottom w:val="0"/>
      <w:divBdr>
        <w:top w:val="none" w:sz="0" w:space="0" w:color="auto"/>
        <w:left w:val="none" w:sz="0" w:space="0" w:color="auto"/>
        <w:bottom w:val="none" w:sz="0" w:space="0" w:color="auto"/>
        <w:right w:val="none" w:sz="0" w:space="0" w:color="auto"/>
      </w:divBdr>
    </w:div>
    <w:div w:id="1072966052">
      <w:marLeft w:val="640"/>
      <w:marRight w:val="0"/>
      <w:marTop w:val="0"/>
      <w:marBottom w:val="0"/>
      <w:divBdr>
        <w:top w:val="none" w:sz="0" w:space="0" w:color="auto"/>
        <w:left w:val="none" w:sz="0" w:space="0" w:color="auto"/>
        <w:bottom w:val="none" w:sz="0" w:space="0" w:color="auto"/>
        <w:right w:val="none" w:sz="0" w:space="0" w:color="auto"/>
      </w:divBdr>
    </w:div>
    <w:div w:id="1073745999">
      <w:marLeft w:val="640"/>
      <w:marRight w:val="0"/>
      <w:marTop w:val="0"/>
      <w:marBottom w:val="0"/>
      <w:divBdr>
        <w:top w:val="none" w:sz="0" w:space="0" w:color="auto"/>
        <w:left w:val="none" w:sz="0" w:space="0" w:color="auto"/>
        <w:bottom w:val="none" w:sz="0" w:space="0" w:color="auto"/>
        <w:right w:val="none" w:sz="0" w:space="0" w:color="auto"/>
      </w:divBdr>
    </w:div>
    <w:div w:id="1075014914">
      <w:marLeft w:val="640"/>
      <w:marRight w:val="0"/>
      <w:marTop w:val="0"/>
      <w:marBottom w:val="0"/>
      <w:divBdr>
        <w:top w:val="none" w:sz="0" w:space="0" w:color="auto"/>
        <w:left w:val="none" w:sz="0" w:space="0" w:color="auto"/>
        <w:bottom w:val="none" w:sz="0" w:space="0" w:color="auto"/>
        <w:right w:val="none" w:sz="0" w:space="0" w:color="auto"/>
      </w:divBdr>
    </w:div>
    <w:div w:id="1088578407">
      <w:marLeft w:val="640"/>
      <w:marRight w:val="0"/>
      <w:marTop w:val="0"/>
      <w:marBottom w:val="0"/>
      <w:divBdr>
        <w:top w:val="none" w:sz="0" w:space="0" w:color="auto"/>
        <w:left w:val="none" w:sz="0" w:space="0" w:color="auto"/>
        <w:bottom w:val="none" w:sz="0" w:space="0" w:color="auto"/>
        <w:right w:val="none" w:sz="0" w:space="0" w:color="auto"/>
      </w:divBdr>
    </w:div>
    <w:div w:id="1090658632">
      <w:marLeft w:val="640"/>
      <w:marRight w:val="0"/>
      <w:marTop w:val="0"/>
      <w:marBottom w:val="0"/>
      <w:divBdr>
        <w:top w:val="none" w:sz="0" w:space="0" w:color="auto"/>
        <w:left w:val="none" w:sz="0" w:space="0" w:color="auto"/>
        <w:bottom w:val="none" w:sz="0" w:space="0" w:color="auto"/>
        <w:right w:val="none" w:sz="0" w:space="0" w:color="auto"/>
      </w:divBdr>
    </w:div>
    <w:div w:id="1091927975">
      <w:marLeft w:val="640"/>
      <w:marRight w:val="0"/>
      <w:marTop w:val="0"/>
      <w:marBottom w:val="0"/>
      <w:divBdr>
        <w:top w:val="none" w:sz="0" w:space="0" w:color="auto"/>
        <w:left w:val="none" w:sz="0" w:space="0" w:color="auto"/>
        <w:bottom w:val="none" w:sz="0" w:space="0" w:color="auto"/>
        <w:right w:val="none" w:sz="0" w:space="0" w:color="auto"/>
      </w:divBdr>
    </w:div>
    <w:div w:id="1095634735">
      <w:marLeft w:val="640"/>
      <w:marRight w:val="0"/>
      <w:marTop w:val="0"/>
      <w:marBottom w:val="0"/>
      <w:divBdr>
        <w:top w:val="none" w:sz="0" w:space="0" w:color="auto"/>
        <w:left w:val="none" w:sz="0" w:space="0" w:color="auto"/>
        <w:bottom w:val="none" w:sz="0" w:space="0" w:color="auto"/>
        <w:right w:val="none" w:sz="0" w:space="0" w:color="auto"/>
      </w:divBdr>
    </w:div>
    <w:div w:id="1098332452">
      <w:marLeft w:val="640"/>
      <w:marRight w:val="0"/>
      <w:marTop w:val="0"/>
      <w:marBottom w:val="0"/>
      <w:divBdr>
        <w:top w:val="none" w:sz="0" w:space="0" w:color="auto"/>
        <w:left w:val="none" w:sz="0" w:space="0" w:color="auto"/>
        <w:bottom w:val="none" w:sz="0" w:space="0" w:color="auto"/>
        <w:right w:val="none" w:sz="0" w:space="0" w:color="auto"/>
      </w:divBdr>
    </w:div>
    <w:div w:id="1102141342">
      <w:marLeft w:val="640"/>
      <w:marRight w:val="0"/>
      <w:marTop w:val="0"/>
      <w:marBottom w:val="0"/>
      <w:divBdr>
        <w:top w:val="none" w:sz="0" w:space="0" w:color="auto"/>
        <w:left w:val="none" w:sz="0" w:space="0" w:color="auto"/>
        <w:bottom w:val="none" w:sz="0" w:space="0" w:color="auto"/>
        <w:right w:val="none" w:sz="0" w:space="0" w:color="auto"/>
      </w:divBdr>
    </w:div>
    <w:div w:id="1103037059">
      <w:marLeft w:val="640"/>
      <w:marRight w:val="0"/>
      <w:marTop w:val="0"/>
      <w:marBottom w:val="0"/>
      <w:divBdr>
        <w:top w:val="none" w:sz="0" w:space="0" w:color="auto"/>
        <w:left w:val="none" w:sz="0" w:space="0" w:color="auto"/>
        <w:bottom w:val="none" w:sz="0" w:space="0" w:color="auto"/>
        <w:right w:val="none" w:sz="0" w:space="0" w:color="auto"/>
      </w:divBdr>
    </w:div>
    <w:div w:id="1103375812">
      <w:marLeft w:val="640"/>
      <w:marRight w:val="0"/>
      <w:marTop w:val="0"/>
      <w:marBottom w:val="0"/>
      <w:divBdr>
        <w:top w:val="none" w:sz="0" w:space="0" w:color="auto"/>
        <w:left w:val="none" w:sz="0" w:space="0" w:color="auto"/>
        <w:bottom w:val="none" w:sz="0" w:space="0" w:color="auto"/>
        <w:right w:val="none" w:sz="0" w:space="0" w:color="auto"/>
      </w:divBdr>
    </w:div>
    <w:div w:id="1106078699">
      <w:marLeft w:val="640"/>
      <w:marRight w:val="0"/>
      <w:marTop w:val="0"/>
      <w:marBottom w:val="0"/>
      <w:divBdr>
        <w:top w:val="none" w:sz="0" w:space="0" w:color="auto"/>
        <w:left w:val="none" w:sz="0" w:space="0" w:color="auto"/>
        <w:bottom w:val="none" w:sz="0" w:space="0" w:color="auto"/>
        <w:right w:val="none" w:sz="0" w:space="0" w:color="auto"/>
      </w:divBdr>
    </w:div>
    <w:div w:id="1107196712">
      <w:marLeft w:val="640"/>
      <w:marRight w:val="0"/>
      <w:marTop w:val="0"/>
      <w:marBottom w:val="0"/>
      <w:divBdr>
        <w:top w:val="none" w:sz="0" w:space="0" w:color="auto"/>
        <w:left w:val="none" w:sz="0" w:space="0" w:color="auto"/>
        <w:bottom w:val="none" w:sz="0" w:space="0" w:color="auto"/>
        <w:right w:val="none" w:sz="0" w:space="0" w:color="auto"/>
      </w:divBdr>
    </w:div>
    <w:div w:id="1108280476">
      <w:marLeft w:val="640"/>
      <w:marRight w:val="0"/>
      <w:marTop w:val="0"/>
      <w:marBottom w:val="0"/>
      <w:divBdr>
        <w:top w:val="none" w:sz="0" w:space="0" w:color="auto"/>
        <w:left w:val="none" w:sz="0" w:space="0" w:color="auto"/>
        <w:bottom w:val="none" w:sz="0" w:space="0" w:color="auto"/>
        <w:right w:val="none" w:sz="0" w:space="0" w:color="auto"/>
      </w:divBdr>
    </w:div>
    <w:div w:id="1112822461">
      <w:marLeft w:val="640"/>
      <w:marRight w:val="0"/>
      <w:marTop w:val="0"/>
      <w:marBottom w:val="0"/>
      <w:divBdr>
        <w:top w:val="none" w:sz="0" w:space="0" w:color="auto"/>
        <w:left w:val="none" w:sz="0" w:space="0" w:color="auto"/>
        <w:bottom w:val="none" w:sz="0" w:space="0" w:color="auto"/>
        <w:right w:val="none" w:sz="0" w:space="0" w:color="auto"/>
      </w:divBdr>
    </w:div>
    <w:div w:id="1112939959">
      <w:marLeft w:val="640"/>
      <w:marRight w:val="0"/>
      <w:marTop w:val="0"/>
      <w:marBottom w:val="0"/>
      <w:divBdr>
        <w:top w:val="none" w:sz="0" w:space="0" w:color="auto"/>
        <w:left w:val="none" w:sz="0" w:space="0" w:color="auto"/>
        <w:bottom w:val="none" w:sz="0" w:space="0" w:color="auto"/>
        <w:right w:val="none" w:sz="0" w:space="0" w:color="auto"/>
      </w:divBdr>
    </w:div>
    <w:div w:id="1115562440">
      <w:marLeft w:val="640"/>
      <w:marRight w:val="0"/>
      <w:marTop w:val="0"/>
      <w:marBottom w:val="0"/>
      <w:divBdr>
        <w:top w:val="none" w:sz="0" w:space="0" w:color="auto"/>
        <w:left w:val="none" w:sz="0" w:space="0" w:color="auto"/>
        <w:bottom w:val="none" w:sz="0" w:space="0" w:color="auto"/>
        <w:right w:val="none" w:sz="0" w:space="0" w:color="auto"/>
      </w:divBdr>
    </w:div>
    <w:div w:id="1115754465">
      <w:marLeft w:val="640"/>
      <w:marRight w:val="0"/>
      <w:marTop w:val="0"/>
      <w:marBottom w:val="0"/>
      <w:divBdr>
        <w:top w:val="none" w:sz="0" w:space="0" w:color="auto"/>
        <w:left w:val="none" w:sz="0" w:space="0" w:color="auto"/>
        <w:bottom w:val="none" w:sz="0" w:space="0" w:color="auto"/>
        <w:right w:val="none" w:sz="0" w:space="0" w:color="auto"/>
      </w:divBdr>
    </w:div>
    <w:div w:id="1116370581">
      <w:marLeft w:val="640"/>
      <w:marRight w:val="0"/>
      <w:marTop w:val="0"/>
      <w:marBottom w:val="0"/>
      <w:divBdr>
        <w:top w:val="none" w:sz="0" w:space="0" w:color="auto"/>
        <w:left w:val="none" w:sz="0" w:space="0" w:color="auto"/>
        <w:bottom w:val="none" w:sz="0" w:space="0" w:color="auto"/>
        <w:right w:val="none" w:sz="0" w:space="0" w:color="auto"/>
      </w:divBdr>
    </w:div>
    <w:div w:id="1120412421">
      <w:marLeft w:val="640"/>
      <w:marRight w:val="0"/>
      <w:marTop w:val="0"/>
      <w:marBottom w:val="0"/>
      <w:divBdr>
        <w:top w:val="none" w:sz="0" w:space="0" w:color="auto"/>
        <w:left w:val="none" w:sz="0" w:space="0" w:color="auto"/>
        <w:bottom w:val="none" w:sz="0" w:space="0" w:color="auto"/>
        <w:right w:val="none" w:sz="0" w:space="0" w:color="auto"/>
      </w:divBdr>
    </w:div>
    <w:div w:id="1128746225">
      <w:marLeft w:val="640"/>
      <w:marRight w:val="0"/>
      <w:marTop w:val="0"/>
      <w:marBottom w:val="0"/>
      <w:divBdr>
        <w:top w:val="none" w:sz="0" w:space="0" w:color="auto"/>
        <w:left w:val="none" w:sz="0" w:space="0" w:color="auto"/>
        <w:bottom w:val="none" w:sz="0" w:space="0" w:color="auto"/>
        <w:right w:val="none" w:sz="0" w:space="0" w:color="auto"/>
      </w:divBdr>
    </w:div>
    <w:div w:id="1129083209">
      <w:marLeft w:val="640"/>
      <w:marRight w:val="0"/>
      <w:marTop w:val="0"/>
      <w:marBottom w:val="0"/>
      <w:divBdr>
        <w:top w:val="none" w:sz="0" w:space="0" w:color="auto"/>
        <w:left w:val="none" w:sz="0" w:space="0" w:color="auto"/>
        <w:bottom w:val="none" w:sz="0" w:space="0" w:color="auto"/>
        <w:right w:val="none" w:sz="0" w:space="0" w:color="auto"/>
      </w:divBdr>
    </w:div>
    <w:div w:id="1134904269">
      <w:marLeft w:val="640"/>
      <w:marRight w:val="0"/>
      <w:marTop w:val="0"/>
      <w:marBottom w:val="0"/>
      <w:divBdr>
        <w:top w:val="none" w:sz="0" w:space="0" w:color="auto"/>
        <w:left w:val="none" w:sz="0" w:space="0" w:color="auto"/>
        <w:bottom w:val="none" w:sz="0" w:space="0" w:color="auto"/>
        <w:right w:val="none" w:sz="0" w:space="0" w:color="auto"/>
      </w:divBdr>
    </w:div>
    <w:div w:id="1135222539">
      <w:marLeft w:val="640"/>
      <w:marRight w:val="0"/>
      <w:marTop w:val="0"/>
      <w:marBottom w:val="0"/>
      <w:divBdr>
        <w:top w:val="none" w:sz="0" w:space="0" w:color="auto"/>
        <w:left w:val="none" w:sz="0" w:space="0" w:color="auto"/>
        <w:bottom w:val="none" w:sz="0" w:space="0" w:color="auto"/>
        <w:right w:val="none" w:sz="0" w:space="0" w:color="auto"/>
      </w:divBdr>
    </w:div>
    <w:div w:id="1136409886">
      <w:marLeft w:val="640"/>
      <w:marRight w:val="0"/>
      <w:marTop w:val="0"/>
      <w:marBottom w:val="0"/>
      <w:divBdr>
        <w:top w:val="none" w:sz="0" w:space="0" w:color="auto"/>
        <w:left w:val="none" w:sz="0" w:space="0" w:color="auto"/>
        <w:bottom w:val="none" w:sz="0" w:space="0" w:color="auto"/>
        <w:right w:val="none" w:sz="0" w:space="0" w:color="auto"/>
      </w:divBdr>
    </w:div>
    <w:div w:id="1138886159">
      <w:marLeft w:val="640"/>
      <w:marRight w:val="0"/>
      <w:marTop w:val="0"/>
      <w:marBottom w:val="0"/>
      <w:divBdr>
        <w:top w:val="none" w:sz="0" w:space="0" w:color="auto"/>
        <w:left w:val="none" w:sz="0" w:space="0" w:color="auto"/>
        <w:bottom w:val="none" w:sz="0" w:space="0" w:color="auto"/>
        <w:right w:val="none" w:sz="0" w:space="0" w:color="auto"/>
      </w:divBdr>
    </w:div>
    <w:div w:id="1138915930">
      <w:marLeft w:val="640"/>
      <w:marRight w:val="0"/>
      <w:marTop w:val="0"/>
      <w:marBottom w:val="0"/>
      <w:divBdr>
        <w:top w:val="none" w:sz="0" w:space="0" w:color="auto"/>
        <w:left w:val="none" w:sz="0" w:space="0" w:color="auto"/>
        <w:bottom w:val="none" w:sz="0" w:space="0" w:color="auto"/>
        <w:right w:val="none" w:sz="0" w:space="0" w:color="auto"/>
      </w:divBdr>
    </w:div>
    <w:div w:id="1139034574">
      <w:marLeft w:val="640"/>
      <w:marRight w:val="0"/>
      <w:marTop w:val="0"/>
      <w:marBottom w:val="0"/>
      <w:divBdr>
        <w:top w:val="none" w:sz="0" w:space="0" w:color="auto"/>
        <w:left w:val="none" w:sz="0" w:space="0" w:color="auto"/>
        <w:bottom w:val="none" w:sz="0" w:space="0" w:color="auto"/>
        <w:right w:val="none" w:sz="0" w:space="0" w:color="auto"/>
      </w:divBdr>
    </w:div>
    <w:div w:id="1140925149">
      <w:marLeft w:val="640"/>
      <w:marRight w:val="0"/>
      <w:marTop w:val="0"/>
      <w:marBottom w:val="0"/>
      <w:divBdr>
        <w:top w:val="none" w:sz="0" w:space="0" w:color="auto"/>
        <w:left w:val="none" w:sz="0" w:space="0" w:color="auto"/>
        <w:bottom w:val="none" w:sz="0" w:space="0" w:color="auto"/>
        <w:right w:val="none" w:sz="0" w:space="0" w:color="auto"/>
      </w:divBdr>
    </w:div>
    <w:div w:id="1142648990">
      <w:marLeft w:val="640"/>
      <w:marRight w:val="0"/>
      <w:marTop w:val="0"/>
      <w:marBottom w:val="0"/>
      <w:divBdr>
        <w:top w:val="none" w:sz="0" w:space="0" w:color="auto"/>
        <w:left w:val="none" w:sz="0" w:space="0" w:color="auto"/>
        <w:bottom w:val="none" w:sz="0" w:space="0" w:color="auto"/>
        <w:right w:val="none" w:sz="0" w:space="0" w:color="auto"/>
      </w:divBdr>
    </w:div>
    <w:div w:id="1143692639">
      <w:marLeft w:val="640"/>
      <w:marRight w:val="0"/>
      <w:marTop w:val="0"/>
      <w:marBottom w:val="0"/>
      <w:divBdr>
        <w:top w:val="none" w:sz="0" w:space="0" w:color="auto"/>
        <w:left w:val="none" w:sz="0" w:space="0" w:color="auto"/>
        <w:bottom w:val="none" w:sz="0" w:space="0" w:color="auto"/>
        <w:right w:val="none" w:sz="0" w:space="0" w:color="auto"/>
      </w:divBdr>
    </w:div>
    <w:div w:id="1147942058">
      <w:marLeft w:val="640"/>
      <w:marRight w:val="0"/>
      <w:marTop w:val="0"/>
      <w:marBottom w:val="0"/>
      <w:divBdr>
        <w:top w:val="none" w:sz="0" w:space="0" w:color="auto"/>
        <w:left w:val="none" w:sz="0" w:space="0" w:color="auto"/>
        <w:bottom w:val="none" w:sz="0" w:space="0" w:color="auto"/>
        <w:right w:val="none" w:sz="0" w:space="0" w:color="auto"/>
      </w:divBdr>
    </w:div>
    <w:div w:id="1158572640">
      <w:marLeft w:val="640"/>
      <w:marRight w:val="0"/>
      <w:marTop w:val="0"/>
      <w:marBottom w:val="0"/>
      <w:divBdr>
        <w:top w:val="none" w:sz="0" w:space="0" w:color="auto"/>
        <w:left w:val="none" w:sz="0" w:space="0" w:color="auto"/>
        <w:bottom w:val="none" w:sz="0" w:space="0" w:color="auto"/>
        <w:right w:val="none" w:sz="0" w:space="0" w:color="auto"/>
      </w:divBdr>
    </w:div>
    <w:div w:id="1160652592">
      <w:marLeft w:val="640"/>
      <w:marRight w:val="0"/>
      <w:marTop w:val="0"/>
      <w:marBottom w:val="0"/>
      <w:divBdr>
        <w:top w:val="none" w:sz="0" w:space="0" w:color="auto"/>
        <w:left w:val="none" w:sz="0" w:space="0" w:color="auto"/>
        <w:bottom w:val="none" w:sz="0" w:space="0" w:color="auto"/>
        <w:right w:val="none" w:sz="0" w:space="0" w:color="auto"/>
      </w:divBdr>
    </w:div>
    <w:div w:id="1161967570">
      <w:marLeft w:val="640"/>
      <w:marRight w:val="0"/>
      <w:marTop w:val="0"/>
      <w:marBottom w:val="0"/>
      <w:divBdr>
        <w:top w:val="none" w:sz="0" w:space="0" w:color="auto"/>
        <w:left w:val="none" w:sz="0" w:space="0" w:color="auto"/>
        <w:bottom w:val="none" w:sz="0" w:space="0" w:color="auto"/>
        <w:right w:val="none" w:sz="0" w:space="0" w:color="auto"/>
      </w:divBdr>
    </w:div>
    <w:div w:id="1168130524">
      <w:marLeft w:val="640"/>
      <w:marRight w:val="0"/>
      <w:marTop w:val="0"/>
      <w:marBottom w:val="0"/>
      <w:divBdr>
        <w:top w:val="none" w:sz="0" w:space="0" w:color="auto"/>
        <w:left w:val="none" w:sz="0" w:space="0" w:color="auto"/>
        <w:bottom w:val="none" w:sz="0" w:space="0" w:color="auto"/>
        <w:right w:val="none" w:sz="0" w:space="0" w:color="auto"/>
      </w:divBdr>
    </w:div>
    <w:div w:id="1168594567">
      <w:marLeft w:val="640"/>
      <w:marRight w:val="0"/>
      <w:marTop w:val="0"/>
      <w:marBottom w:val="0"/>
      <w:divBdr>
        <w:top w:val="none" w:sz="0" w:space="0" w:color="auto"/>
        <w:left w:val="none" w:sz="0" w:space="0" w:color="auto"/>
        <w:bottom w:val="none" w:sz="0" w:space="0" w:color="auto"/>
        <w:right w:val="none" w:sz="0" w:space="0" w:color="auto"/>
      </w:divBdr>
    </w:div>
    <w:div w:id="1170363640">
      <w:marLeft w:val="640"/>
      <w:marRight w:val="0"/>
      <w:marTop w:val="0"/>
      <w:marBottom w:val="0"/>
      <w:divBdr>
        <w:top w:val="none" w:sz="0" w:space="0" w:color="auto"/>
        <w:left w:val="none" w:sz="0" w:space="0" w:color="auto"/>
        <w:bottom w:val="none" w:sz="0" w:space="0" w:color="auto"/>
        <w:right w:val="none" w:sz="0" w:space="0" w:color="auto"/>
      </w:divBdr>
    </w:div>
    <w:div w:id="1176993458">
      <w:marLeft w:val="640"/>
      <w:marRight w:val="0"/>
      <w:marTop w:val="0"/>
      <w:marBottom w:val="0"/>
      <w:divBdr>
        <w:top w:val="none" w:sz="0" w:space="0" w:color="auto"/>
        <w:left w:val="none" w:sz="0" w:space="0" w:color="auto"/>
        <w:bottom w:val="none" w:sz="0" w:space="0" w:color="auto"/>
        <w:right w:val="none" w:sz="0" w:space="0" w:color="auto"/>
      </w:divBdr>
    </w:div>
    <w:div w:id="1183713133">
      <w:marLeft w:val="640"/>
      <w:marRight w:val="0"/>
      <w:marTop w:val="0"/>
      <w:marBottom w:val="0"/>
      <w:divBdr>
        <w:top w:val="none" w:sz="0" w:space="0" w:color="auto"/>
        <w:left w:val="none" w:sz="0" w:space="0" w:color="auto"/>
        <w:bottom w:val="none" w:sz="0" w:space="0" w:color="auto"/>
        <w:right w:val="none" w:sz="0" w:space="0" w:color="auto"/>
      </w:divBdr>
    </w:div>
    <w:div w:id="1190223296">
      <w:marLeft w:val="640"/>
      <w:marRight w:val="0"/>
      <w:marTop w:val="0"/>
      <w:marBottom w:val="0"/>
      <w:divBdr>
        <w:top w:val="none" w:sz="0" w:space="0" w:color="auto"/>
        <w:left w:val="none" w:sz="0" w:space="0" w:color="auto"/>
        <w:bottom w:val="none" w:sz="0" w:space="0" w:color="auto"/>
        <w:right w:val="none" w:sz="0" w:space="0" w:color="auto"/>
      </w:divBdr>
    </w:div>
    <w:div w:id="1191602423">
      <w:marLeft w:val="640"/>
      <w:marRight w:val="0"/>
      <w:marTop w:val="0"/>
      <w:marBottom w:val="0"/>
      <w:divBdr>
        <w:top w:val="none" w:sz="0" w:space="0" w:color="auto"/>
        <w:left w:val="none" w:sz="0" w:space="0" w:color="auto"/>
        <w:bottom w:val="none" w:sz="0" w:space="0" w:color="auto"/>
        <w:right w:val="none" w:sz="0" w:space="0" w:color="auto"/>
      </w:divBdr>
    </w:div>
    <w:div w:id="1196232073">
      <w:marLeft w:val="640"/>
      <w:marRight w:val="0"/>
      <w:marTop w:val="0"/>
      <w:marBottom w:val="0"/>
      <w:divBdr>
        <w:top w:val="none" w:sz="0" w:space="0" w:color="auto"/>
        <w:left w:val="none" w:sz="0" w:space="0" w:color="auto"/>
        <w:bottom w:val="none" w:sz="0" w:space="0" w:color="auto"/>
        <w:right w:val="none" w:sz="0" w:space="0" w:color="auto"/>
      </w:divBdr>
    </w:div>
    <w:div w:id="1197233684">
      <w:marLeft w:val="640"/>
      <w:marRight w:val="0"/>
      <w:marTop w:val="0"/>
      <w:marBottom w:val="0"/>
      <w:divBdr>
        <w:top w:val="none" w:sz="0" w:space="0" w:color="auto"/>
        <w:left w:val="none" w:sz="0" w:space="0" w:color="auto"/>
        <w:bottom w:val="none" w:sz="0" w:space="0" w:color="auto"/>
        <w:right w:val="none" w:sz="0" w:space="0" w:color="auto"/>
      </w:divBdr>
    </w:div>
    <w:div w:id="1198473169">
      <w:marLeft w:val="640"/>
      <w:marRight w:val="0"/>
      <w:marTop w:val="0"/>
      <w:marBottom w:val="0"/>
      <w:divBdr>
        <w:top w:val="none" w:sz="0" w:space="0" w:color="auto"/>
        <w:left w:val="none" w:sz="0" w:space="0" w:color="auto"/>
        <w:bottom w:val="none" w:sz="0" w:space="0" w:color="auto"/>
        <w:right w:val="none" w:sz="0" w:space="0" w:color="auto"/>
      </w:divBdr>
    </w:div>
    <w:div w:id="1204440767">
      <w:marLeft w:val="640"/>
      <w:marRight w:val="0"/>
      <w:marTop w:val="0"/>
      <w:marBottom w:val="0"/>
      <w:divBdr>
        <w:top w:val="none" w:sz="0" w:space="0" w:color="auto"/>
        <w:left w:val="none" w:sz="0" w:space="0" w:color="auto"/>
        <w:bottom w:val="none" w:sz="0" w:space="0" w:color="auto"/>
        <w:right w:val="none" w:sz="0" w:space="0" w:color="auto"/>
      </w:divBdr>
    </w:div>
    <w:div w:id="1211334536">
      <w:marLeft w:val="640"/>
      <w:marRight w:val="0"/>
      <w:marTop w:val="0"/>
      <w:marBottom w:val="0"/>
      <w:divBdr>
        <w:top w:val="none" w:sz="0" w:space="0" w:color="auto"/>
        <w:left w:val="none" w:sz="0" w:space="0" w:color="auto"/>
        <w:bottom w:val="none" w:sz="0" w:space="0" w:color="auto"/>
        <w:right w:val="none" w:sz="0" w:space="0" w:color="auto"/>
      </w:divBdr>
    </w:div>
    <w:div w:id="1216313517">
      <w:marLeft w:val="640"/>
      <w:marRight w:val="0"/>
      <w:marTop w:val="0"/>
      <w:marBottom w:val="0"/>
      <w:divBdr>
        <w:top w:val="none" w:sz="0" w:space="0" w:color="auto"/>
        <w:left w:val="none" w:sz="0" w:space="0" w:color="auto"/>
        <w:bottom w:val="none" w:sz="0" w:space="0" w:color="auto"/>
        <w:right w:val="none" w:sz="0" w:space="0" w:color="auto"/>
      </w:divBdr>
    </w:div>
    <w:div w:id="1222405610">
      <w:marLeft w:val="640"/>
      <w:marRight w:val="0"/>
      <w:marTop w:val="0"/>
      <w:marBottom w:val="0"/>
      <w:divBdr>
        <w:top w:val="none" w:sz="0" w:space="0" w:color="auto"/>
        <w:left w:val="none" w:sz="0" w:space="0" w:color="auto"/>
        <w:bottom w:val="none" w:sz="0" w:space="0" w:color="auto"/>
        <w:right w:val="none" w:sz="0" w:space="0" w:color="auto"/>
      </w:divBdr>
    </w:div>
    <w:div w:id="1222911097">
      <w:marLeft w:val="640"/>
      <w:marRight w:val="0"/>
      <w:marTop w:val="0"/>
      <w:marBottom w:val="0"/>
      <w:divBdr>
        <w:top w:val="none" w:sz="0" w:space="0" w:color="auto"/>
        <w:left w:val="none" w:sz="0" w:space="0" w:color="auto"/>
        <w:bottom w:val="none" w:sz="0" w:space="0" w:color="auto"/>
        <w:right w:val="none" w:sz="0" w:space="0" w:color="auto"/>
      </w:divBdr>
    </w:div>
    <w:div w:id="1223516394">
      <w:marLeft w:val="640"/>
      <w:marRight w:val="0"/>
      <w:marTop w:val="0"/>
      <w:marBottom w:val="0"/>
      <w:divBdr>
        <w:top w:val="none" w:sz="0" w:space="0" w:color="auto"/>
        <w:left w:val="none" w:sz="0" w:space="0" w:color="auto"/>
        <w:bottom w:val="none" w:sz="0" w:space="0" w:color="auto"/>
        <w:right w:val="none" w:sz="0" w:space="0" w:color="auto"/>
      </w:divBdr>
    </w:div>
    <w:div w:id="1224678707">
      <w:marLeft w:val="640"/>
      <w:marRight w:val="0"/>
      <w:marTop w:val="0"/>
      <w:marBottom w:val="0"/>
      <w:divBdr>
        <w:top w:val="none" w:sz="0" w:space="0" w:color="auto"/>
        <w:left w:val="none" w:sz="0" w:space="0" w:color="auto"/>
        <w:bottom w:val="none" w:sz="0" w:space="0" w:color="auto"/>
        <w:right w:val="none" w:sz="0" w:space="0" w:color="auto"/>
      </w:divBdr>
    </w:div>
    <w:div w:id="1231035757">
      <w:marLeft w:val="640"/>
      <w:marRight w:val="0"/>
      <w:marTop w:val="0"/>
      <w:marBottom w:val="0"/>
      <w:divBdr>
        <w:top w:val="none" w:sz="0" w:space="0" w:color="auto"/>
        <w:left w:val="none" w:sz="0" w:space="0" w:color="auto"/>
        <w:bottom w:val="none" w:sz="0" w:space="0" w:color="auto"/>
        <w:right w:val="none" w:sz="0" w:space="0" w:color="auto"/>
      </w:divBdr>
    </w:div>
    <w:div w:id="1231648015">
      <w:marLeft w:val="640"/>
      <w:marRight w:val="0"/>
      <w:marTop w:val="0"/>
      <w:marBottom w:val="0"/>
      <w:divBdr>
        <w:top w:val="none" w:sz="0" w:space="0" w:color="auto"/>
        <w:left w:val="none" w:sz="0" w:space="0" w:color="auto"/>
        <w:bottom w:val="none" w:sz="0" w:space="0" w:color="auto"/>
        <w:right w:val="none" w:sz="0" w:space="0" w:color="auto"/>
      </w:divBdr>
    </w:div>
    <w:div w:id="1233538519">
      <w:marLeft w:val="640"/>
      <w:marRight w:val="0"/>
      <w:marTop w:val="0"/>
      <w:marBottom w:val="0"/>
      <w:divBdr>
        <w:top w:val="none" w:sz="0" w:space="0" w:color="auto"/>
        <w:left w:val="none" w:sz="0" w:space="0" w:color="auto"/>
        <w:bottom w:val="none" w:sz="0" w:space="0" w:color="auto"/>
        <w:right w:val="none" w:sz="0" w:space="0" w:color="auto"/>
      </w:divBdr>
    </w:div>
    <w:div w:id="1234899626">
      <w:marLeft w:val="640"/>
      <w:marRight w:val="0"/>
      <w:marTop w:val="0"/>
      <w:marBottom w:val="0"/>
      <w:divBdr>
        <w:top w:val="none" w:sz="0" w:space="0" w:color="auto"/>
        <w:left w:val="none" w:sz="0" w:space="0" w:color="auto"/>
        <w:bottom w:val="none" w:sz="0" w:space="0" w:color="auto"/>
        <w:right w:val="none" w:sz="0" w:space="0" w:color="auto"/>
      </w:divBdr>
    </w:div>
    <w:div w:id="1238595986">
      <w:marLeft w:val="640"/>
      <w:marRight w:val="0"/>
      <w:marTop w:val="0"/>
      <w:marBottom w:val="0"/>
      <w:divBdr>
        <w:top w:val="none" w:sz="0" w:space="0" w:color="auto"/>
        <w:left w:val="none" w:sz="0" w:space="0" w:color="auto"/>
        <w:bottom w:val="none" w:sz="0" w:space="0" w:color="auto"/>
        <w:right w:val="none" w:sz="0" w:space="0" w:color="auto"/>
      </w:divBdr>
    </w:div>
    <w:div w:id="1238634381">
      <w:marLeft w:val="640"/>
      <w:marRight w:val="0"/>
      <w:marTop w:val="0"/>
      <w:marBottom w:val="0"/>
      <w:divBdr>
        <w:top w:val="none" w:sz="0" w:space="0" w:color="auto"/>
        <w:left w:val="none" w:sz="0" w:space="0" w:color="auto"/>
        <w:bottom w:val="none" w:sz="0" w:space="0" w:color="auto"/>
        <w:right w:val="none" w:sz="0" w:space="0" w:color="auto"/>
      </w:divBdr>
    </w:div>
    <w:div w:id="1240015378">
      <w:marLeft w:val="640"/>
      <w:marRight w:val="0"/>
      <w:marTop w:val="0"/>
      <w:marBottom w:val="0"/>
      <w:divBdr>
        <w:top w:val="none" w:sz="0" w:space="0" w:color="auto"/>
        <w:left w:val="none" w:sz="0" w:space="0" w:color="auto"/>
        <w:bottom w:val="none" w:sz="0" w:space="0" w:color="auto"/>
        <w:right w:val="none" w:sz="0" w:space="0" w:color="auto"/>
      </w:divBdr>
    </w:div>
    <w:div w:id="1248274380">
      <w:marLeft w:val="640"/>
      <w:marRight w:val="0"/>
      <w:marTop w:val="0"/>
      <w:marBottom w:val="0"/>
      <w:divBdr>
        <w:top w:val="none" w:sz="0" w:space="0" w:color="auto"/>
        <w:left w:val="none" w:sz="0" w:space="0" w:color="auto"/>
        <w:bottom w:val="none" w:sz="0" w:space="0" w:color="auto"/>
        <w:right w:val="none" w:sz="0" w:space="0" w:color="auto"/>
      </w:divBdr>
    </w:div>
    <w:div w:id="1249994916">
      <w:marLeft w:val="640"/>
      <w:marRight w:val="0"/>
      <w:marTop w:val="0"/>
      <w:marBottom w:val="0"/>
      <w:divBdr>
        <w:top w:val="none" w:sz="0" w:space="0" w:color="auto"/>
        <w:left w:val="none" w:sz="0" w:space="0" w:color="auto"/>
        <w:bottom w:val="none" w:sz="0" w:space="0" w:color="auto"/>
        <w:right w:val="none" w:sz="0" w:space="0" w:color="auto"/>
      </w:divBdr>
    </w:div>
    <w:div w:id="1251817717">
      <w:marLeft w:val="640"/>
      <w:marRight w:val="0"/>
      <w:marTop w:val="0"/>
      <w:marBottom w:val="0"/>
      <w:divBdr>
        <w:top w:val="none" w:sz="0" w:space="0" w:color="auto"/>
        <w:left w:val="none" w:sz="0" w:space="0" w:color="auto"/>
        <w:bottom w:val="none" w:sz="0" w:space="0" w:color="auto"/>
        <w:right w:val="none" w:sz="0" w:space="0" w:color="auto"/>
      </w:divBdr>
    </w:div>
    <w:div w:id="1256984140">
      <w:marLeft w:val="640"/>
      <w:marRight w:val="0"/>
      <w:marTop w:val="0"/>
      <w:marBottom w:val="0"/>
      <w:divBdr>
        <w:top w:val="none" w:sz="0" w:space="0" w:color="auto"/>
        <w:left w:val="none" w:sz="0" w:space="0" w:color="auto"/>
        <w:bottom w:val="none" w:sz="0" w:space="0" w:color="auto"/>
        <w:right w:val="none" w:sz="0" w:space="0" w:color="auto"/>
      </w:divBdr>
    </w:div>
    <w:div w:id="1258978263">
      <w:marLeft w:val="640"/>
      <w:marRight w:val="0"/>
      <w:marTop w:val="0"/>
      <w:marBottom w:val="0"/>
      <w:divBdr>
        <w:top w:val="none" w:sz="0" w:space="0" w:color="auto"/>
        <w:left w:val="none" w:sz="0" w:space="0" w:color="auto"/>
        <w:bottom w:val="none" w:sz="0" w:space="0" w:color="auto"/>
        <w:right w:val="none" w:sz="0" w:space="0" w:color="auto"/>
      </w:divBdr>
    </w:div>
    <w:div w:id="1259406307">
      <w:marLeft w:val="640"/>
      <w:marRight w:val="0"/>
      <w:marTop w:val="0"/>
      <w:marBottom w:val="0"/>
      <w:divBdr>
        <w:top w:val="none" w:sz="0" w:space="0" w:color="auto"/>
        <w:left w:val="none" w:sz="0" w:space="0" w:color="auto"/>
        <w:bottom w:val="none" w:sz="0" w:space="0" w:color="auto"/>
        <w:right w:val="none" w:sz="0" w:space="0" w:color="auto"/>
      </w:divBdr>
    </w:div>
    <w:div w:id="1260139252">
      <w:marLeft w:val="640"/>
      <w:marRight w:val="0"/>
      <w:marTop w:val="0"/>
      <w:marBottom w:val="0"/>
      <w:divBdr>
        <w:top w:val="none" w:sz="0" w:space="0" w:color="auto"/>
        <w:left w:val="none" w:sz="0" w:space="0" w:color="auto"/>
        <w:bottom w:val="none" w:sz="0" w:space="0" w:color="auto"/>
        <w:right w:val="none" w:sz="0" w:space="0" w:color="auto"/>
      </w:divBdr>
    </w:div>
    <w:div w:id="1263685176">
      <w:marLeft w:val="640"/>
      <w:marRight w:val="0"/>
      <w:marTop w:val="0"/>
      <w:marBottom w:val="0"/>
      <w:divBdr>
        <w:top w:val="none" w:sz="0" w:space="0" w:color="auto"/>
        <w:left w:val="none" w:sz="0" w:space="0" w:color="auto"/>
        <w:bottom w:val="none" w:sz="0" w:space="0" w:color="auto"/>
        <w:right w:val="none" w:sz="0" w:space="0" w:color="auto"/>
      </w:divBdr>
    </w:div>
    <w:div w:id="1264000575">
      <w:marLeft w:val="640"/>
      <w:marRight w:val="0"/>
      <w:marTop w:val="0"/>
      <w:marBottom w:val="0"/>
      <w:divBdr>
        <w:top w:val="none" w:sz="0" w:space="0" w:color="auto"/>
        <w:left w:val="none" w:sz="0" w:space="0" w:color="auto"/>
        <w:bottom w:val="none" w:sz="0" w:space="0" w:color="auto"/>
        <w:right w:val="none" w:sz="0" w:space="0" w:color="auto"/>
      </w:divBdr>
    </w:div>
    <w:div w:id="1267078240">
      <w:marLeft w:val="640"/>
      <w:marRight w:val="0"/>
      <w:marTop w:val="0"/>
      <w:marBottom w:val="0"/>
      <w:divBdr>
        <w:top w:val="none" w:sz="0" w:space="0" w:color="auto"/>
        <w:left w:val="none" w:sz="0" w:space="0" w:color="auto"/>
        <w:bottom w:val="none" w:sz="0" w:space="0" w:color="auto"/>
        <w:right w:val="none" w:sz="0" w:space="0" w:color="auto"/>
      </w:divBdr>
    </w:div>
    <w:div w:id="1267352280">
      <w:marLeft w:val="640"/>
      <w:marRight w:val="0"/>
      <w:marTop w:val="0"/>
      <w:marBottom w:val="0"/>
      <w:divBdr>
        <w:top w:val="none" w:sz="0" w:space="0" w:color="auto"/>
        <w:left w:val="none" w:sz="0" w:space="0" w:color="auto"/>
        <w:bottom w:val="none" w:sz="0" w:space="0" w:color="auto"/>
        <w:right w:val="none" w:sz="0" w:space="0" w:color="auto"/>
      </w:divBdr>
    </w:div>
    <w:div w:id="1268806361">
      <w:marLeft w:val="640"/>
      <w:marRight w:val="0"/>
      <w:marTop w:val="0"/>
      <w:marBottom w:val="0"/>
      <w:divBdr>
        <w:top w:val="none" w:sz="0" w:space="0" w:color="auto"/>
        <w:left w:val="none" w:sz="0" w:space="0" w:color="auto"/>
        <w:bottom w:val="none" w:sz="0" w:space="0" w:color="auto"/>
        <w:right w:val="none" w:sz="0" w:space="0" w:color="auto"/>
      </w:divBdr>
    </w:div>
    <w:div w:id="1270159783">
      <w:marLeft w:val="640"/>
      <w:marRight w:val="0"/>
      <w:marTop w:val="0"/>
      <w:marBottom w:val="0"/>
      <w:divBdr>
        <w:top w:val="none" w:sz="0" w:space="0" w:color="auto"/>
        <w:left w:val="none" w:sz="0" w:space="0" w:color="auto"/>
        <w:bottom w:val="none" w:sz="0" w:space="0" w:color="auto"/>
        <w:right w:val="none" w:sz="0" w:space="0" w:color="auto"/>
      </w:divBdr>
    </w:div>
    <w:div w:id="1270433849">
      <w:marLeft w:val="640"/>
      <w:marRight w:val="0"/>
      <w:marTop w:val="0"/>
      <w:marBottom w:val="0"/>
      <w:divBdr>
        <w:top w:val="none" w:sz="0" w:space="0" w:color="auto"/>
        <w:left w:val="none" w:sz="0" w:space="0" w:color="auto"/>
        <w:bottom w:val="none" w:sz="0" w:space="0" w:color="auto"/>
        <w:right w:val="none" w:sz="0" w:space="0" w:color="auto"/>
      </w:divBdr>
    </w:div>
    <w:div w:id="1271473563">
      <w:marLeft w:val="640"/>
      <w:marRight w:val="0"/>
      <w:marTop w:val="0"/>
      <w:marBottom w:val="0"/>
      <w:divBdr>
        <w:top w:val="none" w:sz="0" w:space="0" w:color="auto"/>
        <w:left w:val="none" w:sz="0" w:space="0" w:color="auto"/>
        <w:bottom w:val="none" w:sz="0" w:space="0" w:color="auto"/>
        <w:right w:val="none" w:sz="0" w:space="0" w:color="auto"/>
      </w:divBdr>
    </w:div>
    <w:div w:id="1273443144">
      <w:marLeft w:val="640"/>
      <w:marRight w:val="0"/>
      <w:marTop w:val="0"/>
      <w:marBottom w:val="0"/>
      <w:divBdr>
        <w:top w:val="none" w:sz="0" w:space="0" w:color="auto"/>
        <w:left w:val="none" w:sz="0" w:space="0" w:color="auto"/>
        <w:bottom w:val="none" w:sz="0" w:space="0" w:color="auto"/>
        <w:right w:val="none" w:sz="0" w:space="0" w:color="auto"/>
      </w:divBdr>
    </w:div>
    <w:div w:id="1275021148">
      <w:marLeft w:val="640"/>
      <w:marRight w:val="0"/>
      <w:marTop w:val="0"/>
      <w:marBottom w:val="0"/>
      <w:divBdr>
        <w:top w:val="none" w:sz="0" w:space="0" w:color="auto"/>
        <w:left w:val="none" w:sz="0" w:space="0" w:color="auto"/>
        <w:bottom w:val="none" w:sz="0" w:space="0" w:color="auto"/>
        <w:right w:val="none" w:sz="0" w:space="0" w:color="auto"/>
      </w:divBdr>
    </w:div>
    <w:div w:id="1275942523">
      <w:marLeft w:val="640"/>
      <w:marRight w:val="0"/>
      <w:marTop w:val="0"/>
      <w:marBottom w:val="0"/>
      <w:divBdr>
        <w:top w:val="none" w:sz="0" w:space="0" w:color="auto"/>
        <w:left w:val="none" w:sz="0" w:space="0" w:color="auto"/>
        <w:bottom w:val="none" w:sz="0" w:space="0" w:color="auto"/>
        <w:right w:val="none" w:sz="0" w:space="0" w:color="auto"/>
      </w:divBdr>
    </w:div>
    <w:div w:id="1277525144">
      <w:marLeft w:val="640"/>
      <w:marRight w:val="0"/>
      <w:marTop w:val="0"/>
      <w:marBottom w:val="0"/>
      <w:divBdr>
        <w:top w:val="none" w:sz="0" w:space="0" w:color="auto"/>
        <w:left w:val="none" w:sz="0" w:space="0" w:color="auto"/>
        <w:bottom w:val="none" w:sz="0" w:space="0" w:color="auto"/>
        <w:right w:val="none" w:sz="0" w:space="0" w:color="auto"/>
      </w:divBdr>
    </w:div>
    <w:div w:id="1278175862">
      <w:marLeft w:val="640"/>
      <w:marRight w:val="0"/>
      <w:marTop w:val="0"/>
      <w:marBottom w:val="0"/>
      <w:divBdr>
        <w:top w:val="none" w:sz="0" w:space="0" w:color="auto"/>
        <w:left w:val="none" w:sz="0" w:space="0" w:color="auto"/>
        <w:bottom w:val="none" w:sz="0" w:space="0" w:color="auto"/>
        <w:right w:val="none" w:sz="0" w:space="0" w:color="auto"/>
      </w:divBdr>
    </w:div>
    <w:div w:id="1281112506">
      <w:marLeft w:val="640"/>
      <w:marRight w:val="0"/>
      <w:marTop w:val="0"/>
      <w:marBottom w:val="0"/>
      <w:divBdr>
        <w:top w:val="none" w:sz="0" w:space="0" w:color="auto"/>
        <w:left w:val="none" w:sz="0" w:space="0" w:color="auto"/>
        <w:bottom w:val="none" w:sz="0" w:space="0" w:color="auto"/>
        <w:right w:val="none" w:sz="0" w:space="0" w:color="auto"/>
      </w:divBdr>
    </w:div>
    <w:div w:id="1288203085">
      <w:marLeft w:val="640"/>
      <w:marRight w:val="0"/>
      <w:marTop w:val="0"/>
      <w:marBottom w:val="0"/>
      <w:divBdr>
        <w:top w:val="none" w:sz="0" w:space="0" w:color="auto"/>
        <w:left w:val="none" w:sz="0" w:space="0" w:color="auto"/>
        <w:bottom w:val="none" w:sz="0" w:space="0" w:color="auto"/>
        <w:right w:val="none" w:sz="0" w:space="0" w:color="auto"/>
      </w:divBdr>
    </w:div>
    <w:div w:id="1288511632">
      <w:marLeft w:val="640"/>
      <w:marRight w:val="0"/>
      <w:marTop w:val="0"/>
      <w:marBottom w:val="0"/>
      <w:divBdr>
        <w:top w:val="none" w:sz="0" w:space="0" w:color="auto"/>
        <w:left w:val="none" w:sz="0" w:space="0" w:color="auto"/>
        <w:bottom w:val="none" w:sz="0" w:space="0" w:color="auto"/>
        <w:right w:val="none" w:sz="0" w:space="0" w:color="auto"/>
      </w:divBdr>
    </w:div>
    <w:div w:id="1290090878">
      <w:marLeft w:val="640"/>
      <w:marRight w:val="0"/>
      <w:marTop w:val="0"/>
      <w:marBottom w:val="0"/>
      <w:divBdr>
        <w:top w:val="none" w:sz="0" w:space="0" w:color="auto"/>
        <w:left w:val="none" w:sz="0" w:space="0" w:color="auto"/>
        <w:bottom w:val="none" w:sz="0" w:space="0" w:color="auto"/>
        <w:right w:val="none" w:sz="0" w:space="0" w:color="auto"/>
      </w:divBdr>
    </w:div>
    <w:div w:id="1291981867">
      <w:marLeft w:val="640"/>
      <w:marRight w:val="0"/>
      <w:marTop w:val="0"/>
      <w:marBottom w:val="0"/>
      <w:divBdr>
        <w:top w:val="none" w:sz="0" w:space="0" w:color="auto"/>
        <w:left w:val="none" w:sz="0" w:space="0" w:color="auto"/>
        <w:bottom w:val="none" w:sz="0" w:space="0" w:color="auto"/>
        <w:right w:val="none" w:sz="0" w:space="0" w:color="auto"/>
      </w:divBdr>
    </w:div>
    <w:div w:id="1294677059">
      <w:marLeft w:val="640"/>
      <w:marRight w:val="0"/>
      <w:marTop w:val="0"/>
      <w:marBottom w:val="0"/>
      <w:divBdr>
        <w:top w:val="none" w:sz="0" w:space="0" w:color="auto"/>
        <w:left w:val="none" w:sz="0" w:space="0" w:color="auto"/>
        <w:bottom w:val="none" w:sz="0" w:space="0" w:color="auto"/>
        <w:right w:val="none" w:sz="0" w:space="0" w:color="auto"/>
      </w:divBdr>
    </w:div>
    <w:div w:id="1294869022">
      <w:marLeft w:val="640"/>
      <w:marRight w:val="0"/>
      <w:marTop w:val="0"/>
      <w:marBottom w:val="0"/>
      <w:divBdr>
        <w:top w:val="none" w:sz="0" w:space="0" w:color="auto"/>
        <w:left w:val="none" w:sz="0" w:space="0" w:color="auto"/>
        <w:bottom w:val="none" w:sz="0" w:space="0" w:color="auto"/>
        <w:right w:val="none" w:sz="0" w:space="0" w:color="auto"/>
      </w:divBdr>
    </w:div>
    <w:div w:id="1295717840">
      <w:marLeft w:val="640"/>
      <w:marRight w:val="0"/>
      <w:marTop w:val="0"/>
      <w:marBottom w:val="0"/>
      <w:divBdr>
        <w:top w:val="none" w:sz="0" w:space="0" w:color="auto"/>
        <w:left w:val="none" w:sz="0" w:space="0" w:color="auto"/>
        <w:bottom w:val="none" w:sz="0" w:space="0" w:color="auto"/>
        <w:right w:val="none" w:sz="0" w:space="0" w:color="auto"/>
      </w:divBdr>
    </w:div>
    <w:div w:id="1299259785">
      <w:marLeft w:val="640"/>
      <w:marRight w:val="0"/>
      <w:marTop w:val="0"/>
      <w:marBottom w:val="0"/>
      <w:divBdr>
        <w:top w:val="none" w:sz="0" w:space="0" w:color="auto"/>
        <w:left w:val="none" w:sz="0" w:space="0" w:color="auto"/>
        <w:bottom w:val="none" w:sz="0" w:space="0" w:color="auto"/>
        <w:right w:val="none" w:sz="0" w:space="0" w:color="auto"/>
      </w:divBdr>
    </w:div>
    <w:div w:id="1309938271">
      <w:marLeft w:val="640"/>
      <w:marRight w:val="0"/>
      <w:marTop w:val="0"/>
      <w:marBottom w:val="0"/>
      <w:divBdr>
        <w:top w:val="none" w:sz="0" w:space="0" w:color="auto"/>
        <w:left w:val="none" w:sz="0" w:space="0" w:color="auto"/>
        <w:bottom w:val="none" w:sz="0" w:space="0" w:color="auto"/>
        <w:right w:val="none" w:sz="0" w:space="0" w:color="auto"/>
      </w:divBdr>
    </w:div>
    <w:div w:id="1321079418">
      <w:marLeft w:val="640"/>
      <w:marRight w:val="0"/>
      <w:marTop w:val="0"/>
      <w:marBottom w:val="0"/>
      <w:divBdr>
        <w:top w:val="none" w:sz="0" w:space="0" w:color="auto"/>
        <w:left w:val="none" w:sz="0" w:space="0" w:color="auto"/>
        <w:bottom w:val="none" w:sz="0" w:space="0" w:color="auto"/>
        <w:right w:val="none" w:sz="0" w:space="0" w:color="auto"/>
      </w:divBdr>
    </w:div>
    <w:div w:id="1321159491">
      <w:marLeft w:val="640"/>
      <w:marRight w:val="0"/>
      <w:marTop w:val="0"/>
      <w:marBottom w:val="0"/>
      <w:divBdr>
        <w:top w:val="none" w:sz="0" w:space="0" w:color="auto"/>
        <w:left w:val="none" w:sz="0" w:space="0" w:color="auto"/>
        <w:bottom w:val="none" w:sz="0" w:space="0" w:color="auto"/>
        <w:right w:val="none" w:sz="0" w:space="0" w:color="auto"/>
      </w:divBdr>
    </w:div>
    <w:div w:id="1324509564">
      <w:marLeft w:val="640"/>
      <w:marRight w:val="0"/>
      <w:marTop w:val="0"/>
      <w:marBottom w:val="0"/>
      <w:divBdr>
        <w:top w:val="none" w:sz="0" w:space="0" w:color="auto"/>
        <w:left w:val="none" w:sz="0" w:space="0" w:color="auto"/>
        <w:bottom w:val="none" w:sz="0" w:space="0" w:color="auto"/>
        <w:right w:val="none" w:sz="0" w:space="0" w:color="auto"/>
      </w:divBdr>
    </w:div>
    <w:div w:id="1337923835">
      <w:marLeft w:val="640"/>
      <w:marRight w:val="0"/>
      <w:marTop w:val="0"/>
      <w:marBottom w:val="0"/>
      <w:divBdr>
        <w:top w:val="none" w:sz="0" w:space="0" w:color="auto"/>
        <w:left w:val="none" w:sz="0" w:space="0" w:color="auto"/>
        <w:bottom w:val="none" w:sz="0" w:space="0" w:color="auto"/>
        <w:right w:val="none" w:sz="0" w:space="0" w:color="auto"/>
      </w:divBdr>
    </w:div>
    <w:div w:id="1339697064">
      <w:marLeft w:val="640"/>
      <w:marRight w:val="0"/>
      <w:marTop w:val="0"/>
      <w:marBottom w:val="0"/>
      <w:divBdr>
        <w:top w:val="none" w:sz="0" w:space="0" w:color="auto"/>
        <w:left w:val="none" w:sz="0" w:space="0" w:color="auto"/>
        <w:bottom w:val="none" w:sz="0" w:space="0" w:color="auto"/>
        <w:right w:val="none" w:sz="0" w:space="0" w:color="auto"/>
      </w:divBdr>
    </w:div>
    <w:div w:id="1341201835">
      <w:marLeft w:val="640"/>
      <w:marRight w:val="0"/>
      <w:marTop w:val="0"/>
      <w:marBottom w:val="0"/>
      <w:divBdr>
        <w:top w:val="none" w:sz="0" w:space="0" w:color="auto"/>
        <w:left w:val="none" w:sz="0" w:space="0" w:color="auto"/>
        <w:bottom w:val="none" w:sz="0" w:space="0" w:color="auto"/>
        <w:right w:val="none" w:sz="0" w:space="0" w:color="auto"/>
      </w:divBdr>
    </w:div>
    <w:div w:id="1341738312">
      <w:marLeft w:val="640"/>
      <w:marRight w:val="0"/>
      <w:marTop w:val="0"/>
      <w:marBottom w:val="0"/>
      <w:divBdr>
        <w:top w:val="none" w:sz="0" w:space="0" w:color="auto"/>
        <w:left w:val="none" w:sz="0" w:space="0" w:color="auto"/>
        <w:bottom w:val="none" w:sz="0" w:space="0" w:color="auto"/>
        <w:right w:val="none" w:sz="0" w:space="0" w:color="auto"/>
      </w:divBdr>
    </w:div>
    <w:div w:id="1346328731">
      <w:marLeft w:val="640"/>
      <w:marRight w:val="0"/>
      <w:marTop w:val="0"/>
      <w:marBottom w:val="0"/>
      <w:divBdr>
        <w:top w:val="none" w:sz="0" w:space="0" w:color="auto"/>
        <w:left w:val="none" w:sz="0" w:space="0" w:color="auto"/>
        <w:bottom w:val="none" w:sz="0" w:space="0" w:color="auto"/>
        <w:right w:val="none" w:sz="0" w:space="0" w:color="auto"/>
      </w:divBdr>
    </w:div>
    <w:div w:id="1348170359">
      <w:marLeft w:val="640"/>
      <w:marRight w:val="0"/>
      <w:marTop w:val="0"/>
      <w:marBottom w:val="0"/>
      <w:divBdr>
        <w:top w:val="none" w:sz="0" w:space="0" w:color="auto"/>
        <w:left w:val="none" w:sz="0" w:space="0" w:color="auto"/>
        <w:bottom w:val="none" w:sz="0" w:space="0" w:color="auto"/>
        <w:right w:val="none" w:sz="0" w:space="0" w:color="auto"/>
      </w:divBdr>
    </w:div>
    <w:div w:id="1348870102">
      <w:marLeft w:val="640"/>
      <w:marRight w:val="0"/>
      <w:marTop w:val="0"/>
      <w:marBottom w:val="0"/>
      <w:divBdr>
        <w:top w:val="none" w:sz="0" w:space="0" w:color="auto"/>
        <w:left w:val="none" w:sz="0" w:space="0" w:color="auto"/>
        <w:bottom w:val="none" w:sz="0" w:space="0" w:color="auto"/>
        <w:right w:val="none" w:sz="0" w:space="0" w:color="auto"/>
      </w:divBdr>
    </w:div>
    <w:div w:id="1349454512">
      <w:marLeft w:val="640"/>
      <w:marRight w:val="0"/>
      <w:marTop w:val="0"/>
      <w:marBottom w:val="0"/>
      <w:divBdr>
        <w:top w:val="none" w:sz="0" w:space="0" w:color="auto"/>
        <w:left w:val="none" w:sz="0" w:space="0" w:color="auto"/>
        <w:bottom w:val="none" w:sz="0" w:space="0" w:color="auto"/>
        <w:right w:val="none" w:sz="0" w:space="0" w:color="auto"/>
      </w:divBdr>
    </w:div>
    <w:div w:id="1352218556">
      <w:marLeft w:val="640"/>
      <w:marRight w:val="0"/>
      <w:marTop w:val="0"/>
      <w:marBottom w:val="0"/>
      <w:divBdr>
        <w:top w:val="none" w:sz="0" w:space="0" w:color="auto"/>
        <w:left w:val="none" w:sz="0" w:space="0" w:color="auto"/>
        <w:bottom w:val="none" w:sz="0" w:space="0" w:color="auto"/>
        <w:right w:val="none" w:sz="0" w:space="0" w:color="auto"/>
      </w:divBdr>
    </w:div>
    <w:div w:id="1353217694">
      <w:marLeft w:val="640"/>
      <w:marRight w:val="0"/>
      <w:marTop w:val="0"/>
      <w:marBottom w:val="0"/>
      <w:divBdr>
        <w:top w:val="none" w:sz="0" w:space="0" w:color="auto"/>
        <w:left w:val="none" w:sz="0" w:space="0" w:color="auto"/>
        <w:bottom w:val="none" w:sz="0" w:space="0" w:color="auto"/>
        <w:right w:val="none" w:sz="0" w:space="0" w:color="auto"/>
      </w:divBdr>
    </w:div>
    <w:div w:id="1355885098">
      <w:marLeft w:val="640"/>
      <w:marRight w:val="0"/>
      <w:marTop w:val="0"/>
      <w:marBottom w:val="0"/>
      <w:divBdr>
        <w:top w:val="none" w:sz="0" w:space="0" w:color="auto"/>
        <w:left w:val="none" w:sz="0" w:space="0" w:color="auto"/>
        <w:bottom w:val="none" w:sz="0" w:space="0" w:color="auto"/>
        <w:right w:val="none" w:sz="0" w:space="0" w:color="auto"/>
      </w:divBdr>
    </w:div>
    <w:div w:id="1357119548">
      <w:marLeft w:val="640"/>
      <w:marRight w:val="0"/>
      <w:marTop w:val="0"/>
      <w:marBottom w:val="0"/>
      <w:divBdr>
        <w:top w:val="none" w:sz="0" w:space="0" w:color="auto"/>
        <w:left w:val="none" w:sz="0" w:space="0" w:color="auto"/>
        <w:bottom w:val="none" w:sz="0" w:space="0" w:color="auto"/>
        <w:right w:val="none" w:sz="0" w:space="0" w:color="auto"/>
      </w:divBdr>
    </w:div>
    <w:div w:id="1362827001">
      <w:marLeft w:val="640"/>
      <w:marRight w:val="0"/>
      <w:marTop w:val="0"/>
      <w:marBottom w:val="0"/>
      <w:divBdr>
        <w:top w:val="none" w:sz="0" w:space="0" w:color="auto"/>
        <w:left w:val="none" w:sz="0" w:space="0" w:color="auto"/>
        <w:bottom w:val="none" w:sz="0" w:space="0" w:color="auto"/>
        <w:right w:val="none" w:sz="0" w:space="0" w:color="auto"/>
      </w:divBdr>
    </w:div>
    <w:div w:id="1363744403">
      <w:marLeft w:val="640"/>
      <w:marRight w:val="0"/>
      <w:marTop w:val="0"/>
      <w:marBottom w:val="0"/>
      <w:divBdr>
        <w:top w:val="none" w:sz="0" w:space="0" w:color="auto"/>
        <w:left w:val="none" w:sz="0" w:space="0" w:color="auto"/>
        <w:bottom w:val="none" w:sz="0" w:space="0" w:color="auto"/>
        <w:right w:val="none" w:sz="0" w:space="0" w:color="auto"/>
      </w:divBdr>
    </w:div>
    <w:div w:id="1364551315">
      <w:marLeft w:val="640"/>
      <w:marRight w:val="0"/>
      <w:marTop w:val="0"/>
      <w:marBottom w:val="0"/>
      <w:divBdr>
        <w:top w:val="none" w:sz="0" w:space="0" w:color="auto"/>
        <w:left w:val="none" w:sz="0" w:space="0" w:color="auto"/>
        <w:bottom w:val="none" w:sz="0" w:space="0" w:color="auto"/>
        <w:right w:val="none" w:sz="0" w:space="0" w:color="auto"/>
      </w:divBdr>
    </w:div>
    <w:div w:id="1368872354">
      <w:marLeft w:val="640"/>
      <w:marRight w:val="0"/>
      <w:marTop w:val="0"/>
      <w:marBottom w:val="0"/>
      <w:divBdr>
        <w:top w:val="none" w:sz="0" w:space="0" w:color="auto"/>
        <w:left w:val="none" w:sz="0" w:space="0" w:color="auto"/>
        <w:bottom w:val="none" w:sz="0" w:space="0" w:color="auto"/>
        <w:right w:val="none" w:sz="0" w:space="0" w:color="auto"/>
      </w:divBdr>
    </w:div>
    <w:div w:id="1372195598">
      <w:marLeft w:val="640"/>
      <w:marRight w:val="0"/>
      <w:marTop w:val="0"/>
      <w:marBottom w:val="0"/>
      <w:divBdr>
        <w:top w:val="none" w:sz="0" w:space="0" w:color="auto"/>
        <w:left w:val="none" w:sz="0" w:space="0" w:color="auto"/>
        <w:bottom w:val="none" w:sz="0" w:space="0" w:color="auto"/>
        <w:right w:val="none" w:sz="0" w:space="0" w:color="auto"/>
      </w:divBdr>
    </w:div>
    <w:div w:id="1372337082">
      <w:marLeft w:val="640"/>
      <w:marRight w:val="0"/>
      <w:marTop w:val="0"/>
      <w:marBottom w:val="0"/>
      <w:divBdr>
        <w:top w:val="none" w:sz="0" w:space="0" w:color="auto"/>
        <w:left w:val="none" w:sz="0" w:space="0" w:color="auto"/>
        <w:bottom w:val="none" w:sz="0" w:space="0" w:color="auto"/>
        <w:right w:val="none" w:sz="0" w:space="0" w:color="auto"/>
      </w:divBdr>
    </w:div>
    <w:div w:id="1378505349">
      <w:marLeft w:val="640"/>
      <w:marRight w:val="0"/>
      <w:marTop w:val="0"/>
      <w:marBottom w:val="0"/>
      <w:divBdr>
        <w:top w:val="none" w:sz="0" w:space="0" w:color="auto"/>
        <w:left w:val="none" w:sz="0" w:space="0" w:color="auto"/>
        <w:bottom w:val="none" w:sz="0" w:space="0" w:color="auto"/>
        <w:right w:val="none" w:sz="0" w:space="0" w:color="auto"/>
      </w:divBdr>
    </w:div>
    <w:div w:id="1381980897">
      <w:marLeft w:val="640"/>
      <w:marRight w:val="0"/>
      <w:marTop w:val="0"/>
      <w:marBottom w:val="0"/>
      <w:divBdr>
        <w:top w:val="none" w:sz="0" w:space="0" w:color="auto"/>
        <w:left w:val="none" w:sz="0" w:space="0" w:color="auto"/>
        <w:bottom w:val="none" w:sz="0" w:space="0" w:color="auto"/>
        <w:right w:val="none" w:sz="0" w:space="0" w:color="auto"/>
      </w:divBdr>
    </w:div>
    <w:div w:id="1385374310">
      <w:marLeft w:val="640"/>
      <w:marRight w:val="0"/>
      <w:marTop w:val="0"/>
      <w:marBottom w:val="0"/>
      <w:divBdr>
        <w:top w:val="none" w:sz="0" w:space="0" w:color="auto"/>
        <w:left w:val="none" w:sz="0" w:space="0" w:color="auto"/>
        <w:bottom w:val="none" w:sz="0" w:space="0" w:color="auto"/>
        <w:right w:val="none" w:sz="0" w:space="0" w:color="auto"/>
      </w:divBdr>
    </w:div>
    <w:div w:id="1390304893">
      <w:marLeft w:val="640"/>
      <w:marRight w:val="0"/>
      <w:marTop w:val="0"/>
      <w:marBottom w:val="0"/>
      <w:divBdr>
        <w:top w:val="none" w:sz="0" w:space="0" w:color="auto"/>
        <w:left w:val="none" w:sz="0" w:space="0" w:color="auto"/>
        <w:bottom w:val="none" w:sz="0" w:space="0" w:color="auto"/>
        <w:right w:val="none" w:sz="0" w:space="0" w:color="auto"/>
      </w:divBdr>
    </w:div>
    <w:div w:id="1394084294">
      <w:marLeft w:val="640"/>
      <w:marRight w:val="0"/>
      <w:marTop w:val="0"/>
      <w:marBottom w:val="0"/>
      <w:divBdr>
        <w:top w:val="none" w:sz="0" w:space="0" w:color="auto"/>
        <w:left w:val="none" w:sz="0" w:space="0" w:color="auto"/>
        <w:bottom w:val="none" w:sz="0" w:space="0" w:color="auto"/>
        <w:right w:val="none" w:sz="0" w:space="0" w:color="auto"/>
      </w:divBdr>
    </w:div>
    <w:div w:id="1394161516">
      <w:marLeft w:val="640"/>
      <w:marRight w:val="0"/>
      <w:marTop w:val="0"/>
      <w:marBottom w:val="0"/>
      <w:divBdr>
        <w:top w:val="none" w:sz="0" w:space="0" w:color="auto"/>
        <w:left w:val="none" w:sz="0" w:space="0" w:color="auto"/>
        <w:bottom w:val="none" w:sz="0" w:space="0" w:color="auto"/>
        <w:right w:val="none" w:sz="0" w:space="0" w:color="auto"/>
      </w:divBdr>
    </w:div>
    <w:div w:id="1394962940">
      <w:marLeft w:val="640"/>
      <w:marRight w:val="0"/>
      <w:marTop w:val="0"/>
      <w:marBottom w:val="0"/>
      <w:divBdr>
        <w:top w:val="none" w:sz="0" w:space="0" w:color="auto"/>
        <w:left w:val="none" w:sz="0" w:space="0" w:color="auto"/>
        <w:bottom w:val="none" w:sz="0" w:space="0" w:color="auto"/>
        <w:right w:val="none" w:sz="0" w:space="0" w:color="auto"/>
      </w:divBdr>
    </w:div>
    <w:div w:id="1397513623">
      <w:marLeft w:val="640"/>
      <w:marRight w:val="0"/>
      <w:marTop w:val="0"/>
      <w:marBottom w:val="0"/>
      <w:divBdr>
        <w:top w:val="none" w:sz="0" w:space="0" w:color="auto"/>
        <w:left w:val="none" w:sz="0" w:space="0" w:color="auto"/>
        <w:bottom w:val="none" w:sz="0" w:space="0" w:color="auto"/>
        <w:right w:val="none" w:sz="0" w:space="0" w:color="auto"/>
      </w:divBdr>
    </w:div>
    <w:div w:id="1399093839">
      <w:marLeft w:val="640"/>
      <w:marRight w:val="0"/>
      <w:marTop w:val="0"/>
      <w:marBottom w:val="0"/>
      <w:divBdr>
        <w:top w:val="none" w:sz="0" w:space="0" w:color="auto"/>
        <w:left w:val="none" w:sz="0" w:space="0" w:color="auto"/>
        <w:bottom w:val="none" w:sz="0" w:space="0" w:color="auto"/>
        <w:right w:val="none" w:sz="0" w:space="0" w:color="auto"/>
      </w:divBdr>
    </w:div>
    <w:div w:id="1403286639">
      <w:marLeft w:val="640"/>
      <w:marRight w:val="0"/>
      <w:marTop w:val="0"/>
      <w:marBottom w:val="0"/>
      <w:divBdr>
        <w:top w:val="none" w:sz="0" w:space="0" w:color="auto"/>
        <w:left w:val="none" w:sz="0" w:space="0" w:color="auto"/>
        <w:bottom w:val="none" w:sz="0" w:space="0" w:color="auto"/>
        <w:right w:val="none" w:sz="0" w:space="0" w:color="auto"/>
      </w:divBdr>
    </w:div>
    <w:div w:id="1406680953">
      <w:marLeft w:val="640"/>
      <w:marRight w:val="0"/>
      <w:marTop w:val="0"/>
      <w:marBottom w:val="0"/>
      <w:divBdr>
        <w:top w:val="none" w:sz="0" w:space="0" w:color="auto"/>
        <w:left w:val="none" w:sz="0" w:space="0" w:color="auto"/>
        <w:bottom w:val="none" w:sz="0" w:space="0" w:color="auto"/>
        <w:right w:val="none" w:sz="0" w:space="0" w:color="auto"/>
      </w:divBdr>
    </w:div>
    <w:div w:id="1408918995">
      <w:marLeft w:val="640"/>
      <w:marRight w:val="0"/>
      <w:marTop w:val="0"/>
      <w:marBottom w:val="0"/>
      <w:divBdr>
        <w:top w:val="none" w:sz="0" w:space="0" w:color="auto"/>
        <w:left w:val="none" w:sz="0" w:space="0" w:color="auto"/>
        <w:bottom w:val="none" w:sz="0" w:space="0" w:color="auto"/>
        <w:right w:val="none" w:sz="0" w:space="0" w:color="auto"/>
      </w:divBdr>
    </w:div>
    <w:div w:id="1410689813">
      <w:marLeft w:val="640"/>
      <w:marRight w:val="0"/>
      <w:marTop w:val="0"/>
      <w:marBottom w:val="0"/>
      <w:divBdr>
        <w:top w:val="none" w:sz="0" w:space="0" w:color="auto"/>
        <w:left w:val="none" w:sz="0" w:space="0" w:color="auto"/>
        <w:bottom w:val="none" w:sz="0" w:space="0" w:color="auto"/>
        <w:right w:val="none" w:sz="0" w:space="0" w:color="auto"/>
      </w:divBdr>
    </w:div>
    <w:div w:id="1414009566">
      <w:marLeft w:val="640"/>
      <w:marRight w:val="0"/>
      <w:marTop w:val="0"/>
      <w:marBottom w:val="0"/>
      <w:divBdr>
        <w:top w:val="none" w:sz="0" w:space="0" w:color="auto"/>
        <w:left w:val="none" w:sz="0" w:space="0" w:color="auto"/>
        <w:bottom w:val="none" w:sz="0" w:space="0" w:color="auto"/>
        <w:right w:val="none" w:sz="0" w:space="0" w:color="auto"/>
      </w:divBdr>
    </w:div>
    <w:div w:id="1418206018">
      <w:marLeft w:val="640"/>
      <w:marRight w:val="0"/>
      <w:marTop w:val="0"/>
      <w:marBottom w:val="0"/>
      <w:divBdr>
        <w:top w:val="none" w:sz="0" w:space="0" w:color="auto"/>
        <w:left w:val="none" w:sz="0" w:space="0" w:color="auto"/>
        <w:bottom w:val="none" w:sz="0" w:space="0" w:color="auto"/>
        <w:right w:val="none" w:sz="0" w:space="0" w:color="auto"/>
      </w:divBdr>
    </w:div>
    <w:div w:id="1422026879">
      <w:marLeft w:val="640"/>
      <w:marRight w:val="0"/>
      <w:marTop w:val="0"/>
      <w:marBottom w:val="0"/>
      <w:divBdr>
        <w:top w:val="none" w:sz="0" w:space="0" w:color="auto"/>
        <w:left w:val="none" w:sz="0" w:space="0" w:color="auto"/>
        <w:bottom w:val="none" w:sz="0" w:space="0" w:color="auto"/>
        <w:right w:val="none" w:sz="0" w:space="0" w:color="auto"/>
      </w:divBdr>
    </w:div>
    <w:div w:id="1427114124">
      <w:marLeft w:val="640"/>
      <w:marRight w:val="0"/>
      <w:marTop w:val="0"/>
      <w:marBottom w:val="0"/>
      <w:divBdr>
        <w:top w:val="none" w:sz="0" w:space="0" w:color="auto"/>
        <w:left w:val="none" w:sz="0" w:space="0" w:color="auto"/>
        <w:bottom w:val="none" w:sz="0" w:space="0" w:color="auto"/>
        <w:right w:val="none" w:sz="0" w:space="0" w:color="auto"/>
      </w:divBdr>
    </w:div>
    <w:div w:id="1428429617">
      <w:marLeft w:val="640"/>
      <w:marRight w:val="0"/>
      <w:marTop w:val="0"/>
      <w:marBottom w:val="0"/>
      <w:divBdr>
        <w:top w:val="none" w:sz="0" w:space="0" w:color="auto"/>
        <w:left w:val="none" w:sz="0" w:space="0" w:color="auto"/>
        <w:bottom w:val="none" w:sz="0" w:space="0" w:color="auto"/>
        <w:right w:val="none" w:sz="0" w:space="0" w:color="auto"/>
      </w:divBdr>
    </w:div>
    <w:div w:id="1431123371">
      <w:marLeft w:val="640"/>
      <w:marRight w:val="0"/>
      <w:marTop w:val="0"/>
      <w:marBottom w:val="0"/>
      <w:divBdr>
        <w:top w:val="none" w:sz="0" w:space="0" w:color="auto"/>
        <w:left w:val="none" w:sz="0" w:space="0" w:color="auto"/>
        <w:bottom w:val="none" w:sz="0" w:space="0" w:color="auto"/>
        <w:right w:val="none" w:sz="0" w:space="0" w:color="auto"/>
      </w:divBdr>
    </w:div>
    <w:div w:id="1433166644">
      <w:marLeft w:val="640"/>
      <w:marRight w:val="0"/>
      <w:marTop w:val="0"/>
      <w:marBottom w:val="0"/>
      <w:divBdr>
        <w:top w:val="none" w:sz="0" w:space="0" w:color="auto"/>
        <w:left w:val="none" w:sz="0" w:space="0" w:color="auto"/>
        <w:bottom w:val="none" w:sz="0" w:space="0" w:color="auto"/>
        <w:right w:val="none" w:sz="0" w:space="0" w:color="auto"/>
      </w:divBdr>
    </w:div>
    <w:div w:id="1435396585">
      <w:marLeft w:val="640"/>
      <w:marRight w:val="0"/>
      <w:marTop w:val="0"/>
      <w:marBottom w:val="0"/>
      <w:divBdr>
        <w:top w:val="none" w:sz="0" w:space="0" w:color="auto"/>
        <w:left w:val="none" w:sz="0" w:space="0" w:color="auto"/>
        <w:bottom w:val="none" w:sz="0" w:space="0" w:color="auto"/>
        <w:right w:val="none" w:sz="0" w:space="0" w:color="auto"/>
      </w:divBdr>
    </w:div>
    <w:div w:id="1436749938">
      <w:marLeft w:val="640"/>
      <w:marRight w:val="0"/>
      <w:marTop w:val="0"/>
      <w:marBottom w:val="0"/>
      <w:divBdr>
        <w:top w:val="none" w:sz="0" w:space="0" w:color="auto"/>
        <w:left w:val="none" w:sz="0" w:space="0" w:color="auto"/>
        <w:bottom w:val="none" w:sz="0" w:space="0" w:color="auto"/>
        <w:right w:val="none" w:sz="0" w:space="0" w:color="auto"/>
      </w:divBdr>
    </w:div>
    <w:div w:id="1440376216">
      <w:marLeft w:val="640"/>
      <w:marRight w:val="0"/>
      <w:marTop w:val="0"/>
      <w:marBottom w:val="0"/>
      <w:divBdr>
        <w:top w:val="none" w:sz="0" w:space="0" w:color="auto"/>
        <w:left w:val="none" w:sz="0" w:space="0" w:color="auto"/>
        <w:bottom w:val="none" w:sz="0" w:space="0" w:color="auto"/>
        <w:right w:val="none" w:sz="0" w:space="0" w:color="auto"/>
      </w:divBdr>
    </w:div>
    <w:div w:id="1441030526">
      <w:marLeft w:val="640"/>
      <w:marRight w:val="0"/>
      <w:marTop w:val="0"/>
      <w:marBottom w:val="0"/>
      <w:divBdr>
        <w:top w:val="none" w:sz="0" w:space="0" w:color="auto"/>
        <w:left w:val="none" w:sz="0" w:space="0" w:color="auto"/>
        <w:bottom w:val="none" w:sz="0" w:space="0" w:color="auto"/>
        <w:right w:val="none" w:sz="0" w:space="0" w:color="auto"/>
      </w:divBdr>
    </w:div>
    <w:div w:id="1442921013">
      <w:marLeft w:val="640"/>
      <w:marRight w:val="0"/>
      <w:marTop w:val="0"/>
      <w:marBottom w:val="0"/>
      <w:divBdr>
        <w:top w:val="none" w:sz="0" w:space="0" w:color="auto"/>
        <w:left w:val="none" w:sz="0" w:space="0" w:color="auto"/>
        <w:bottom w:val="none" w:sz="0" w:space="0" w:color="auto"/>
        <w:right w:val="none" w:sz="0" w:space="0" w:color="auto"/>
      </w:divBdr>
    </w:div>
    <w:div w:id="1443382748">
      <w:marLeft w:val="640"/>
      <w:marRight w:val="0"/>
      <w:marTop w:val="0"/>
      <w:marBottom w:val="0"/>
      <w:divBdr>
        <w:top w:val="none" w:sz="0" w:space="0" w:color="auto"/>
        <w:left w:val="none" w:sz="0" w:space="0" w:color="auto"/>
        <w:bottom w:val="none" w:sz="0" w:space="0" w:color="auto"/>
        <w:right w:val="none" w:sz="0" w:space="0" w:color="auto"/>
      </w:divBdr>
    </w:div>
    <w:div w:id="1448892363">
      <w:marLeft w:val="640"/>
      <w:marRight w:val="0"/>
      <w:marTop w:val="0"/>
      <w:marBottom w:val="0"/>
      <w:divBdr>
        <w:top w:val="none" w:sz="0" w:space="0" w:color="auto"/>
        <w:left w:val="none" w:sz="0" w:space="0" w:color="auto"/>
        <w:bottom w:val="none" w:sz="0" w:space="0" w:color="auto"/>
        <w:right w:val="none" w:sz="0" w:space="0" w:color="auto"/>
      </w:divBdr>
    </w:div>
    <w:div w:id="1449087733">
      <w:marLeft w:val="640"/>
      <w:marRight w:val="0"/>
      <w:marTop w:val="0"/>
      <w:marBottom w:val="0"/>
      <w:divBdr>
        <w:top w:val="none" w:sz="0" w:space="0" w:color="auto"/>
        <w:left w:val="none" w:sz="0" w:space="0" w:color="auto"/>
        <w:bottom w:val="none" w:sz="0" w:space="0" w:color="auto"/>
        <w:right w:val="none" w:sz="0" w:space="0" w:color="auto"/>
      </w:divBdr>
    </w:div>
    <w:div w:id="1449853387">
      <w:marLeft w:val="640"/>
      <w:marRight w:val="0"/>
      <w:marTop w:val="0"/>
      <w:marBottom w:val="0"/>
      <w:divBdr>
        <w:top w:val="none" w:sz="0" w:space="0" w:color="auto"/>
        <w:left w:val="none" w:sz="0" w:space="0" w:color="auto"/>
        <w:bottom w:val="none" w:sz="0" w:space="0" w:color="auto"/>
        <w:right w:val="none" w:sz="0" w:space="0" w:color="auto"/>
      </w:divBdr>
    </w:div>
    <w:div w:id="1452893562">
      <w:marLeft w:val="640"/>
      <w:marRight w:val="0"/>
      <w:marTop w:val="0"/>
      <w:marBottom w:val="0"/>
      <w:divBdr>
        <w:top w:val="none" w:sz="0" w:space="0" w:color="auto"/>
        <w:left w:val="none" w:sz="0" w:space="0" w:color="auto"/>
        <w:bottom w:val="none" w:sz="0" w:space="0" w:color="auto"/>
        <w:right w:val="none" w:sz="0" w:space="0" w:color="auto"/>
      </w:divBdr>
    </w:div>
    <w:div w:id="1454405971">
      <w:marLeft w:val="640"/>
      <w:marRight w:val="0"/>
      <w:marTop w:val="0"/>
      <w:marBottom w:val="0"/>
      <w:divBdr>
        <w:top w:val="none" w:sz="0" w:space="0" w:color="auto"/>
        <w:left w:val="none" w:sz="0" w:space="0" w:color="auto"/>
        <w:bottom w:val="none" w:sz="0" w:space="0" w:color="auto"/>
        <w:right w:val="none" w:sz="0" w:space="0" w:color="auto"/>
      </w:divBdr>
    </w:div>
    <w:div w:id="1455294218">
      <w:marLeft w:val="640"/>
      <w:marRight w:val="0"/>
      <w:marTop w:val="0"/>
      <w:marBottom w:val="0"/>
      <w:divBdr>
        <w:top w:val="none" w:sz="0" w:space="0" w:color="auto"/>
        <w:left w:val="none" w:sz="0" w:space="0" w:color="auto"/>
        <w:bottom w:val="none" w:sz="0" w:space="0" w:color="auto"/>
        <w:right w:val="none" w:sz="0" w:space="0" w:color="auto"/>
      </w:divBdr>
    </w:div>
    <w:div w:id="1456021909">
      <w:marLeft w:val="640"/>
      <w:marRight w:val="0"/>
      <w:marTop w:val="0"/>
      <w:marBottom w:val="0"/>
      <w:divBdr>
        <w:top w:val="none" w:sz="0" w:space="0" w:color="auto"/>
        <w:left w:val="none" w:sz="0" w:space="0" w:color="auto"/>
        <w:bottom w:val="none" w:sz="0" w:space="0" w:color="auto"/>
        <w:right w:val="none" w:sz="0" w:space="0" w:color="auto"/>
      </w:divBdr>
    </w:div>
    <w:div w:id="1456679293">
      <w:marLeft w:val="640"/>
      <w:marRight w:val="0"/>
      <w:marTop w:val="0"/>
      <w:marBottom w:val="0"/>
      <w:divBdr>
        <w:top w:val="none" w:sz="0" w:space="0" w:color="auto"/>
        <w:left w:val="none" w:sz="0" w:space="0" w:color="auto"/>
        <w:bottom w:val="none" w:sz="0" w:space="0" w:color="auto"/>
        <w:right w:val="none" w:sz="0" w:space="0" w:color="auto"/>
      </w:divBdr>
    </w:div>
    <w:div w:id="1459647528">
      <w:marLeft w:val="640"/>
      <w:marRight w:val="0"/>
      <w:marTop w:val="0"/>
      <w:marBottom w:val="0"/>
      <w:divBdr>
        <w:top w:val="none" w:sz="0" w:space="0" w:color="auto"/>
        <w:left w:val="none" w:sz="0" w:space="0" w:color="auto"/>
        <w:bottom w:val="none" w:sz="0" w:space="0" w:color="auto"/>
        <w:right w:val="none" w:sz="0" w:space="0" w:color="auto"/>
      </w:divBdr>
    </w:div>
    <w:div w:id="1460221958">
      <w:marLeft w:val="640"/>
      <w:marRight w:val="0"/>
      <w:marTop w:val="0"/>
      <w:marBottom w:val="0"/>
      <w:divBdr>
        <w:top w:val="none" w:sz="0" w:space="0" w:color="auto"/>
        <w:left w:val="none" w:sz="0" w:space="0" w:color="auto"/>
        <w:bottom w:val="none" w:sz="0" w:space="0" w:color="auto"/>
        <w:right w:val="none" w:sz="0" w:space="0" w:color="auto"/>
      </w:divBdr>
    </w:div>
    <w:div w:id="1461067388">
      <w:marLeft w:val="640"/>
      <w:marRight w:val="0"/>
      <w:marTop w:val="0"/>
      <w:marBottom w:val="0"/>
      <w:divBdr>
        <w:top w:val="none" w:sz="0" w:space="0" w:color="auto"/>
        <w:left w:val="none" w:sz="0" w:space="0" w:color="auto"/>
        <w:bottom w:val="none" w:sz="0" w:space="0" w:color="auto"/>
        <w:right w:val="none" w:sz="0" w:space="0" w:color="auto"/>
      </w:divBdr>
    </w:div>
    <w:div w:id="1465125677">
      <w:marLeft w:val="640"/>
      <w:marRight w:val="0"/>
      <w:marTop w:val="0"/>
      <w:marBottom w:val="0"/>
      <w:divBdr>
        <w:top w:val="none" w:sz="0" w:space="0" w:color="auto"/>
        <w:left w:val="none" w:sz="0" w:space="0" w:color="auto"/>
        <w:bottom w:val="none" w:sz="0" w:space="0" w:color="auto"/>
        <w:right w:val="none" w:sz="0" w:space="0" w:color="auto"/>
      </w:divBdr>
    </w:div>
    <w:div w:id="1465153774">
      <w:marLeft w:val="640"/>
      <w:marRight w:val="0"/>
      <w:marTop w:val="0"/>
      <w:marBottom w:val="0"/>
      <w:divBdr>
        <w:top w:val="none" w:sz="0" w:space="0" w:color="auto"/>
        <w:left w:val="none" w:sz="0" w:space="0" w:color="auto"/>
        <w:bottom w:val="none" w:sz="0" w:space="0" w:color="auto"/>
        <w:right w:val="none" w:sz="0" w:space="0" w:color="auto"/>
      </w:divBdr>
    </w:div>
    <w:div w:id="1469011152">
      <w:marLeft w:val="640"/>
      <w:marRight w:val="0"/>
      <w:marTop w:val="0"/>
      <w:marBottom w:val="0"/>
      <w:divBdr>
        <w:top w:val="none" w:sz="0" w:space="0" w:color="auto"/>
        <w:left w:val="none" w:sz="0" w:space="0" w:color="auto"/>
        <w:bottom w:val="none" w:sz="0" w:space="0" w:color="auto"/>
        <w:right w:val="none" w:sz="0" w:space="0" w:color="auto"/>
      </w:divBdr>
    </w:div>
    <w:div w:id="1470903364">
      <w:marLeft w:val="640"/>
      <w:marRight w:val="0"/>
      <w:marTop w:val="0"/>
      <w:marBottom w:val="0"/>
      <w:divBdr>
        <w:top w:val="none" w:sz="0" w:space="0" w:color="auto"/>
        <w:left w:val="none" w:sz="0" w:space="0" w:color="auto"/>
        <w:bottom w:val="none" w:sz="0" w:space="0" w:color="auto"/>
        <w:right w:val="none" w:sz="0" w:space="0" w:color="auto"/>
      </w:divBdr>
    </w:div>
    <w:div w:id="1475945739">
      <w:marLeft w:val="640"/>
      <w:marRight w:val="0"/>
      <w:marTop w:val="0"/>
      <w:marBottom w:val="0"/>
      <w:divBdr>
        <w:top w:val="none" w:sz="0" w:space="0" w:color="auto"/>
        <w:left w:val="none" w:sz="0" w:space="0" w:color="auto"/>
        <w:bottom w:val="none" w:sz="0" w:space="0" w:color="auto"/>
        <w:right w:val="none" w:sz="0" w:space="0" w:color="auto"/>
      </w:divBdr>
    </w:div>
    <w:div w:id="1479613721">
      <w:marLeft w:val="640"/>
      <w:marRight w:val="0"/>
      <w:marTop w:val="0"/>
      <w:marBottom w:val="0"/>
      <w:divBdr>
        <w:top w:val="none" w:sz="0" w:space="0" w:color="auto"/>
        <w:left w:val="none" w:sz="0" w:space="0" w:color="auto"/>
        <w:bottom w:val="none" w:sz="0" w:space="0" w:color="auto"/>
        <w:right w:val="none" w:sz="0" w:space="0" w:color="auto"/>
      </w:divBdr>
    </w:div>
    <w:div w:id="1481920731">
      <w:marLeft w:val="640"/>
      <w:marRight w:val="0"/>
      <w:marTop w:val="0"/>
      <w:marBottom w:val="0"/>
      <w:divBdr>
        <w:top w:val="none" w:sz="0" w:space="0" w:color="auto"/>
        <w:left w:val="none" w:sz="0" w:space="0" w:color="auto"/>
        <w:bottom w:val="none" w:sz="0" w:space="0" w:color="auto"/>
        <w:right w:val="none" w:sz="0" w:space="0" w:color="auto"/>
      </w:divBdr>
    </w:div>
    <w:div w:id="1492061107">
      <w:marLeft w:val="640"/>
      <w:marRight w:val="0"/>
      <w:marTop w:val="0"/>
      <w:marBottom w:val="0"/>
      <w:divBdr>
        <w:top w:val="none" w:sz="0" w:space="0" w:color="auto"/>
        <w:left w:val="none" w:sz="0" w:space="0" w:color="auto"/>
        <w:bottom w:val="none" w:sz="0" w:space="0" w:color="auto"/>
        <w:right w:val="none" w:sz="0" w:space="0" w:color="auto"/>
      </w:divBdr>
    </w:div>
    <w:div w:id="1494224970">
      <w:marLeft w:val="640"/>
      <w:marRight w:val="0"/>
      <w:marTop w:val="0"/>
      <w:marBottom w:val="0"/>
      <w:divBdr>
        <w:top w:val="none" w:sz="0" w:space="0" w:color="auto"/>
        <w:left w:val="none" w:sz="0" w:space="0" w:color="auto"/>
        <w:bottom w:val="none" w:sz="0" w:space="0" w:color="auto"/>
        <w:right w:val="none" w:sz="0" w:space="0" w:color="auto"/>
      </w:divBdr>
    </w:div>
    <w:div w:id="1495144421">
      <w:marLeft w:val="640"/>
      <w:marRight w:val="0"/>
      <w:marTop w:val="0"/>
      <w:marBottom w:val="0"/>
      <w:divBdr>
        <w:top w:val="none" w:sz="0" w:space="0" w:color="auto"/>
        <w:left w:val="none" w:sz="0" w:space="0" w:color="auto"/>
        <w:bottom w:val="none" w:sz="0" w:space="0" w:color="auto"/>
        <w:right w:val="none" w:sz="0" w:space="0" w:color="auto"/>
      </w:divBdr>
    </w:div>
    <w:div w:id="1495608304">
      <w:marLeft w:val="640"/>
      <w:marRight w:val="0"/>
      <w:marTop w:val="0"/>
      <w:marBottom w:val="0"/>
      <w:divBdr>
        <w:top w:val="none" w:sz="0" w:space="0" w:color="auto"/>
        <w:left w:val="none" w:sz="0" w:space="0" w:color="auto"/>
        <w:bottom w:val="none" w:sz="0" w:space="0" w:color="auto"/>
        <w:right w:val="none" w:sz="0" w:space="0" w:color="auto"/>
      </w:divBdr>
    </w:div>
    <w:div w:id="1495730489">
      <w:marLeft w:val="640"/>
      <w:marRight w:val="0"/>
      <w:marTop w:val="0"/>
      <w:marBottom w:val="0"/>
      <w:divBdr>
        <w:top w:val="none" w:sz="0" w:space="0" w:color="auto"/>
        <w:left w:val="none" w:sz="0" w:space="0" w:color="auto"/>
        <w:bottom w:val="none" w:sz="0" w:space="0" w:color="auto"/>
        <w:right w:val="none" w:sz="0" w:space="0" w:color="auto"/>
      </w:divBdr>
    </w:div>
    <w:div w:id="1497841302">
      <w:marLeft w:val="640"/>
      <w:marRight w:val="0"/>
      <w:marTop w:val="0"/>
      <w:marBottom w:val="0"/>
      <w:divBdr>
        <w:top w:val="none" w:sz="0" w:space="0" w:color="auto"/>
        <w:left w:val="none" w:sz="0" w:space="0" w:color="auto"/>
        <w:bottom w:val="none" w:sz="0" w:space="0" w:color="auto"/>
        <w:right w:val="none" w:sz="0" w:space="0" w:color="auto"/>
      </w:divBdr>
    </w:div>
    <w:div w:id="1504078960">
      <w:marLeft w:val="640"/>
      <w:marRight w:val="0"/>
      <w:marTop w:val="0"/>
      <w:marBottom w:val="0"/>
      <w:divBdr>
        <w:top w:val="none" w:sz="0" w:space="0" w:color="auto"/>
        <w:left w:val="none" w:sz="0" w:space="0" w:color="auto"/>
        <w:bottom w:val="none" w:sz="0" w:space="0" w:color="auto"/>
        <w:right w:val="none" w:sz="0" w:space="0" w:color="auto"/>
      </w:divBdr>
    </w:div>
    <w:div w:id="1504665035">
      <w:marLeft w:val="640"/>
      <w:marRight w:val="0"/>
      <w:marTop w:val="0"/>
      <w:marBottom w:val="0"/>
      <w:divBdr>
        <w:top w:val="none" w:sz="0" w:space="0" w:color="auto"/>
        <w:left w:val="none" w:sz="0" w:space="0" w:color="auto"/>
        <w:bottom w:val="none" w:sz="0" w:space="0" w:color="auto"/>
        <w:right w:val="none" w:sz="0" w:space="0" w:color="auto"/>
      </w:divBdr>
    </w:div>
    <w:div w:id="1505197587">
      <w:marLeft w:val="640"/>
      <w:marRight w:val="0"/>
      <w:marTop w:val="0"/>
      <w:marBottom w:val="0"/>
      <w:divBdr>
        <w:top w:val="none" w:sz="0" w:space="0" w:color="auto"/>
        <w:left w:val="none" w:sz="0" w:space="0" w:color="auto"/>
        <w:bottom w:val="none" w:sz="0" w:space="0" w:color="auto"/>
        <w:right w:val="none" w:sz="0" w:space="0" w:color="auto"/>
      </w:divBdr>
    </w:div>
    <w:div w:id="1505710214">
      <w:marLeft w:val="640"/>
      <w:marRight w:val="0"/>
      <w:marTop w:val="0"/>
      <w:marBottom w:val="0"/>
      <w:divBdr>
        <w:top w:val="none" w:sz="0" w:space="0" w:color="auto"/>
        <w:left w:val="none" w:sz="0" w:space="0" w:color="auto"/>
        <w:bottom w:val="none" w:sz="0" w:space="0" w:color="auto"/>
        <w:right w:val="none" w:sz="0" w:space="0" w:color="auto"/>
      </w:divBdr>
    </w:div>
    <w:div w:id="1507987183">
      <w:marLeft w:val="640"/>
      <w:marRight w:val="0"/>
      <w:marTop w:val="0"/>
      <w:marBottom w:val="0"/>
      <w:divBdr>
        <w:top w:val="none" w:sz="0" w:space="0" w:color="auto"/>
        <w:left w:val="none" w:sz="0" w:space="0" w:color="auto"/>
        <w:bottom w:val="none" w:sz="0" w:space="0" w:color="auto"/>
        <w:right w:val="none" w:sz="0" w:space="0" w:color="auto"/>
      </w:divBdr>
    </w:div>
    <w:div w:id="1516264277">
      <w:marLeft w:val="640"/>
      <w:marRight w:val="0"/>
      <w:marTop w:val="0"/>
      <w:marBottom w:val="0"/>
      <w:divBdr>
        <w:top w:val="none" w:sz="0" w:space="0" w:color="auto"/>
        <w:left w:val="none" w:sz="0" w:space="0" w:color="auto"/>
        <w:bottom w:val="none" w:sz="0" w:space="0" w:color="auto"/>
        <w:right w:val="none" w:sz="0" w:space="0" w:color="auto"/>
      </w:divBdr>
    </w:div>
    <w:div w:id="1516580424">
      <w:marLeft w:val="640"/>
      <w:marRight w:val="0"/>
      <w:marTop w:val="0"/>
      <w:marBottom w:val="0"/>
      <w:divBdr>
        <w:top w:val="none" w:sz="0" w:space="0" w:color="auto"/>
        <w:left w:val="none" w:sz="0" w:space="0" w:color="auto"/>
        <w:bottom w:val="none" w:sz="0" w:space="0" w:color="auto"/>
        <w:right w:val="none" w:sz="0" w:space="0" w:color="auto"/>
      </w:divBdr>
    </w:div>
    <w:div w:id="1521554620">
      <w:marLeft w:val="640"/>
      <w:marRight w:val="0"/>
      <w:marTop w:val="0"/>
      <w:marBottom w:val="0"/>
      <w:divBdr>
        <w:top w:val="none" w:sz="0" w:space="0" w:color="auto"/>
        <w:left w:val="none" w:sz="0" w:space="0" w:color="auto"/>
        <w:bottom w:val="none" w:sz="0" w:space="0" w:color="auto"/>
        <w:right w:val="none" w:sz="0" w:space="0" w:color="auto"/>
      </w:divBdr>
    </w:div>
    <w:div w:id="1522892420">
      <w:marLeft w:val="640"/>
      <w:marRight w:val="0"/>
      <w:marTop w:val="0"/>
      <w:marBottom w:val="0"/>
      <w:divBdr>
        <w:top w:val="none" w:sz="0" w:space="0" w:color="auto"/>
        <w:left w:val="none" w:sz="0" w:space="0" w:color="auto"/>
        <w:bottom w:val="none" w:sz="0" w:space="0" w:color="auto"/>
        <w:right w:val="none" w:sz="0" w:space="0" w:color="auto"/>
      </w:divBdr>
    </w:div>
    <w:div w:id="1523321813">
      <w:marLeft w:val="640"/>
      <w:marRight w:val="0"/>
      <w:marTop w:val="0"/>
      <w:marBottom w:val="0"/>
      <w:divBdr>
        <w:top w:val="none" w:sz="0" w:space="0" w:color="auto"/>
        <w:left w:val="none" w:sz="0" w:space="0" w:color="auto"/>
        <w:bottom w:val="none" w:sz="0" w:space="0" w:color="auto"/>
        <w:right w:val="none" w:sz="0" w:space="0" w:color="auto"/>
      </w:divBdr>
    </w:div>
    <w:div w:id="1523742913">
      <w:marLeft w:val="640"/>
      <w:marRight w:val="0"/>
      <w:marTop w:val="0"/>
      <w:marBottom w:val="0"/>
      <w:divBdr>
        <w:top w:val="none" w:sz="0" w:space="0" w:color="auto"/>
        <w:left w:val="none" w:sz="0" w:space="0" w:color="auto"/>
        <w:bottom w:val="none" w:sz="0" w:space="0" w:color="auto"/>
        <w:right w:val="none" w:sz="0" w:space="0" w:color="auto"/>
      </w:divBdr>
    </w:div>
    <w:div w:id="1524132748">
      <w:marLeft w:val="640"/>
      <w:marRight w:val="0"/>
      <w:marTop w:val="0"/>
      <w:marBottom w:val="0"/>
      <w:divBdr>
        <w:top w:val="none" w:sz="0" w:space="0" w:color="auto"/>
        <w:left w:val="none" w:sz="0" w:space="0" w:color="auto"/>
        <w:bottom w:val="none" w:sz="0" w:space="0" w:color="auto"/>
        <w:right w:val="none" w:sz="0" w:space="0" w:color="auto"/>
      </w:divBdr>
    </w:div>
    <w:div w:id="1525481583">
      <w:marLeft w:val="640"/>
      <w:marRight w:val="0"/>
      <w:marTop w:val="0"/>
      <w:marBottom w:val="0"/>
      <w:divBdr>
        <w:top w:val="none" w:sz="0" w:space="0" w:color="auto"/>
        <w:left w:val="none" w:sz="0" w:space="0" w:color="auto"/>
        <w:bottom w:val="none" w:sz="0" w:space="0" w:color="auto"/>
        <w:right w:val="none" w:sz="0" w:space="0" w:color="auto"/>
      </w:divBdr>
    </w:div>
    <w:div w:id="1525947856">
      <w:marLeft w:val="640"/>
      <w:marRight w:val="0"/>
      <w:marTop w:val="0"/>
      <w:marBottom w:val="0"/>
      <w:divBdr>
        <w:top w:val="none" w:sz="0" w:space="0" w:color="auto"/>
        <w:left w:val="none" w:sz="0" w:space="0" w:color="auto"/>
        <w:bottom w:val="none" w:sz="0" w:space="0" w:color="auto"/>
        <w:right w:val="none" w:sz="0" w:space="0" w:color="auto"/>
      </w:divBdr>
    </w:div>
    <w:div w:id="1530408458">
      <w:marLeft w:val="640"/>
      <w:marRight w:val="0"/>
      <w:marTop w:val="0"/>
      <w:marBottom w:val="0"/>
      <w:divBdr>
        <w:top w:val="none" w:sz="0" w:space="0" w:color="auto"/>
        <w:left w:val="none" w:sz="0" w:space="0" w:color="auto"/>
        <w:bottom w:val="none" w:sz="0" w:space="0" w:color="auto"/>
        <w:right w:val="none" w:sz="0" w:space="0" w:color="auto"/>
      </w:divBdr>
    </w:div>
    <w:div w:id="1537229255">
      <w:marLeft w:val="640"/>
      <w:marRight w:val="0"/>
      <w:marTop w:val="0"/>
      <w:marBottom w:val="0"/>
      <w:divBdr>
        <w:top w:val="none" w:sz="0" w:space="0" w:color="auto"/>
        <w:left w:val="none" w:sz="0" w:space="0" w:color="auto"/>
        <w:bottom w:val="none" w:sz="0" w:space="0" w:color="auto"/>
        <w:right w:val="none" w:sz="0" w:space="0" w:color="auto"/>
      </w:divBdr>
    </w:div>
    <w:div w:id="1541740830">
      <w:marLeft w:val="640"/>
      <w:marRight w:val="0"/>
      <w:marTop w:val="0"/>
      <w:marBottom w:val="0"/>
      <w:divBdr>
        <w:top w:val="none" w:sz="0" w:space="0" w:color="auto"/>
        <w:left w:val="none" w:sz="0" w:space="0" w:color="auto"/>
        <w:bottom w:val="none" w:sz="0" w:space="0" w:color="auto"/>
        <w:right w:val="none" w:sz="0" w:space="0" w:color="auto"/>
      </w:divBdr>
    </w:div>
    <w:div w:id="1545824332">
      <w:marLeft w:val="640"/>
      <w:marRight w:val="0"/>
      <w:marTop w:val="0"/>
      <w:marBottom w:val="0"/>
      <w:divBdr>
        <w:top w:val="none" w:sz="0" w:space="0" w:color="auto"/>
        <w:left w:val="none" w:sz="0" w:space="0" w:color="auto"/>
        <w:bottom w:val="none" w:sz="0" w:space="0" w:color="auto"/>
        <w:right w:val="none" w:sz="0" w:space="0" w:color="auto"/>
      </w:divBdr>
    </w:div>
    <w:div w:id="1549687000">
      <w:marLeft w:val="640"/>
      <w:marRight w:val="0"/>
      <w:marTop w:val="0"/>
      <w:marBottom w:val="0"/>
      <w:divBdr>
        <w:top w:val="none" w:sz="0" w:space="0" w:color="auto"/>
        <w:left w:val="none" w:sz="0" w:space="0" w:color="auto"/>
        <w:bottom w:val="none" w:sz="0" w:space="0" w:color="auto"/>
        <w:right w:val="none" w:sz="0" w:space="0" w:color="auto"/>
      </w:divBdr>
    </w:div>
    <w:div w:id="1557815060">
      <w:marLeft w:val="640"/>
      <w:marRight w:val="0"/>
      <w:marTop w:val="0"/>
      <w:marBottom w:val="0"/>
      <w:divBdr>
        <w:top w:val="none" w:sz="0" w:space="0" w:color="auto"/>
        <w:left w:val="none" w:sz="0" w:space="0" w:color="auto"/>
        <w:bottom w:val="none" w:sz="0" w:space="0" w:color="auto"/>
        <w:right w:val="none" w:sz="0" w:space="0" w:color="auto"/>
      </w:divBdr>
    </w:div>
    <w:div w:id="1558274997">
      <w:marLeft w:val="640"/>
      <w:marRight w:val="0"/>
      <w:marTop w:val="0"/>
      <w:marBottom w:val="0"/>
      <w:divBdr>
        <w:top w:val="none" w:sz="0" w:space="0" w:color="auto"/>
        <w:left w:val="none" w:sz="0" w:space="0" w:color="auto"/>
        <w:bottom w:val="none" w:sz="0" w:space="0" w:color="auto"/>
        <w:right w:val="none" w:sz="0" w:space="0" w:color="auto"/>
      </w:divBdr>
    </w:div>
    <w:div w:id="1566064976">
      <w:marLeft w:val="640"/>
      <w:marRight w:val="0"/>
      <w:marTop w:val="0"/>
      <w:marBottom w:val="0"/>
      <w:divBdr>
        <w:top w:val="none" w:sz="0" w:space="0" w:color="auto"/>
        <w:left w:val="none" w:sz="0" w:space="0" w:color="auto"/>
        <w:bottom w:val="none" w:sz="0" w:space="0" w:color="auto"/>
        <w:right w:val="none" w:sz="0" w:space="0" w:color="auto"/>
      </w:divBdr>
    </w:div>
    <w:div w:id="1568488884">
      <w:marLeft w:val="640"/>
      <w:marRight w:val="0"/>
      <w:marTop w:val="0"/>
      <w:marBottom w:val="0"/>
      <w:divBdr>
        <w:top w:val="none" w:sz="0" w:space="0" w:color="auto"/>
        <w:left w:val="none" w:sz="0" w:space="0" w:color="auto"/>
        <w:bottom w:val="none" w:sz="0" w:space="0" w:color="auto"/>
        <w:right w:val="none" w:sz="0" w:space="0" w:color="auto"/>
      </w:divBdr>
    </w:div>
    <w:div w:id="1570463302">
      <w:marLeft w:val="640"/>
      <w:marRight w:val="0"/>
      <w:marTop w:val="0"/>
      <w:marBottom w:val="0"/>
      <w:divBdr>
        <w:top w:val="none" w:sz="0" w:space="0" w:color="auto"/>
        <w:left w:val="none" w:sz="0" w:space="0" w:color="auto"/>
        <w:bottom w:val="none" w:sz="0" w:space="0" w:color="auto"/>
        <w:right w:val="none" w:sz="0" w:space="0" w:color="auto"/>
      </w:divBdr>
    </w:div>
    <w:div w:id="1571043319">
      <w:marLeft w:val="640"/>
      <w:marRight w:val="0"/>
      <w:marTop w:val="0"/>
      <w:marBottom w:val="0"/>
      <w:divBdr>
        <w:top w:val="none" w:sz="0" w:space="0" w:color="auto"/>
        <w:left w:val="none" w:sz="0" w:space="0" w:color="auto"/>
        <w:bottom w:val="none" w:sz="0" w:space="0" w:color="auto"/>
        <w:right w:val="none" w:sz="0" w:space="0" w:color="auto"/>
      </w:divBdr>
    </w:div>
    <w:div w:id="1575705305">
      <w:marLeft w:val="640"/>
      <w:marRight w:val="0"/>
      <w:marTop w:val="0"/>
      <w:marBottom w:val="0"/>
      <w:divBdr>
        <w:top w:val="none" w:sz="0" w:space="0" w:color="auto"/>
        <w:left w:val="none" w:sz="0" w:space="0" w:color="auto"/>
        <w:bottom w:val="none" w:sz="0" w:space="0" w:color="auto"/>
        <w:right w:val="none" w:sz="0" w:space="0" w:color="auto"/>
      </w:divBdr>
    </w:div>
    <w:div w:id="1579749980">
      <w:marLeft w:val="640"/>
      <w:marRight w:val="0"/>
      <w:marTop w:val="0"/>
      <w:marBottom w:val="0"/>
      <w:divBdr>
        <w:top w:val="none" w:sz="0" w:space="0" w:color="auto"/>
        <w:left w:val="none" w:sz="0" w:space="0" w:color="auto"/>
        <w:bottom w:val="none" w:sz="0" w:space="0" w:color="auto"/>
        <w:right w:val="none" w:sz="0" w:space="0" w:color="auto"/>
      </w:divBdr>
    </w:div>
    <w:div w:id="1580405569">
      <w:marLeft w:val="640"/>
      <w:marRight w:val="0"/>
      <w:marTop w:val="0"/>
      <w:marBottom w:val="0"/>
      <w:divBdr>
        <w:top w:val="none" w:sz="0" w:space="0" w:color="auto"/>
        <w:left w:val="none" w:sz="0" w:space="0" w:color="auto"/>
        <w:bottom w:val="none" w:sz="0" w:space="0" w:color="auto"/>
        <w:right w:val="none" w:sz="0" w:space="0" w:color="auto"/>
      </w:divBdr>
    </w:div>
    <w:div w:id="1588035581">
      <w:marLeft w:val="640"/>
      <w:marRight w:val="0"/>
      <w:marTop w:val="0"/>
      <w:marBottom w:val="0"/>
      <w:divBdr>
        <w:top w:val="none" w:sz="0" w:space="0" w:color="auto"/>
        <w:left w:val="none" w:sz="0" w:space="0" w:color="auto"/>
        <w:bottom w:val="none" w:sz="0" w:space="0" w:color="auto"/>
        <w:right w:val="none" w:sz="0" w:space="0" w:color="auto"/>
      </w:divBdr>
    </w:div>
    <w:div w:id="1589073894">
      <w:marLeft w:val="640"/>
      <w:marRight w:val="0"/>
      <w:marTop w:val="0"/>
      <w:marBottom w:val="0"/>
      <w:divBdr>
        <w:top w:val="none" w:sz="0" w:space="0" w:color="auto"/>
        <w:left w:val="none" w:sz="0" w:space="0" w:color="auto"/>
        <w:bottom w:val="none" w:sz="0" w:space="0" w:color="auto"/>
        <w:right w:val="none" w:sz="0" w:space="0" w:color="auto"/>
      </w:divBdr>
    </w:div>
    <w:div w:id="1593658614">
      <w:marLeft w:val="640"/>
      <w:marRight w:val="0"/>
      <w:marTop w:val="0"/>
      <w:marBottom w:val="0"/>
      <w:divBdr>
        <w:top w:val="none" w:sz="0" w:space="0" w:color="auto"/>
        <w:left w:val="none" w:sz="0" w:space="0" w:color="auto"/>
        <w:bottom w:val="none" w:sz="0" w:space="0" w:color="auto"/>
        <w:right w:val="none" w:sz="0" w:space="0" w:color="auto"/>
      </w:divBdr>
    </w:div>
    <w:div w:id="1594970448">
      <w:marLeft w:val="640"/>
      <w:marRight w:val="0"/>
      <w:marTop w:val="0"/>
      <w:marBottom w:val="0"/>
      <w:divBdr>
        <w:top w:val="none" w:sz="0" w:space="0" w:color="auto"/>
        <w:left w:val="none" w:sz="0" w:space="0" w:color="auto"/>
        <w:bottom w:val="none" w:sz="0" w:space="0" w:color="auto"/>
        <w:right w:val="none" w:sz="0" w:space="0" w:color="auto"/>
      </w:divBdr>
    </w:div>
    <w:div w:id="1608073686">
      <w:marLeft w:val="640"/>
      <w:marRight w:val="0"/>
      <w:marTop w:val="0"/>
      <w:marBottom w:val="0"/>
      <w:divBdr>
        <w:top w:val="none" w:sz="0" w:space="0" w:color="auto"/>
        <w:left w:val="none" w:sz="0" w:space="0" w:color="auto"/>
        <w:bottom w:val="none" w:sz="0" w:space="0" w:color="auto"/>
        <w:right w:val="none" w:sz="0" w:space="0" w:color="auto"/>
      </w:divBdr>
    </w:div>
    <w:div w:id="1610968778">
      <w:marLeft w:val="640"/>
      <w:marRight w:val="0"/>
      <w:marTop w:val="0"/>
      <w:marBottom w:val="0"/>
      <w:divBdr>
        <w:top w:val="none" w:sz="0" w:space="0" w:color="auto"/>
        <w:left w:val="none" w:sz="0" w:space="0" w:color="auto"/>
        <w:bottom w:val="none" w:sz="0" w:space="0" w:color="auto"/>
        <w:right w:val="none" w:sz="0" w:space="0" w:color="auto"/>
      </w:divBdr>
    </w:div>
    <w:div w:id="1612781918">
      <w:marLeft w:val="640"/>
      <w:marRight w:val="0"/>
      <w:marTop w:val="0"/>
      <w:marBottom w:val="0"/>
      <w:divBdr>
        <w:top w:val="none" w:sz="0" w:space="0" w:color="auto"/>
        <w:left w:val="none" w:sz="0" w:space="0" w:color="auto"/>
        <w:bottom w:val="none" w:sz="0" w:space="0" w:color="auto"/>
        <w:right w:val="none" w:sz="0" w:space="0" w:color="auto"/>
      </w:divBdr>
    </w:div>
    <w:div w:id="1613708284">
      <w:marLeft w:val="640"/>
      <w:marRight w:val="0"/>
      <w:marTop w:val="0"/>
      <w:marBottom w:val="0"/>
      <w:divBdr>
        <w:top w:val="none" w:sz="0" w:space="0" w:color="auto"/>
        <w:left w:val="none" w:sz="0" w:space="0" w:color="auto"/>
        <w:bottom w:val="none" w:sz="0" w:space="0" w:color="auto"/>
        <w:right w:val="none" w:sz="0" w:space="0" w:color="auto"/>
      </w:divBdr>
    </w:div>
    <w:div w:id="1620650443">
      <w:marLeft w:val="640"/>
      <w:marRight w:val="0"/>
      <w:marTop w:val="0"/>
      <w:marBottom w:val="0"/>
      <w:divBdr>
        <w:top w:val="none" w:sz="0" w:space="0" w:color="auto"/>
        <w:left w:val="none" w:sz="0" w:space="0" w:color="auto"/>
        <w:bottom w:val="none" w:sz="0" w:space="0" w:color="auto"/>
        <w:right w:val="none" w:sz="0" w:space="0" w:color="auto"/>
      </w:divBdr>
    </w:div>
    <w:div w:id="1625575849">
      <w:marLeft w:val="640"/>
      <w:marRight w:val="0"/>
      <w:marTop w:val="0"/>
      <w:marBottom w:val="0"/>
      <w:divBdr>
        <w:top w:val="none" w:sz="0" w:space="0" w:color="auto"/>
        <w:left w:val="none" w:sz="0" w:space="0" w:color="auto"/>
        <w:bottom w:val="none" w:sz="0" w:space="0" w:color="auto"/>
        <w:right w:val="none" w:sz="0" w:space="0" w:color="auto"/>
      </w:divBdr>
    </w:div>
    <w:div w:id="1625849719">
      <w:marLeft w:val="640"/>
      <w:marRight w:val="0"/>
      <w:marTop w:val="0"/>
      <w:marBottom w:val="0"/>
      <w:divBdr>
        <w:top w:val="none" w:sz="0" w:space="0" w:color="auto"/>
        <w:left w:val="none" w:sz="0" w:space="0" w:color="auto"/>
        <w:bottom w:val="none" w:sz="0" w:space="0" w:color="auto"/>
        <w:right w:val="none" w:sz="0" w:space="0" w:color="auto"/>
      </w:divBdr>
    </w:div>
    <w:div w:id="1628898881">
      <w:marLeft w:val="640"/>
      <w:marRight w:val="0"/>
      <w:marTop w:val="0"/>
      <w:marBottom w:val="0"/>
      <w:divBdr>
        <w:top w:val="none" w:sz="0" w:space="0" w:color="auto"/>
        <w:left w:val="none" w:sz="0" w:space="0" w:color="auto"/>
        <w:bottom w:val="none" w:sz="0" w:space="0" w:color="auto"/>
        <w:right w:val="none" w:sz="0" w:space="0" w:color="auto"/>
      </w:divBdr>
    </w:div>
    <w:div w:id="1629894142">
      <w:marLeft w:val="640"/>
      <w:marRight w:val="0"/>
      <w:marTop w:val="0"/>
      <w:marBottom w:val="0"/>
      <w:divBdr>
        <w:top w:val="none" w:sz="0" w:space="0" w:color="auto"/>
        <w:left w:val="none" w:sz="0" w:space="0" w:color="auto"/>
        <w:bottom w:val="none" w:sz="0" w:space="0" w:color="auto"/>
        <w:right w:val="none" w:sz="0" w:space="0" w:color="auto"/>
      </w:divBdr>
    </w:div>
    <w:div w:id="1631327964">
      <w:marLeft w:val="640"/>
      <w:marRight w:val="0"/>
      <w:marTop w:val="0"/>
      <w:marBottom w:val="0"/>
      <w:divBdr>
        <w:top w:val="none" w:sz="0" w:space="0" w:color="auto"/>
        <w:left w:val="none" w:sz="0" w:space="0" w:color="auto"/>
        <w:bottom w:val="none" w:sz="0" w:space="0" w:color="auto"/>
        <w:right w:val="none" w:sz="0" w:space="0" w:color="auto"/>
      </w:divBdr>
    </w:div>
    <w:div w:id="1634216409">
      <w:marLeft w:val="640"/>
      <w:marRight w:val="0"/>
      <w:marTop w:val="0"/>
      <w:marBottom w:val="0"/>
      <w:divBdr>
        <w:top w:val="none" w:sz="0" w:space="0" w:color="auto"/>
        <w:left w:val="none" w:sz="0" w:space="0" w:color="auto"/>
        <w:bottom w:val="none" w:sz="0" w:space="0" w:color="auto"/>
        <w:right w:val="none" w:sz="0" w:space="0" w:color="auto"/>
      </w:divBdr>
    </w:div>
    <w:div w:id="1635985423">
      <w:marLeft w:val="640"/>
      <w:marRight w:val="0"/>
      <w:marTop w:val="0"/>
      <w:marBottom w:val="0"/>
      <w:divBdr>
        <w:top w:val="none" w:sz="0" w:space="0" w:color="auto"/>
        <w:left w:val="none" w:sz="0" w:space="0" w:color="auto"/>
        <w:bottom w:val="none" w:sz="0" w:space="0" w:color="auto"/>
        <w:right w:val="none" w:sz="0" w:space="0" w:color="auto"/>
      </w:divBdr>
    </w:div>
    <w:div w:id="1639190376">
      <w:marLeft w:val="640"/>
      <w:marRight w:val="0"/>
      <w:marTop w:val="0"/>
      <w:marBottom w:val="0"/>
      <w:divBdr>
        <w:top w:val="none" w:sz="0" w:space="0" w:color="auto"/>
        <w:left w:val="none" w:sz="0" w:space="0" w:color="auto"/>
        <w:bottom w:val="none" w:sz="0" w:space="0" w:color="auto"/>
        <w:right w:val="none" w:sz="0" w:space="0" w:color="auto"/>
      </w:divBdr>
    </w:div>
    <w:div w:id="1639604066">
      <w:marLeft w:val="640"/>
      <w:marRight w:val="0"/>
      <w:marTop w:val="0"/>
      <w:marBottom w:val="0"/>
      <w:divBdr>
        <w:top w:val="none" w:sz="0" w:space="0" w:color="auto"/>
        <w:left w:val="none" w:sz="0" w:space="0" w:color="auto"/>
        <w:bottom w:val="none" w:sz="0" w:space="0" w:color="auto"/>
        <w:right w:val="none" w:sz="0" w:space="0" w:color="auto"/>
      </w:divBdr>
    </w:div>
    <w:div w:id="1640450180">
      <w:marLeft w:val="640"/>
      <w:marRight w:val="0"/>
      <w:marTop w:val="0"/>
      <w:marBottom w:val="0"/>
      <w:divBdr>
        <w:top w:val="none" w:sz="0" w:space="0" w:color="auto"/>
        <w:left w:val="none" w:sz="0" w:space="0" w:color="auto"/>
        <w:bottom w:val="none" w:sz="0" w:space="0" w:color="auto"/>
        <w:right w:val="none" w:sz="0" w:space="0" w:color="auto"/>
      </w:divBdr>
    </w:div>
    <w:div w:id="1646085447">
      <w:marLeft w:val="640"/>
      <w:marRight w:val="0"/>
      <w:marTop w:val="0"/>
      <w:marBottom w:val="0"/>
      <w:divBdr>
        <w:top w:val="none" w:sz="0" w:space="0" w:color="auto"/>
        <w:left w:val="none" w:sz="0" w:space="0" w:color="auto"/>
        <w:bottom w:val="none" w:sz="0" w:space="0" w:color="auto"/>
        <w:right w:val="none" w:sz="0" w:space="0" w:color="auto"/>
      </w:divBdr>
    </w:div>
    <w:div w:id="1650675226">
      <w:marLeft w:val="640"/>
      <w:marRight w:val="0"/>
      <w:marTop w:val="0"/>
      <w:marBottom w:val="0"/>
      <w:divBdr>
        <w:top w:val="none" w:sz="0" w:space="0" w:color="auto"/>
        <w:left w:val="none" w:sz="0" w:space="0" w:color="auto"/>
        <w:bottom w:val="none" w:sz="0" w:space="0" w:color="auto"/>
        <w:right w:val="none" w:sz="0" w:space="0" w:color="auto"/>
      </w:divBdr>
    </w:div>
    <w:div w:id="1652248687">
      <w:marLeft w:val="640"/>
      <w:marRight w:val="0"/>
      <w:marTop w:val="0"/>
      <w:marBottom w:val="0"/>
      <w:divBdr>
        <w:top w:val="none" w:sz="0" w:space="0" w:color="auto"/>
        <w:left w:val="none" w:sz="0" w:space="0" w:color="auto"/>
        <w:bottom w:val="none" w:sz="0" w:space="0" w:color="auto"/>
        <w:right w:val="none" w:sz="0" w:space="0" w:color="auto"/>
      </w:divBdr>
    </w:div>
    <w:div w:id="1659308265">
      <w:marLeft w:val="640"/>
      <w:marRight w:val="0"/>
      <w:marTop w:val="0"/>
      <w:marBottom w:val="0"/>
      <w:divBdr>
        <w:top w:val="none" w:sz="0" w:space="0" w:color="auto"/>
        <w:left w:val="none" w:sz="0" w:space="0" w:color="auto"/>
        <w:bottom w:val="none" w:sz="0" w:space="0" w:color="auto"/>
        <w:right w:val="none" w:sz="0" w:space="0" w:color="auto"/>
      </w:divBdr>
    </w:div>
    <w:div w:id="1669291009">
      <w:marLeft w:val="640"/>
      <w:marRight w:val="0"/>
      <w:marTop w:val="0"/>
      <w:marBottom w:val="0"/>
      <w:divBdr>
        <w:top w:val="none" w:sz="0" w:space="0" w:color="auto"/>
        <w:left w:val="none" w:sz="0" w:space="0" w:color="auto"/>
        <w:bottom w:val="none" w:sz="0" w:space="0" w:color="auto"/>
        <w:right w:val="none" w:sz="0" w:space="0" w:color="auto"/>
      </w:divBdr>
    </w:div>
    <w:div w:id="1678000813">
      <w:marLeft w:val="640"/>
      <w:marRight w:val="0"/>
      <w:marTop w:val="0"/>
      <w:marBottom w:val="0"/>
      <w:divBdr>
        <w:top w:val="none" w:sz="0" w:space="0" w:color="auto"/>
        <w:left w:val="none" w:sz="0" w:space="0" w:color="auto"/>
        <w:bottom w:val="none" w:sz="0" w:space="0" w:color="auto"/>
        <w:right w:val="none" w:sz="0" w:space="0" w:color="auto"/>
      </w:divBdr>
    </w:div>
    <w:div w:id="1679580461">
      <w:marLeft w:val="640"/>
      <w:marRight w:val="0"/>
      <w:marTop w:val="0"/>
      <w:marBottom w:val="0"/>
      <w:divBdr>
        <w:top w:val="none" w:sz="0" w:space="0" w:color="auto"/>
        <w:left w:val="none" w:sz="0" w:space="0" w:color="auto"/>
        <w:bottom w:val="none" w:sz="0" w:space="0" w:color="auto"/>
        <w:right w:val="none" w:sz="0" w:space="0" w:color="auto"/>
      </w:divBdr>
    </w:div>
    <w:div w:id="1679843318">
      <w:marLeft w:val="640"/>
      <w:marRight w:val="0"/>
      <w:marTop w:val="0"/>
      <w:marBottom w:val="0"/>
      <w:divBdr>
        <w:top w:val="none" w:sz="0" w:space="0" w:color="auto"/>
        <w:left w:val="none" w:sz="0" w:space="0" w:color="auto"/>
        <w:bottom w:val="none" w:sz="0" w:space="0" w:color="auto"/>
        <w:right w:val="none" w:sz="0" w:space="0" w:color="auto"/>
      </w:divBdr>
    </w:div>
    <w:div w:id="1683042615">
      <w:marLeft w:val="640"/>
      <w:marRight w:val="0"/>
      <w:marTop w:val="0"/>
      <w:marBottom w:val="0"/>
      <w:divBdr>
        <w:top w:val="none" w:sz="0" w:space="0" w:color="auto"/>
        <w:left w:val="none" w:sz="0" w:space="0" w:color="auto"/>
        <w:bottom w:val="none" w:sz="0" w:space="0" w:color="auto"/>
        <w:right w:val="none" w:sz="0" w:space="0" w:color="auto"/>
      </w:divBdr>
    </w:div>
    <w:div w:id="1685397280">
      <w:marLeft w:val="640"/>
      <w:marRight w:val="0"/>
      <w:marTop w:val="0"/>
      <w:marBottom w:val="0"/>
      <w:divBdr>
        <w:top w:val="none" w:sz="0" w:space="0" w:color="auto"/>
        <w:left w:val="none" w:sz="0" w:space="0" w:color="auto"/>
        <w:bottom w:val="none" w:sz="0" w:space="0" w:color="auto"/>
        <w:right w:val="none" w:sz="0" w:space="0" w:color="auto"/>
      </w:divBdr>
    </w:div>
    <w:div w:id="1689023718">
      <w:marLeft w:val="640"/>
      <w:marRight w:val="0"/>
      <w:marTop w:val="0"/>
      <w:marBottom w:val="0"/>
      <w:divBdr>
        <w:top w:val="none" w:sz="0" w:space="0" w:color="auto"/>
        <w:left w:val="none" w:sz="0" w:space="0" w:color="auto"/>
        <w:bottom w:val="none" w:sz="0" w:space="0" w:color="auto"/>
        <w:right w:val="none" w:sz="0" w:space="0" w:color="auto"/>
      </w:divBdr>
    </w:div>
    <w:div w:id="1693340378">
      <w:marLeft w:val="640"/>
      <w:marRight w:val="0"/>
      <w:marTop w:val="0"/>
      <w:marBottom w:val="0"/>
      <w:divBdr>
        <w:top w:val="none" w:sz="0" w:space="0" w:color="auto"/>
        <w:left w:val="none" w:sz="0" w:space="0" w:color="auto"/>
        <w:bottom w:val="none" w:sz="0" w:space="0" w:color="auto"/>
        <w:right w:val="none" w:sz="0" w:space="0" w:color="auto"/>
      </w:divBdr>
    </w:div>
    <w:div w:id="1693650521">
      <w:marLeft w:val="640"/>
      <w:marRight w:val="0"/>
      <w:marTop w:val="0"/>
      <w:marBottom w:val="0"/>
      <w:divBdr>
        <w:top w:val="none" w:sz="0" w:space="0" w:color="auto"/>
        <w:left w:val="none" w:sz="0" w:space="0" w:color="auto"/>
        <w:bottom w:val="none" w:sz="0" w:space="0" w:color="auto"/>
        <w:right w:val="none" w:sz="0" w:space="0" w:color="auto"/>
      </w:divBdr>
    </w:div>
    <w:div w:id="1695576712">
      <w:marLeft w:val="640"/>
      <w:marRight w:val="0"/>
      <w:marTop w:val="0"/>
      <w:marBottom w:val="0"/>
      <w:divBdr>
        <w:top w:val="none" w:sz="0" w:space="0" w:color="auto"/>
        <w:left w:val="none" w:sz="0" w:space="0" w:color="auto"/>
        <w:bottom w:val="none" w:sz="0" w:space="0" w:color="auto"/>
        <w:right w:val="none" w:sz="0" w:space="0" w:color="auto"/>
      </w:divBdr>
    </w:div>
    <w:div w:id="1697930016">
      <w:marLeft w:val="640"/>
      <w:marRight w:val="0"/>
      <w:marTop w:val="0"/>
      <w:marBottom w:val="0"/>
      <w:divBdr>
        <w:top w:val="none" w:sz="0" w:space="0" w:color="auto"/>
        <w:left w:val="none" w:sz="0" w:space="0" w:color="auto"/>
        <w:bottom w:val="none" w:sz="0" w:space="0" w:color="auto"/>
        <w:right w:val="none" w:sz="0" w:space="0" w:color="auto"/>
      </w:divBdr>
    </w:div>
    <w:div w:id="1698845031">
      <w:marLeft w:val="640"/>
      <w:marRight w:val="0"/>
      <w:marTop w:val="0"/>
      <w:marBottom w:val="0"/>
      <w:divBdr>
        <w:top w:val="none" w:sz="0" w:space="0" w:color="auto"/>
        <w:left w:val="none" w:sz="0" w:space="0" w:color="auto"/>
        <w:bottom w:val="none" w:sz="0" w:space="0" w:color="auto"/>
        <w:right w:val="none" w:sz="0" w:space="0" w:color="auto"/>
      </w:divBdr>
    </w:div>
    <w:div w:id="1702784269">
      <w:marLeft w:val="640"/>
      <w:marRight w:val="0"/>
      <w:marTop w:val="0"/>
      <w:marBottom w:val="0"/>
      <w:divBdr>
        <w:top w:val="none" w:sz="0" w:space="0" w:color="auto"/>
        <w:left w:val="none" w:sz="0" w:space="0" w:color="auto"/>
        <w:bottom w:val="none" w:sz="0" w:space="0" w:color="auto"/>
        <w:right w:val="none" w:sz="0" w:space="0" w:color="auto"/>
      </w:divBdr>
    </w:div>
    <w:div w:id="1705325443">
      <w:marLeft w:val="640"/>
      <w:marRight w:val="0"/>
      <w:marTop w:val="0"/>
      <w:marBottom w:val="0"/>
      <w:divBdr>
        <w:top w:val="none" w:sz="0" w:space="0" w:color="auto"/>
        <w:left w:val="none" w:sz="0" w:space="0" w:color="auto"/>
        <w:bottom w:val="none" w:sz="0" w:space="0" w:color="auto"/>
        <w:right w:val="none" w:sz="0" w:space="0" w:color="auto"/>
      </w:divBdr>
    </w:div>
    <w:div w:id="1706827777">
      <w:marLeft w:val="640"/>
      <w:marRight w:val="0"/>
      <w:marTop w:val="0"/>
      <w:marBottom w:val="0"/>
      <w:divBdr>
        <w:top w:val="none" w:sz="0" w:space="0" w:color="auto"/>
        <w:left w:val="none" w:sz="0" w:space="0" w:color="auto"/>
        <w:bottom w:val="none" w:sz="0" w:space="0" w:color="auto"/>
        <w:right w:val="none" w:sz="0" w:space="0" w:color="auto"/>
      </w:divBdr>
    </w:div>
    <w:div w:id="1708603617">
      <w:marLeft w:val="640"/>
      <w:marRight w:val="0"/>
      <w:marTop w:val="0"/>
      <w:marBottom w:val="0"/>
      <w:divBdr>
        <w:top w:val="none" w:sz="0" w:space="0" w:color="auto"/>
        <w:left w:val="none" w:sz="0" w:space="0" w:color="auto"/>
        <w:bottom w:val="none" w:sz="0" w:space="0" w:color="auto"/>
        <w:right w:val="none" w:sz="0" w:space="0" w:color="auto"/>
      </w:divBdr>
    </w:div>
    <w:div w:id="1711489828">
      <w:marLeft w:val="640"/>
      <w:marRight w:val="0"/>
      <w:marTop w:val="0"/>
      <w:marBottom w:val="0"/>
      <w:divBdr>
        <w:top w:val="none" w:sz="0" w:space="0" w:color="auto"/>
        <w:left w:val="none" w:sz="0" w:space="0" w:color="auto"/>
        <w:bottom w:val="none" w:sz="0" w:space="0" w:color="auto"/>
        <w:right w:val="none" w:sz="0" w:space="0" w:color="auto"/>
      </w:divBdr>
    </w:div>
    <w:div w:id="1712999576">
      <w:marLeft w:val="640"/>
      <w:marRight w:val="0"/>
      <w:marTop w:val="0"/>
      <w:marBottom w:val="0"/>
      <w:divBdr>
        <w:top w:val="none" w:sz="0" w:space="0" w:color="auto"/>
        <w:left w:val="none" w:sz="0" w:space="0" w:color="auto"/>
        <w:bottom w:val="none" w:sz="0" w:space="0" w:color="auto"/>
        <w:right w:val="none" w:sz="0" w:space="0" w:color="auto"/>
      </w:divBdr>
    </w:div>
    <w:div w:id="1714576678">
      <w:marLeft w:val="640"/>
      <w:marRight w:val="0"/>
      <w:marTop w:val="0"/>
      <w:marBottom w:val="0"/>
      <w:divBdr>
        <w:top w:val="none" w:sz="0" w:space="0" w:color="auto"/>
        <w:left w:val="none" w:sz="0" w:space="0" w:color="auto"/>
        <w:bottom w:val="none" w:sz="0" w:space="0" w:color="auto"/>
        <w:right w:val="none" w:sz="0" w:space="0" w:color="auto"/>
      </w:divBdr>
    </w:div>
    <w:div w:id="1718314777">
      <w:marLeft w:val="640"/>
      <w:marRight w:val="0"/>
      <w:marTop w:val="0"/>
      <w:marBottom w:val="0"/>
      <w:divBdr>
        <w:top w:val="none" w:sz="0" w:space="0" w:color="auto"/>
        <w:left w:val="none" w:sz="0" w:space="0" w:color="auto"/>
        <w:bottom w:val="none" w:sz="0" w:space="0" w:color="auto"/>
        <w:right w:val="none" w:sz="0" w:space="0" w:color="auto"/>
      </w:divBdr>
    </w:div>
    <w:div w:id="1729038421">
      <w:marLeft w:val="640"/>
      <w:marRight w:val="0"/>
      <w:marTop w:val="0"/>
      <w:marBottom w:val="0"/>
      <w:divBdr>
        <w:top w:val="none" w:sz="0" w:space="0" w:color="auto"/>
        <w:left w:val="none" w:sz="0" w:space="0" w:color="auto"/>
        <w:bottom w:val="none" w:sz="0" w:space="0" w:color="auto"/>
        <w:right w:val="none" w:sz="0" w:space="0" w:color="auto"/>
      </w:divBdr>
    </w:div>
    <w:div w:id="1729303273">
      <w:marLeft w:val="640"/>
      <w:marRight w:val="0"/>
      <w:marTop w:val="0"/>
      <w:marBottom w:val="0"/>
      <w:divBdr>
        <w:top w:val="none" w:sz="0" w:space="0" w:color="auto"/>
        <w:left w:val="none" w:sz="0" w:space="0" w:color="auto"/>
        <w:bottom w:val="none" w:sz="0" w:space="0" w:color="auto"/>
        <w:right w:val="none" w:sz="0" w:space="0" w:color="auto"/>
      </w:divBdr>
    </w:div>
    <w:div w:id="1729916543">
      <w:marLeft w:val="640"/>
      <w:marRight w:val="0"/>
      <w:marTop w:val="0"/>
      <w:marBottom w:val="0"/>
      <w:divBdr>
        <w:top w:val="none" w:sz="0" w:space="0" w:color="auto"/>
        <w:left w:val="none" w:sz="0" w:space="0" w:color="auto"/>
        <w:bottom w:val="none" w:sz="0" w:space="0" w:color="auto"/>
        <w:right w:val="none" w:sz="0" w:space="0" w:color="auto"/>
      </w:divBdr>
    </w:div>
    <w:div w:id="1731462736">
      <w:marLeft w:val="640"/>
      <w:marRight w:val="0"/>
      <w:marTop w:val="0"/>
      <w:marBottom w:val="0"/>
      <w:divBdr>
        <w:top w:val="none" w:sz="0" w:space="0" w:color="auto"/>
        <w:left w:val="none" w:sz="0" w:space="0" w:color="auto"/>
        <w:bottom w:val="none" w:sz="0" w:space="0" w:color="auto"/>
        <w:right w:val="none" w:sz="0" w:space="0" w:color="auto"/>
      </w:divBdr>
    </w:div>
    <w:div w:id="1731727447">
      <w:marLeft w:val="640"/>
      <w:marRight w:val="0"/>
      <w:marTop w:val="0"/>
      <w:marBottom w:val="0"/>
      <w:divBdr>
        <w:top w:val="none" w:sz="0" w:space="0" w:color="auto"/>
        <w:left w:val="none" w:sz="0" w:space="0" w:color="auto"/>
        <w:bottom w:val="none" w:sz="0" w:space="0" w:color="auto"/>
        <w:right w:val="none" w:sz="0" w:space="0" w:color="auto"/>
      </w:divBdr>
    </w:div>
    <w:div w:id="1732995143">
      <w:marLeft w:val="640"/>
      <w:marRight w:val="0"/>
      <w:marTop w:val="0"/>
      <w:marBottom w:val="0"/>
      <w:divBdr>
        <w:top w:val="none" w:sz="0" w:space="0" w:color="auto"/>
        <w:left w:val="none" w:sz="0" w:space="0" w:color="auto"/>
        <w:bottom w:val="none" w:sz="0" w:space="0" w:color="auto"/>
        <w:right w:val="none" w:sz="0" w:space="0" w:color="auto"/>
      </w:divBdr>
    </w:div>
    <w:div w:id="1735203439">
      <w:marLeft w:val="640"/>
      <w:marRight w:val="0"/>
      <w:marTop w:val="0"/>
      <w:marBottom w:val="0"/>
      <w:divBdr>
        <w:top w:val="none" w:sz="0" w:space="0" w:color="auto"/>
        <w:left w:val="none" w:sz="0" w:space="0" w:color="auto"/>
        <w:bottom w:val="none" w:sz="0" w:space="0" w:color="auto"/>
        <w:right w:val="none" w:sz="0" w:space="0" w:color="auto"/>
      </w:divBdr>
    </w:div>
    <w:div w:id="1739284363">
      <w:marLeft w:val="640"/>
      <w:marRight w:val="0"/>
      <w:marTop w:val="0"/>
      <w:marBottom w:val="0"/>
      <w:divBdr>
        <w:top w:val="none" w:sz="0" w:space="0" w:color="auto"/>
        <w:left w:val="none" w:sz="0" w:space="0" w:color="auto"/>
        <w:bottom w:val="none" w:sz="0" w:space="0" w:color="auto"/>
        <w:right w:val="none" w:sz="0" w:space="0" w:color="auto"/>
      </w:divBdr>
    </w:div>
    <w:div w:id="1739664886">
      <w:marLeft w:val="640"/>
      <w:marRight w:val="0"/>
      <w:marTop w:val="0"/>
      <w:marBottom w:val="0"/>
      <w:divBdr>
        <w:top w:val="none" w:sz="0" w:space="0" w:color="auto"/>
        <w:left w:val="none" w:sz="0" w:space="0" w:color="auto"/>
        <w:bottom w:val="none" w:sz="0" w:space="0" w:color="auto"/>
        <w:right w:val="none" w:sz="0" w:space="0" w:color="auto"/>
      </w:divBdr>
    </w:div>
    <w:div w:id="1747418773">
      <w:marLeft w:val="640"/>
      <w:marRight w:val="0"/>
      <w:marTop w:val="0"/>
      <w:marBottom w:val="0"/>
      <w:divBdr>
        <w:top w:val="none" w:sz="0" w:space="0" w:color="auto"/>
        <w:left w:val="none" w:sz="0" w:space="0" w:color="auto"/>
        <w:bottom w:val="none" w:sz="0" w:space="0" w:color="auto"/>
        <w:right w:val="none" w:sz="0" w:space="0" w:color="auto"/>
      </w:divBdr>
    </w:div>
    <w:div w:id="1747993783">
      <w:marLeft w:val="640"/>
      <w:marRight w:val="0"/>
      <w:marTop w:val="0"/>
      <w:marBottom w:val="0"/>
      <w:divBdr>
        <w:top w:val="none" w:sz="0" w:space="0" w:color="auto"/>
        <w:left w:val="none" w:sz="0" w:space="0" w:color="auto"/>
        <w:bottom w:val="none" w:sz="0" w:space="0" w:color="auto"/>
        <w:right w:val="none" w:sz="0" w:space="0" w:color="auto"/>
      </w:divBdr>
    </w:div>
    <w:div w:id="1748460125">
      <w:marLeft w:val="640"/>
      <w:marRight w:val="0"/>
      <w:marTop w:val="0"/>
      <w:marBottom w:val="0"/>
      <w:divBdr>
        <w:top w:val="none" w:sz="0" w:space="0" w:color="auto"/>
        <w:left w:val="none" w:sz="0" w:space="0" w:color="auto"/>
        <w:bottom w:val="none" w:sz="0" w:space="0" w:color="auto"/>
        <w:right w:val="none" w:sz="0" w:space="0" w:color="auto"/>
      </w:divBdr>
    </w:div>
    <w:div w:id="1749376251">
      <w:marLeft w:val="640"/>
      <w:marRight w:val="0"/>
      <w:marTop w:val="0"/>
      <w:marBottom w:val="0"/>
      <w:divBdr>
        <w:top w:val="none" w:sz="0" w:space="0" w:color="auto"/>
        <w:left w:val="none" w:sz="0" w:space="0" w:color="auto"/>
        <w:bottom w:val="none" w:sz="0" w:space="0" w:color="auto"/>
        <w:right w:val="none" w:sz="0" w:space="0" w:color="auto"/>
      </w:divBdr>
    </w:div>
    <w:div w:id="1750225076">
      <w:marLeft w:val="640"/>
      <w:marRight w:val="0"/>
      <w:marTop w:val="0"/>
      <w:marBottom w:val="0"/>
      <w:divBdr>
        <w:top w:val="none" w:sz="0" w:space="0" w:color="auto"/>
        <w:left w:val="none" w:sz="0" w:space="0" w:color="auto"/>
        <w:bottom w:val="none" w:sz="0" w:space="0" w:color="auto"/>
        <w:right w:val="none" w:sz="0" w:space="0" w:color="auto"/>
      </w:divBdr>
    </w:div>
    <w:div w:id="1752240464">
      <w:marLeft w:val="640"/>
      <w:marRight w:val="0"/>
      <w:marTop w:val="0"/>
      <w:marBottom w:val="0"/>
      <w:divBdr>
        <w:top w:val="none" w:sz="0" w:space="0" w:color="auto"/>
        <w:left w:val="none" w:sz="0" w:space="0" w:color="auto"/>
        <w:bottom w:val="none" w:sz="0" w:space="0" w:color="auto"/>
        <w:right w:val="none" w:sz="0" w:space="0" w:color="auto"/>
      </w:divBdr>
    </w:div>
    <w:div w:id="1752920935">
      <w:marLeft w:val="640"/>
      <w:marRight w:val="0"/>
      <w:marTop w:val="0"/>
      <w:marBottom w:val="0"/>
      <w:divBdr>
        <w:top w:val="none" w:sz="0" w:space="0" w:color="auto"/>
        <w:left w:val="none" w:sz="0" w:space="0" w:color="auto"/>
        <w:bottom w:val="none" w:sz="0" w:space="0" w:color="auto"/>
        <w:right w:val="none" w:sz="0" w:space="0" w:color="auto"/>
      </w:divBdr>
    </w:div>
    <w:div w:id="1760175655">
      <w:marLeft w:val="640"/>
      <w:marRight w:val="0"/>
      <w:marTop w:val="0"/>
      <w:marBottom w:val="0"/>
      <w:divBdr>
        <w:top w:val="none" w:sz="0" w:space="0" w:color="auto"/>
        <w:left w:val="none" w:sz="0" w:space="0" w:color="auto"/>
        <w:bottom w:val="none" w:sz="0" w:space="0" w:color="auto"/>
        <w:right w:val="none" w:sz="0" w:space="0" w:color="auto"/>
      </w:divBdr>
    </w:div>
    <w:div w:id="1764184086">
      <w:marLeft w:val="640"/>
      <w:marRight w:val="0"/>
      <w:marTop w:val="0"/>
      <w:marBottom w:val="0"/>
      <w:divBdr>
        <w:top w:val="none" w:sz="0" w:space="0" w:color="auto"/>
        <w:left w:val="none" w:sz="0" w:space="0" w:color="auto"/>
        <w:bottom w:val="none" w:sz="0" w:space="0" w:color="auto"/>
        <w:right w:val="none" w:sz="0" w:space="0" w:color="auto"/>
      </w:divBdr>
    </w:div>
    <w:div w:id="1766461183">
      <w:marLeft w:val="640"/>
      <w:marRight w:val="0"/>
      <w:marTop w:val="0"/>
      <w:marBottom w:val="0"/>
      <w:divBdr>
        <w:top w:val="none" w:sz="0" w:space="0" w:color="auto"/>
        <w:left w:val="none" w:sz="0" w:space="0" w:color="auto"/>
        <w:bottom w:val="none" w:sz="0" w:space="0" w:color="auto"/>
        <w:right w:val="none" w:sz="0" w:space="0" w:color="auto"/>
      </w:divBdr>
    </w:div>
    <w:div w:id="1773741531">
      <w:marLeft w:val="640"/>
      <w:marRight w:val="0"/>
      <w:marTop w:val="0"/>
      <w:marBottom w:val="0"/>
      <w:divBdr>
        <w:top w:val="none" w:sz="0" w:space="0" w:color="auto"/>
        <w:left w:val="none" w:sz="0" w:space="0" w:color="auto"/>
        <w:bottom w:val="none" w:sz="0" w:space="0" w:color="auto"/>
        <w:right w:val="none" w:sz="0" w:space="0" w:color="auto"/>
      </w:divBdr>
    </w:div>
    <w:div w:id="1777367240">
      <w:marLeft w:val="640"/>
      <w:marRight w:val="0"/>
      <w:marTop w:val="0"/>
      <w:marBottom w:val="0"/>
      <w:divBdr>
        <w:top w:val="none" w:sz="0" w:space="0" w:color="auto"/>
        <w:left w:val="none" w:sz="0" w:space="0" w:color="auto"/>
        <w:bottom w:val="none" w:sz="0" w:space="0" w:color="auto"/>
        <w:right w:val="none" w:sz="0" w:space="0" w:color="auto"/>
      </w:divBdr>
    </w:div>
    <w:div w:id="1785148709">
      <w:marLeft w:val="640"/>
      <w:marRight w:val="0"/>
      <w:marTop w:val="0"/>
      <w:marBottom w:val="0"/>
      <w:divBdr>
        <w:top w:val="none" w:sz="0" w:space="0" w:color="auto"/>
        <w:left w:val="none" w:sz="0" w:space="0" w:color="auto"/>
        <w:bottom w:val="none" w:sz="0" w:space="0" w:color="auto"/>
        <w:right w:val="none" w:sz="0" w:space="0" w:color="auto"/>
      </w:divBdr>
    </w:div>
    <w:div w:id="1785803160">
      <w:marLeft w:val="640"/>
      <w:marRight w:val="0"/>
      <w:marTop w:val="0"/>
      <w:marBottom w:val="0"/>
      <w:divBdr>
        <w:top w:val="none" w:sz="0" w:space="0" w:color="auto"/>
        <w:left w:val="none" w:sz="0" w:space="0" w:color="auto"/>
        <w:bottom w:val="none" w:sz="0" w:space="0" w:color="auto"/>
        <w:right w:val="none" w:sz="0" w:space="0" w:color="auto"/>
      </w:divBdr>
    </w:div>
    <w:div w:id="1789356339">
      <w:marLeft w:val="640"/>
      <w:marRight w:val="0"/>
      <w:marTop w:val="0"/>
      <w:marBottom w:val="0"/>
      <w:divBdr>
        <w:top w:val="none" w:sz="0" w:space="0" w:color="auto"/>
        <w:left w:val="none" w:sz="0" w:space="0" w:color="auto"/>
        <w:bottom w:val="none" w:sz="0" w:space="0" w:color="auto"/>
        <w:right w:val="none" w:sz="0" w:space="0" w:color="auto"/>
      </w:divBdr>
    </w:div>
    <w:div w:id="1790314196">
      <w:marLeft w:val="640"/>
      <w:marRight w:val="0"/>
      <w:marTop w:val="0"/>
      <w:marBottom w:val="0"/>
      <w:divBdr>
        <w:top w:val="none" w:sz="0" w:space="0" w:color="auto"/>
        <w:left w:val="none" w:sz="0" w:space="0" w:color="auto"/>
        <w:bottom w:val="none" w:sz="0" w:space="0" w:color="auto"/>
        <w:right w:val="none" w:sz="0" w:space="0" w:color="auto"/>
      </w:divBdr>
    </w:div>
    <w:div w:id="1790927484">
      <w:marLeft w:val="640"/>
      <w:marRight w:val="0"/>
      <w:marTop w:val="0"/>
      <w:marBottom w:val="0"/>
      <w:divBdr>
        <w:top w:val="none" w:sz="0" w:space="0" w:color="auto"/>
        <w:left w:val="none" w:sz="0" w:space="0" w:color="auto"/>
        <w:bottom w:val="none" w:sz="0" w:space="0" w:color="auto"/>
        <w:right w:val="none" w:sz="0" w:space="0" w:color="auto"/>
      </w:divBdr>
    </w:div>
    <w:div w:id="1793401212">
      <w:marLeft w:val="640"/>
      <w:marRight w:val="0"/>
      <w:marTop w:val="0"/>
      <w:marBottom w:val="0"/>
      <w:divBdr>
        <w:top w:val="none" w:sz="0" w:space="0" w:color="auto"/>
        <w:left w:val="none" w:sz="0" w:space="0" w:color="auto"/>
        <w:bottom w:val="none" w:sz="0" w:space="0" w:color="auto"/>
        <w:right w:val="none" w:sz="0" w:space="0" w:color="auto"/>
      </w:divBdr>
    </w:div>
    <w:div w:id="1794328410">
      <w:marLeft w:val="640"/>
      <w:marRight w:val="0"/>
      <w:marTop w:val="0"/>
      <w:marBottom w:val="0"/>
      <w:divBdr>
        <w:top w:val="none" w:sz="0" w:space="0" w:color="auto"/>
        <w:left w:val="none" w:sz="0" w:space="0" w:color="auto"/>
        <w:bottom w:val="none" w:sz="0" w:space="0" w:color="auto"/>
        <w:right w:val="none" w:sz="0" w:space="0" w:color="auto"/>
      </w:divBdr>
    </w:div>
    <w:div w:id="1801342120">
      <w:marLeft w:val="640"/>
      <w:marRight w:val="0"/>
      <w:marTop w:val="0"/>
      <w:marBottom w:val="0"/>
      <w:divBdr>
        <w:top w:val="none" w:sz="0" w:space="0" w:color="auto"/>
        <w:left w:val="none" w:sz="0" w:space="0" w:color="auto"/>
        <w:bottom w:val="none" w:sz="0" w:space="0" w:color="auto"/>
        <w:right w:val="none" w:sz="0" w:space="0" w:color="auto"/>
      </w:divBdr>
    </w:div>
    <w:div w:id="1803695994">
      <w:marLeft w:val="640"/>
      <w:marRight w:val="0"/>
      <w:marTop w:val="0"/>
      <w:marBottom w:val="0"/>
      <w:divBdr>
        <w:top w:val="none" w:sz="0" w:space="0" w:color="auto"/>
        <w:left w:val="none" w:sz="0" w:space="0" w:color="auto"/>
        <w:bottom w:val="none" w:sz="0" w:space="0" w:color="auto"/>
        <w:right w:val="none" w:sz="0" w:space="0" w:color="auto"/>
      </w:divBdr>
    </w:div>
    <w:div w:id="1804734913">
      <w:marLeft w:val="640"/>
      <w:marRight w:val="0"/>
      <w:marTop w:val="0"/>
      <w:marBottom w:val="0"/>
      <w:divBdr>
        <w:top w:val="none" w:sz="0" w:space="0" w:color="auto"/>
        <w:left w:val="none" w:sz="0" w:space="0" w:color="auto"/>
        <w:bottom w:val="none" w:sz="0" w:space="0" w:color="auto"/>
        <w:right w:val="none" w:sz="0" w:space="0" w:color="auto"/>
      </w:divBdr>
    </w:div>
    <w:div w:id="1805271952">
      <w:marLeft w:val="640"/>
      <w:marRight w:val="0"/>
      <w:marTop w:val="0"/>
      <w:marBottom w:val="0"/>
      <w:divBdr>
        <w:top w:val="none" w:sz="0" w:space="0" w:color="auto"/>
        <w:left w:val="none" w:sz="0" w:space="0" w:color="auto"/>
        <w:bottom w:val="none" w:sz="0" w:space="0" w:color="auto"/>
        <w:right w:val="none" w:sz="0" w:space="0" w:color="auto"/>
      </w:divBdr>
    </w:div>
    <w:div w:id="1805809429">
      <w:marLeft w:val="640"/>
      <w:marRight w:val="0"/>
      <w:marTop w:val="0"/>
      <w:marBottom w:val="0"/>
      <w:divBdr>
        <w:top w:val="none" w:sz="0" w:space="0" w:color="auto"/>
        <w:left w:val="none" w:sz="0" w:space="0" w:color="auto"/>
        <w:bottom w:val="none" w:sz="0" w:space="0" w:color="auto"/>
        <w:right w:val="none" w:sz="0" w:space="0" w:color="auto"/>
      </w:divBdr>
    </w:div>
    <w:div w:id="1811484773">
      <w:marLeft w:val="640"/>
      <w:marRight w:val="0"/>
      <w:marTop w:val="0"/>
      <w:marBottom w:val="0"/>
      <w:divBdr>
        <w:top w:val="none" w:sz="0" w:space="0" w:color="auto"/>
        <w:left w:val="none" w:sz="0" w:space="0" w:color="auto"/>
        <w:bottom w:val="none" w:sz="0" w:space="0" w:color="auto"/>
        <w:right w:val="none" w:sz="0" w:space="0" w:color="auto"/>
      </w:divBdr>
    </w:div>
    <w:div w:id="1812091414">
      <w:marLeft w:val="640"/>
      <w:marRight w:val="0"/>
      <w:marTop w:val="0"/>
      <w:marBottom w:val="0"/>
      <w:divBdr>
        <w:top w:val="none" w:sz="0" w:space="0" w:color="auto"/>
        <w:left w:val="none" w:sz="0" w:space="0" w:color="auto"/>
        <w:bottom w:val="none" w:sz="0" w:space="0" w:color="auto"/>
        <w:right w:val="none" w:sz="0" w:space="0" w:color="auto"/>
      </w:divBdr>
    </w:div>
    <w:div w:id="1814445861">
      <w:marLeft w:val="640"/>
      <w:marRight w:val="0"/>
      <w:marTop w:val="0"/>
      <w:marBottom w:val="0"/>
      <w:divBdr>
        <w:top w:val="none" w:sz="0" w:space="0" w:color="auto"/>
        <w:left w:val="none" w:sz="0" w:space="0" w:color="auto"/>
        <w:bottom w:val="none" w:sz="0" w:space="0" w:color="auto"/>
        <w:right w:val="none" w:sz="0" w:space="0" w:color="auto"/>
      </w:divBdr>
    </w:div>
    <w:div w:id="1819224051">
      <w:marLeft w:val="640"/>
      <w:marRight w:val="0"/>
      <w:marTop w:val="0"/>
      <w:marBottom w:val="0"/>
      <w:divBdr>
        <w:top w:val="none" w:sz="0" w:space="0" w:color="auto"/>
        <w:left w:val="none" w:sz="0" w:space="0" w:color="auto"/>
        <w:bottom w:val="none" w:sz="0" w:space="0" w:color="auto"/>
        <w:right w:val="none" w:sz="0" w:space="0" w:color="auto"/>
      </w:divBdr>
    </w:div>
    <w:div w:id="1820069751">
      <w:marLeft w:val="640"/>
      <w:marRight w:val="0"/>
      <w:marTop w:val="0"/>
      <w:marBottom w:val="0"/>
      <w:divBdr>
        <w:top w:val="none" w:sz="0" w:space="0" w:color="auto"/>
        <w:left w:val="none" w:sz="0" w:space="0" w:color="auto"/>
        <w:bottom w:val="none" w:sz="0" w:space="0" w:color="auto"/>
        <w:right w:val="none" w:sz="0" w:space="0" w:color="auto"/>
      </w:divBdr>
    </w:div>
    <w:div w:id="1826048730">
      <w:marLeft w:val="640"/>
      <w:marRight w:val="0"/>
      <w:marTop w:val="0"/>
      <w:marBottom w:val="0"/>
      <w:divBdr>
        <w:top w:val="none" w:sz="0" w:space="0" w:color="auto"/>
        <w:left w:val="none" w:sz="0" w:space="0" w:color="auto"/>
        <w:bottom w:val="none" w:sz="0" w:space="0" w:color="auto"/>
        <w:right w:val="none" w:sz="0" w:space="0" w:color="auto"/>
      </w:divBdr>
    </w:div>
    <w:div w:id="1827672146">
      <w:marLeft w:val="640"/>
      <w:marRight w:val="0"/>
      <w:marTop w:val="0"/>
      <w:marBottom w:val="0"/>
      <w:divBdr>
        <w:top w:val="none" w:sz="0" w:space="0" w:color="auto"/>
        <w:left w:val="none" w:sz="0" w:space="0" w:color="auto"/>
        <w:bottom w:val="none" w:sz="0" w:space="0" w:color="auto"/>
        <w:right w:val="none" w:sz="0" w:space="0" w:color="auto"/>
      </w:divBdr>
    </w:div>
    <w:div w:id="1833792618">
      <w:marLeft w:val="640"/>
      <w:marRight w:val="0"/>
      <w:marTop w:val="0"/>
      <w:marBottom w:val="0"/>
      <w:divBdr>
        <w:top w:val="none" w:sz="0" w:space="0" w:color="auto"/>
        <w:left w:val="none" w:sz="0" w:space="0" w:color="auto"/>
        <w:bottom w:val="none" w:sz="0" w:space="0" w:color="auto"/>
        <w:right w:val="none" w:sz="0" w:space="0" w:color="auto"/>
      </w:divBdr>
    </w:div>
    <w:div w:id="1838619511">
      <w:marLeft w:val="640"/>
      <w:marRight w:val="0"/>
      <w:marTop w:val="0"/>
      <w:marBottom w:val="0"/>
      <w:divBdr>
        <w:top w:val="none" w:sz="0" w:space="0" w:color="auto"/>
        <w:left w:val="none" w:sz="0" w:space="0" w:color="auto"/>
        <w:bottom w:val="none" w:sz="0" w:space="0" w:color="auto"/>
        <w:right w:val="none" w:sz="0" w:space="0" w:color="auto"/>
      </w:divBdr>
    </w:div>
    <w:div w:id="1840077314">
      <w:marLeft w:val="640"/>
      <w:marRight w:val="0"/>
      <w:marTop w:val="0"/>
      <w:marBottom w:val="0"/>
      <w:divBdr>
        <w:top w:val="none" w:sz="0" w:space="0" w:color="auto"/>
        <w:left w:val="none" w:sz="0" w:space="0" w:color="auto"/>
        <w:bottom w:val="none" w:sz="0" w:space="0" w:color="auto"/>
        <w:right w:val="none" w:sz="0" w:space="0" w:color="auto"/>
      </w:divBdr>
    </w:div>
    <w:div w:id="1842040810">
      <w:marLeft w:val="640"/>
      <w:marRight w:val="0"/>
      <w:marTop w:val="0"/>
      <w:marBottom w:val="0"/>
      <w:divBdr>
        <w:top w:val="none" w:sz="0" w:space="0" w:color="auto"/>
        <w:left w:val="none" w:sz="0" w:space="0" w:color="auto"/>
        <w:bottom w:val="none" w:sz="0" w:space="0" w:color="auto"/>
        <w:right w:val="none" w:sz="0" w:space="0" w:color="auto"/>
      </w:divBdr>
    </w:div>
    <w:div w:id="1844081171">
      <w:marLeft w:val="640"/>
      <w:marRight w:val="0"/>
      <w:marTop w:val="0"/>
      <w:marBottom w:val="0"/>
      <w:divBdr>
        <w:top w:val="none" w:sz="0" w:space="0" w:color="auto"/>
        <w:left w:val="none" w:sz="0" w:space="0" w:color="auto"/>
        <w:bottom w:val="none" w:sz="0" w:space="0" w:color="auto"/>
        <w:right w:val="none" w:sz="0" w:space="0" w:color="auto"/>
      </w:divBdr>
    </w:div>
    <w:div w:id="1846086673">
      <w:marLeft w:val="640"/>
      <w:marRight w:val="0"/>
      <w:marTop w:val="0"/>
      <w:marBottom w:val="0"/>
      <w:divBdr>
        <w:top w:val="none" w:sz="0" w:space="0" w:color="auto"/>
        <w:left w:val="none" w:sz="0" w:space="0" w:color="auto"/>
        <w:bottom w:val="none" w:sz="0" w:space="0" w:color="auto"/>
        <w:right w:val="none" w:sz="0" w:space="0" w:color="auto"/>
      </w:divBdr>
    </w:div>
    <w:div w:id="1852916499">
      <w:marLeft w:val="640"/>
      <w:marRight w:val="0"/>
      <w:marTop w:val="0"/>
      <w:marBottom w:val="0"/>
      <w:divBdr>
        <w:top w:val="none" w:sz="0" w:space="0" w:color="auto"/>
        <w:left w:val="none" w:sz="0" w:space="0" w:color="auto"/>
        <w:bottom w:val="none" w:sz="0" w:space="0" w:color="auto"/>
        <w:right w:val="none" w:sz="0" w:space="0" w:color="auto"/>
      </w:divBdr>
    </w:div>
    <w:div w:id="1856843726">
      <w:marLeft w:val="640"/>
      <w:marRight w:val="0"/>
      <w:marTop w:val="0"/>
      <w:marBottom w:val="0"/>
      <w:divBdr>
        <w:top w:val="none" w:sz="0" w:space="0" w:color="auto"/>
        <w:left w:val="none" w:sz="0" w:space="0" w:color="auto"/>
        <w:bottom w:val="none" w:sz="0" w:space="0" w:color="auto"/>
        <w:right w:val="none" w:sz="0" w:space="0" w:color="auto"/>
      </w:divBdr>
    </w:div>
    <w:div w:id="1859201097">
      <w:marLeft w:val="640"/>
      <w:marRight w:val="0"/>
      <w:marTop w:val="0"/>
      <w:marBottom w:val="0"/>
      <w:divBdr>
        <w:top w:val="none" w:sz="0" w:space="0" w:color="auto"/>
        <w:left w:val="none" w:sz="0" w:space="0" w:color="auto"/>
        <w:bottom w:val="none" w:sz="0" w:space="0" w:color="auto"/>
        <w:right w:val="none" w:sz="0" w:space="0" w:color="auto"/>
      </w:divBdr>
    </w:div>
    <w:div w:id="1861312117">
      <w:marLeft w:val="640"/>
      <w:marRight w:val="0"/>
      <w:marTop w:val="0"/>
      <w:marBottom w:val="0"/>
      <w:divBdr>
        <w:top w:val="none" w:sz="0" w:space="0" w:color="auto"/>
        <w:left w:val="none" w:sz="0" w:space="0" w:color="auto"/>
        <w:bottom w:val="none" w:sz="0" w:space="0" w:color="auto"/>
        <w:right w:val="none" w:sz="0" w:space="0" w:color="auto"/>
      </w:divBdr>
    </w:div>
    <w:div w:id="1862939454">
      <w:marLeft w:val="640"/>
      <w:marRight w:val="0"/>
      <w:marTop w:val="0"/>
      <w:marBottom w:val="0"/>
      <w:divBdr>
        <w:top w:val="none" w:sz="0" w:space="0" w:color="auto"/>
        <w:left w:val="none" w:sz="0" w:space="0" w:color="auto"/>
        <w:bottom w:val="none" w:sz="0" w:space="0" w:color="auto"/>
        <w:right w:val="none" w:sz="0" w:space="0" w:color="auto"/>
      </w:divBdr>
    </w:div>
    <w:div w:id="1863667891">
      <w:marLeft w:val="640"/>
      <w:marRight w:val="0"/>
      <w:marTop w:val="0"/>
      <w:marBottom w:val="0"/>
      <w:divBdr>
        <w:top w:val="none" w:sz="0" w:space="0" w:color="auto"/>
        <w:left w:val="none" w:sz="0" w:space="0" w:color="auto"/>
        <w:bottom w:val="none" w:sz="0" w:space="0" w:color="auto"/>
        <w:right w:val="none" w:sz="0" w:space="0" w:color="auto"/>
      </w:divBdr>
    </w:div>
    <w:div w:id="1867325274">
      <w:marLeft w:val="640"/>
      <w:marRight w:val="0"/>
      <w:marTop w:val="0"/>
      <w:marBottom w:val="0"/>
      <w:divBdr>
        <w:top w:val="none" w:sz="0" w:space="0" w:color="auto"/>
        <w:left w:val="none" w:sz="0" w:space="0" w:color="auto"/>
        <w:bottom w:val="none" w:sz="0" w:space="0" w:color="auto"/>
        <w:right w:val="none" w:sz="0" w:space="0" w:color="auto"/>
      </w:divBdr>
    </w:div>
    <w:div w:id="1868180074">
      <w:marLeft w:val="640"/>
      <w:marRight w:val="0"/>
      <w:marTop w:val="0"/>
      <w:marBottom w:val="0"/>
      <w:divBdr>
        <w:top w:val="none" w:sz="0" w:space="0" w:color="auto"/>
        <w:left w:val="none" w:sz="0" w:space="0" w:color="auto"/>
        <w:bottom w:val="none" w:sz="0" w:space="0" w:color="auto"/>
        <w:right w:val="none" w:sz="0" w:space="0" w:color="auto"/>
      </w:divBdr>
    </w:div>
    <w:div w:id="1868448441">
      <w:marLeft w:val="640"/>
      <w:marRight w:val="0"/>
      <w:marTop w:val="0"/>
      <w:marBottom w:val="0"/>
      <w:divBdr>
        <w:top w:val="none" w:sz="0" w:space="0" w:color="auto"/>
        <w:left w:val="none" w:sz="0" w:space="0" w:color="auto"/>
        <w:bottom w:val="none" w:sz="0" w:space="0" w:color="auto"/>
        <w:right w:val="none" w:sz="0" w:space="0" w:color="auto"/>
      </w:divBdr>
    </w:div>
    <w:div w:id="1868981773">
      <w:marLeft w:val="640"/>
      <w:marRight w:val="0"/>
      <w:marTop w:val="0"/>
      <w:marBottom w:val="0"/>
      <w:divBdr>
        <w:top w:val="none" w:sz="0" w:space="0" w:color="auto"/>
        <w:left w:val="none" w:sz="0" w:space="0" w:color="auto"/>
        <w:bottom w:val="none" w:sz="0" w:space="0" w:color="auto"/>
        <w:right w:val="none" w:sz="0" w:space="0" w:color="auto"/>
      </w:divBdr>
    </w:div>
    <w:div w:id="1869180869">
      <w:marLeft w:val="640"/>
      <w:marRight w:val="0"/>
      <w:marTop w:val="0"/>
      <w:marBottom w:val="0"/>
      <w:divBdr>
        <w:top w:val="none" w:sz="0" w:space="0" w:color="auto"/>
        <w:left w:val="none" w:sz="0" w:space="0" w:color="auto"/>
        <w:bottom w:val="none" w:sz="0" w:space="0" w:color="auto"/>
        <w:right w:val="none" w:sz="0" w:space="0" w:color="auto"/>
      </w:divBdr>
    </w:div>
    <w:div w:id="1870682898">
      <w:marLeft w:val="640"/>
      <w:marRight w:val="0"/>
      <w:marTop w:val="0"/>
      <w:marBottom w:val="0"/>
      <w:divBdr>
        <w:top w:val="none" w:sz="0" w:space="0" w:color="auto"/>
        <w:left w:val="none" w:sz="0" w:space="0" w:color="auto"/>
        <w:bottom w:val="none" w:sz="0" w:space="0" w:color="auto"/>
        <w:right w:val="none" w:sz="0" w:space="0" w:color="auto"/>
      </w:divBdr>
    </w:div>
    <w:div w:id="1875001619">
      <w:marLeft w:val="640"/>
      <w:marRight w:val="0"/>
      <w:marTop w:val="0"/>
      <w:marBottom w:val="0"/>
      <w:divBdr>
        <w:top w:val="none" w:sz="0" w:space="0" w:color="auto"/>
        <w:left w:val="none" w:sz="0" w:space="0" w:color="auto"/>
        <w:bottom w:val="none" w:sz="0" w:space="0" w:color="auto"/>
        <w:right w:val="none" w:sz="0" w:space="0" w:color="auto"/>
      </w:divBdr>
    </w:div>
    <w:div w:id="1888031132">
      <w:marLeft w:val="640"/>
      <w:marRight w:val="0"/>
      <w:marTop w:val="0"/>
      <w:marBottom w:val="0"/>
      <w:divBdr>
        <w:top w:val="none" w:sz="0" w:space="0" w:color="auto"/>
        <w:left w:val="none" w:sz="0" w:space="0" w:color="auto"/>
        <w:bottom w:val="none" w:sz="0" w:space="0" w:color="auto"/>
        <w:right w:val="none" w:sz="0" w:space="0" w:color="auto"/>
      </w:divBdr>
    </w:div>
    <w:div w:id="1894541536">
      <w:marLeft w:val="640"/>
      <w:marRight w:val="0"/>
      <w:marTop w:val="0"/>
      <w:marBottom w:val="0"/>
      <w:divBdr>
        <w:top w:val="none" w:sz="0" w:space="0" w:color="auto"/>
        <w:left w:val="none" w:sz="0" w:space="0" w:color="auto"/>
        <w:bottom w:val="none" w:sz="0" w:space="0" w:color="auto"/>
        <w:right w:val="none" w:sz="0" w:space="0" w:color="auto"/>
      </w:divBdr>
    </w:div>
    <w:div w:id="1895005151">
      <w:marLeft w:val="640"/>
      <w:marRight w:val="0"/>
      <w:marTop w:val="0"/>
      <w:marBottom w:val="0"/>
      <w:divBdr>
        <w:top w:val="none" w:sz="0" w:space="0" w:color="auto"/>
        <w:left w:val="none" w:sz="0" w:space="0" w:color="auto"/>
        <w:bottom w:val="none" w:sz="0" w:space="0" w:color="auto"/>
        <w:right w:val="none" w:sz="0" w:space="0" w:color="auto"/>
      </w:divBdr>
    </w:div>
    <w:div w:id="1895775519">
      <w:marLeft w:val="640"/>
      <w:marRight w:val="0"/>
      <w:marTop w:val="0"/>
      <w:marBottom w:val="0"/>
      <w:divBdr>
        <w:top w:val="none" w:sz="0" w:space="0" w:color="auto"/>
        <w:left w:val="none" w:sz="0" w:space="0" w:color="auto"/>
        <w:bottom w:val="none" w:sz="0" w:space="0" w:color="auto"/>
        <w:right w:val="none" w:sz="0" w:space="0" w:color="auto"/>
      </w:divBdr>
    </w:div>
    <w:div w:id="1905795055">
      <w:marLeft w:val="640"/>
      <w:marRight w:val="0"/>
      <w:marTop w:val="0"/>
      <w:marBottom w:val="0"/>
      <w:divBdr>
        <w:top w:val="none" w:sz="0" w:space="0" w:color="auto"/>
        <w:left w:val="none" w:sz="0" w:space="0" w:color="auto"/>
        <w:bottom w:val="none" w:sz="0" w:space="0" w:color="auto"/>
        <w:right w:val="none" w:sz="0" w:space="0" w:color="auto"/>
      </w:divBdr>
    </w:div>
    <w:div w:id="1908803000">
      <w:marLeft w:val="640"/>
      <w:marRight w:val="0"/>
      <w:marTop w:val="0"/>
      <w:marBottom w:val="0"/>
      <w:divBdr>
        <w:top w:val="none" w:sz="0" w:space="0" w:color="auto"/>
        <w:left w:val="none" w:sz="0" w:space="0" w:color="auto"/>
        <w:bottom w:val="none" w:sz="0" w:space="0" w:color="auto"/>
        <w:right w:val="none" w:sz="0" w:space="0" w:color="auto"/>
      </w:divBdr>
    </w:div>
    <w:div w:id="1916431085">
      <w:marLeft w:val="640"/>
      <w:marRight w:val="0"/>
      <w:marTop w:val="0"/>
      <w:marBottom w:val="0"/>
      <w:divBdr>
        <w:top w:val="none" w:sz="0" w:space="0" w:color="auto"/>
        <w:left w:val="none" w:sz="0" w:space="0" w:color="auto"/>
        <w:bottom w:val="none" w:sz="0" w:space="0" w:color="auto"/>
        <w:right w:val="none" w:sz="0" w:space="0" w:color="auto"/>
      </w:divBdr>
    </w:div>
    <w:div w:id="1918635296">
      <w:marLeft w:val="640"/>
      <w:marRight w:val="0"/>
      <w:marTop w:val="0"/>
      <w:marBottom w:val="0"/>
      <w:divBdr>
        <w:top w:val="none" w:sz="0" w:space="0" w:color="auto"/>
        <w:left w:val="none" w:sz="0" w:space="0" w:color="auto"/>
        <w:bottom w:val="none" w:sz="0" w:space="0" w:color="auto"/>
        <w:right w:val="none" w:sz="0" w:space="0" w:color="auto"/>
      </w:divBdr>
    </w:div>
    <w:div w:id="1920407011">
      <w:marLeft w:val="640"/>
      <w:marRight w:val="0"/>
      <w:marTop w:val="0"/>
      <w:marBottom w:val="0"/>
      <w:divBdr>
        <w:top w:val="none" w:sz="0" w:space="0" w:color="auto"/>
        <w:left w:val="none" w:sz="0" w:space="0" w:color="auto"/>
        <w:bottom w:val="none" w:sz="0" w:space="0" w:color="auto"/>
        <w:right w:val="none" w:sz="0" w:space="0" w:color="auto"/>
      </w:divBdr>
    </w:div>
    <w:div w:id="1920946481">
      <w:marLeft w:val="640"/>
      <w:marRight w:val="0"/>
      <w:marTop w:val="0"/>
      <w:marBottom w:val="0"/>
      <w:divBdr>
        <w:top w:val="none" w:sz="0" w:space="0" w:color="auto"/>
        <w:left w:val="none" w:sz="0" w:space="0" w:color="auto"/>
        <w:bottom w:val="none" w:sz="0" w:space="0" w:color="auto"/>
        <w:right w:val="none" w:sz="0" w:space="0" w:color="auto"/>
      </w:divBdr>
    </w:div>
    <w:div w:id="1923834447">
      <w:marLeft w:val="640"/>
      <w:marRight w:val="0"/>
      <w:marTop w:val="0"/>
      <w:marBottom w:val="0"/>
      <w:divBdr>
        <w:top w:val="none" w:sz="0" w:space="0" w:color="auto"/>
        <w:left w:val="none" w:sz="0" w:space="0" w:color="auto"/>
        <w:bottom w:val="none" w:sz="0" w:space="0" w:color="auto"/>
        <w:right w:val="none" w:sz="0" w:space="0" w:color="auto"/>
      </w:divBdr>
    </w:div>
    <w:div w:id="1924869813">
      <w:marLeft w:val="640"/>
      <w:marRight w:val="0"/>
      <w:marTop w:val="0"/>
      <w:marBottom w:val="0"/>
      <w:divBdr>
        <w:top w:val="none" w:sz="0" w:space="0" w:color="auto"/>
        <w:left w:val="none" w:sz="0" w:space="0" w:color="auto"/>
        <w:bottom w:val="none" w:sz="0" w:space="0" w:color="auto"/>
        <w:right w:val="none" w:sz="0" w:space="0" w:color="auto"/>
      </w:divBdr>
    </w:div>
    <w:div w:id="1927885598">
      <w:marLeft w:val="640"/>
      <w:marRight w:val="0"/>
      <w:marTop w:val="0"/>
      <w:marBottom w:val="0"/>
      <w:divBdr>
        <w:top w:val="none" w:sz="0" w:space="0" w:color="auto"/>
        <w:left w:val="none" w:sz="0" w:space="0" w:color="auto"/>
        <w:bottom w:val="none" w:sz="0" w:space="0" w:color="auto"/>
        <w:right w:val="none" w:sz="0" w:space="0" w:color="auto"/>
      </w:divBdr>
    </w:div>
    <w:div w:id="1928341319">
      <w:marLeft w:val="640"/>
      <w:marRight w:val="0"/>
      <w:marTop w:val="0"/>
      <w:marBottom w:val="0"/>
      <w:divBdr>
        <w:top w:val="none" w:sz="0" w:space="0" w:color="auto"/>
        <w:left w:val="none" w:sz="0" w:space="0" w:color="auto"/>
        <w:bottom w:val="none" w:sz="0" w:space="0" w:color="auto"/>
        <w:right w:val="none" w:sz="0" w:space="0" w:color="auto"/>
      </w:divBdr>
    </w:div>
    <w:div w:id="1930115879">
      <w:marLeft w:val="640"/>
      <w:marRight w:val="0"/>
      <w:marTop w:val="0"/>
      <w:marBottom w:val="0"/>
      <w:divBdr>
        <w:top w:val="none" w:sz="0" w:space="0" w:color="auto"/>
        <w:left w:val="none" w:sz="0" w:space="0" w:color="auto"/>
        <w:bottom w:val="none" w:sz="0" w:space="0" w:color="auto"/>
        <w:right w:val="none" w:sz="0" w:space="0" w:color="auto"/>
      </w:divBdr>
    </w:div>
    <w:div w:id="1931960027">
      <w:marLeft w:val="640"/>
      <w:marRight w:val="0"/>
      <w:marTop w:val="0"/>
      <w:marBottom w:val="0"/>
      <w:divBdr>
        <w:top w:val="none" w:sz="0" w:space="0" w:color="auto"/>
        <w:left w:val="none" w:sz="0" w:space="0" w:color="auto"/>
        <w:bottom w:val="none" w:sz="0" w:space="0" w:color="auto"/>
        <w:right w:val="none" w:sz="0" w:space="0" w:color="auto"/>
      </w:divBdr>
    </w:div>
    <w:div w:id="1935632028">
      <w:marLeft w:val="640"/>
      <w:marRight w:val="0"/>
      <w:marTop w:val="0"/>
      <w:marBottom w:val="0"/>
      <w:divBdr>
        <w:top w:val="none" w:sz="0" w:space="0" w:color="auto"/>
        <w:left w:val="none" w:sz="0" w:space="0" w:color="auto"/>
        <w:bottom w:val="none" w:sz="0" w:space="0" w:color="auto"/>
        <w:right w:val="none" w:sz="0" w:space="0" w:color="auto"/>
      </w:divBdr>
    </w:div>
    <w:div w:id="1938249693">
      <w:marLeft w:val="640"/>
      <w:marRight w:val="0"/>
      <w:marTop w:val="0"/>
      <w:marBottom w:val="0"/>
      <w:divBdr>
        <w:top w:val="none" w:sz="0" w:space="0" w:color="auto"/>
        <w:left w:val="none" w:sz="0" w:space="0" w:color="auto"/>
        <w:bottom w:val="none" w:sz="0" w:space="0" w:color="auto"/>
        <w:right w:val="none" w:sz="0" w:space="0" w:color="auto"/>
      </w:divBdr>
    </w:div>
    <w:div w:id="1947956729">
      <w:marLeft w:val="640"/>
      <w:marRight w:val="0"/>
      <w:marTop w:val="0"/>
      <w:marBottom w:val="0"/>
      <w:divBdr>
        <w:top w:val="none" w:sz="0" w:space="0" w:color="auto"/>
        <w:left w:val="none" w:sz="0" w:space="0" w:color="auto"/>
        <w:bottom w:val="none" w:sz="0" w:space="0" w:color="auto"/>
        <w:right w:val="none" w:sz="0" w:space="0" w:color="auto"/>
      </w:divBdr>
    </w:div>
    <w:div w:id="1966961760">
      <w:marLeft w:val="640"/>
      <w:marRight w:val="0"/>
      <w:marTop w:val="0"/>
      <w:marBottom w:val="0"/>
      <w:divBdr>
        <w:top w:val="none" w:sz="0" w:space="0" w:color="auto"/>
        <w:left w:val="none" w:sz="0" w:space="0" w:color="auto"/>
        <w:bottom w:val="none" w:sz="0" w:space="0" w:color="auto"/>
        <w:right w:val="none" w:sz="0" w:space="0" w:color="auto"/>
      </w:divBdr>
    </w:div>
    <w:div w:id="1970241132">
      <w:marLeft w:val="640"/>
      <w:marRight w:val="0"/>
      <w:marTop w:val="0"/>
      <w:marBottom w:val="0"/>
      <w:divBdr>
        <w:top w:val="none" w:sz="0" w:space="0" w:color="auto"/>
        <w:left w:val="none" w:sz="0" w:space="0" w:color="auto"/>
        <w:bottom w:val="none" w:sz="0" w:space="0" w:color="auto"/>
        <w:right w:val="none" w:sz="0" w:space="0" w:color="auto"/>
      </w:divBdr>
    </w:div>
    <w:div w:id="1970503005">
      <w:marLeft w:val="640"/>
      <w:marRight w:val="0"/>
      <w:marTop w:val="0"/>
      <w:marBottom w:val="0"/>
      <w:divBdr>
        <w:top w:val="none" w:sz="0" w:space="0" w:color="auto"/>
        <w:left w:val="none" w:sz="0" w:space="0" w:color="auto"/>
        <w:bottom w:val="none" w:sz="0" w:space="0" w:color="auto"/>
        <w:right w:val="none" w:sz="0" w:space="0" w:color="auto"/>
      </w:divBdr>
    </w:div>
    <w:div w:id="1973057097">
      <w:marLeft w:val="640"/>
      <w:marRight w:val="0"/>
      <w:marTop w:val="0"/>
      <w:marBottom w:val="0"/>
      <w:divBdr>
        <w:top w:val="none" w:sz="0" w:space="0" w:color="auto"/>
        <w:left w:val="none" w:sz="0" w:space="0" w:color="auto"/>
        <w:bottom w:val="none" w:sz="0" w:space="0" w:color="auto"/>
        <w:right w:val="none" w:sz="0" w:space="0" w:color="auto"/>
      </w:divBdr>
    </w:div>
    <w:div w:id="1976837843">
      <w:marLeft w:val="640"/>
      <w:marRight w:val="0"/>
      <w:marTop w:val="0"/>
      <w:marBottom w:val="0"/>
      <w:divBdr>
        <w:top w:val="none" w:sz="0" w:space="0" w:color="auto"/>
        <w:left w:val="none" w:sz="0" w:space="0" w:color="auto"/>
        <w:bottom w:val="none" w:sz="0" w:space="0" w:color="auto"/>
        <w:right w:val="none" w:sz="0" w:space="0" w:color="auto"/>
      </w:divBdr>
    </w:div>
    <w:div w:id="1977224035">
      <w:marLeft w:val="640"/>
      <w:marRight w:val="0"/>
      <w:marTop w:val="0"/>
      <w:marBottom w:val="0"/>
      <w:divBdr>
        <w:top w:val="none" w:sz="0" w:space="0" w:color="auto"/>
        <w:left w:val="none" w:sz="0" w:space="0" w:color="auto"/>
        <w:bottom w:val="none" w:sz="0" w:space="0" w:color="auto"/>
        <w:right w:val="none" w:sz="0" w:space="0" w:color="auto"/>
      </w:divBdr>
    </w:div>
    <w:div w:id="1978996717">
      <w:marLeft w:val="640"/>
      <w:marRight w:val="0"/>
      <w:marTop w:val="0"/>
      <w:marBottom w:val="0"/>
      <w:divBdr>
        <w:top w:val="none" w:sz="0" w:space="0" w:color="auto"/>
        <w:left w:val="none" w:sz="0" w:space="0" w:color="auto"/>
        <w:bottom w:val="none" w:sz="0" w:space="0" w:color="auto"/>
        <w:right w:val="none" w:sz="0" w:space="0" w:color="auto"/>
      </w:divBdr>
    </w:div>
    <w:div w:id="1980647983">
      <w:marLeft w:val="640"/>
      <w:marRight w:val="0"/>
      <w:marTop w:val="0"/>
      <w:marBottom w:val="0"/>
      <w:divBdr>
        <w:top w:val="none" w:sz="0" w:space="0" w:color="auto"/>
        <w:left w:val="none" w:sz="0" w:space="0" w:color="auto"/>
        <w:bottom w:val="none" w:sz="0" w:space="0" w:color="auto"/>
        <w:right w:val="none" w:sz="0" w:space="0" w:color="auto"/>
      </w:divBdr>
    </w:div>
    <w:div w:id="1982154498">
      <w:marLeft w:val="640"/>
      <w:marRight w:val="0"/>
      <w:marTop w:val="0"/>
      <w:marBottom w:val="0"/>
      <w:divBdr>
        <w:top w:val="none" w:sz="0" w:space="0" w:color="auto"/>
        <w:left w:val="none" w:sz="0" w:space="0" w:color="auto"/>
        <w:bottom w:val="none" w:sz="0" w:space="0" w:color="auto"/>
        <w:right w:val="none" w:sz="0" w:space="0" w:color="auto"/>
      </w:divBdr>
    </w:div>
    <w:div w:id="1986662260">
      <w:marLeft w:val="640"/>
      <w:marRight w:val="0"/>
      <w:marTop w:val="0"/>
      <w:marBottom w:val="0"/>
      <w:divBdr>
        <w:top w:val="none" w:sz="0" w:space="0" w:color="auto"/>
        <w:left w:val="none" w:sz="0" w:space="0" w:color="auto"/>
        <w:bottom w:val="none" w:sz="0" w:space="0" w:color="auto"/>
        <w:right w:val="none" w:sz="0" w:space="0" w:color="auto"/>
      </w:divBdr>
    </w:div>
    <w:div w:id="1988589663">
      <w:marLeft w:val="640"/>
      <w:marRight w:val="0"/>
      <w:marTop w:val="0"/>
      <w:marBottom w:val="0"/>
      <w:divBdr>
        <w:top w:val="none" w:sz="0" w:space="0" w:color="auto"/>
        <w:left w:val="none" w:sz="0" w:space="0" w:color="auto"/>
        <w:bottom w:val="none" w:sz="0" w:space="0" w:color="auto"/>
        <w:right w:val="none" w:sz="0" w:space="0" w:color="auto"/>
      </w:divBdr>
    </w:div>
    <w:div w:id="1990355132">
      <w:marLeft w:val="640"/>
      <w:marRight w:val="0"/>
      <w:marTop w:val="0"/>
      <w:marBottom w:val="0"/>
      <w:divBdr>
        <w:top w:val="none" w:sz="0" w:space="0" w:color="auto"/>
        <w:left w:val="none" w:sz="0" w:space="0" w:color="auto"/>
        <w:bottom w:val="none" w:sz="0" w:space="0" w:color="auto"/>
        <w:right w:val="none" w:sz="0" w:space="0" w:color="auto"/>
      </w:divBdr>
    </w:div>
    <w:div w:id="1995530244">
      <w:marLeft w:val="640"/>
      <w:marRight w:val="0"/>
      <w:marTop w:val="0"/>
      <w:marBottom w:val="0"/>
      <w:divBdr>
        <w:top w:val="none" w:sz="0" w:space="0" w:color="auto"/>
        <w:left w:val="none" w:sz="0" w:space="0" w:color="auto"/>
        <w:bottom w:val="none" w:sz="0" w:space="0" w:color="auto"/>
        <w:right w:val="none" w:sz="0" w:space="0" w:color="auto"/>
      </w:divBdr>
    </w:div>
    <w:div w:id="2000234399">
      <w:marLeft w:val="640"/>
      <w:marRight w:val="0"/>
      <w:marTop w:val="0"/>
      <w:marBottom w:val="0"/>
      <w:divBdr>
        <w:top w:val="none" w:sz="0" w:space="0" w:color="auto"/>
        <w:left w:val="none" w:sz="0" w:space="0" w:color="auto"/>
        <w:bottom w:val="none" w:sz="0" w:space="0" w:color="auto"/>
        <w:right w:val="none" w:sz="0" w:space="0" w:color="auto"/>
      </w:divBdr>
    </w:div>
    <w:div w:id="2000696898">
      <w:marLeft w:val="640"/>
      <w:marRight w:val="0"/>
      <w:marTop w:val="0"/>
      <w:marBottom w:val="0"/>
      <w:divBdr>
        <w:top w:val="none" w:sz="0" w:space="0" w:color="auto"/>
        <w:left w:val="none" w:sz="0" w:space="0" w:color="auto"/>
        <w:bottom w:val="none" w:sz="0" w:space="0" w:color="auto"/>
        <w:right w:val="none" w:sz="0" w:space="0" w:color="auto"/>
      </w:divBdr>
    </w:div>
    <w:div w:id="2001107591">
      <w:marLeft w:val="640"/>
      <w:marRight w:val="0"/>
      <w:marTop w:val="0"/>
      <w:marBottom w:val="0"/>
      <w:divBdr>
        <w:top w:val="none" w:sz="0" w:space="0" w:color="auto"/>
        <w:left w:val="none" w:sz="0" w:space="0" w:color="auto"/>
        <w:bottom w:val="none" w:sz="0" w:space="0" w:color="auto"/>
        <w:right w:val="none" w:sz="0" w:space="0" w:color="auto"/>
      </w:divBdr>
    </w:div>
    <w:div w:id="2004432674">
      <w:marLeft w:val="640"/>
      <w:marRight w:val="0"/>
      <w:marTop w:val="0"/>
      <w:marBottom w:val="0"/>
      <w:divBdr>
        <w:top w:val="none" w:sz="0" w:space="0" w:color="auto"/>
        <w:left w:val="none" w:sz="0" w:space="0" w:color="auto"/>
        <w:bottom w:val="none" w:sz="0" w:space="0" w:color="auto"/>
        <w:right w:val="none" w:sz="0" w:space="0" w:color="auto"/>
      </w:divBdr>
    </w:div>
    <w:div w:id="2004967864">
      <w:marLeft w:val="640"/>
      <w:marRight w:val="0"/>
      <w:marTop w:val="0"/>
      <w:marBottom w:val="0"/>
      <w:divBdr>
        <w:top w:val="none" w:sz="0" w:space="0" w:color="auto"/>
        <w:left w:val="none" w:sz="0" w:space="0" w:color="auto"/>
        <w:bottom w:val="none" w:sz="0" w:space="0" w:color="auto"/>
        <w:right w:val="none" w:sz="0" w:space="0" w:color="auto"/>
      </w:divBdr>
    </w:div>
    <w:div w:id="2006546966">
      <w:marLeft w:val="640"/>
      <w:marRight w:val="0"/>
      <w:marTop w:val="0"/>
      <w:marBottom w:val="0"/>
      <w:divBdr>
        <w:top w:val="none" w:sz="0" w:space="0" w:color="auto"/>
        <w:left w:val="none" w:sz="0" w:space="0" w:color="auto"/>
        <w:bottom w:val="none" w:sz="0" w:space="0" w:color="auto"/>
        <w:right w:val="none" w:sz="0" w:space="0" w:color="auto"/>
      </w:divBdr>
    </w:div>
    <w:div w:id="2013599957">
      <w:marLeft w:val="640"/>
      <w:marRight w:val="0"/>
      <w:marTop w:val="0"/>
      <w:marBottom w:val="0"/>
      <w:divBdr>
        <w:top w:val="none" w:sz="0" w:space="0" w:color="auto"/>
        <w:left w:val="none" w:sz="0" w:space="0" w:color="auto"/>
        <w:bottom w:val="none" w:sz="0" w:space="0" w:color="auto"/>
        <w:right w:val="none" w:sz="0" w:space="0" w:color="auto"/>
      </w:divBdr>
    </w:div>
    <w:div w:id="2018342713">
      <w:marLeft w:val="640"/>
      <w:marRight w:val="0"/>
      <w:marTop w:val="0"/>
      <w:marBottom w:val="0"/>
      <w:divBdr>
        <w:top w:val="none" w:sz="0" w:space="0" w:color="auto"/>
        <w:left w:val="none" w:sz="0" w:space="0" w:color="auto"/>
        <w:bottom w:val="none" w:sz="0" w:space="0" w:color="auto"/>
        <w:right w:val="none" w:sz="0" w:space="0" w:color="auto"/>
      </w:divBdr>
    </w:div>
    <w:div w:id="2024624926">
      <w:marLeft w:val="640"/>
      <w:marRight w:val="0"/>
      <w:marTop w:val="0"/>
      <w:marBottom w:val="0"/>
      <w:divBdr>
        <w:top w:val="none" w:sz="0" w:space="0" w:color="auto"/>
        <w:left w:val="none" w:sz="0" w:space="0" w:color="auto"/>
        <w:bottom w:val="none" w:sz="0" w:space="0" w:color="auto"/>
        <w:right w:val="none" w:sz="0" w:space="0" w:color="auto"/>
      </w:divBdr>
    </w:div>
    <w:div w:id="2025865292">
      <w:marLeft w:val="640"/>
      <w:marRight w:val="0"/>
      <w:marTop w:val="0"/>
      <w:marBottom w:val="0"/>
      <w:divBdr>
        <w:top w:val="none" w:sz="0" w:space="0" w:color="auto"/>
        <w:left w:val="none" w:sz="0" w:space="0" w:color="auto"/>
        <w:bottom w:val="none" w:sz="0" w:space="0" w:color="auto"/>
        <w:right w:val="none" w:sz="0" w:space="0" w:color="auto"/>
      </w:divBdr>
    </w:div>
    <w:div w:id="2028822913">
      <w:marLeft w:val="640"/>
      <w:marRight w:val="0"/>
      <w:marTop w:val="0"/>
      <w:marBottom w:val="0"/>
      <w:divBdr>
        <w:top w:val="none" w:sz="0" w:space="0" w:color="auto"/>
        <w:left w:val="none" w:sz="0" w:space="0" w:color="auto"/>
        <w:bottom w:val="none" w:sz="0" w:space="0" w:color="auto"/>
        <w:right w:val="none" w:sz="0" w:space="0" w:color="auto"/>
      </w:divBdr>
    </w:div>
    <w:div w:id="2039423780">
      <w:marLeft w:val="640"/>
      <w:marRight w:val="0"/>
      <w:marTop w:val="0"/>
      <w:marBottom w:val="0"/>
      <w:divBdr>
        <w:top w:val="none" w:sz="0" w:space="0" w:color="auto"/>
        <w:left w:val="none" w:sz="0" w:space="0" w:color="auto"/>
        <w:bottom w:val="none" w:sz="0" w:space="0" w:color="auto"/>
        <w:right w:val="none" w:sz="0" w:space="0" w:color="auto"/>
      </w:divBdr>
    </w:div>
    <w:div w:id="2044212404">
      <w:marLeft w:val="640"/>
      <w:marRight w:val="0"/>
      <w:marTop w:val="0"/>
      <w:marBottom w:val="0"/>
      <w:divBdr>
        <w:top w:val="none" w:sz="0" w:space="0" w:color="auto"/>
        <w:left w:val="none" w:sz="0" w:space="0" w:color="auto"/>
        <w:bottom w:val="none" w:sz="0" w:space="0" w:color="auto"/>
        <w:right w:val="none" w:sz="0" w:space="0" w:color="auto"/>
      </w:divBdr>
    </w:div>
    <w:div w:id="2046439523">
      <w:marLeft w:val="640"/>
      <w:marRight w:val="0"/>
      <w:marTop w:val="0"/>
      <w:marBottom w:val="0"/>
      <w:divBdr>
        <w:top w:val="none" w:sz="0" w:space="0" w:color="auto"/>
        <w:left w:val="none" w:sz="0" w:space="0" w:color="auto"/>
        <w:bottom w:val="none" w:sz="0" w:space="0" w:color="auto"/>
        <w:right w:val="none" w:sz="0" w:space="0" w:color="auto"/>
      </w:divBdr>
    </w:div>
    <w:div w:id="2047287424">
      <w:marLeft w:val="640"/>
      <w:marRight w:val="0"/>
      <w:marTop w:val="0"/>
      <w:marBottom w:val="0"/>
      <w:divBdr>
        <w:top w:val="none" w:sz="0" w:space="0" w:color="auto"/>
        <w:left w:val="none" w:sz="0" w:space="0" w:color="auto"/>
        <w:bottom w:val="none" w:sz="0" w:space="0" w:color="auto"/>
        <w:right w:val="none" w:sz="0" w:space="0" w:color="auto"/>
      </w:divBdr>
    </w:div>
    <w:div w:id="2049180514">
      <w:marLeft w:val="640"/>
      <w:marRight w:val="0"/>
      <w:marTop w:val="0"/>
      <w:marBottom w:val="0"/>
      <w:divBdr>
        <w:top w:val="none" w:sz="0" w:space="0" w:color="auto"/>
        <w:left w:val="none" w:sz="0" w:space="0" w:color="auto"/>
        <w:bottom w:val="none" w:sz="0" w:space="0" w:color="auto"/>
        <w:right w:val="none" w:sz="0" w:space="0" w:color="auto"/>
      </w:divBdr>
    </w:div>
    <w:div w:id="2050179082">
      <w:marLeft w:val="640"/>
      <w:marRight w:val="0"/>
      <w:marTop w:val="0"/>
      <w:marBottom w:val="0"/>
      <w:divBdr>
        <w:top w:val="none" w:sz="0" w:space="0" w:color="auto"/>
        <w:left w:val="none" w:sz="0" w:space="0" w:color="auto"/>
        <w:bottom w:val="none" w:sz="0" w:space="0" w:color="auto"/>
        <w:right w:val="none" w:sz="0" w:space="0" w:color="auto"/>
      </w:divBdr>
    </w:div>
    <w:div w:id="2050909768">
      <w:marLeft w:val="640"/>
      <w:marRight w:val="0"/>
      <w:marTop w:val="0"/>
      <w:marBottom w:val="0"/>
      <w:divBdr>
        <w:top w:val="none" w:sz="0" w:space="0" w:color="auto"/>
        <w:left w:val="none" w:sz="0" w:space="0" w:color="auto"/>
        <w:bottom w:val="none" w:sz="0" w:space="0" w:color="auto"/>
        <w:right w:val="none" w:sz="0" w:space="0" w:color="auto"/>
      </w:divBdr>
    </w:div>
    <w:div w:id="2054190734">
      <w:marLeft w:val="640"/>
      <w:marRight w:val="0"/>
      <w:marTop w:val="0"/>
      <w:marBottom w:val="0"/>
      <w:divBdr>
        <w:top w:val="none" w:sz="0" w:space="0" w:color="auto"/>
        <w:left w:val="none" w:sz="0" w:space="0" w:color="auto"/>
        <w:bottom w:val="none" w:sz="0" w:space="0" w:color="auto"/>
        <w:right w:val="none" w:sz="0" w:space="0" w:color="auto"/>
      </w:divBdr>
    </w:div>
    <w:div w:id="2055734374">
      <w:marLeft w:val="640"/>
      <w:marRight w:val="0"/>
      <w:marTop w:val="0"/>
      <w:marBottom w:val="0"/>
      <w:divBdr>
        <w:top w:val="none" w:sz="0" w:space="0" w:color="auto"/>
        <w:left w:val="none" w:sz="0" w:space="0" w:color="auto"/>
        <w:bottom w:val="none" w:sz="0" w:space="0" w:color="auto"/>
        <w:right w:val="none" w:sz="0" w:space="0" w:color="auto"/>
      </w:divBdr>
    </w:div>
    <w:div w:id="2056274277">
      <w:marLeft w:val="640"/>
      <w:marRight w:val="0"/>
      <w:marTop w:val="0"/>
      <w:marBottom w:val="0"/>
      <w:divBdr>
        <w:top w:val="none" w:sz="0" w:space="0" w:color="auto"/>
        <w:left w:val="none" w:sz="0" w:space="0" w:color="auto"/>
        <w:bottom w:val="none" w:sz="0" w:space="0" w:color="auto"/>
        <w:right w:val="none" w:sz="0" w:space="0" w:color="auto"/>
      </w:divBdr>
    </w:div>
    <w:div w:id="2058890621">
      <w:marLeft w:val="640"/>
      <w:marRight w:val="0"/>
      <w:marTop w:val="0"/>
      <w:marBottom w:val="0"/>
      <w:divBdr>
        <w:top w:val="none" w:sz="0" w:space="0" w:color="auto"/>
        <w:left w:val="none" w:sz="0" w:space="0" w:color="auto"/>
        <w:bottom w:val="none" w:sz="0" w:space="0" w:color="auto"/>
        <w:right w:val="none" w:sz="0" w:space="0" w:color="auto"/>
      </w:divBdr>
    </w:div>
    <w:div w:id="2065642689">
      <w:marLeft w:val="640"/>
      <w:marRight w:val="0"/>
      <w:marTop w:val="0"/>
      <w:marBottom w:val="0"/>
      <w:divBdr>
        <w:top w:val="none" w:sz="0" w:space="0" w:color="auto"/>
        <w:left w:val="none" w:sz="0" w:space="0" w:color="auto"/>
        <w:bottom w:val="none" w:sz="0" w:space="0" w:color="auto"/>
        <w:right w:val="none" w:sz="0" w:space="0" w:color="auto"/>
      </w:divBdr>
    </w:div>
    <w:div w:id="2068264156">
      <w:marLeft w:val="640"/>
      <w:marRight w:val="0"/>
      <w:marTop w:val="0"/>
      <w:marBottom w:val="0"/>
      <w:divBdr>
        <w:top w:val="none" w:sz="0" w:space="0" w:color="auto"/>
        <w:left w:val="none" w:sz="0" w:space="0" w:color="auto"/>
        <w:bottom w:val="none" w:sz="0" w:space="0" w:color="auto"/>
        <w:right w:val="none" w:sz="0" w:space="0" w:color="auto"/>
      </w:divBdr>
    </w:div>
    <w:div w:id="2071028004">
      <w:marLeft w:val="640"/>
      <w:marRight w:val="0"/>
      <w:marTop w:val="0"/>
      <w:marBottom w:val="0"/>
      <w:divBdr>
        <w:top w:val="none" w:sz="0" w:space="0" w:color="auto"/>
        <w:left w:val="none" w:sz="0" w:space="0" w:color="auto"/>
        <w:bottom w:val="none" w:sz="0" w:space="0" w:color="auto"/>
        <w:right w:val="none" w:sz="0" w:space="0" w:color="auto"/>
      </w:divBdr>
    </w:div>
    <w:div w:id="2071884363">
      <w:marLeft w:val="640"/>
      <w:marRight w:val="0"/>
      <w:marTop w:val="0"/>
      <w:marBottom w:val="0"/>
      <w:divBdr>
        <w:top w:val="none" w:sz="0" w:space="0" w:color="auto"/>
        <w:left w:val="none" w:sz="0" w:space="0" w:color="auto"/>
        <w:bottom w:val="none" w:sz="0" w:space="0" w:color="auto"/>
        <w:right w:val="none" w:sz="0" w:space="0" w:color="auto"/>
      </w:divBdr>
    </w:div>
    <w:div w:id="2074084747">
      <w:marLeft w:val="640"/>
      <w:marRight w:val="0"/>
      <w:marTop w:val="0"/>
      <w:marBottom w:val="0"/>
      <w:divBdr>
        <w:top w:val="none" w:sz="0" w:space="0" w:color="auto"/>
        <w:left w:val="none" w:sz="0" w:space="0" w:color="auto"/>
        <w:bottom w:val="none" w:sz="0" w:space="0" w:color="auto"/>
        <w:right w:val="none" w:sz="0" w:space="0" w:color="auto"/>
      </w:divBdr>
    </w:div>
    <w:div w:id="2075349774">
      <w:marLeft w:val="640"/>
      <w:marRight w:val="0"/>
      <w:marTop w:val="0"/>
      <w:marBottom w:val="0"/>
      <w:divBdr>
        <w:top w:val="none" w:sz="0" w:space="0" w:color="auto"/>
        <w:left w:val="none" w:sz="0" w:space="0" w:color="auto"/>
        <w:bottom w:val="none" w:sz="0" w:space="0" w:color="auto"/>
        <w:right w:val="none" w:sz="0" w:space="0" w:color="auto"/>
      </w:divBdr>
    </w:div>
    <w:div w:id="2078361619">
      <w:marLeft w:val="640"/>
      <w:marRight w:val="0"/>
      <w:marTop w:val="0"/>
      <w:marBottom w:val="0"/>
      <w:divBdr>
        <w:top w:val="none" w:sz="0" w:space="0" w:color="auto"/>
        <w:left w:val="none" w:sz="0" w:space="0" w:color="auto"/>
        <w:bottom w:val="none" w:sz="0" w:space="0" w:color="auto"/>
        <w:right w:val="none" w:sz="0" w:space="0" w:color="auto"/>
      </w:divBdr>
    </w:div>
    <w:div w:id="2080788991">
      <w:marLeft w:val="640"/>
      <w:marRight w:val="0"/>
      <w:marTop w:val="0"/>
      <w:marBottom w:val="0"/>
      <w:divBdr>
        <w:top w:val="none" w:sz="0" w:space="0" w:color="auto"/>
        <w:left w:val="none" w:sz="0" w:space="0" w:color="auto"/>
        <w:bottom w:val="none" w:sz="0" w:space="0" w:color="auto"/>
        <w:right w:val="none" w:sz="0" w:space="0" w:color="auto"/>
      </w:divBdr>
    </w:div>
    <w:div w:id="2083603070">
      <w:marLeft w:val="640"/>
      <w:marRight w:val="0"/>
      <w:marTop w:val="0"/>
      <w:marBottom w:val="0"/>
      <w:divBdr>
        <w:top w:val="none" w:sz="0" w:space="0" w:color="auto"/>
        <w:left w:val="none" w:sz="0" w:space="0" w:color="auto"/>
        <w:bottom w:val="none" w:sz="0" w:space="0" w:color="auto"/>
        <w:right w:val="none" w:sz="0" w:space="0" w:color="auto"/>
      </w:divBdr>
    </w:div>
    <w:div w:id="2087678299">
      <w:marLeft w:val="640"/>
      <w:marRight w:val="0"/>
      <w:marTop w:val="0"/>
      <w:marBottom w:val="0"/>
      <w:divBdr>
        <w:top w:val="none" w:sz="0" w:space="0" w:color="auto"/>
        <w:left w:val="none" w:sz="0" w:space="0" w:color="auto"/>
        <w:bottom w:val="none" w:sz="0" w:space="0" w:color="auto"/>
        <w:right w:val="none" w:sz="0" w:space="0" w:color="auto"/>
      </w:divBdr>
    </w:div>
    <w:div w:id="2089380622">
      <w:marLeft w:val="640"/>
      <w:marRight w:val="0"/>
      <w:marTop w:val="0"/>
      <w:marBottom w:val="0"/>
      <w:divBdr>
        <w:top w:val="none" w:sz="0" w:space="0" w:color="auto"/>
        <w:left w:val="none" w:sz="0" w:space="0" w:color="auto"/>
        <w:bottom w:val="none" w:sz="0" w:space="0" w:color="auto"/>
        <w:right w:val="none" w:sz="0" w:space="0" w:color="auto"/>
      </w:divBdr>
    </w:div>
    <w:div w:id="2091803647">
      <w:marLeft w:val="640"/>
      <w:marRight w:val="0"/>
      <w:marTop w:val="0"/>
      <w:marBottom w:val="0"/>
      <w:divBdr>
        <w:top w:val="none" w:sz="0" w:space="0" w:color="auto"/>
        <w:left w:val="none" w:sz="0" w:space="0" w:color="auto"/>
        <w:bottom w:val="none" w:sz="0" w:space="0" w:color="auto"/>
        <w:right w:val="none" w:sz="0" w:space="0" w:color="auto"/>
      </w:divBdr>
    </w:div>
    <w:div w:id="2092775242">
      <w:marLeft w:val="640"/>
      <w:marRight w:val="0"/>
      <w:marTop w:val="0"/>
      <w:marBottom w:val="0"/>
      <w:divBdr>
        <w:top w:val="none" w:sz="0" w:space="0" w:color="auto"/>
        <w:left w:val="none" w:sz="0" w:space="0" w:color="auto"/>
        <w:bottom w:val="none" w:sz="0" w:space="0" w:color="auto"/>
        <w:right w:val="none" w:sz="0" w:space="0" w:color="auto"/>
      </w:divBdr>
    </w:div>
    <w:div w:id="2103337648">
      <w:marLeft w:val="640"/>
      <w:marRight w:val="0"/>
      <w:marTop w:val="0"/>
      <w:marBottom w:val="0"/>
      <w:divBdr>
        <w:top w:val="none" w:sz="0" w:space="0" w:color="auto"/>
        <w:left w:val="none" w:sz="0" w:space="0" w:color="auto"/>
        <w:bottom w:val="none" w:sz="0" w:space="0" w:color="auto"/>
        <w:right w:val="none" w:sz="0" w:space="0" w:color="auto"/>
      </w:divBdr>
    </w:div>
    <w:div w:id="2104260784">
      <w:marLeft w:val="640"/>
      <w:marRight w:val="0"/>
      <w:marTop w:val="0"/>
      <w:marBottom w:val="0"/>
      <w:divBdr>
        <w:top w:val="none" w:sz="0" w:space="0" w:color="auto"/>
        <w:left w:val="none" w:sz="0" w:space="0" w:color="auto"/>
        <w:bottom w:val="none" w:sz="0" w:space="0" w:color="auto"/>
        <w:right w:val="none" w:sz="0" w:space="0" w:color="auto"/>
      </w:divBdr>
    </w:div>
    <w:div w:id="2113234400">
      <w:marLeft w:val="640"/>
      <w:marRight w:val="0"/>
      <w:marTop w:val="0"/>
      <w:marBottom w:val="0"/>
      <w:divBdr>
        <w:top w:val="none" w:sz="0" w:space="0" w:color="auto"/>
        <w:left w:val="none" w:sz="0" w:space="0" w:color="auto"/>
        <w:bottom w:val="none" w:sz="0" w:space="0" w:color="auto"/>
        <w:right w:val="none" w:sz="0" w:space="0" w:color="auto"/>
      </w:divBdr>
    </w:div>
    <w:div w:id="2113620179">
      <w:marLeft w:val="640"/>
      <w:marRight w:val="0"/>
      <w:marTop w:val="0"/>
      <w:marBottom w:val="0"/>
      <w:divBdr>
        <w:top w:val="none" w:sz="0" w:space="0" w:color="auto"/>
        <w:left w:val="none" w:sz="0" w:space="0" w:color="auto"/>
        <w:bottom w:val="none" w:sz="0" w:space="0" w:color="auto"/>
        <w:right w:val="none" w:sz="0" w:space="0" w:color="auto"/>
      </w:divBdr>
    </w:div>
    <w:div w:id="2114477662">
      <w:marLeft w:val="640"/>
      <w:marRight w:val="0"/>
      <w:marTop w:val="0"/>
      <w:marBottom w:val="0"/>
      <w:divBdr>
        <w:top w:val="none" w:sz="0" w:space="0" w:color="auto"/>
        <w:left w:val="none" w:sz="0" w:space="0" w:color="auto"/>
        <w:bottom w:val="none" w:sz="0" w:space="0" w:color="auto"/>
        <w:right w:val="none" w:sz="0" w:space="0" w:color="auto"/>
      </w:divBdr>
    </w:div>
    <w:div w:id="2115009910">
      <w:marLeft w:val="640"/>
      <w:marRight w:val="0"/>
      <w:marTop w:val="0"/>
      <w:marBottom w:val="0"/>
      <w:divBdr>
        <w:top w:val="none" w:sz="0" w:space="0" w:color="auto"/>
        <w:left w:val="none" w:sz="0" w:space="0" w:color="auto"/>
        <w:bottom w:val="none" w:sz="0" w:space="0" w:color="auto"/>
        <w:right w:val="none" w:sz="0" w:space="0" w:color="auto"/>
      </w:divBdr>
    </w:div>
    <w:div w:id="2116317844">
      <w:marLeft w:val="640"/>
      <w:marRight w:val="0"/>
      <w:marTop w:val="0"/>
      <w:marBottom w:val="0"/>
      <w:divBdr>
        <w:top w:val="none" w:sz="0" w:space="0" w:color="auto"/>
        <w:left w:val="none" w:sz="0" w:space="0" w:color="auto"/>
        <w:bottom w:val="none" w:sz="0" w:space="0" w:color="auto"/>
        <w:right w:val="none" w:sz="0" w:space="0" w:color="auto"/>
      </w:divBdr>
    </w:div>
    <w:div w:id="2118986030">
      <w:marLeft w:val="640"/>
      <w:marRight w:val="0"/>
      <w:marTop w:val="0"/>
      <w:marBottom w:val="0"/>
      <w:divBdr>
        <w:top w:val="none" w:sz="0" w:space="0" w:color="auto"/>
        <w:left w:val="none" w:sz="0" w:space="0" w:color="auto"/>
        <w:bottom w:val="none" w:sz="0" w:space="0" w:color="auto"/>
        <w:right w:val="none" w:sz="0" w:space="0" w:color="auto"/>
      </w:divBdr>
    </w:div>
    <w:div w:id="2133937792">
      <w:marLeft w:val="640"/>
      <w:marRight w:val="0"/>
      <w:marTop w:val="0"/>
      <w:marBottom w:val="0"/>
      <w:divBdr>
        <w:top w:val="none" w:sz="0" w:space="0" w:color="auto"/>
        <w:left w:val="none" w:sz="0" w:space="0" w:color="auto"/>
        <w:bottom w:val="none" w:sz="0" w:space="0" w:color="auto"/>
        <w:right w:val="none" w:sz="0" w:space="0" w:color="auto"/>
      </w:divBdr>
    </w:div>
    <w:div w:id="2134323588">
      <w:marLeft w:val="640"/>
      <w:marRight w:val="0"/>
      <w:marTop w:val="0"/>
      <w:marBottom w:val="0"/>
      <w:divBdr>
        <w:top w:val="none" w:sz="0" w:space="0" w:color="auto"/>
        <w:left w:val="none" w:sz="0" w:space="0" w:color="auto"/>
        <w:bottom w:val="none" w:sz="0" w:space="0" w:color="auto"/>
        <w:right w:val="none" w:sz="0" w:space="0" w:color="auto"/>
      </w:divBdr>
    </w:div>
    <w:div w:id="2136287715">
      <w:marLeft w:val="640"/>
      <w:marRight w:val="0"/>
      <w:marTop w:val="0"/>
      <w:marBottom w:val="0"/>
      <w:divBdr>
        <w:top w:val="none" w:sz="0" w:space="0" w:color="auto"/>
        <w:left w:val="none" w:sz="0" w:space="0" w:color="auto"/>
        <w:bottom w:val="none" w:sz="0" w:space="0" w:color="auto"/>
        <w:right w:val="none" w:sz="0" w:space="0" w:color="auto"/>
      </w:divBdr>
    </w:div>
    <w:div w:id="2141680257">
      <w:marLeft w:val="640"/>
      <w:marRight w:val="0"/>
      <w:marTop w:val="0"/>
      <w:marBottom w:val="0"/>
      <w:divBdr>
        <w:top w:val="none" w:sz="0" w:space="0" w:color="auto"/>
        <w:left w:val="none" w:sz="0" w:space="0" w:color="auto"/>
        <w:bottom w:val="none" w:sz="0" w:space="0" w:color="auto"/>
        <w:right w:val="none" w:sz="0" w:space="0" w:color="auto"/>
      </w:divBdr>
    </w:div>
    <w:div w:id="214469079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76583F93DBAA4BB06B969563A0E3F9"/>
        <w:category>
          <w:name w:val="General"/>
          <w:gallery w:val="placeholder"/>
        </w:category>
        <w:types>
          <w:type w:val="bbPlcHdr"/>
        </w:types>
        <w:behaviors>
          <w:behavior w:val="content"/>
        </w:behaviors>
        <w:guid w:val="{17A4F201-4422-2444-8149-1D73D81BFC0F}"/>
      </w:docPartPr>
      <w:docPartBody>
        <w:p w:rsidR="007E24B9" w:rsidRDefault="00E953F5" w:rsidP="00E953F5">
          <w:pPr>
            <w:pStyle w:val="0376583F93DBAA4BB06B969563A0E3F9"/>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1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3F5"/>
    <w:rsid w:val="000A7BD4"/>
    <w:rsid w:val="00212C2B"/>
    <w:rsid w:val="00332DB8"/>
    <w:rsid w:val="00380297"/>
    <w:rsid w:val="003F24D4"/>
    <w:rsid w:val="0046174D"/>
    <w:rsid w:val="004940A8"/>
    <w:rsid w:val="00496730"/>
    <w:rsid w:val="004E7CCB"/>
    <w:rsid w:val="00521832"/>
    <w:rsid w:val="00625F61"/>
    <w:rsid w:val="00633CCA"/>
    <w:rsid w:val="006F0FE6"/>
    <w:rsid w:val="00713166"/>
    <w:rsid w:val="00717C03"/>
    <w:rsid w:val="007374D0"/>
    <w:rsid w:val="007B220E"/>
    <w:rsid w:val="007E24B9"/>
    <w:rsid w:val="008A58CF"/>
    <w:rsid w:val="009220F2"/>
    <w:rsid w:val="009F3805"/>
    <w:rsid w:val="00A94886"/>
    <w:rsid w:val="00AB6430"/>
    <w:rsid w:val="00B07E6A"/>
    <w:rsid w:val="00C20EFC"/>
    <w:rsid w:val="00C30EC6"/>
    <w:rsid w:val="00E953F5"/>
    <w:rsid w:val="00EF3E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20F2"/>
    <w:rPr>
      <w:color w:val="666666"/>
    </w:rPr>
  </w:style>
  <w:style w:type="paragraph" w:customStyle="1" w:styleId="0376583F93DBAA4BB06B969563A0E3F9">
    <w:name w:val="0376583F93DBAA4BB06B969563A0E3F9"/>
    <w:rsid w:val="00E953F5"/>
  </w:style>
  <w:style w:type="paragraph" w:customStyle="1" w:styleId="1301ADD8A8C2BE4AA2159D66C80E9D6C">
    <w:name w:val="1301ADD8A8C2BE4AA2159D66C80E9D6C"/>
    <w:rsid w:val="00E953F5"/>
  </w:style>
  <w:style w:type="paragraph" w:customStyle="1" w:styleId="3723B572955684469FB2ECC24CFCF20C">
    <w:name w:val="3723B572955684469FB2ECC24CFCF20C"/>
    <w:rsid w:val="00EF3E30"/>
  </w:style>
  <w:style w:type="paragraph" w:customStyle="1" w:styleId="C279AB938E3D184A9E9BB5C6566B9500">
    <w:name w:val="C279AB938E3D184A9E9BB5C6566B9500"/>
    <w:rsid w:val="00EF3E30"/>
  </w:style>
  <w:style w:type="paragraph" w:customStyle="1" w:styleId="BF695A7FEE079946ACA65943D26EF710">
    <w:name w:val="BF695A7FEE079946ACA65943D26EF710"/>
    <w:rsid w:val="00EF3E30"/>
  </w:style>
  <w:style w:type="paragraph" w:customStyle="1" w:styleId="4F8917174FF2584F8F73DF1B9E008CE8">
    <w:name w:val="4F8917174FF2584F8F73DF1B9E008CE8"/>
    <w:rsid w:val="00EF3E30"/>
  </w:style>
  <w:style w:type="paragraph" w:customStyle="1" w:styleId="0D6A31E5CE0DFE4D8420E94F191FA46F">
    <w:name w:val="0D6A31E5CE0DFE4D8420E94F191FA46F"/>
    <w:rsid w:val="009220F2"/>
  </w:style>
  <w:style w:type="paragraph" w:customStyle="1" w:styleId="2F657469132B69489EA9F3A8D5CBA04F">
    <w:name w:val="2F657469132B69489EA9F3A8D5CBA04F"/>
    <w:rsid w:val="009220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A8D69F-6A84-F348-A96E-73FB09642D3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5203006894"/>
    <we:property name="MENDELEY_CITATIONS" value="[{&quot;citationID&quot;:&quot;MENDELEY_CITATION_16e33b9f-b3a9-46dc-b212-e1a73612fec7&quot;,&quot;properties&quot;:{&quot;noteIndex&quot;:0},&quot;isEdited&quot;:false,&quot;manualOverride&quot;:{&quot;isManuallyOverridden&quot;:false,&quot;citeprocText&quot;:&quot;(1)&quot;,&quot;manualOverrideText&quot;:&quot;&quot;},&quot;citationItems&quot;:[{&quot;id&quot;:&quot;fb8127a5-0ff1-329e-8692-a5cc33077bf1&quot;,&quot;itemData&quot;:{&quot;type&quot;:&quot;article-journal&quot;,&quot;id&quot;:&quot;fb8127a5-0ff1-329e-8692-a5cc33077bf1&quot;,&quot;title&quot;:&quot;A systematic review and meta-analysis of heat exposure impacts on maternal, fetal and neonatal health.&quot;,&quot;author&quot;:[{&quot;family&quot;:&quot;Lakhoo&quot;,&quot;given&quot;:&quot;Darshnika P&quot;,&quot;parse-names&quot;:false,&quot;dropping-particle&quot;:&quot;&quot;,&quot;non-dropping-particle&quot;:&quot;&quot;},{&quot;family&quot;:&quot;Brink&quot;,&quot;given&quot;:&quot;Nicholas&quot;,&quot;parse-names&quot;:false,&quot;dropping-particle&quot;:&quot;&quot;,&quot;non-dropping-particle&quot;:&quot;&quot;},{&quot;family&quot;:&quot;Radebe&quot;,&quot;given&quot;:&quot;Lebohang&quot;,&quot;parse-names&quot;:false,&quot;dropping-particle&quot;:&quot;&quot;,&quot;non-dropping-particle&quot;:&quot;&quot;},{&quot;family&quot;:&quot;Craig&quot;,&quot;given&quot;:&quot;Marlies H&quot;,&quot;parse-names&quot;:false,&quot;dropping-particle&quot;:&quot;&quot;,&quot;non-dropping-particle&quot;:&quot;&quot;},{&quot;family&quot;:&quot;Pham&quot;,&quot;given&quot;:&quot;Minh Duc&quot;,&quot;parse-names&quot;:false,&quot;dropping-particle&quot;:&quot;&quot;,&quot;non-dropping-particle&quot;:&quot;&quot;},{&quot;family&quot;:&quot;Haghighi&quot;,&quot;given&quot;:&quot;Marjan M&quot;,&quot;parse-names&quot;:false,&quot;dropping-particle&quot;:&quot;&quot;,&quot;non-dropping-particle&quot;:&quot;&quot;},{&quot;family&quot;:&quot;Wise&quot;,&quot;given&quot;:&quot;Amy&quot;,&quot;parse-names&quot;:false,&quot;dropping-particle&quot;:&quot;&quot;,&quot;non-dropping-particle&quot;:&quot;&quot;},{&quot;family&quot;:&quot;Solarin&quot;,&quot;given&quot;:&quot;Ijeoma&quot;,&quot;parse-names&quot;:false,&quot;dropping-particle&quot;:&quot;&quot;,&quot;non-dropping-particle&quot;:&quot;&quot;},{&quot;family&quot;:&quot;Luchters&quot;,&quot;given&quot;:&quot;Stanley&quot;,&quot;parse-names&quot;:false,&quot;dropping-particle&quot;:&quot;&quot;,&quot;non-dropping-particle&quot;:&quot;&quot;},{&quot;family&quot;:&quot;Maimela&quot;,&quot;given&quot;:&quot;Gloria&quot;,&quot;parse-names&quot;:false,&quot;dropping-particle&quot;:&quot;&quot;,&quot;non-dropping-particle&quot;:&quot;&quot;},{&quot;family&quot;:&quot;Chersich&quot;,&quot;given&quot;:&quot;Matthew F&quot;,&quot;parse-names&quot;:false,&quot;dropping-particle&quot;:&quot;&quot;,&quot;non-dropping-particle&quot;:&quot;&quot;},{&quot;family&quot;:&quot;Heat-Health Study Group&quot;,&quot;given&quot;:&quot;&quot;,&quot;parse-names&quot;:false,&quot;dropping-particle&quot;:&quot;&quot;,&quot;non-dropping-particle&quot;:&quot;&quot;},{&quot;family&quot;:&quot;HIGH Horizons Study Group&quot;,&quot;given&quot;:&quot;&quot;,&quot;parse-names&quot;:false,&quot;dropping-particle&quot;:&quot;&quot;,&quot;non-dropping-particle&quot;:&quot;&quot;}],&quot;container-title&quot;:&quot;Nature medicine&quot;,&quot;container-title-short&quot;:&quot;Nat Med&quot;,&quot;DOI&quot;:&quot;10.1038/s41591-024-03395-8&quot;,&quot;ISSN&quot;:&quot;1546-170X&quot;,&quot;PMID&quot;:&quot;39500369&quot;,&quot;URL&quot;:&quot;http://www.ncbi.nlm.nih.gov/pubmed/39500369&quot;,&quot;issued&quot;:{&quot;date-parts&quot;:[[2024,11,5]]},&quot;abstract&quot;:&quot;Climate Change has severe and wide-ranging health impacts, especially for vulnerable groups. Despite growing evidence of heat-associated adverse maternal and neonatal health outcomes, there remains a lack of synthesis quantifying associations and identifying specific risk periods. We systematically reviewed the literature on heat impacts on maternal, fetal, and neonatal health, and quantified impacts through meta-analyses. We found 198 studies across66 countries, predominantly high income (63.3%) and temperature climate zones (40.1%), and 23 outcomes. Results showed increased odds of preterm birth of 1.04 (95%CI = 1.03, 1.06; n = 12) per 1°C increase in heat exposure and 1.26 (95%CI = 1.08, 1.47; n = 10) during heatwaves. Similarly high heat exposure increased the risk for stillbirths (OR = 1.13 (95%CI=0.95, 1.34; n = 9)), congenital anomalies (OR=1.48 (95%CI = 1.16, 1.88; n = 6)), and gestational diabetes mellitus (OR = 1.28 (95%CI = 1.05, 1.74; n = 4)). The odds of any obstetric complication increased by 1.25 (95%CI = 1.09, 1.42; n = 11) during heatwaves. Patterns in susceptibility windows varied by condition. The findings were limited by heterogeneity in exposure metrics and study designs. The systematic review demonstrated that escalating heat exposure poses a major threat to maternal and neonatal health, highlighting research priorities, guiding the selection and monitoring of heat-health indicators, and emphasising the need to prioritise maternal and neonatal health in national climate-health programmes.&quot;},&quot;isTemporary&quot;:false}],&quot;citationTag&quot;:&quot;MENDELEY_CITATION_v3_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&quot;},{&quot;citationID&quot;:&quot;MENDELEY_CITATION_3d8db21b-3472-44ce-a651-f3a2ea2ff765&quot;,&quot;properties&quot;:{&quot;noteIndex&quot;:0},&quot;isEdited&quot;:false,&quot;manualOverride&quot;:{&quot;isManuallyOverridden&quot;:false,&quot;citeprocText&quot;:&quot;(2,3)&quot;,&quot;manualOverrideText&quot;:&quot;&quot;},&quot;citationTag&quot;:&quot;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&quot;,&quot;citationItems&quot;:[{&quot;id&quot;:&quot;e5025ecc-1b7c-3965-8d91-493c1d4ea389&quot;,&quot;itemData&quot;:{&quot;type&quot;:&quot;article&quot;,&quot;id&quot;:&quot;e5025ecc-1b7c-3965-8d91-493c1d4ea389&quot;,&quot;title&quot;:&quot;The 2024 Europe report of the Lancet Countdown on health and climate change: unprecedented warming demands unprecedented action&quot;,&quot;author&quot;:[{&quot;family&quot;:&quot;Daalen&quot;,&quot;given&quot;:&quot;Kim R.&quot;,&quot;parse-names&quot;:false,&quot;dropping-particle&quot;:&quot;&quot;,&quot;non-dropping-particle&quot;:&quot;van&quot;},{&quot;family&quot;:&quot;Tonne&quot;,&quot;given&quot;:&quot;Cathryn&quot;,&quot;parse-names&quot;:false,&quot;dropping-particle&quot;:&quot;&quot;,&quot;non-dropping-particle&quot;:&quot;&quot;},{&quot;family&quot;:&quot;Semenza&quot;,&quot;given&quot;:&quot;Jan C.&quot;,&quot;parse-names&quot;:false,&quot;dropping-particle&quot;:&quot;&quot;,&quot;non-dropping-particle&quot;:&quot;&quot;},{&quot;family&quot;:&quot;Rocklöv&quot;,&quot;given&quot;:&quot;Joacim&quot;,&quot;parse-names&quot;:false,&quot;dropping-particle&quot;:&quot;&quot;,&quot;non-dropping-particle&quot;:&quot;&quot;},{&quot;family&quot;:&quot;Markandya&quot;,&quot;given&quot;:&quot;Anil&quot;,&quot;parse-names&quot;:false,&quot;dropping-particle&quot;:&quot;&quot;,&quot;non-dropping-particle&quot;:&quot;&quot;},{&quot;family&quot;:&quot;Dasandi&quot;,&quot;given&quot;:&quot;Niheer&quot;,&quot;parse-names&quot;:false,&quot;dropping-particle&quot;:&quot;&quot;,&quot;non-dropping-particle&quot;:&quot;&quot;},{&quot;family&quot;:&quot;Jankin&quot;,&quot;given&quot;:&quot;Slava&quot;,&quot;parse-names&quot;:false,&quot;dropping-particle&quot;:&quot;&quot;,&quot;non-dropping-particle&quot;:&quot;&quot;},{&quot;family&quot;:&quot;Achebak&quot;,&quot;given&quot;:&quot;Hicham&quot;,&quot;parse-names&quot;:false,&quot;dropping-particle&quot;:&quot;&quot;,&quot;non-dropping-particle&quot;:&quot;&quot;},{&quot;family&quot;:&quot;Ballester&quot;,&quot;given&quot;:&quot;Joan&quot;,&quot;parse-names&quot;:false,&quot;dropping-particle&quot;:&quot;&quot;,&quot;non-dropping-particle&quot;:&quot;&quot;},{&quot;family&quot;:&quot;Bechara&quot;,&quot;given&quot;:&quot;Hannah&quot;,&quot;parse-names&quot;:false,&quot;dropping-particle&quot;:&quot;&quot;,&quot;non-dropping-particle&quot;:&quot;&quot;},{&quot;family&quot;:&quot;Beck&quot;,&quot;given&quot;:&quot;Thessa M.&quot;,&quot;parse-names&quot;:false,&quot;dropping-particle&quot;:&quot;&quot;,&quot;non-dropping-particle&quot;:&quot;&quot;},{&quot;family&quot;:&quot;Callaghan&quot;,&quot;given&quot;:&quot;Max W.&quot;,&quot;parse-names&quot;:false,&quot;dropping-particle&quot;:&quot;&quot;,&quot;non-dropping-particle&quot;:&quot;&quot;},{&quot;family&quot;:&quot;Carvalho&quot;,&quot;given&quot;:&quot;Bruno M.&quot;,&quot;parse-names&quot;:false,&quot;dropping-particle&quot;:&quot;&quot;,&quot;non-dropping-particle&quot;:&quot;&quot;},{&quot;family&quot;:&quot;Chambers&quot;,&quot;given&quot;:&quot;Jonathan&quot;,&quot;parse-names&quot;:false,&quot;dropping-particle&quot;:&quot;&quot;,&quot;non-dropping-particle&quot;:&quot;&quot;},{&quot;family&quot;:&quot;Pradas&quot;,&quot;given&quot;:&quot;Marta Cirah&quot;,&quot;parse-names&quot;:false,&quot;dropping-particle&quot;:&quot;&quot;,&quot;non-dropping-particle&quot;:&quot;&quot;},{&quot;family&quot;:&quot;Courtenay&quot;,&quot;given&quot;:&quot;Orin&quot;,&quot;parse-names&quot;:false,&quot;dropping-particle&quot;:&quot;&quot;,&quot;non-dropping-particle&quot;:&quot;&quot;},{&quot;family&quot;:&quot;Dasgupta&quot;,&quot;given&quot;:&quot;Shouro&quot;,&quot;parse-names&quot;:false,&quot;dropping-particle&quot;:&quot;&quot;,&quot;non-dropping-particle&quot;:&quot;&quot;},{&quot;family&quot;:&quot;Eckelman&quot;,&quot;given&quot;:&quot;Matthew J.&quot;,&quot;parse-names&quot;:false,&quot;dropping-particle&quot;:&quot;&quot;,&quot;non-dropping-particle&quot;:&quot;&quot;},{&quot;family&quot;:&quot;Farooq&quot;,&quot;given&quot;:&quot;Zia&quot;,&quot;parse-names&quot;:false,&quot;dropping-particle&quot;:&quot;&quot;,&quot;non-dropping-particle&quot;:&quot;&quot;},{&quot;family&quot;:&quot;Fransson&quot;,&quot;given&quot;:&quot;Peter&quot;,&quot;parse-names&quot;:false,&quot;dropping-particle&quot;:&quot;&quot;,&quot;non-dropping-particle&quot;:&quot;&quot;},{&quot;family&quot;:&quot;Gallo&quot;,&quot;given&quot;:&quot;Elisa&quot;,&quot;parse-names&quot;:false,&quot;dropping-particle&quot;:&quot;&quot;,&quot;non-dropping-particle&quot;:&quot;&quot;},{&quot;family&quot;:&quot;Gasparyan&quot;,&quot;given&quot;:&quot;Olga&quot;,&quot;parse-names&quot;:false,&quot;dropping-particle&quot;:&quot;&quot;,&quot;non-dropping-particle&quot;:&quot;&quot;},{&quot;family&quot;:&quot;Gonzalez-Reviriego&quot;,&quot;given&quot;:&quot;Nube&quot;,&quot;parse-names&quot;:false,&quot;dropping-particle&quot;:&quot;&quot;,&quot;non-dropping-particle&quot;:&quot;&quot;},{&quot;family&quot;:&quot;Hamilton&quot;,&quot;given&quot;:&quot;Ian&quot;,&quot;parse-names&quot;:false,&quot;dropping-particle&quot;:&quot;&quot;,&quot;non-dropping-particle&quot;:&quot;&quot;},{&quot;family&quot;:&quot;Hänninen&quot;,&quot;given&quot;:&quot;Risto&quot;,&quot;parse-names&quot;:false,&quot;dropping-particle&quot;:&quot;&quot;,&quot;non-dropping-particle&quot;:&quot;&quot;},{&quot;family&quot;:&quot;Hatfield&quot;,&quot;given&quot;:&quot;Charles&quot;,&quot;parse-names&quot;:false,&quot;dropping-particle&quot;:&quot;&quot;,&quot;non-dropping-particle&quot;:&quot;&quot;},{&quot;family&quot;:&quot;He&quot;,&quot;given&quot;:&quot;Kehan&quot;,&quot;parse-names&quot;:false,&quot;dropping-particle&quot;:&quot;&quot;,&quot;non-dropping-particle&quot;:&quot;&quot;},{&quot;family&quot;:&quot;Kazmierczak&quot;,&quot;given&quot;:&quot;Aleksandra&quot;,&quot;parse-names&quot;:false,&quot;dropping-particle&quot;:&quot;&quot;,&quot;non-dropping-particle&quot;:&quot;&quot;},{&quot;family&quot;:&quot;Kendrovski&quot;,&quot;given&quot;:&quot;Vladimir&quot;,&quot;parse-names&quot;:false,&quot;dropping-particle&quot;:&quot;&quot;,&quot;non-dropping-particle&quot;:&quot;&quot;},{&quot;family&quot;:&quot;Kennard&quot;,&quot;given&quot;:&quot;Harry&quot;,&quot;parse-names&quot;:false,&quot;dropping-particle&quot;:&quot;&quot;,&quot;non-dropping-particle&quot;:&quot;&quot;},{&quot;family&quot;:&quot;Kiesewetter&quot;,&quot;given&quot;:&quot;Gregor&quot;,&quot;parse-names&quot;:false,&quot;dropping-particle&quot;:&quot;&quot;,&quot;non-dropping-particle&quot;:&quot;&quot;},{&quot;family&quot;:&quot;Kouznetsov&quot;,&quot;given&quot;:&quot;Rostislav&quot;,&quot;parse-names&quot;:false,&quot;dropping-particle&quot;:&quot;&quot;,&quot;non-dropping-particle&quot;:&quot;&quot;},{&quot;family&quot;:&quot;Kriit&quot;,&quot;given&quot;:&quot;Hedi Katre&quot;,&quot;parse-names&quot;:false,&quot;dropping-particle&quot;:&quot;&quot;,&quot;non-dropping-particle&quot;:&quot;&quot;},{&quot;family&quot;:&quot;Llabrés-Brustenga&quot;,&quot;given&quot;:&quot;Alba&quot;,&quot;parse-names&quot;:false,&quot;dropping-particle&quot;:&quot;&quot;,&quot;non-dropping-particle&quot;:&quot;&quot;},{&quot;family&quot;:&quot;Lloyd&quot;,&quot;given&quot;:&quot;Simon J.&quot;,&quot;parse-names&quot;:false,&quot;dropping-particle&quot;:&quot;&quot;,&quot;non-dropping-particle&quot;:&quot;&quot;},{&quot;family&quot;:&quot;Batista&quot;,&quot;given&quot;:&quot;Martín Lotto&quot;,&quot;parse-names&quot;:false,&quot;dropping-particle&quot;:&quot;&quot;,&quot;non-dropping-particle&quot;:&quot;&quot;},{&quot;family&quot;:&quot;Maia&quot;,&quot;given&quot;:&quot;Carla&quot;,&quot;parse-names&quot;:false,&quot;dropping-particle&quot;:&quot;&quot;,&quot;non-dropping-particle&quot;:&quot;&quot;},{&quot;family&quot;:&quot;Martinez-Urtaza&quot;,&quot;given&quot;:&quot;Jaime&quot;,&quot;parse-names&quot;:false,&quot;dropping-particle&quot;:&quot;&quot;,&quot;non-dropping-particle&quot;:&quot;&quot;},{&quot;family&quot;:&quot;Mi&quot;,&quot;given&quot;:&quot;Zhifu&quot;,&quot;parse-names&quot;:false,&quot;dropping-particle&quot;:&quot;&quot;,&quot;non-dropping-particle&quot;:&quot;&quot;},{&quot;family&quot;:&quot;Milà&quot;,&quot;given&quot;:&quot;Carles&quot;,&quot;parse-names&quot;:false,&quot;dropping-particle&quot;:&quot;&quot;,&quot;non-dropping-particle&quot;:&quot;&quot;},{&quot;family&quot;:&quot;Minx&quot;,&quot;given&quot;:&quot;Jan C.&quot;,&quot;parse-names&quot;:false,&quot;dropping-particle&quot;:&quot;&quot;,&quot;non-dropping-particle&quot;:&quot;&quot;},{&quot;family&quot;:&quot;Nieuwenhuijsen&quot;,&quot;given&quot;:&quot;Mark&quot;,&quot;parse-names&quot;:false,&quot;dropping-particle&quot;:&quot;&quot;,&quot;non-dropping-particle&quot;:&quot;&quot;},{&quot;family&quot;:&quot;Palamarchuk&quot;,&quot;given&quot;:&quot;Julia&quot;,&quot;parse-names&quot;:false,&quot;dropping-particle&quot;:&quot;&quot;,&quot;non-dropping-particle&quot;:&quot;&quot;},{&quot;family&quot;:&quot;Pantera&quot;,&quot;given&quot;:&quot;Dafni Kalatzi&quot;,&quot;parse-names&quot;:false,&quot;dropping-particle&quot;:&quot;&quot;,&quot;non-dropping-particle&quot;:&quot;&quot;},{&quot;family&quot;:&quot;Quijal-Zamorano&quot;,&quot;given&quot;:&quot;Marcos&quot;,&quot;parse-names&quot;:false,&quot;dropping-particle&quot;:&quot;&quot;,&quot;non-dropping-particle&quot;:&quot;&quot;},{&quot;family&quot;:&quot;Rafaj&quot;,&quot;given&quot;:&quot;Peter&quot;,&quot;parse-names&quot;:false,&quot;dropping-particle&quot;:&quot;&quot;,&quot;non-dropping-particle&quot;:&quot;&quot;},{&quot;family&quot;:&quot;Robinson&quot;,&quot;given&quot;:&quot;Elizabeth J.Z.&quot;,&quot;parse-names&quot;:false,&quot;dropping-particle&quot;:&quot;&quot;,&quot;non-dropping-particle&quot;:&quot;&quot;},{&quot;family&quot;:&quot;Sánchez-Valdivia&quot;,&quot;given&quot;:&quot;Nacho&quot;,&quot;parse-names&quot;:false,&quot;dropping-particle&quot;:&quot;&quot;,&quot;non-dropping-particle&quot;:&quot;&quot;},{&quot;family&quot;:&quot;Scamman&quot;,&quot;given&quot;:&quot;Daniel&quot;,&quot;parse-names&quot;:false,&quot;dropping-particle&quot;:&quot;&quot;,&quot;non-dropping-particle&quot;:&quot;&quot;},{&quot;family&quot;:&quot;Schmoll&quot;,&quot;given&quot;:&quot;Oliver&quot;,&quot;parse-names&quot;:false,&quot;dropping-particle&quot;:&quot;&quot;,&quot;non-dropping-particle&quot;:&quot;&quot;},{&quot;family&quot;:&quot;Sewe&quot;,&quot;given&quot;:&quot;Maquins Odhiambo&quot;,&quot;parse-names&quot;:false,&quot;dropping-particle&quot;:&quot;&quot;,&quot;non-dropping-particle&quot;:&quot;&quot;},{&quot;family&quot;:&quot;Sherman&quot;,&quot;given&quot;:&quot;Jodi D.&quot;,&quot;parse-names&quot;:false,&quot;dropping-particle&quot;:&quot;&quot;,&quot;non-dropping-particle&quot;:&quot;&quot;},{&quot;family&quot;:&quot;Singh&quot;,&quot;given&quot;:&quot;Pratik&quot;,&quot;parse-names&quot;:false,&quot;dropping-particle&quot;:&quot;&quot;,&quot;non-dropping-particle&quot;:&quot;&quot;},{&quot;family&quot;:&quot;Sirotkina&quot;,&quot;given&quot;:&quot;Elena&quot;,&quot;parse-names&quot;:false,&quot;dropping-particle&quot;:&quot;&quot;,&quot;non-dropping-particle&quot;:&quot;&quot;},{&quot;family&quot;:&quot;Sjödin&quot;,&quot;given&quot;:&quot;Henrik&quot;,&quot;parse-names&quot;:false,&quot;dropping-particle&quot;:&quot;&quot;,&quot;non-dropping-particle&quot;:&quot;&quot;},{&quot;family&quot;:&quot;Sofiev&quot;,&quot;given&quot;:&quot;Mikhail&quot;,&quot;parse-names&quot;:false,&quot;dropping-particle&quot;:&quot;&quot;,&quot;non-dropping-particle&quot;:&quot;&quot;},{&quot;family&quot;:&quot;Solaraju-Murali&quot;,&quot;given&quot;:&quot;Balakrishnan&quot;,&quot;parse-names&quot;:false,&quot;dropping-particle&quot;:&quot;&quot;,&quot;non-dropping-particle&quot;:&quot;&quot;},{&quot;family&quot;:&quot;Springmann&quot;,&quot;given&quot;:&quot;Marco&quot;,&quot;parse-names&quot;:false,&quot;dropping-particle&quot;:&quot;&quot;,&quot;non-dropping-particle&quot;:&quot;&quot;},{&quot;family&quot;:&quot;Treskova&quot;,&quot;given&quot;:&quot;Marina&quot;,&quot;parse-names&quot;:false,&quot;dropping-particle&quot;:&quot;&quot;,&quot;non-dropping-particle&quot;:&quot;&quot;},{&quot;family&quot;:&quot;Triñanes&quot;,&quot;given&quot;:&quot;Joaquin&quot;,&quot;parse-names&quot;:false,&quot;dropping-particle&quot;:&quot;&quot;,&quot;non-dropping-particle&quot;:&quot;&quot;},{&quot;family&quot;:&quot;Vanuytrecht&quot;,&quot;given&quot;:&quot;Eline&quot;,&quot;parse-names&quot;:false,&quot;dropping-particle&quot;:&quot;&quot;,&quot;non-dropping-particle&quot;:&quot;&quot;},{&quot;family&quot;:&quot;Wagner&quot;,&quot;given&quot;:&quot;Fabian&quot;,&quot;parse-names&quot;:false,&quot;dropping-particle&quot;:&quot;&quot;,&quot;non-dropping-particle&quot;:&quot;&quot;},{&quot;family&quot;:&quot;Walawender&quot;,&quot;given&quot;:&quot;Maria&quot;,&quot;parse-names&quot;:false,&quot;dropping-particle&quot;:&quot;&quot;,&quot;non-dropping-particle&quot;:&quot;&quot;},{&quot;family&quot;:&quot;Warnecke&quot;,&quot;given&quot;:&quot;Laura&quot;,&quot;parse-names&quot;:false,&quot;dropping-particle&quot;:&quot;&quot;,&quot;non-dropping-particle&quot;:&quot;&quot;},{&quot;family&quot;:&quot;Zhang&quot;,&quot;given&quot;:&quot;Ran&quot;,&quot;parse-names&quot;:false,&quot;dropping-particle&quot;:&quot;&quot;,&quot;non-dropping-particle&quot;:&quot;&quot;},{&quot;family&quot;:&quot;Romanello&quot;,&quot;given&quot;:&quot;Marina&quot;,&quot;parse-names&quot;:false,&quot;dropping-particle&quot;:&quot;&quot;,&quot;non-dropping-particle&quot;:&quot;&quot;},{&quot;family&quot;:&quot;Antó&quot;,&quot;given&quot;:&quot;Josep M.&quot;,&quot;parse-names&quot;:false,&quot;dropping-particle&quot;:&quot;&quot;,&quot;non-dropping-particle&quot;:&quot;&quot;},{&quot;family&quot;:&quot;Nilsson&quot;,&quot;given&quot;:&quot;Maria&quot;,&quot;parse-names&quot;:false,&quot;dropping-particle&quot;:&quot;&quot;,&quot;non-dropping-particle&quot;:&quot;&quot;},{&quot;family&quot;:&quot;Lowe&quot;,&quot;given&quot;:&quot;Rachel&quot;,&quot;parse-names&quot;:false,&quot;dropping-particle&quot;:&quot;&quot;,&quot;non-dropping-particle&quot;:&quot;&quot;}],&quot;container-title&quot;:&quot;The Lancet Public Health&quot;,&quot;container-title-short&quot;:&quot;Lancet Public Health&quot;,&quot;DOI&quot;:&quot;10.1016/S2468-2667(24)00055-0&quot;,&quot;ISSN&quot;:&quot;24682667&quot;,&quot;PMID&quot;:&quot;38749451&quot;,&quot;issued&quot;:{&quot;date-parts&quot;:[[2024,7,1]]},&quot;page&quot;:&quot;e495-e522&quot;,&quot;publisher&quot;:&quot;Elsevier Ltd&quot;,&quot;issue&quot;:&quot;7&quot;,&quot;volume&quot;:&quot;9&quot;},&quot;isTemporary&quot;:false},{&quot;id&quot;:&quot;197f66a9-58d4-3565-85f3-116906411a36&quot;,&quot;itemData&quot;:{&quot;type&quot;:&quot;article-journal&quot;,&quot;id&quot;:&quot;197f66a9-58d4-3565-85f3-116906411a36&quot;,&quot;title&quot;:&quot;The 2025 report of the Lancet Countdown on health and climate change&quot;,&quot;author&quot;:[{&quot;family&quot;:&quot;Romanello&quot;,&quot;given&quot;:&quot;Marina&quot;,&quot;parse-names&quot;:false,&quot;dropping-particle&quot;:&quot;&quot;,&quot;non-dropping-particle&quot;:&quot;&quot;},{&quot;family&quot;:&quot;Walawender&quot;,&quot;given&quot;:&quot;Maria&quot;,&quot;parse-names&quot;:false,&quot;dropping-particle&quot;:&quot;&quot;,&quot;non-dropping-particle&quot;:&quot;&quot;},{&quot;family&quot;:&quot;Hsu&quot;,&quot;given&quot;:&quot;Shih-Che&quot;,&quot;parse-names&quot;:false,&quot;dropping-particle&quot;:&quot;&quot;,&quot;non-dropping-particle&quot;:&quot;&quot;},{&quot;family&quot;:&quot;Moskeland&quot;,&quot;given&quot;:&quot;Annalyse&quot;,&quot;parse-names&quot;:false,&quot;dropping-particle&quot;:&quot;&quot;,&quot;non-dropping-particle&quot;:&quot;&quot;},{&quot;family&quot;:&quot;Palmeiro-Silva&quot;,&quot;given&quot;:&quot;Yasna&quot;,&quot;parse-names&quot;:false,&quot;dropping-particle&quot;:&quot;&quot;,&quot;non-dropping-particle&quot;:&quot;&quot;},{&quot;family&quot;:&quot;Scamman&quot;,&quot;given&quot;:&quot;Daniel&quot;,&quot;parse-names&quot;:false,&quot;dropping-particle&quot;:&quot;&quot;,&quot;non-dropping-particle&quot;:&quot;&quot;},{&quot;family&quot;:&quot;Smallcombe&quot;,&quot;given&quot;:&quot;James W&quot;,&quot;parse-names&quot;:false,&quot;dropping-particle&quot;:&quot;&quot;,&quot;non-dropping-particle&quot;:&quot;&quot;},{&quot;family&quot;:&quot;Abdullah&quot;,&quot;given&quot;:&quot;Sabah&quot;,&quot;parse-names&quot;:false,&quot;dropping-particle&quot;:&quot;&quot;,&quot;non-dropping-particle&quot;:&quot;&quot;},{&quot;family&quot;:&quot;Ades&quot;,&quot;given&quot;:&quot;Melanie&quot;,&quot;parse-names&quot;:false,&quot;dropping-particle&quot;:&quot;&quot;,&quot;non-dropping-particle&quot;:&quot;&quot;},{&quot;family&quot;:&quot;Al-Maruf&quot;,&quot;given&quot;:&quot;Abdullah&quot;,&quot;parse-names&quot;:false,&quot;dropping-particle&quot;:&quot;&quot;,&quot;non-dropping-particle&quot;:&quot;&quot;},{&quot;family&quot;:&quot;Ameli&quot;,&quot;given&quot;:&quot;Nadia&quot;,&quot;parse-names&quot;:false,&quot;dropping-particle&quot;:&quot;&quot;,&quot;non-dropping-particle&quot;:&quot;&quot;},{&quot;family&quot;:&quot;Angelova&quot;,&quot;given&quot;:&quot;Denitsa&quot;,&quot;parse-names&quot;:false,&quot;dropping-particle&quot;:&quot;&quot;,&quot;non-dropping-particle&quot;:&quot;&quot;},{&quot;family&quot;:&quot;Ayeb-Karlsson&quot;,&quot;given&quot;:&quot;Sonja&quot;,&quot;parse-names&quot;:false,&quot;dropping-particle&quot;:&quot;&quot;,&quot;non-dropping-particle&quot;:&quot;&quot;},{&quot;family&quot;:&quot;Ballester&quot;,&quot;given&quot;:&quot;Joan&quot;,&quot;parse-names&quot;:false,&quot;dropping-particle&quot;:&quot;&quot;,&quot;non-dropping-particle&quot;:&quot;&quot;},{&quot;family&quot;:&quot;Basagaña&quot;,&quot;given&quot;:&quot;Xavier&quot;,&quot;parse-names&quot;:false,&quot;dropping-particle&quot;:&quot;&quot;,&quot;non-dropping-particle&quot;:&quot;&quot;},{&quot;family&quot;:&quot;Bechara&quot;,&quot;given&quot;:&quot;Hannah&quot;,&quot;parse-names&quot;:false,&quot;dropping-particle&quot;:&quot;&quot;,&quot;non-dropping-particle&quot;:&quot;&quot;},{&quot;family&quot;:&quot;Beggs&quot;,&quot;given&quot;:&quot;Paul J&quot;,&quot;parse-names&quot;:false,&quot;dropping-particle&quot;:&quot;&quot;,&quot;non-dropping-particle&quot;:&quot;&quot;},{&quot;family&quot;:&quot;Cai&quot;,&quot;given&quot;:&quot;Wenjia&quot;,&quot;parse-names&quot;:false,&quot;dropping-particle&quot;:&quot;&quot;,&quot;non-dropping-particle&quot;:&quot;&quot;},{&quot;family&quot;:&quot;Campbell-Lendrum&quot;,&quot;given&quot;:&quot;Diarmid&quot;,&quot;parse-names&quot;:false,&quot;dropping-particle&quot;:&quot;&quot;,&quot;non-dropping-particle&quot;:&quot;&quot;},{&quot;family&quot;:&quot;Charnley&quot;,&quot;given&quot;:&quot;Gina E C&quot;,&quot;parse-names&quot;:false,&quot;dropping-particle&quot;:&quot;&quot;,&quot;non-dropping-particle&quot;:&quot;&quot;},{&quot;family&quot;:&quot;Courtenay&quot;,&quot;given&quot;:&quot;Orin&quot;,&quot;parse-names&quot;:false,&quot;dropping-particle&quot;:&quot;&quot;,&quot;non-dropping-particle&quot;:&quot;&quot;},{&quot;family&quot;:&quot;Cross&quot;,&quot;given&quot;:&quot;Troy J&quot;,&quot;parse-names&quot;:false,&quot;dropping-particle&quot;:&quot;&quot;,&quot;non-dropping-particle&quot;:&quot;&quot;},{&quot;family&quot;:&quot;Dalin&quot;,&quot;given&quot;:&quot;Carole&quot;,&quot;parse-names&quot;:false,&quot;dropping-particle&quot;:&quot;&quot;,&quot;non-dropping-particle&quot;:&quot;&quot;},{&quot;family&quot;:&quot;Dasandi&quot;,&quot;given&quot;:&quot;Niheer&quot;,&quot;parse-names&quot;:false,&quot;dropping-particle&quot;:&quot;&quot;,&quot;non-dropping-particle&quot;:&quot;&quot;},{&quot;family&quot;:&quot;Dasgupta&quot;,&quot;given&quot;:&quot;Shouro&quot;,&quot;parse-names&quot;:false,&quot;dropping-particle&quot;:&quot;&quot;,&quot;non-dropping-particle&quot;:&quot;&quot;},{&quot;family&quot;:&quot;Davies&quot;,&quot;given&quot;:&quot;Michael&quot;,&quot;parse-names&quot;:false,&quot;dropping-particle&quot;:&quot;&quot;,&quot;non-dropping-particle&quot;:&quot;&quot;},{&quot;family&quot;:&quot;Eckelman&quot;,&quot;given&quot;:&quot;Matthew&quot;,&quot;parse-names&quot;:false,&quot;dropping-particle&quot;:&quot;&quot;,&quot;non-dropping-particle&quot;:&quot;&quot;},{&quot;family&quot;:&quot;Freyberg&quot;,&quot;given&quot;:&quot;Chris&quot;,&quot;parse-names&quot;:false,&quot;dropping-particle&quot;:&quot;&quot;,&quot;non-dropping-particle&quot;:&quot;&quot;},{&quot;family&quot;:&quot;Corral&quot;,&quot;given&quot;:&quot;Paulina Garcia&quot;,&quot;parse-names&quot;:false,&quot;dropping-particle&quot;:&quot;&quot;,&quot;non-dropping-particle&quot;:&quot;&quot;},{&quot;family&quot;:&quot;Gasparyan&quot;,&quot;given&quot;:&quot;Olga&quot;,&quot;parse-names&quot;:false,&quot;dropping-particle&quot;:&quot;&quot;,&quot;non-dropping-particle&quot;:&quot;&quot;},{&quot;family&quot;:&quot;Giguere&quot;,&quot;given&quot;:&quot;Joseph&quot;,&quot;parse-names&quot;:false,&quot;dropping-particle&quot;:&quot;&quot;,&quot;non-dropping-particle&quot;:&quot;&quot;},{&quot;family&quot;:&quot;Gordon-Strachan&quot;,&quot;given&quot;:&quot;Georgiana&quot;,&quot;parse-names&quot;:false,&quot;dropping-particle&quot;:&quot;&quot;,&quot;non-dropping-particle&quot;:&quot;&quot;},{&quot;family&quot;:&quot;Gumy&quot;,&quot;given&quot;:&quot;Sophie&quot;,&quot;parse-names&quot;:false,&quot;dropping-particle&quot;:&quot;&quot;,&quot;non-dropping-particle&quot;:&quot;&quot;},{&quot;family&quot;:&quot;Gunther&quot;,&quot;given&quot;:&quot;Samuel H&quot;,&quot;parse-names&quot;:false,&quot;dropping-particle&quot;:&quot;&quot;,&quot;non-dropping-particle&quot;:&quot;&quot;},{&quot;family&quot;:&quot;Hamilton&quot;,&quot;given&quot;:&quot;Ian&quot;,&quot;parse-names&quot;:false,&quot;dropping-particle&quot;:&quot;&quot;,&quot;non-dropping-particle&quot;:&quot;&quot;},{&quot;family&quot;:&quot;Hang&quot;,&quot;given&quot;:&quot;Yun&quot;,&quot;parse-names&quot;:false,&quot;dropping-particle&quot;:&quot;&quot;,&quot;non-dropping-particle&quot;:&quot;&quot;},{&quot;family&quot;:&quot;Hänninen&quot;,&quot;given&quot;:&quot;Risto&quot;,&quot;parse-names&quot;:false,&quot;dropping-particle&quot;:&quot;&quot;,&quot;non-dropping-particle&quot;:&quot;&quot;},{&quot;family&quot;:&quot;Hartinger&quot;,&quot;given&quot;:&quot;Stella&quot;,&quot;parse-names&quot;:false,&quot;dropping-particle&quot;:&quot;&quot;,&quot;non-dropping-particle&quot;:&quot;&quot;},{&quot;family&quot;:&quot;He&quot;,&quot;given&quot;:&quot;Kehan&quot;,&quot;parse-names&quot;:false,&quot;dropping-particle&quot;:&quot;&quot;,&quot;non-dropping-particle&quot;:&quot;&quot;},{&quot;family&quot;:&quot;Heidecke&quot;,&quot;given&quot;:&quot;Julian&quot;,&quot;parse-names&quot;:false,&quot;dropping-particle&quot;:&quot;&quot;,&quot;non-dropping-particle&quot;:&quot;&quot;},{&quot;family&quot;:&quot;Hess&quot;,&quot;given&quot;:&quot;Jeremy J&quot;,&quot;parse-names&quot;:false,&quot;dropping-particle&quot;:&quot;&quot;,&quot;non-dropping-particle&quot;:&quot;&quot;},{&quot;family&quot;:&quot;Jankin&quot;,&quot;given&quot;:&quot;Slava&quot;,&quot;parse-names&quot;:false,&quot;dropping-particle&quot;:&quot;&quot;,&quot;non-dropping-particle&quot;:&quot;&quot;},{&quot;family&quot;:&quot;Jay&quot;,&quot;given&quot;:&quot;Ollie&quot;,&quot;parse-names&quot;:false,&quot;dropping-particle&quot;:&quot;&quot;,&quot;non-dropping-particle&quot;:&quot;&quot;},{&quot;family&quot;:&quot;Pantera&quot;,&quot;given&quot;:&quot;Dafni Kalatzi&quot;,&quot;parse-names&quot;:false,&quot;dropping-particle&quot;:&quot;&quot;,&quot;non-dropping-particle&quot;:&quot;&quot;},{&quot;family&quot;:&quot;Kelman&quot;,&quot;given&quot;:&quot;Ilan&quot;,&quot;parse-names&quot;:false,&quot;dropping-particle&quot;:&quot;&quot;,&quot;non-dropping-particle&quot;:&quot;&quot;},{&quot;family&quot;:&quot;Kennard&quot;,&quot;given&quot;:&quot;Harry&quot;,&quot;parse-names&quot;:false,&quot;dropping-particle&quot;:&quot;&quot;,&quot;non-dropping-particle&quot;:&quot;&quot;},{&quot;family&quot;:&quot;Kiesewetter&quot;,&quot;given&quot;:&quot;Gregor&quot;,&quot;parse-names&quot;:false,&quot;dropping-particle&quot;:&quot;&quot;,&quot;non-dropping-particle&quot;:&quot;&quot;},{&quot;family&quot;:&quot;Kinney&quot;,&quot;given&quot;:&quot;Patrick&quot;,&quot;parse-names&quot;:false,&quot;dropping-particle&quot;:&quot;&quot;,&quot;non-dropping-particle&quot;:&quot;&quot;},{&quot;family&quot;:&quot;Kniveton&quot;,&quot;given&quot;:&quot;Dominic&quot;,&quot;parse-names&quot;:false,&quot;dropping-particle&quot;:&quot;&quot;,&quot;non-dropping-particle&quot;:&quot;&quot;},{&quot;family&quot;:&quot;Koubi&quot;,&quot;given&quot;:&quot;Vally&quot;,&quot;parse-names&quot;:false,&quot;dropping-particle&quot;:&quot;&quot;,&quot;non-dropping-particle&quot;:&quot;&quot;},{&quot;family&quot;:&quot;Kouznetsov&quot;,&quot;given&quot;:&quot;Rostislav&quot;,&quot;parse-names&quot;:false,&quot;dropping-particle&quot;:&quot;&quot;,&quot;non-dropping-particle&quot;:&quot;&quot;},{&quot;family&quot;:&quot;Lampard&quot;,&quot;given&quot;:&quot;Pete&quot;,&quot;parse-names&quot;:false,&quot;dropping-particle&quot;:&quot;&quot;,&quot;non-dropping-particle&quot;:&quot;&quot;},{&quot;family&quot;:&quot;Lee&quot;,&quot;given&quot;:&quot;Jason K W&quot;,&quot;parse-names&quot;:false,&quot;dropping-particle&quot;:&quot;&quot;,&quot;non-dropping-particle&quot;:&quot;&quot;},{&quot;family&quot;:&quot;Lemke&quot;,&quot;given&quot;:&quot;Bruno&quot;,&quot;parse-names&quot;:false,&quot;dropping-particle&quot;:&quot;&quot;,&quot;non-dropping-particle&quot;:&quot;&quot;},{&quot;family&quot;:&quot;Li&quot;,&quot;given&quot;:&quot;Bo&quot;,&quot;parse-names&quot;:false,&quot;dropping-particle&quot;:&quot;&quot;,&quot;non-dropping-particle&quot;:&quot;&quot;},{&quot;family&quot;:&quot;Linke&quot;,&quot;given&quot;:&quot;Andrew&quot;,&quot;parse-names&quot;:false,&quot;dropping-particle&quot;:&quot;&quot;,&quot;non-dropping-particle&quot;:&quot;&quot;},{&quot;family&quot;:&quot;Liu&quot;,&quot;given&quot;:&quot;Yang&quot;,&quot;parse-names&quot;:false,&quot;dropping-particle&quot;:&quot;&quot;,&quot;non-dropping-particle&quot;:&quot;&quot;},{&quot;family&quot;:&quot;Liu&quot;,&quot;given&quot;:&quot;Zhao&quot;,&quot;parse-names&quot;:false,&quot;dropping-particle&quot;:&quot;&quot;,&quot;non-dropping-particle&quot;:&quot;&quot;},{&quot;family&quot;:&quot;Lowe&quot;,&quot;given&quot;:&quot;Rachel&quot;,&quot;parse-names&quot;:false,&quot;dropping-particle&quot;:&quot;&quot;,&quot;non-dropping-particle&quot;:&quot;&quot;},{&quot;family&quot;:&quot;Ma&quot;,&quot;given&quot;:&quot;Siqi&quot;,&quot;parse-names&quot;:false,&quot;dropping-particle&quot;:&quot;&quot;,&quot;non-dropping-particle&quot;:&quot;&quot;},{&quot;family&quot;:&quot;Mabhaudhi&quot;,&quot;given&quot;:&quot;Tafadzwanashe&quot;,&quot;parse-names&quot;:false,&quot;dropping-particle&quot;:&quot;&quot;,&quot;non-dropping-particle&quot;:&quot;&quot;},{&quot;family&quot;:&quot;Maia&quot;,&quot;given&quot;:&quot;Carla&quot;,&quot;parse-names&quot;:false,&quot;dropping-particle&quot;:&quot;&quot;,&quot;non-dropping-particle&quot;:&quot;&quot;},{&quot;family&quot;:&quot;Markandya&quot;,&quot;given&quot;:&quot;Anil&quot;,&quot;parse-names&quot;:false,&quot;dropping-particle&quot;:&quot;&quot;,&quot;non-dropping-particle&quot;:&quot;&quot;},{&quot;family&quot;:&quot;Martin&quot;,&quot;given&quot;:&quot;Greta&quot;,&quot;parse-names&quot;:false,&quot;dropping-particle&quot;:&quot;&quot;,&quot;non-dropping-particle&quot;:&quot;&quot;},{&quot;family&quot;:&quot;Martinez-Urtaza&quot;,&quot;given&quot;:&quot;Jaime&quot;,&quot;parse-names&quot;:false,&quot;dropping-particle&quot;:&quot;&quot;,&quot;non-dropping-particle&quot;:&quot;&quot;},{&quot;family&quot;:&quot;Maslin&quot;,&quot;given&quot;:&quot;Mark&quot;,&quot;parse-names&quot;:false,&quot;dropping-particle&quot;:&quot;&quot;,&quot;non-dropping-particle&quot;:&quot;&quot;},{&quot;family&quot;:&quot;McAllister&quot;,&quot;given&quot;:&quot;Lucy&quot;,&quot;parse-names&quot;:false,&quot;dropping-particle&quot;:&quot;&quot;,&quot;non-dropping-particle&quot;:&quot;&quot;},{&quot;family&quot;:&quot;McMichael&quot;,&quot;given&quot;:&quot;Celia&quot;,&quot;parse-names&quot;:false,&quot;dropping-particle&quot;:&quot;&quot;,&quot;non-dropping-particle&quot;:&quot;&quot;},{&quot;family&quot;:&quot;Mi&quot;,&quot;given&quot;:&quot;Zhifu&quot;,&quot;parse-names&quot;:false,&quot;dropping-particle&quot;:&quot;&quot;,&quot;non-dropping-particle&quot;:&quot;&quot;},{&quot;family&quot;:&quot;Milner&quot;,&quot;given&quot;:&quot;James&quot;,&quot;parse-names&quot;:false,&quot;dropping-particle&quot;:&quot;&quot;,&quot;non-dropping-particle&quot;:&quot;&quot;},{&quot;family&quot;:&quot;Minor&quot;,&quot;given&quot;:&quot;Kelton&quot;,&quot;parse-names&quot;:false,&quot;dropping-particle&quot;:&quot;&quot;,&quot;non-dropping-particle&quot;:&quot;&quot;},{&quot;family&quot;:&quot;Minx&quot;,&quot;given&quot;:&quot;Jan&quot;,&quot;parse-names&quot;:false,&quot;dropping-particle&quot;:&quot;&quot;,&quot;non-dropping-particle&quot;:&quot;&quot;},{&quot;family&quot;:&quot;Mohajeri&quot;,&quot;given&quot;:&quot;Nahid&quot;,&quot;parse-names&quot;:false,&quot;dropping-particle&quot;:&quot;&quot;,&quot;non-dropping-particle&quot;:&quot;&quot;},{&quot;family&quot;:&quot;Momen&quot;,&quot;given&quot;:&quot;Natalie C&quot;,&quot;parse-names&quot;:false,&quot;dropping-particle&quot;:&quot;&quot;,&quot;non-dropping-particle&quot;:&quot;&quot;},{&quot;family&quot;:&quot;Moradi-Lakeh&quot;,&quot;given&quot;:&quot;Maziar&quot;,&quot;parse-names&quot;:false,&quot;dropping-particle&quot;:&quot;&quot;,&quot;non-dropping-particle&quot;:&quot;&quot;},{&quot;family&quot;:&quot;Morrisey&quot;,&quot;given&quot;:&quot;Karyn&quot;,&quot;parse-names&quot;:false,&quot;dropping-particle&quot;:&quot;&quot;,&quot;non-dropping-particle&quot;:&quot;&quot;},{&quot;family&quot;:&quot;Munzert&quot;,&quot;given&quot;:&quot;Simon&quot;,&quot;parse-names&quot;:false,&quot;dropping-particle&quot;:&quot;&quot;,&quot;non-dropping-particle&quot;:&quot;&quot;},{&quot;family&quot;:&quot;Murray&quot;,&quot;given&quot;:&quot;Kris A&quot;,&quot;parse-names&quot;:false,&quot;dropping-particle&quot;:&quot;&quot;,&quot;non-dropping-particle&quot;:&quot;&quot;},{&quot;family&quot;:&quot;Obradovich&quot;,&quot;given&quot;:&quot;Nick&quot;,&quot;parse-names&quot;:false,&quot;dropping-particle&quot;:&quot;&quot;,&quot;non-dropping-particle&quot;:&quot;&quot;},{&quot;family&quot;:&quot;Orgen&quot;,&quot;given&quot;:&quot;Papa&quot;,&quot;parse-names&quot;:false,&quot;dropping-particle&quot;:&quot;&quot;,&quot;non-dropping-particle&quot;:&quot;&quot;},{&quot;family&quot;:&quot;Otto&quot;,&quot;given&quot;:&quot;Matthias&quot;,&quot;parse-names&quot;:false,&quot;dropping-particle&quot;:&quot;&quot;,&quot;non-dropping-particle&quot;:&quot;&quot;},{&quot;family&quot;:&quot;Owfi&quot;,&quot;given&quot;:&quot;Fereidoon&quot;,&quot;parse-names&quot;:false,&quot;dropping-particle&quot;:&quot;&quot;,&quot;non-dropping-particle&quot;:&quot;&quot;},{&quot;family&quot;:&quot;Pearman&quot;,&quot;given&quot;:&quot;Olivia L&quot;,&quot;parse-names&quot;:false,&quot;dropping-particle&quot;:&quot;&quot;,&quot;non-dropping-particle&quot;:&quot;&quot;},{&quot;family&quot;:&quot;Pega&quot;,&quot;given&quot;:&quot;Frank&quot;,&quot;parse-names&quot;:false,&quot;dropping-particle&quot;:&quot;&quot;,&quot;non-dropping-particle&quot;:&quot;&quot;},{&quot;family&quot;:&quot;Pershing&quot;,&quot;given&quot;:&quot;Andrew J&quot;,&quot;parse-names&quot;:false,&quot;dropping-particle&quot;:&quot;&quot;,&quot;non-dropping-particle&quot;:&quot;&quot;},{&quot;family&quot;:&quot;Pinho-Gomes&quot;,&quot;given&quot;:&quot;Ana-Catarina&quot;,&quot;parse-names&quot;:false,&quot;dropping-particle&quot;:&quot;&quot;,&quot;non-dropping-particle&quot;:&quot;&quot;},{&quot;family&quot;:&quot;Ponmattam&quot;,&quot;given&quot;:&quot;Jamie&quot;,&quot;parse-names&quot;:false,&quot;dropping-particle&quot;:&quot;&quot;,&quot;non-dropping-particle&quot;:&quot;&quot;},{&quot;family&quot;:&quot;Rabbaniha&quot;,&quot;given&quot;:&quot;Mahnaz&quot;,&quot;parse-names&quot;:false,&quot;dropping-particle&quot;:&quot;&quot;,&quot;non-dropping-particle&quot;:&quot;&quot;},{&quot;family&quot;:&quot;Repke&quot;,&quot;given&quot;:&quot;Tim&quot;,&quot;parse-names&quot;:false,&quot;dropping-particle&quot;:&quot;&quot;,&quot;non-dropping-particle&quot;:&quot;&quot;},{&quot;family&quot;:&quot;Roa&quot;,&quot;given&quot;:&quot;Jorge&quot;,&quot;parse-names&quot;:false,&quot;dropping-particle&quot;:&quot;&quot;,&quot;non-dropping-particle&quot;:&quot;&quot;},{&quot;family&quot;:&quot;Robinson&quot;,&quot;given&quot;:&quot;Elizabeth&quot;,&quot;parse-names&quot;:false,&quot;dropping-particle&quot;:&quot;&quot;,&quot;non-dropping-particle&quot;:&quot;&quot;},{&quot;family&quot;:&quot;Rocklöv&quot;,&quot;given&quot;:&quot;Joacim&quot;,&quot;parse-names&quot;:false,&quot;dropping-particle&quot;:&quot;&quot;,&quot;non-dropping-particle&quot;:&quot;&quot;},{&quot;family&quot;:&quot;Rojas-Rueda&quot;,&quot;given&quot;:&quot;David&quot;,&quot;parse-names&quot;:false,&quot;dropping-particle&quot;:&quot;&quot;,&quot;non-dropping-particle&quot;:&quot;&quot;},{&quot;family&quot;:&quot;Ruiz-Cabrejos&quot;,&quot;given&quot;:&quot;Jorge&quot;,&quot;parse-names&quot;:false,&quot;dropping-particle&quot;:&quot;&quot;,&quot;non-dropping-particle&quot;:&quot;&quot;},{&quot;family&quot;:&quot;Rusticucci&quot;,&quot;given&quot;:&quot;Matilde&quot;,&quot;parse-names&quot;:false,&quot;dropping-particle&quot;:&quot;&quot;,&quot;non-dropping-particle&quot;:&quot;&quot;},{&quot;family&quot;:&quot;Salas&quot;,&quot;given&quot;:&quot;Renee N&quot;,&quot;parse-names&quot;:false,&quot;dropping-particle&quot;:&quot;&quot;,&quot;non-dropping-particle&quot;:&quot;&quot;},{&quot;family&quot;:&quot;Plana&quot;,&quot;given&quot;:&quot;Adrià San José&quot;,&quot;parse-names&quot;:false,&quot;dropping-particle&quot;:&quot;&quot;,&quot;non-dropping-particle&quot;:&quot;&quot;},{&quot;family&quot;:&quot;Semenza&quot;,&quot;given&quot;:&quot;Jan C&quot;,&quot;parse-names&quot;:false,&quot;dropping-particle&quot;:&quot;&quot;,&quot;non-dropping-particle&quot;:&quot;&quot;},{&quot;family&quot;:&quot;Sherman&quot;,&quot;given&quot;:&quot;Jodi D&quot;,&quot;parse-names&quot;:false,&quot;dropping-particle&quot;:&quot;&quot;,&quot;non-dropping-particle&quot;:&quot;&quot;},{&quot;family&quot;:&quot;Shumake-Guillemot&quot;,&quot;given&quot;:&quot;Joy&quot;,&quot;parse-names&quot;:false,&quot;dropping-particle&quot;:&quot;&quot;,&quot;non-dropping-particle&quot;:&quot;&quot;},{&quot;family&quot;:&quot;Singh&quot;,&quot;given&quot;:&quot;Pratik&quot;,&quot;parse-names&quot;:false,&quot;dropping-particle&quot;:&quot;&quot;,&quot;non-dropping-particle&quot;:&quot;&quot;},{&quot;family&quot;:&quot;Sjödin&quot;,&quot;given&quot;:&quot;Henrik&quot;,&quot;parse-names&quot;:false,&quot;dropping-particle&quot;:&quot;&quot;,&quot;non-dropping-particle&quot;:&quot;&quot;},{&quot;family&quot;:&quot;Smith&quot;,&quot;given&quot;:&quot;Matthew R&quot;,&quot;parse-names&quot;:false,&quot;dropping-particle&quot;:&quot;&quot;,&quot;non-dropping-particle&quot;:&quot;&quot;},{&quot;family&quot;:&quot;Sofiev&quot;,&quot;given&quot;:&quot;Mikhail&quot;,&quot;parse-names&quot;:false,&quot;dropping-particle&quot;:&quot;&quot;,&quot;non-dropping-particle&quot;:&quot;&quot;},{&quot;family&quot;:&quot;Sorensen&quot;,&quot;given&quot;:&quot;Cecilia&quot;,&quot;parse-names&quot;:false,&quot;dropping-particle&quot;:&quot;&quot;,&quot;non-dropping-particle&quot;:&quot;&quot;},{&quot;family&quot;:&quot;Springmann&quot;,&quot;given&quot;:&quot;Marco&quot;,&quot;parse-names&quot;:false,&quot;dropping-particle&quot;:&quot;&quot;,&quot;non-dropping-particle&quot;:&quot;&quot;},{&quot;family&quot;:&quot;Stowell&quot;,&quot;given&quot;:&quot;Jennifer D&quot;,&quot;parse-names&quot;:false,&quot;dropping-particle&quot;:&quot;&quot;,&quot;non-dropping-particle&quot;:&quot;&quot;},{&quot;family&quot;:&quot;Tabatabaei&quot;,&quot;given&quot;:&quot;Meisam&quot;,&quot;parse-names&quot;:false,&quot;dropping-particle&quot;:&quot;&quot;,&quot;non-dropping-particle&quot;:&quot;&quot;},{&quot;family&quot;:&quot;Tartarini&quot;,&quot;given&quot;:&quot;Federico&quot;,&quot;parse-names&quot;:false,&quot;dropping-particle&quot;:&quot;&quot;,&quot;non-dropping-particle&quot;:&quot;&quot;},{&quot;family&quot;:&quot;Taylor&quot;,&quot;given&quot;:&quot;Jonathon&quot;,&quot;parse-names&quot;:false,&quot;dropping-particle&quot;:&quot;&quot;,&quot;non-dropping-particle&quot;:&quot;&quot;},{&quot;family&quot;:&quot;Tonne&quot;,&quot;given&quot;:&quot;Cathryn&quot;,&quot;parse-names&quot;:false,&quot;dropping-particle&quot;:&quot;&quot;,&quot;non-dropping-particle&quot;:&quot;&quot;},{&quot;family&quot;:&quot;Treskova&quot;,&quot;given&quot;:&quot;Marina&quot;,&quot;parse-names&quot;:false,&quot;dropping-particle&quot;:&quot;&quot;,&quot;non-dropping-particle&quot;:&quot;&quot;},{&quot;family&quot;:&quot;Trinanes&quot;,&quot;given&quot;:&quot;Joaquin A&quot;,&quot;parse-names&quot;:false,&quot;dropping-particle&quot;:&quot;&quot;,&quot;non-dropping-particle&quot;:&quot;&quot;},{&quot;family&quot;:&quot;Uppstu&quot;,&quot;given&quot;:&quot;Andreas&quot;,&quot;parse-names&quot;:false,&quot;dropping-particle&quot;:&quot;&quot;,&quot;non-dropping-particle&quot;:&quot;&quot;},{&quot;family&quot;:&quot;Valdes-Ortega&quot;,&quot;given&quot;:&quot;Nicolas&quot;,&quot;parse-names&quot;:false,&quot;dropping-particle&quot;:&quot;&quot;,&quot;non-dropping-particle&quot;:&quot;&quot;},{&quot;family&quot;:&quot;Wagner&quot;,&quot;given&quot;:&quot;Fabian&quot;,&quot;parse-names&quot;:false,&quot;dropping-particle&quot;:&quot;&quot;,&quot;non-dropping-particle&quot;:&quot;&quot;},{&quot;family&quot;:&quot;Watts&quot;,&quot;given&quot;:&quot;Nick&quot;,&quot;parse-names&quot;:false,&quot;dropping-particle&quot;:&quot;&quot;,&quot;non-dropping-particle&quot;:&quot;&quot;},{&quot;family&quot;:&quot;Whitcombe&quot;,&quot;given&quot;:&quot;Hannah&quot;,&quot;parse-names&quot;:false,&quot;dropping-particle&quot;:&quot;&quot;,&quot;non-dropping-particle&quot;:&quot;&quot;},{&quot;family&quot;:&quot;Wood&quot;,&quot;given&quot;:&quot;Richard&quot;,&quot;parse-names&quot;:false,&quot;dropping-particle&quot;:&quot;&quot;,&quot;non-dropping-particle&quot;:&quot;&quot;},{&quot;family&quot;:&quot;Yang&quot;,&quot;given&quot;:&quot;Pu&quot;,&quot;parse-names&quot;:false,&quot;dropping-particle&quot;:&quot;&quot;,&quot;non-dropping-particle&quot;:&quot;&quot;},{&quot;family&quot;:&quot;Zhang&quot;,&quot;given&quot;:&quot;Ying&quot;,&quot;parse-names&quot;:false,&quot;dropping-particle&quot;:&quot;&quot;,&quot;non-dropping-particle&quot;:&quot;&quot;},{&quot;family&quot;:&quot;Zhang&quot;,&quot;given&quot;:&quot;Shaohui&quot;,&quot;parse-names&quot;:false,&quot;dropping-particle&quot;:&quot;&quot;,&quot;non-dropping-particle&quot;:&quot;&quot;},{&quot;family&quot;:&quot;Zhang&quot;,&quot;given&quot;:&quot;Chi&quot;,&quot;parse-names&quot;:false,&quot;dropping-particle&quot;:&quot;&quot;,&quot;non-dropping-particle&quot;:&quot;&quot;},{&quot;family&quot;:&quot;Zhang&quot;,&quot;given&quot;:&quot;Shihui&quot;,&quot;parse-names&quot;:false,&quot;dropping-particle&quot;:&quot;&quot;,&quot;non-dropping-particle&quot;:&quot;&quot;},{&quot;family&quot;:&quot;Zhu&quot;,&quot;given&quot;:&quot;Qiao&quot;,&quot;parse-names&quot;:false,&quot;dropping-particle&quot;:&quot;&quot;,&quot;non-dropping-particle&quot;:&quot;&quot;},{&quot;family&quot;:&quot;Gong&quot;,&quot;given&quot;:&quot;Peng&quot;,&quot;parse-names&quot;:false,&quot;dropping-particle&quot;:&quot;&quot;,&quot;non-dropping-particle&quot;:&quot;&quot;},{&quot;family&quot;:&quot;Montgomery&quot;,&quot;given&quot;:&quot;Hugh&quot;,&quot;parse-names&quot;:false,&quot;dropping-particle&quot;:&quot;&quot;,&quot;non-dropping-particle&quot;:&quot;&quot;},{&quot;family&quot;:&quot;Costello&quot;,&quot;given&quot;:&quot;Anthony&quot;,&quot;parse-names&quot;:false,&quot;dropping-particle&quot;:&quot;&quot;,&quot;non-dropping-particle&quot;:&quot;&quot;}],&quot;container-title&quot;:&quot;The Lancet&quot;,&quot;DOI&quot;:&quot;10.1016/S0140-6736(25)01919-1&quot;,&quot;ISSN&quot;:&quot;01406736&quot;,&quot;URL&quot;:&quot;https://linkinghub.elsevier.com/retrieve/pii/S0140673625019191&quot;,&quot;issued&quot;:{&quot;date-parts&quot;:[[2025,10]]}},&quot;isTemporary&quot;:false}]},{&quot;citationID&quot;:&quot;MENDELEY_CITATION_e4263188-8ef2-4533-ac08-cb15a479228c&quot;,&quot;properties&quot;:{&quot;noteIndex&quot;:0},&quot;isEdited&quot;:false,&quot;manualOverride&quot;:{&quot;isManuallyOverridden&quot;:false,&quot;citeprocText&quot;:&quot;(4)&quot;,&quot;manualOverrideText&quot;:&quot;&quot;},&quot;citationTag&quot;:&quot;MENDELEY_CITATION_v3_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&quot;,&quot;citationItems&quot;:[{&quot;id&quot;:&quot;af69d18b-6184-3c6b-9ad6-de71b92a66fe&quot;,&quot;itemData&quot;:{&quot;type&quot;:&quot;chapter&quot;,&quot;id&quot;:&quot;af69d18b-6184-3c6b-9ad6-de71b92a66fe&quot;,&quot;title&quot;:&quot;Impacts of 1.5°C Global Warming on Natural and Human Systems&quot;,&quot;author&quot;:[{&quot;family&quot;:&quot;IPCC&quot;,&quot;given&quot;:&quot;&quot;,&quot;parse-names&quot;:false,&quot;dropping-particle&quot;:&quot;&quot;,&quot;non-dropping-particle&quot;:&quot;&quot;}],&quot;container-title&quot;:&quot;Global Warming of 1.5°C&quot;,&quot;DOI&quot;:&quot;10.1017/9781009157940.005&quot;,&quot;issued&quot;:{&quot;date-parts&quot;:[[2022,5,24]]},&quot;page&quot;:&quot;175-312&quot;,&quot;abstract&quot;:&quot;This chapter builds on findings of AR5 and assesses new scientific evidence of changes in the climate system and the associated impacts on natural and human systems, with a specific focus on the magnitude and pattern of risks linked for global warming of 1.5°C above temperatures in the pre-industrial period. Chapter 3 explores observed impacts and projected risks to a range of natural and human systems, with a focus on how risk levels change from 1.5°C to 2°C of global warming. The chapter also revisits major categories of risk (Reasons for Concern, RFC) based on the assessment of new knowledge that has become available since AR5.&quot;,&quot;publisher&quot;:&quot;Cambridge University Press&quot;},&quot;isTemporary&quot;:false}]},{&quot;citationID&quot;:&quot;MENDELEY_CITATION_2f8ff0b5-7de6-4be2-a196-19c28d08cba4&quot;,&quot;properties&quot;:{&quot;noteIndex&quot;:0},&quot;isEdited&quot;:false,&quot;manualOverride&quot;:{&quot;isManuallyOverridden&quot;:false,&quot;citeprocText&quot;:&quot;(3)&quot;,&quot;manualOverrideText&quot;:&quot;&quot;},&quot;citationTag&quot;:&quot;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&quot;,&quot;citationItems&quot;:[{&quot;id&quot;:&quot;197f66a9-58d4-3565-85f3-116906411a36&quot;,&quot;itemData&quot;:{&quot;type&quot;:&quot;article-journal&quot;,&quot;id&quot;:&quot;197f66a9-58d4-3565-85f3-116906411a36&quot;,&quot;title&quot;:&quot;The 2025 report of the Lancet Countdown on health and climate change&quot;,&quot;author&quot;:[{&quot;family&quot;:&quot;Romanello&quot;,&quot;given&quot;:&quot;Marina&quot;,&quot;parse-names&quot;:false,&quot;dropping-particle&quot;:&quot;&quot;,&quot;non-dropping-particle&quot;:&quot;&quot;},{&quot;family&quot;:&quot;Walawender&quot;,&quot;given&quot;:&quot;Maria&quot;,&quot;parse-names&quot;:false,&quot;dropping-particle&quot;:&quot;&quot;,&quot;non-dropping-particle&quot;:&quot;&quot;},{&quot;family&quot;:&quot;Hsu&quot;,&quot;given&quot;:&quot;Shih-Che&quot;,&quot;parse-names&quot;:false,&quot;dropping-particle&quot;:&quot;&quot;,&quot;non-dropping-particle&quot;:&quot;&quot;},{&quot;family&quot;:&quot;Moskeland&quot;,&quot;given&quot;:&quot;Annalyse&quot;,&quot;parse-names&quot;:false,&quot;dropping-particle&quot;:&quot;&quot;,&quot;non-dropping-particle&quot;:&quot;&quot;},{&quot;family&quot;:&quot;Palmeiro-Silva&quot;,&quot;given&quot;:&quot;Yasna&quot;,&quot;parse-names&quot;:false,&quot;dropping-particle&quot;:&quot;&quot;,&quot;non-dropping-particle&quot;:&quot;&quot;},{&quot;family&quot;:&quot;Scamman&quot;,&quot;given&quot;:&quot;Daniel&quot;,&quot;parse-names&quot;:false,&quot;dropping-particle&quot;:&quot;&quot;,&quot;non-dropping-particle&quot;:&quot;&quot;},{&quot;family&quot;:&quot;Smallcombe&quot;,&quot;given&quot;:&quot;James W&quot;,&quot;parse-names&quot;:false,&quot;dropping-particle&quot;:&quot;&quot;,&quot;non-dropping-particle&quot;:&quot;&quot;},{&quot;family&quot;:&quot;Abdullah&quot;,&quot;given&quot;:&quot;Sabah&quot;,&quot;parse-names&quot;:false,&quot;dropping-particle&quot;:&quot;&quot;,&quot;non-dropping-particle&quot;:&quot;&quot;},{&quot;family&quot;:&quot;Ades&quot;,&quot;given&quot;:&quot;Melanie&quot;,&quot;parse-names&quot;:false,&quot;dropping-particle&quot;:&quot;&quot;,&quot;non-dropping-particle&quot;:&quot;&quot;},{&quot;family&quot;:&quot;Al-Maruf&quot;,&quot;given&quot;:&quot;Abdullah&quot;,&quot;parse-names&quot;:false,&quot;dropping-particle&quot;:&quot;&quot;,&quot;non-dropping-particle&quot;:&quot;&quot;},{&quot;family&quot;:&quot;Ameli&quot;,&quot;given&quot;:&quot;Nadia&quot;,&quot;parse-names&quot;:false,&quot;dropping-particle&quot;:&quot;&quot;,&quot;non-dropping-particle&quot;:&quot;&quot;},{&quot;family&quot;:&quot;Angelova&quot;,&quot;given&quot;:&quot;Denitsa&quot;,&quot;parse-names&quot;:false,&quot;dropping-particle&quot;:&quot;&quot;,&quot;non-dropping-particle&quot;:&quot;&quot;},{&quot;family&quot;:&quot;Ayeb-Karlsson&quot;,&quot;given&quot;:&quot;Sonja&quot;,&quot;parse-names&quot;:false,&quot;dropping-particle&quot;:&quot;&quot;,&quot;non-dropping-particle&quot;:&quot;&quot;},{&quot;family&quot;:&quot;Ballester&quot;,&quot;given&quot;:&quot;Joan&quot;,&quot;parse-names&quot;:false,&quot;dropping-particle&quot;:&quot;&quot;,&quot;non-dropping-particle&quot;:&quot;&quot;},{&quot;family&quot;:&quot;Basagaña&quot;,&quot;given&quot;:&quot;Xavier&quot;,&quot;parse-names&quot;:false,&quot;dropping-particle&quot;:&quot;&quot;,&quot;non-dropping-particle&quot;:&quot;&quot;},{&quot;family&quot;:&quot;Bechara&quot;,&quot;given&quot;:&quot;Hannah&quot;,&quot;parse-names&quot;:false,&quot;dropping-particle&quot;:&quot;&quot;,&quot;non-dropping-particle&quot;:&quot;&quot;},{&quot;family&quot;:&quot;Beggs&quot;,&quot;given&quot;:&quot;Paul J&quot;,&quot;parse-names&quot;:false,&quot;dropping-particle&quot;:&quot;&quot;,&quot;non-dropping-particle&quot;:&quot;&quot;},{&quot;family&quot;:&quot;Cai&quot;,&quot;given&quot;:&quot;Wenjia&quot;,&quot;parse-names&quot;:false,&quot;dropping-particle&quot;:&quot;&quot;,&quot;non-dropping-particle&quot;:&quot;&quot;},{&quot;family&quot;:&quot;Campbell-Lendrum&quot;,&quot;given&quot;:&quot;Diarmid&quot;,&quot;parse-names&quot;:false,&quot;dropping-particle&quot;:&quot;&quot;,&quot;non-dropping-particle&quot;:&quot;&quot;},{&quot;family&quot;:&quot;Charnley&quot;,&quot;given&quot;:&quot;Gina E C&quot;,&quot;parse-names&quot;:false,&quot;dropping-particle&quot;:&quot;&quot;,&quot;non-dropping-particle&quot;:&quot;&quot;},{&quot;family&quot;:&quot;Courtenay&quot;,&quot;given&quot;:&quot;Orin&quot;,&quot;parse-names&quot;:false,&quot;dropping-particle&quot;:&quot;&quot;,&quot;non-dropping-particle&quot;:&quot;&quot;},{&quot;family&quot;:&quot;Cross&quot;,&quot;given&quot;:&quot;Troy J&quot;,&quot;parse-names&quot;:false,&quot;dropping-particle&quot;:&quot;&quot;,&quot;non-dropping-particle&quot;:&quot;&quot;},{&quot;family&quot;:&quot;Dalin&quot;,&quot;given&quot;:&quot;Carole&quot;,&quot;parse-names&quot;:false,&quot;dropping-particle&quot;:&quot;&quot;,&quot;non-dropping-particle&quot;:&quot;&quot;},{&quot;family&quot;:&quot;Dasandi&quot;,&quot;given&quot;:&quot;Niheer&quot;,&quot;parse-names&quot;:false,&quot;dropping-particle&quot;:&quot;&quot;,&quot;non-dropping-particle&quot;:&quot;&quot;},{&quot;family&quot;:&quot;Dasgupta&quot;,&quot;given&quot;:&quot;Shouro&quot;,&quot;parse-names&quot;:false,&quot;dropping-particle&quot;:&quot;&quot;,&quot;non-dropping-particle&quot;:&quot;&quot;},{&quot;family&quot;:&quot;Davies&quot;,&quot;given&quot;:&quot;Michael&quot;,&quot;parse-names&quot;:false,&quot;dropping-particle&quot;:&quot;&quot;,&quot;non-dropping-particle&quot;:&quot;&quot;},{&quot;family&quot;:&quot;Eckelman&quot;,&quot;given&quot;:&quot;Matthew&quot;,&quot;parse-names&quot;:false,&quot;dropping-particle&quot;:&quot;&quot;,&quot;non-dropping-particle&quot;:&quot;&quot;},{&quot;family&quot;:&quot;Freyberg&quot;,&quot;given&quot;:&quot;Chris&quot;,&quot;parse-names&quot;:false,&quot;dropping-particle&quot;:&quot;&quot;,&quot;non-dropping-particle&quot;:&quot;&quot;},{&quot;family&quot;:&quot;Corral&quot;,&quot;given&quot;:&quot;Paulina Garcia&quot;,&quot;parse-names&quot;:false,&quot;dropping-particle&quot;:&quot;&quot;,&quot;non-dropping-particle&quot;:&quot;&quot;},{&quot;family&quot;:&quot;Gasparyan&quot;,&quot;given&quot;:&quot;Olga&quot;,&quot;parse-names&quot;:false,&quot;dropping-particle&quot;:&quot;&quot;,&quot;non-dropping-particle&quot;:&quot;&quot;},{&quot;family&quot;:&quot;Giguere&quot;,&quot;given&quot;:&quot;Joseph&quot;,&quot;parse-names&quot;:false,&quot;dropping-particle&quot;:&quot;&quot;,&quot;non-dropping-particle&quot;:&quot;&quot;},{&quot;family&quot;:&quot;Gordon-Strachan&quot;,&quot;given&quot;:&quot;Georgiana&quot;,&quot;parse-names&quot;:false,&quot;dropping-particle&quot;:&quot;&quot;,&quot;non-dropping-particle&quot;:&quot;&quot;},{&quot;family&quot;:&quot;Gumy&quot;,&quot;given&quot;:&quot;Sophie&quot;,&quot;parse-names&quot;:false,&quot;dropping-particle&quot;:&quot;&quot;,&quot;non-dropping-particle&quot;:&quot;&quot;},{&quot;family&quot;:&quot;Gunther&quot;,&quot;given&quot;:&quot;Samuel H&quot;,&quot;parse-names&quot;:false,&quot;dropping-particle&quot;:&quot;&quot;,&quot;non-dropping-particle&quot;:&quot;&quot;},{&quot;family&quot;:&quot;Hamilton&quot;,&quot;given&quot;:&quot;Ian&quot;,&quot;parse-names&quot;:false,&quot;dropping-particle&quot;:&quot;&quot;,&quot;non-dropping-particle&quot;:&quot;&quot;},{&quot;family&quot;:&quot;Hang&quot;,&quot;given&quot;:&quot;Yun&quot;,&quot;parse-names&quot;:false,&quot;dropping-particle&quot;:&quot;&quot;,&quot;non-dropping-particle&quot;:&quot;&quot;},{&quot;family&quot;:&quot;Hänninen&quot;,&quot;given&quot;:&quot;Risto&quot;,&quot;parse-names&quot;:false,&quot;dropping-particle&quot;:&quot;&quot;,&quot;non-dropping-particle&quot;:&quot;&quot;},{&quot;family&quot;:&quot;Hartinger&quot;,&quot;given&quot;:&quot;Stella&quot;,&quot;parse-names&quot;:false,&quot;dropping-particle&quot;:&quot;&quot;,&quot;non-dropping-particle&quot;:&quot;&quot;},{&quot;family&quot;:&quot;He&quot;,&quot;given&quot;:&quot;Kehan&quot;,&quot;parse-names&quot;:false,&quot;dropping-particle&quot;:&quot;&quot;,&quot;non-dropping-particle&quot;:&quot;&quot;},{&quot;family&quot;:&quot;Heidecke&quot;,&quot;given&quot;:&quot;Julian&quot;,&quot;parse-names&quot;:false,&quot;dropping-particle&quot;:&quot;&quot;,&quot;non-dropping-particle&quot;:&quot;&quot;},{&quot;family&quot;:&quot;Hess&quot;,&quot;given&quot;:&quot;Jeremy J&quot;,&quot;parse-names&quot;:false,&quot;dropping-particle&quot;:&quot;&quot;,&quot;non-dropping-particle&quot;:&quot;&quot;},{&quot;family&quot;:&quot;Jankin&quot;,&quot;given&quot;:&quot;Slava&quot;,&quot;parse-names&quot;:false,&quot;dropping-particle&quot;:&quot;&quot;,&quot;non-dropping-particle&quot;:&quot;&quot;},{&quot;family&quot;:&quot;Jay&quot;,&quot;given&quot;:&quot;Ollie&quot;,&quot;parse-names&quot;:false,&quot;dropping-particle&quot;:&quot;&quot;,&quot;non-dropping-particle&quot;:&quot;&quot;},{&quot;family&quot;:&quot;Pantera&quot;,&quot;given&quot;:&quot;Dafni Kalatzi&quot;,&quot;parse-names&quot;:false,&quot;dropping-particle&quot;:&quot;&quot;,&quot;non-dropping-particle&quot;:&quot;&quot;},{&quot;family&quot;:&quot;Kelman&quot;,&quot;given&quot;:&quot;Ilan&quot;,&quot;parse-names&quot;:false,&quot;dropping-particle&quot;:&quot;&quot;,&quot;non-dropping-particle&quot;:&quot;&quot;},{&quot;family&quot;:&quot;Kennard&quot;,&quot;given&quot;:&quot;Harry&quot;,&quot;parse-names&quot;:false,&quot;dropping-particle&quot;:&quot;&quot;,&quot;non-dropping-particle&quot;:&quot;&quot;},{&quot;family&quot;:&quot;Kiesewetter&quot;,&quot;given&quot;:&quot;Gregor&quot;,&quot;parse-names&quot;:false,&quot;dropping-particle&quot;:&quot;&quot;,&quot;non-dropping-particle&quot;:&quot;&quot;},{&quot;family&quot;:&quot;Kinney&quot;,&quot;given&quot;:&quot;Patrick&quot;,&quot;parse-names&quot;:false,&quot;dropping-particle&quot;:&quot;&quot;,&quot;non-dropping-particle&quot;:&quot;&quot;},{&quot;family&quot;:&quot;Kniveton&quot;,&quot;given&quot;:&quot;Dominic&quot;,&quot;parse-names&quot;:false,&quot;dropping-particle&quot;:&quot;&quot;,&quot;non-dropping-particle&quot;:&quot;&quot;},{&quot;family&quot;:&quot;Koubi&quot;,&quot;given&quot;:&quot;Vally&quot;,&quot;parse-names&quot;:false,&quot;dropping-particle&quot;:&quot;&quot;,&quot;non-dropping-particle&quot;:&quot;&quot;},{&quot;family&quot;:&quot;Kouznetsov&quot;,&quot;given&quot;:&quot;Rostislav&quot;,&quot;parse-names&quot;:false,&quot;dropping-particle&quot;:&quot;&quot;,&quot;non-dropping-particle&quot;:&quot;&quot;},{&quot;family&quot;:&quot;Lampard&quot;,&quot;given&quot;:&quot;Pete&quot;,&quot;parse-names&quot;:false,&quot;dropping-particle&quot;:&quot;&quot;,&quot;non-dropping-particle&quot;:&quot;&quot;},{&quot;family&quot;:&quot;Lee&quot;,&quot;given&quot;:&quot;Jason K W&quot;,&quot;parse-names&quot;:false,&quot;dropping-particle&quot;:&quot;&quot;,&quot;non-dropping-particle&quot;:&quot;&quot;},{&quot;family&quot;:&quot;Lemke&quot;,&quot;given&quot;:&quot;Bruno&quot;,&quot;parse-names&quot;:false,&quot;dropping-particle&quot;:&quot;&quot;,&quot;non-dropping-particle&quot;:&quot;&quot;},{&quot;family&quot;:&quot;Li&quot;,&quot;given&quot;:&quot;Bo&quot;,&quot;parse-names&quot;:false,&quot;dropping-particle&quot;:&quot;&quot;,&quot;non-dropping-particle&quot;:&quot;&quot;},{&quot;family&quot;:&quot;Linke&quot;,&quot;given&quot;:&quot;Andrew&quot;,&quot;parse-names&quot;:false,&quot;dropping-particle&quot;:&quot;&quot;,&quot;non-dropping-particle&quot;:&quot;&quot;},{&quot;family&quot;:&quot;Liu&quot;,&quot;given&quot;:&quot;Yang&quot;,&quot;parse-names&quot;:false,&quot;dropping-particle&quot;:&quot;&quot;,&quot;non-dropping-particle&quot;:&quot;&quot;},{&quot;family&quot;:&quot;Liu&quot;,&quot;given&quot;:&quot;Zhao&quot;,&quot;parse-names&quot;:false,&quot;dropping-particle&quot;:&quot;&quot;,&quot;non-dropping-particle&quot;:&quot;&quot;},{&quot;family&quot;:&quot;Lowe&quot;,&quot;given&quot;:&quot;Rachel&quot;,&quot;parse-names&quot;:false,&quot;dropping-particle&quot;:&quot;&quot;,&quot;non-dropping-particle&quot;:&quot;&quot;},{&quot;family&quot;:&quot;Ma&quot;,&quot;given&quot;:&quot;Siqi&quot;,&quot;parse-names&quot;:false,&quot;dropping-particle&quot;:&quot;&quot;,&quot;non-dropping-particle&quot;:&quot;&quot;},{&quot;family&quot;:&quot;Mabhaudhi&quot;,&quot;given&quot;:&quot;Tafadzwanashe&quot;,&quot;parse-names&quot;:false,&quot;dropping-particle&quot;:&quot;&quot;,&quot;non-dropping-particle&quot;:&quot;&quot;},{&quot;family&quot;:&quot;Maia&quot;,&quot;given&quot;:&quot;Carla&quot;,&quot;parse-names&quot;:false,&quot;dropping-particle&quot;:&quot;&quot;,&quot;non-dropping-particle&quot;:&quot;&quot;},{&quot;family&quot;:&quot;Markandya&quot;,&quot;given&quot;:&quot;Anil&quot;,&quot;parse-names&quot;:false,&quot;dropping-particle&quot;:&quot;&quot;,&quot;non-dropping-particle&quot;:&quot;&quot;},{&quot;family&quot;:&quot;Martin&quot;,&quot;given&quot;:&quot;Greta&quot;,&quot;parse-names&quot;:false,&quot;dropping-particle&quot;:&quot;&quot;,&quot;non-dropping-particle&quot;:&quot;&quot;},{&quot;family&quot;:&quot;Martinez-Urtaza&quot;,&quot;given&quot;:&quot;Jaime&quot;,&quot;parse-names&quot;:false,&quot;dropping-particle&quot;:&quot;&quot;,&quot;non-dropping-particle&quot;:&quot;&quot;},{&quot;family&quot;:&quot;Maslin&quot;,&quot;given&quot;:&quot;Mark&quot;,&quot;parse-names&quot;:false,&quot;dropping-particle&quot;:&quot;&quot;,&quot;non-dropping-particle&quot;:&quot;&quot;},{&quot;family&quot;:&quot;McAllister&quot;,&quot;given&quot;:&quot;Lucy&quot;,&quot;parse-names&quot;:false,&quot;dropping-particle&quot;:&quot;&quot;,&quot;non-dropping-particle&quot;:&quot;&quot;},{&quot;family&quot;:&quot;McMichael&quot;,&quot;given&quot;:&quot;Celia&quot;,&quot;parse-names&quot;:false,&quot;dropping-particle&quot;:&quot;&quot;,&quot;non-dropping-particle&quot;:&quot;&quot;},{&quot;family&quot;:&quot;Mi&quot;,&quot;given&quot;:&quot;Zhifu&quot;,&quot;parse-names&quot;:false,&quot;dropping-particle&quot;:&quot;&quot;,&quot;non-dropping-particle&quot;:&quot;&quot;},{&quot;family&quot;:&quot;Milner&quot;,&quot;given&quot;:&quot;James&quot;,&quot;parse-names&quot;:false,&quot;dropping-particle&quot;:&quot;&quot;,&quot;non-dropping-particle&quot;:&quot;&quot;},{&quot;family&quot;:&quot;Minor&quot;,&quot;given&quot;:&quot;Kelton&quot;,&quot;parse-names&quot;:false,&quot;dropping-particle&quot;:&quot;&quot;,&quot;non-dropping-particle&quot;:&quot;&quot;},{&quot;family&quot;:&quot;Minx&quot;,&quot;given&quot;:&quot;Jan&quot;,&quot;parse-names&quot;:false,&quot;dropping-particle&quot;:&quot;&quot;,&quot;non-dropping-particle&quot;:&quot;&quot;},{&quot;family&quot;:&quot;Mohajeri&quot;,&quot;given&quot;:&quot;Nahid&quot;,&quot;parse-names&quot;:false,&quot;dropping-particle&quot;:&quot;&quot;,&quot;non-dropping-particle&quot;:&quot;&quot;},{&quot;family&quot;:&quot;Momen&quot;,&quot;given&quot;:&quot;Natalie C&quot;,&quot;parse-names&quot;:false,&quot;dropping-particle&quot;:&quot;&quot;,&quot;non-dropping-particle&quot;:&quot;&quot;},{&quot;family&quot;:&quot;Moradi-Lakeh&quot;,&quot;given&quot;:&quot;Maziar&quot;,&quot;parse-names&quot;:false,&quot;dropping-particle&quot;:&quot;&quot;,&quot;non-dropping-particle&quot;:&quot;&quot;},{&quot;family&quot;:&quot;Morrisey&quot;,&quot;given&quot;:&quot;Karyn&quot;,&quot;parse-names&quot;:false,&quot;dropping-particle&quot;:&quot;&quot;,&quot;non-dropping-particle&quot;:&quot;&quot;},{&quot;family&quot;:&quot;Munzert&quot;,&quot;given&quot;:&quot;Simon&quot;,&quot;parse-names&quot;:false,&quot;dropping-particle&quot;:&quot;&quot;,&quot;non-dropping-particle&quot;:&quot;&quot;},{&quot;family&quot;:&quot;Murray&quot;,&quot;given&quot;:&quot;Kris A&quot;,&quot;parse-names&quot;:false,&quot;dropping-particle&quot;:&quot;&quot;,&quot;non-dropping-particle&quot;:&quot;&quot;},{&quot;family&quot;:&quot;Obradovich&quot;,&quot;given&quot;:&quot;Nick&quot;,&quot;parse-names&quot;:false,&quot;dropping-particle&quot;:&quot;&quot;,&quot;non-dropping-particle&quot;:&quot;&quot;},{&quot;family&quot;:&quot;Orgen&quot;,&quot;given&quot;:&quot;Papa&quot;,&quot;parse-names&quot;:false,&quot;dropping-particle&quot;:&quot;&quot;,&quot;non-dropping-particle&quot;:&quot;&quot;},{&quot;family&quot;:&quot;Otto&quot;,&quot;given&quot;:&quot;Matthias&quot;,&quot;parse-names&quot;:false,&quot;dropping-particle&quot;:&quot;&quot;,&quot;non-dropping-particle&quot;:&quot;&quot;},{&quot;family&quot;:&quot;Owfi&quot;,&quot;given&quot;:&quot;Fereidoon&quot;,&quot;parse-names&quot;:false,&quot;dropping-particle&quot;:&quot;&quot;,&quot;non-dropping-particle&quot;:&quot;&quot;},{&quot;family&quot;:&quot;Pearman&quot;,&quot;given&quot;:&quot;Olivia L&quot;,&quot;parse-names&quot;:false,&quot;dropping-particle&quot;:&quot;&quot;,&quot;non-dropping-particle&quot;:&quot;&quot;},{&quot;family&quot;:&quot;Pega&quot;,&quot;given&quot;:&quot;Frank&quot;,&quot;parse-names&quot;:false,&quot;dropping-particle&quot;:&quot;&quot;,&quot;non-dropping-particle&quot;:&quot;&quot;},{&quot;family&quot;:&quot;Pershing&quot;,&quot;given&quot;:&quot;Andrew J&quot;,&quot;parse-names&quot;:false,&quot;dropping-particle&quot;:&quot;&quot;,&quot;non-dropping-particle&quot;:&quot;&quot;},{&quot;family&quot;:&quot;Pinho-Gomes&quot;,&quot;given&quot;:&quot;Ana-Catarina&quot;,&quot;parse-names&quot;:false,&quot;dropping-particle&quot;:&quot;&quot;,&quot;non-dropping-particle&quot;:&quot;&quot;},{&quot;family&quot;:&quot;Ponmattam&quot;,&quot;given&quot;:&quot;Jamie&quot;,&quot;parse-names&quot;:false,&quot;dropping-particle&quot;:&quot;&quot;,&quot;non-dropping-particle&quot;:&quot;&quot;},{&quot;family&quot;:&quot;Rabbaniha&quot;,&quot;given&quot;:&quot;Mahnaz&quot;,&quot;parse-names&quot;:false,&quot;dropping-particle&quot;:&quot;&quot;,&quot;non-dropping-particle&quot;:&quot;&quot;},{&quot;family&quot;:&quot;Repke&quot;,&quot;given&quot;:&quot;Tim&quot;,&quot;parse-names&quot;:false,&quot;dropping-particle&quot;:&quot;&quot;,&quot;non-dropping-particle&quot;:&quot;&quot;},{&quot;family&quot;:&quot;Roa&quot;,&quot;given&quot;:&quot;Jorge&quot;,&quot;parse-names&quot;:false,&quot;dropping-particle&quot;:&quot;&quot;,&quot;non-dropping-particle&quot;:&quot;&quot;},{&quot;family&quot;:&quot;Robinson&quot;,&quot;given&quot;:&quot;Elizabeth&quot;,&quot;parse-names&quot;:false,&quot;dropping-particle&quot;:&quot;&quot;,&quot;non-dropping-particle&quot;:&quot;&quot;},{&quot;family&quot;:&quot;Rocklöv&quot;,&quot;given&quot;:&quot;Joacim&quot;,&quot;parse-names&quot;:false,&quot;dropping-particle&quot;:&quot;&quot;,&quot;non-dropping-particle&quot;:&quot;&quot;},{&quot;family&quot;:&quot;Rojas-Rueda&quot;,&quot;given&quot;:&quot;David&quot;,&quot;parse-names&quot;:false,&quot;dropping-particle&quot;:&quot;&quot;,&quot;non-dropping-particle&quot;:&quot;&quot;},{&quot;family&quot;:&quot;Ruiz-Cabrejos&quot;,&quot;given&quot;:&quot;Jorge&quot;,&quot;parse-names&quot;:false,&quot;dropping-particle&quot;:&quot;&quot;,&quot;non-dropping-particle&quot;:&quot;&quot;},{&quot;family&quot;:&quot;Rusticucci&quot;,&quot;given&quot;:&quot;Matilde&quot;,&quot;parse-names&quot;:false,&quot;dropping-particle&quot;:&quot;&quot;,&quot;non-dropping-particle&quot;:&quot;&quot;},{&quot;family&quot;:&quot;Salas&quot;,&quot;given&quot;:&quot;Renee N&quot;,&quot;parse-names&quot;:false,&quot;dropping-particle&quot;:&quot;&quot;,&quot;non-dropping-particle&quot;:&quot;&quot;},{&quot;family&quot;:&quot;Plana&quot;,&quot;given&quot;:&quot;Adrià San José&quot;,&quot;parse-names&quot;:false,&quot;dropping-particle&quot;:&quot;&quot;,&quot;non-dropping-particle&quot;:&quot;&quot;},{&quot;family&quot;:&quot;Semenza&quot;,&quot;given&quot;:&quot;Jan C&quot;,&quot;parse-names&quot;:false,&quot;dropping-particle&quot;:&quot;&quot;,&quot;non-dropping-particle&quot;:&quot;&quot;},{&quot;family&quot;:&quot;Sherman&quot;,&quot;given&quot;:&quot;Jodi D&quot;,&quot;parse-names&quot;:false,&quot;dropping-particle&quot;:&quot;&quot;,&quot;non-dropping-particle&quot;:&quot;&quot;},{&quot;family&quot;:&quot;Shumake-Guillemot&quot;,&quot;given&quot;:&quot;Joy&quot;,&quot;parse-names&quot;:false,&quot;dropping-particle&quot;:&quot;&quot;,&quot;non-dropping-particle&quot;:&quot;&quot;},{&quot;family&quot;:&quot;Singh&quot;,&quot;given&quot;:&quot;Pratik&quot;,&quot;parse-names&quot;:false,&quot;dropping-particle&quot;:&quot;&quot;,&quot;non-dropping-particle&quot;:&quot;&quot;},{&quot;family&quot;:&quot;Sjödin&quot;,&quot;given&quot;:&quot;Henrik&quot;,&quot;parse-names&quot;:false,&quot;dropping-particle&quot;:&quot;&quot;,&quot;non-dropping-particle&quot;:&quot;&quot;},{&quot;family&quot;:&quot;Smith&quot;,&quot;given&quot;:&quot;Matthew R&quot;,&quot;parse-names&quot;:false,&quot;dropping-particle&quot;:&quot;&quot;,&quot;non-dropping-particle&quot;:&quot;&quot;},{&quot;family&quot;:&quot;Sofiev&quot;,&quot;given&quot;:&quot;Mikhail&quot;,&quot;parse-names&quot;:false,&quot;dropping-particle&quot;:&quot;&quot;,&quot;non-dropping-particle&quot;:&quot;&quot;},{&quot;family&quot;:&quot;Sorensen&quot;,&quot;given&quot;:&quot;Cecilia&quot;,&quot;parse-names&quot;:false,&quot;dropping-particle&quot;:&quot;&quot;,&quot;non-dropping-particle&quot;:&quot;&quot;},{&quot;family&quot;:&quot;Springmann&quot;,&quot;given&quot;:&quot;Marco&quot;,&quot;parse-names&quot;:false,&quot;dropping-particle&quot;:&quot;&quot;,&quot;non-dropping-particle&quot;:&quot;&quot;},{&quot;family&quot;:&quot;Stowell&quot;,&quot;given&quot;:&quot;Jennifer D&quot;,&quot;parse-names&quot;:false,&quot;dropping-particle&quot;:&quot;&quot;,&quot;non-dropping-particle&quot;:&quot;&quot;},{&quot;family&quot;:&quot;Tabatabaei&quot;,&quot;given&quot;:&quot;Meisam&quot;,&quot;parse-names&quot;:false,&quot;dropping-particle&quot;:&quot;&quot;,&quot;non-dropping-particle&quot;:&quot;&quot;},{&quot;family&quot;:&quot;Tartarini&quot;,&quot;given&quot;:&quot;Federico&quot;,&quot;parse-names&quot;:false,&quot;dropping-particle&quot;:&quot;&quot;,&quot;non-dropping-particle&quot;:&quot;&quot;},{&quot;family&quot;:&quot;Taylor&quot;,&quot;given&quot;:&quot;Jonathon&quot;,&quot;parse-names&quot;:false,&quot;dropping-particle&quot;:&quot;&quot;,&quot;non-dropping-particle&quot;:&quot;&quot;},{&quot;family&quot;:&quot;Tonne&quot;,&quot;given&quot;:&quot;Cathryn&quot;,&quot;parse-names&quot;:false,&quot;dropping-particle&quot;:&quot;&quot;,&quot;non-dropping-particle&quot;:&quot;&quot;},{&quot;family&quot;:&quot;Treskova&quot;,&quot;given&quot;:&quot;Marina&quot;,&quot;parse-names&quot;:false,&quot;dropping-particle&quot;:&quot;&quot;,&quot;non-dropping-particle&quot;:&quot;&quot;},{&quot;family&quot;:&quot;Trinanes&quot;,&quot;given&quot;:&quot;Joaquin A&quot;,&quot;parse-names&quot;:false,&quot;dropping-particle&quot;:&quot;&quot;,&quot;non-dropping-particle&quot;:&quot;&quot;},{&quot;family&quot;:&quot;Uppstu&quot;,&quot;given&quot;:&quot;Andreas&quot;,&quot;parse-names&quot;:false,&quot;dropping-particle&quot;:&quot;&quot;,&quot;non-dropping-particle&quot;:&quot;&quot;},{&quot;family&quot;:&quot;Valdes-Ortega&quot;,&quot;given&quot;:&quot;Nicolas&quot;,&quot;parse-names&quot;:false,&quot;dropping-particle&quot;:&quot;&quot;,&quot;non-dropping-particle&quot;:&quot;&quot;},{&quot;family&quot;:&quot;Wagner&quot;,&quot;given&quot;:&quot;Fabian&quot;,&quot;parse-names&quot;:false,&quot;dropping-particle&quot;:&quot;&quot;,&quot;non-dropping-particle&quot;:&quot;&quot;},{&quot;family&quot;:&quot;Watts&quot;,&quot;given&quot;:&quot;Nick&quot;,&quot;parse-names&quot;:false,&quot;dropping-particle&quot;:&quot;&quot;,&quot;non-dropping-particle&quot;:&quot;&quot;},{&quot;family&quot;:&quot;Whitcombe&quot;,&quot;given&quot;:&quot;Hannah&quot;,&quot;parse-names&quot;:false,&quot;dropping-particle&quot;:&quot;&quot;,&quot;non-dropping-particle&quot;:&quot;&quot;},{&quot;family&quot;:&quot;Wood&quot;,&quot;given&quot;:&quot;Richard&quot;,&quot;parse-names&quot;:false,&quot;dropping-particle&quot;:&quot;&quot;,&quot;non-dropping-particle&quot;:&quot;&quot;},{&quot;family&quot;:&quot;Yang&quot;,&quot;given&quot;:&quot;Pu&quot;,&quot;parse-names&quot;:false,&quot;dropping-particle&quot;:&quot;&quot;,&quot;non-dropping-particle&quot;:&quot;&quot;},{&quot;family&quot;:&quot;Zhang&quot;,&quot;given&quot;:&quot;Ying&quot;,&quot;parse-names&quot;:false,&quot;dropping-particle&quot;:&quot;&quot;,&quot;non-dropping-particle&quot;:&quot;&quot;},{&quot;family&quot;:&quot;Zhang&quot;,&quot;given&quot;:&quot;Shaohui&quot;,&quot;parse-names&quot;:false,&quot;dropping-particle&quot;:&quot;&quot;,&quot;non-dropping-particle&quot;:&quot;&quot;},{&quot;family&quot;:&quot;Zhang&quot;,&quot;given&quot;:&quot;Chi&quot;,&quot;parse-names&quot;:false,&quot;dropping-particle&quot;:&quot;&quot;,&quot;non-dropping-particle&quot;:&quot;&quot;},{&quot;family&quot;:&quot;Zhang&quot;,&quot;given&quot;:&quot;Shihui&quot;,&quot;parse-names&quot;:false,&quot;dropping-particle&quot;:&quot;&quot;,&quot;non-dropping-particle&quot;:&quot;&quot;},{&quot;family&quot;:&quot;Zhu&quot;,&quot;given&quot;:&quot;Qiao&quot;,&quot;parse-names&quot;:false,&quot;dropping-particle&quot;:&quot;&quot;,&quot;non-dropping-particle&quot;:&quot;&quot;},{&quot;family&quot;:&quot;Gong&quot;,&quot;given&quot;:&quot;Peng&quot;,&quot;parse-names&quot;:false,&quot;dropping-particle&quot;:&quot;&quot;,&quot;non-dropping-particle&quot;:&quot;&quot;},{&quot;family&quot;:&quot;Montgomery&quot;,&quot;given&quot;:&quot;Hugh&quot;,&quot;parse-names&quot;:false,&quot;dropping-particle&quot;:&quot;&quot;,&quot;non-dropping-particle&quot;:&quot;&quot;},{&quot;family&quot;:&quot;Costello&quot;,&quot;given&quot;:&quot;Anthony&quot;,&quot;parse-names&quot;:false,&quot;dropping-particle&quot;:&quot;&quot;,&quot;non-dropping-particle&quot;:&quot;&quot;}],&quot;container-title&quot;:&quot;The Lancet&quot;,&quot;DOI&quot;:&quot;10.1016/S0140-6736(25)01919-1&quot;,&quot;ISSN&quot;:&quot;01406736&quot;,&quot;URL&quot;:&quot;https://linkinghub.elsevier.com/retrieve/pii/S0140673625019191&quot;,&quot;issued&quot;:{&quot;date-parts&quot;:[[2025,10]]}},&quot;isTemporary&quot;:false}]},{&quot;citationID&quot;:&quot;MENDELEY_CITATION_69bbaee9-9a2e-4b90-9293-c77231d293b7&quot;,&quot;properties&quot;:{&quot;noteIndex&quot;:0},&quot;isEdited&quot;:false,&quot;manualOverride&quot;:{&quot;isManuallyOverridden&quot;:false,&quot;citeprocText&quot;:&quot;(5)&quot;,&quot;manualOverrideText&quot;:&quot;&quot;},&quot;citationTag&quot;:&quot;MENDELEY_CITATION_v3_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&quot;,&quot;citationItems&quot;:[{&quot;id&quot;:&quot;f3975528-0476-35b3-b900-cf6c0449a4be&quot;,&quot;itemData&quot;:{&quot;type&quot;:&quot;article-journal&quot;,&quot;id&quot;:&quot;f3975528-0476-35b3-b900-cf6c0449a4be&quot;,&quot;title&quot;:&quot;Heat-related mortality in Europe during 2023 and the role of adaptation in protecting health&quot;,&quot;author&quot;:[{&quot;family&quot;:&quot;Gallo&quot;,&quot;given&quot;:&quot;Elisa&quot;,&quot;parse-names&quot;:false,&quot;dropping-particle&quot;:&quot;&quot;,&quot;non-dropping-particle&quot;:&quot;&quot;},{&quot;family&quot;:&quot;Quijal-Zamorano&quot;,&quot;given&quot;:&quot;Marcos&quot;,&quot;parse-names&quot;:false,&quot;dropping-particle&quot;:&quot;&quot;,&quot;non-dropping-particle&quot;:&quot;&quot;},{&quot;family&quot;:&quot;Méndez Turrubiates&quot;,&quot;given&quot;:&quot;Raúl Fernando&quot;,&quot;parse-names&quot;:false,&quot;dropping-particle&quot;:&quot;&quot;,&quot;non-dropping-particle&quot;:&quot;&quot;},{&quot;family&quot;:&quot;Tonne&quot;,&quot;given&quot;:&quot;Cathryn&quot;,&quot;parse-names&quot;:false,&quot;dropping-particle&quot;:&quot;&quot;,&quot;non-dropping-particle&quot;:&quot;&quot;},{&quot;family&quot;:&quot;Basagaña&quot;,&quot;given&quot;:&quot;Xavier&quot;,&quot;parse-names&quot;:false,&quot;dropping-particle&quot;:&quot;&quot;,&quot;non-dropping-particle&quot;:&quot;&quot;},{&quot;family&quot;:&quot;Achebak&quot;,&quot;given&quot;:&quot;Hicham&quot;,&quot;parse-names&quot;:false,&quot;dropping-particle&quot;:&quot;&quot;,&quot;non-dropping-particle&quot;:&quot;&quot;},{&quot;family&quot;:&quot;Ballester&quot;,&quot;given&quot;:&quot;Joan&quot;,&quot;parse-names&quot;:false,&quot;dropping-particle&quot;:&quot;&quot;,&quot;non-dropping-particle&quot;:&quot;&quot;}],&quot;container-title&quot;:&quot;Nature Medicine&quot;,&quot;container-title-short&quot;:&quot;Nat Med&quot;,&quot;DOI&quot;:&quot;10.1038/s41591-024-03186-1&quot;,&quot;ISSN&quot;:&quot;1546170X&quot;,&quot;PMID&quot;:&quot;39134730&quot;,&quot;issued&quot;:{&quot;date-parts&quot;:[[2024,11,1]]},&quot;page&quot;:&quot;3101-3105&quot;,&quot;abstract&quot;:&quot;The year of 2023 was the warmest on record globally and the second warmest in Europe. Here we applied epidemiological models to temperature and mortality records in 823 contiguous regions from 35 countries to estimate sex- and age-specific heat-related mortality in Europe during 2023 and to quantify the mortality burden avoided by societal adaptation to rising temperatures since the year 2000. We estimated 47,690 (95% confidence interval 28,853 to 66,525) heat-related deaths in 2023, the second highest mortality burden during the study period 2015–2023, only surpassed by 2022. We also estimated that the heat-related mortality burden would have been +80.0% higher in absence of present-century adaptation, especially in the elderly (+100.7% in people aged 80+ years). Our results highlight the importance of historical and ongoing adaptations in saving lives during recent summers and the urgency for more effective strategies to further reduce the mortality burden of forthcoming hotter summers.&quot;,&quot;publisher&quot;:&quot;Nature Research&quot;,&quot;issue&quot;:&quot;11&quot;,&quot;volume&quot;:&quot;30&quot;},&quot;isTemporary&quot;:false}]},{&quot;citationID&quot;:&quot;MENDELEY_CITATION_6a34af9f-1e5d-4a6d-bd6d-b1eb8be28420&quot;,&quot;properties&quot;:{&quot;noteIndex&quot;:0},&quot;isEdited&quot;:false,&quot;manualOverride&quot;:{&quot;isManuallyOverridden&quot;:false,&quot;citeprocText&quot;:&quot;(6)&quot;,&quot;manualOverrideText&quot;:&quot;&quot;},&quot;citationTag&quot;:&quot;MENDELEY_CITATION_v3_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&quot;,&quot;citationItems&quot;:[{&quot;id&quot;:&quot;64cc9ea1-01cb-3c4e-a089-1cfbe51770e2&quot;,&quot;itemData&quot;:{&quot;type&quot;:&quot;article&quot;,&quot;id&quot;:&quot;64cc9ea1-01cb-3c4e-a089-1cfbe51770e2&quot;,&quot;title&quot;:&quot;Hot weather and heat extremes: health risks&quot;,&quot;author&quot;:[{&quot;family&quot;:&quot;Ebi&quot;,&quot;given&quot;:&quot;Kristie L.&quot;,&quot;parse-names&quot;:false,&quot;dropping-particle&quot;:&quot;&quot;,&quot;non-dropping-particle&quot;:&quot;&quot;},{&quot;family&quot;:&quot;Capon&quot;,&quot;given&quot;:&quot;Anthony&quot;,&quot;parse-names&quot;:false,&quot;dropping-particle&quot;:&quot;&quot;,&quot;non-dropping-particle&quot;:&quot;&quot;},{&quot;family&quot;:&quot;Berry&quot;,&quot;given&quot;:&quot;Peter&quot;,&quot;parse-names&quot;:false,&quot;dropping-particle&quot;:&quot;&quot;,&quot;non-dropping-particle&quot;:&quot;&quot;},{&quot;family&quot;:&quot;Broderick&quot;,&quot;given&quot;:&quot;Carolyn&quot;,&quot;parse-names&quot;:false,&quot;dropping-particle&quot;:&quot;&quot;,&quot;non-dropping-particle&quot;:&quot;&quot;},{&quot;family&quot;:&quot;Dear&quot;,&quot;given&quot;:&quot;Richard&quot;,&quot;parse-names&quot;:false,&quot;dropping-particle&quot;:&quot;&quot;,&quot;non-dropping-particle&quot;:&quot;de&quot;},{&quot;family&quot;:&quot;Havenith&quot;,&quot;given&quot;:&quot;George&quot;,&quot;parse-names&quot;:false,&quot;dropping-particle&quot;:&quot;&quot;,&quot;non-dropping-particle&quot;:&quot;&quot;},{&quot;family&quot;:&quot;Honda&quot;,&quot;given&quot;:&quot;Yasushi&quot;,&quot;parse-names&quot;:false,&quot;dropping-particle&quot;:&quot;&quot;,&quot;non-dropping-particle&quot;:&quot;&quot;},{&quot;family&quot;:&quot;Kovats&quot;,&quot;given&quot;:&quot;R. Sari&quot;,&quot;parse-names&quot;:false,&quot;dropping-particle&quot;:&quot;&quot;,&quot;non-dropping-particle&quot;:&quot;&quot;},{&quot;family&quot;:&quot;Ma&quot;,&quot;given&quot;:&quot;Wei&quot;,&quot;parse-names&quot;:false,&quot;dropping-particle&quot;:&quot;&quot;,&quot;non-dropping-particle&quot;:&quot;&quot;},{&quot;family&quot;:&quot;Malik&quot;,&quot;given&quot;:&quot;Arunima&quot;,&quot;parse-names&quot;:false,&quot;dropping-particle&quot;:&quot;&quot;,&quot;non-dropping-particle&quot;:&quot;&quot;},{&quot;family&quot;:&quot;Morris&quot;,&quot;given&quot;:&quot;Nathan B.&quot;,&quot;parse-names&quot;:false,&quot;dropping-particle&quot;:&quot;&quot;,&quot;non-dropping-particle&quot;:&quot;&quot;},{&quot;family&quot;:&quot;Nybo&quot;,&quot;given&quot;:&quot;Lars&quot;,&quot;parse-names&quot;:false,&quot;dropping-particle&quot;:&quot;&quot;,&quot;non-dropping-particle&quot;:&quot;&quot;},{&quot;family&quot;:&quot;Seneviratne&quot;,&quot;given&quot;:&quot;Sonia I.&quot;,&quot;parse-names&quot;:false,&quot;dropping-particle&quot;:&quot;&quot;,&quot;non-dropping-particle&quot;:&quot;&quot;},{&quot;family&quot;:&quot;Vanos&quot;,&quot;given&quot;:&quot;Jennifer&quot;,&quot;parse-names&quot;:false,&quot;dropping-particle&quot;:&quot;&quot;,&quot;non-dropping-particle&quot;:&quot;&quot;},{&quot;family&quot;:&quot;Jay&quot;,&quot;given&quot;:&quot;Ollie&quot;,&quot;parse-names&quot;:false,&quot;dropping-particle&quot;:&quot;&quot;,&quot;non-dropping-particle&quot;:&quot;&quot;}],&quot;container-title&quot;:&quot;The Lancet&quot;,&quot;DOI&quot;:&quot;10.1016/S0140-6736(21)01208-3&quot;,&quot;ISSN&quot;:&quot;1474547X&quot;,&quot;PMID&quot;:&quot;34419205&quot;,&quot;issued&quot;:{&quot;date-parts&quot;:[[2021,8,21]]},&quot;page&quot;:&quot;698-708&quot;,&quot;abstract&quot;:&quot;Hot ambient conditions and associated heat stress can increase mortality and morbidity, as well as increase adverse pregnancy outcomes and negatively affect mental health. High heat stress can also reduce physical work capacity and motor-cognitive performances, with consequences for productivity, and increase the risk of occupational health problems. Almost half of the global population and more than 1 billion workers are exposed to high heat episodes and about a third of all exposed workers have negative health effects. However, excess deaths and many heat-related health risks are preventable, with appropriate heat action plans involving behavioural strategies and biophysical solutions. Extreme heat events are becoming permanent features of summer seasons worldwide, causing many excess deaths. Heat-related morbidity and mortality are projected to increase further as climate change progresses, with greater risk associated with higher degrees of global warming. Particularly in tropical regions, increased warming might mean that physiological limits related to heat tolerance (survival) will be reached regularly and more often in coming decades. Climate change is interacting with other trends, such as population growth and ageing, urbanisation, and socioeconomic development, that can either exacerbate or ameliorate heat-related hazards. Urban temperatures are further enhanced by anthropogenic heat from vehicular transport and heat waste from buildings. Although there is some evidence of adaptation to increasing temperatures in high-income countries, projections of a hotter future suggest that without investment in research and risk management actions, heat-related morbidity and mortality are likely to increase.&quot;,&quot;publisher&quot;:&quot;Elsevier B.V.&quot;,&quot;issue&quot;:&quot;10301&quot;,&quot;volume&quot;:&quot;398&quot;,&quot;container-title-short&quot;:&quot;&quot;},&quot;isTemporary&quot;:false}]},{&quot;citationID&quot;:&quot;MENDELEY_CITATION_10949059-70fb-40d8-90f0-a53c62c4b0dc&quot;,&quot;properties&quot;:{&quot;noteIndex&quot;:0},&quot;isEdited&quot;:false,&quot;manualOverride&quot;:{&quot;isManuallyOverridden&quot;:false,&quot;citeprocText&quot;:&quot;(1,7)&quot;,&quot;manualOverrideText&quot;:&quot;&quot;},&quot;citationTag&quot;:&quot;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&quot;,&quot;citationItems&quot;:[{&quot;id&quot;:&quot;d89df8be-e941-3d4d-891c-c5130bde753c&quot;,&quot;itemData&quot;:{&quot;type&quot;:&quot;article-journal&quot;,&quot;id&quot;:&quot;d89df8be-e941-3d4d-891c-c5130bde753c&quot;,&quot;title&quot;:&quot;Impacts of heat exposure in utero on long-term health and social outcomes: a systematic review&quot;,&quot;author&quot;:[{&quot;family&quot;:&quot;Brink&quot;,&quot;given&quot;:&quot;Nicholas&quot;,&quot;parse-names&quot;:false,&quot;dropping-particle&quot;:&quot;&quot;,&quot;non-dropping-particle&quot;:&quot;&quot;},{&quot;family&quot;:&quot;Lakhoo&quot;,&quot;given&quot;:&quot;Darshnika P.&quot;,&quot;parse-names&quot;:false,&quot;dropping-particle&quot;:&quot;&quot;,&quot;non-dropping-particle&quot;:&quot;&quot;},{&quot;family&quot;:&quot;Solarin&quot;,&quot;given&quot;:&quot;Ijeoma&quot;,&quot;parse-names&quot;:false,&quot;dropping-particle&quot;:&quot;&quot;,&quot;non-dropping-particle&quot;:&quot;&quot;},{&quot;family&quot;:&quot;Maimela&quot;,&quot;given&quot;:&quot;Gloria&quot;,&quot;parse-names&quot;:false,&quot;dropping-particle&quot;:&quot;&quot;,&quot;non-dropping-particle&quot;:&quot;&quot;},{&quot;family&quot;:&quot;Dadelszen&quot;,&quot;given&quot;:&quot;Peter&quot;,&quot;parse-names&quot;:false,&quot;dropping-particle&quot;:&quot;&quot;,&quot;non-dropping-particle&quot;:&quot;von&quot;},{&quot;family&quot;:&quot;Norris&quot;,&quot;given&quot;:&quot;Shane&quot;,&quot;parse-names&quot;:false,&quot;dropping-particle&quot;:&quot;&quot;,&quot;non-dropping-particle&quot;:&quot;&quot;},{&quot;family&quot;:&quot;Chersich&quot;,&quot;given&quot;:&quot;Matthew F.&quot;,&quot;parse-names&quot;:false,&quot;dropping-particle&quot;:&quot;&quot;,&quot;non-dropping-particle&quot;:&quot;&quot;}],&quot;container-title&quot;:&quot;BMC Pregnancy and Childbirth&quot;,&quot;container-title-short&quot;:&quot;BMC Pregnancy Childbirth&quot;,&quot;DOI&quot;:&quot;10.1186/s12884-024-06512-0&quot;,&quot;ISSN&quot;:&quot;14712393&quot;,&quot;PMID&quot;:&quot;38704541&quot;,&quot;issued&quot;:{&quot;date-parts&quot;:[[2024,12,1]]},&quot;abstract&quot;:&quot;Background: Climate change, particularly global warming, is amongst the greatest threats to human health. While short-term effects of heat exposure in pregnancy, such as preterm birth, are well documented, long-term effects have received less attention. This review aims to systematically assess evidence on the long-term impacts on the foetus of heat exposure in utero. Methods: A search was conducted in August 2019 and updated in April 2023 in MEDLINE(PubMed). We included studies on the relationship of environmental heat exposure during pregnancy and any long-term outcomes. Risk of bias was assessed using tools developed by the Joanna-Briggs Institute, and the evidence was appraised using the GRADE approach. Synthesis without Meta-Analysis (SWiM) guidelines were used. Results: Eighteen thousand six hundred twenty one records were screened, with 29 studies included across six outcome groups. Studies were mostly conducted in high-income countries (n = 16/25), in cooler climates. All studies were observational, with 17 cohort, 5 case-control and 8 cross-sectional studies. The timeline of the data is from 1913 to 2019, and individuals ranged in age from neonates to adults, and the elderly. Increasing heat exposure during pregnancy was associated with decreased earnings and lower educational attainment (n = 4/6), as well as worsened cardiovascular (n = 3/6), respiratory (n = 3/3), psychiatric (n = 7/12) and anthropometric (n = 2/2) outcomes, possibly culminating in increased overall mortality (n = 2/3). The effect on female infants was greater than on males in 8 of 9 studies differentiating by sex. The quality of evidence was low in respiratory and longevity outcome groups to very low in all others. Conclusions: Increasing heat exposure was associated with a multitude of detrimental outcomes across diverse body systems. The biological pathways involved are yet to be elucidated, but could include epigenetic and developmental perturbations, through interactions with the placenta and inflammation. This highlights the need for further research into the long-term effects of heat exposure, biological pathways, and possible adaptation strategies in studies, particularly in neglected regions. Heat exposure in-utero has the potential to compound existing health and social inequalities. Poor study design of the included studies constrains the conclusions of this review, with heterogenous exposure measures and outcomes rendering comparisons across contexts/studies difficult. Trial Registration: PROSPERO CRD 42019140136.&quot;,&quot;publisher&quot;:&quot;BioMed Central Ltd&quot;,&quot;issue&quot;:&quot;1&quot;,&quot;volume&quot;:&quot;24&quot;},&quot;isTemporary&quot;:false},{&quot;id&quot;:&quot;fb8127a5-0ff1-329e-8692-a5cc33077bf1&quot;,&quot;itemData&quot;:{&quot;type&quot;:&quot;article-journal&quot;,&quot;id&quot;:&quot;fb8127a5-0ff1-329e-8692-a5cc33077bf1&quot;,&quot;title&quot;:&quot;A systematic review and meta-analysis of heat exposure impacts on maternal, fetal and neonatal health.&quot;,&quot;author&quot;:[{&quot;family&quot;:&quot;Lakhoo&quot;,&quot;given&quot;:&quot;Darshnika P&quot;,&quot;parse-names&quot;:false,&quot;dropping-particle&quot;:&quot;&quot;,&quot;non-dropping-particle&quot;:&quot;&quot;},{&quot;family&quot;:&quot;Brink&quot;,&quot;given&quot;:&quot;Nicholas&quot;,&quot;parse-names&quot;:false,&quot;dropping-particle&quot;:&quot;&quot;,&quot;non-dropping-particle&quot;:&quot;&quot;},{&quot;family&quot;:&quot;Radebe&quot;,&quot;given&quot;:&quot;Lebohang&quot;,&quot;parse-names&quot;:false,&quot;dropping-particle&quot;:&quot;&quot;,&quot;non-dropping-particle&quot;:&quot;&quot;},{&quot;family&quot;:&quot;Craig&quot;,&quot;given&quot;:&quot;Marlies H&quot;,&quot;parse-names&quot;:false,&quot;dropping-particle&quot;:&quot;&quot;,&quot;non-dropping-particle&quot;:&quot;&quot;},{&quot;family&quot;:&quot;Pham&quot;,&quot;given&quot;:&quot;Minh Duc&quot;,&quot;parse-names&quot;:false,&quot;dropping-particle&quot;:&quot;&quot;,&quot;non-dropping-particle&quot;:&quot;&quot;},{&quot;family&quot;:&quot;Haghighi&quot;,&quot;given&quot;:&quot;Marjan M&quot;,&quot;parse-names&quot;:false,&quot;dropping-particle&quot;:&quot;&quot;,&quot;non-dropping-particle&quot;:&quot;&quot;},{&quot;family&quot;:&quot;Wise&quot;,&quot;given&quot;:&quot;Amy&quot;,&quot;parse-names&quot;:false,&quot;dropping-particle&quot;:&quot;&quot;,&quot;non-dropping-particle&quot;:&quot;&quot;},{&quot;family&quot;:&quot;Solarin&quot;,&quot;given&quot;:&quot;Ijeoma&quot;,&quot;parse-names&quot;:false,&quot;dropping-particle&quot;:&quot;&quot;,&quot;non-dropping-particle&quot;:&quot;&quot;},{&quot;family&quot;:&quot;Luchters&quot;,&quot;given&quot;:&quot;Stanley&quot;,&quot;parse-names&quot;:false,&quot;dropping-particle&quot;:&quot;&quot;,&quot;non-dropping-particle&quot;:&quot;&quot;},{&quot;family&quot;:&quot;Maimela&quot;,&quot;given&quot;:&quot;Gloria&quot;,&quot;parse-names&quot;:false,&quot;dropping-particle&quot;:&quot;&quot;,&quot;non-dropping-particle&quot;:&quot;&quot;},{&quot;family&quot;:&quot;Chersich&quot;,&quot;given&quot;:&quot;Matthew F&quot;,&quot;parse-names&quot;:false,&quot;dropping-particle&quot;:&quot;&quot;,&quot;non-dropping-particle&quot;:&quot;&quot;},{&quot;family&quot;:&quot;Heat-Health Study Group&quot;,&quot;given&quot;:&quot;&quot;,&quot;parse-names&quot;:false,&quot;dropping-particle&quot;:&quot;&quot;,&quot;non-dropping-particle&quot;:&quot;&quot;},{&quot;family&quot;:&quot;HIGH Horizons Study Group&quot;,&quot;given&quot;:&quot;&quot;,&quot;parse-names&quot;:false,&quot;dropping-particle&quot;:&quot;&quot;,&quot;non-dropping-particle&quot;:&quot;&quot;}],&quot;container-title&quot;:&quot;Nature medicine&quot;,&quot;container-title-short&quot;:&quot;Nat Med&quot;,&quot;DOI&quot;:&quot;10.1038/s41591-024-03395-8&quot;,&quot;ISSN&quot;:&quot;1546-170X&quot;,&quot;PMID&quot;:&quot;39500369&quot;,&quot;URL&quot;:&quot;http://www.ncbi.nlm.nih.gov/pubmed/39500369&quot;,&quot;issued&quot;:{&quot;date-parts&quot;:[[2024,11,5]]},&quot;abstract&quot;:&quot;Climate Change has severe and wide-ranging health impacts, especially for vulnerable groups. Despite growing evidence of heat-associated adverse maternal and neonatal health outcomes, there remains a lack of synthesis quantifying associations and identifying specific risk periods. We systematically reviewed the literature on heat impacts on maternal, fetal, and neonatal health, and quantified impacts through meta-analyses. We found 198 studies across66 countries, predominantly high income (63.3%) and temperature climate zones (40.1%), and 23 outcomes. Results showed increased odds of preterm birth of 1.04 (95%CI = 1.03, 1.06; n = 12) per 1°C increase in heat exposure and 1.26 (95%CI = 1.08, 1.47; n = 10) during heatwaves. Similarly high heat exposure increased the risk for stillbirths (OR = 1.13 (95%CI=0.95, 1.34; n = 9)), congenital anomalies (OR=1.48 (95%CI = 1.16, 1.88; n = 6)), and gestational diabetes mellitus (OR = 1.28 (95%CI = 1.05, 1.74; n = 4)). The odds of any obstetric complication increased by 1.25 (95%CI = 1.09, 1.42; n = 11) during heatwaves. Patterns in susceptibility windows varied by condition. The findings were limited by heterogeneity in exposure metrics and study designs. The systematic review demonstrated that escalating heat exposure poses a major threat to maternal and neonatal health, highlighting research priorities, guiding the selection and monitoring of heat-health indicators, and emphasising the need to prioritise maternal and neonatal health in national climate-health programmes.&quot;},&quot;isTemporary&quot;:false}]},{&quot;citationID&quot;:&quot;MENDELEY_CITATION_d4bcaac8-ae46-431f-abc8-97bed6412a15&quot;,&quot;properties&quot;:{&quot;noteIndex&quot;:0},&quot;isEdited&quot;:false,&quot;manualOverride&quot;:{&quot;isManuallyOverridden&quot;:false,&quot;citeprocText&quot;:&quot;(8)&quot;,&quot;manualOverrideText&quot;:&quot;&quot;},&quot;citationTag&quot;:&quot;MENDELEY_CITATION_v3_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&quot;,&quot;citationItems&quot;:[{&quot;id&quot;:&quot;28b5e1c1-b067-30a6-b078-0c805f47f2c9&quot;,&quot;itemData&quot;:{&quot;type&quot;:&quot;article-journal&quot;,&quot;id&quot;:&quot;28b5e1c1-b067-30a6-b078-0c805f47f2c9&quot;,&quot;title&quot;:&quot;Effect of heat stress in the first 1000 days of life on fetal and infant growth: a secondary analysis of the ENID randomised controlled trial&quot;,&quot;author&quot;:[{&quot;family&quot;:&quot;Bonell&quot;,&quot;given&quot;:&quot;Ana&quot;,&quot;parse-names&quot;:false,&quot;dropping-particle&quot;:&quot;&quot;,&quot;non-dropping-particle&quot;:&quot;&quot;},{&quot;family&quot;:&quot;Vicedo-Cabrera&quot;,&quot;given&quot;:&quot;Ana M.&quot;,&quot;parse-names&quot;:false,&quot;dropping-particle&quot;:&quot;&quot;,&quot;non-dropping-particle&quot;:&quot;&quot;},{&quot;family&quot;:&quot;Moirano&quot;,&quot;given&quot;:&quot;Giovenale&quot;,&quot;parse-names&quot;:false,&quot;dropping-particle&quot;:&quot;&quot;,&quot;non-dropping-particle&quot;:&quot;&quot;},{&quot;family&quot;:&quot;Sonko&quot;,&quot;given&quot;:&quot;Bakary&quot;,&quot;parse-names&quot;:false,&quot;dropping-particle&quot;:&quot;&quot;,&quot;non-dropping-particle&quot;:&quot;&quot;},{&quot;family&quot;:&quot;Jeffries&quot;,&quot;given&quot;:&quot;David&quot;,&quot;parse-names&quot;:false,&quot;dropping-particle&quot;:&quot;&quot;,&quot;non-dropping-particle&quot;:&quot;&quot;},{&quot;family&quot;:&quot;Moore&quot;,&quot;given&quot;:&quot;Sophie E.&quot;,&quot;parse-names&quot;:false,&quot;dropping-particle&quot;:&quot;&quot;,&quot;non-dropping-particle&quot;:&quot;&quot;},{&quot;family&quot;:&quot;Haines&quot;,&quot;given&quot;:&quot;Andy&quot;,&quot;parse-names&quot;:false,&quot;dropping-particle&quot;:&quot;&quot;,&quot;non-dropping-particle&quot;:&quot;&quot;},{&quot;family&quot;:&quot;Prentice&quot;,&quot;given&quot;:&quot;Andrew M.&quot;,&quot;parse-names&quot;:false,&quot;dropping-particle&quot;:&quot;&quot;,&quot;non-dropping-particle&quot;:&quot;&quot;},{&quot;family&quot;:&quot;Murray&quot;,&quot;given&quot;:&quot;Kris A.&quot;,&quot;parse-names&quot;:false,&quot;dropping-particle&quot;:&quot;&quot;,&quot;non-dropping-particle&quot;:&quot;&quot;}],&quot;container-title&quot;:&quot;The Lancet Planetary Health&quot;,&quot;container-title-short&quot;:&quot;Lancet Planet Health&quot;,&quot;DOI&quot;:&quot;10.1016/S2542-5196(24)00208-0&quot;,&quot;ISSN&quot;:&quot;25425196&quot;,&quot;issued&quot;:{&quot;date-parts&quot;:[[2024,10,1]]},&quot;page&quot;:&quot;e734-e743&quot;,&quot;abstract&quot;:&quot;Background: The intersecting crises of climate change, food insecurity, and undernutrition disproportionately affect children. Understanding the effect of heat on growth from conception to 2 years of age is important because of mortality and morbidity implications in the near term and over the life course. Methods: In this secondary analysis, we used longitudinal pregnancy cohort data from the Early Nutrition and Immunity Development (ENID) randomised controlled trial in West Kiang, The Gambia, which occurred between Jan 20, 2010, and Feb 10, 2015. The ENID trial assessed micronutrient supplementation in the first 1000 days of life starting from 20 weeks’ gestation, during which anthropometric measurements were collected prospectively. We used multivariable linear regression to assess the effect of heat stress (defined by Universal Thermal Climate Index [UTCI]) on intrauterine growth restriction based on length-for-gestational age Z score (LGAZ), weight-for-gestational age Z score (WGAZ), and head circumference-for-gestational age Z score (HCGAZ) at birth, and assessed for effect modification of supplement intervention on the relationship between heat stress and infant anthropometry. We used multivariable, multilevel linear regression to evaluate the effect of heat stress on infant growth postnatally based on weight-for-height Z score (WHZ), weight-for-age Z score (WAZ), and height-for-age Z score (HAZ) from 0 to 2 years of age. Findings: Complete data were available for 668 livebirth outcomes (329 [49%] female infants and 339 [51%] male infants). With each 1°C increase in mean daily maximum UTCI exposure, in the first trimester, we observed a reduction in WGAZ (–0·04 [95% CI –0·09 to 0·00]), whereas in the third trimester, we observed an increase in HCGAZ (0·06 [95% CI 0·00 to 0·12]), although 95% CIs included 0. Maternal protein-energy supplementation in the third trimester was associated with reduced WGAZ (–0·16 [–0·30 to –0·02]) with each 1°C increase in mean daily maximum UTCI exposure, while no effect of heat stress on WGAZ was found with either standard care (iron and folate) or multiple micronutrient supplementation. For the postnatal analysis, complete anthropometric data at 2 years were available for 645 infants (316 [49%] female infants and 329 [51%] male infants). Postnatally, heat stress effect varied by infant age, with infants aged 6–18 months being the most affected. In infants aged 12 months exposed to a mean daily UTCI of 30°C (preceding 90-day period) versus 25°C UTCI, we observed reductions in mean WHZ (–0·43 [95% CI –0·57 to –0·29]) and mean WAZ (–0·35 [95% CI –0·45 to –0·26]). We observed a marginal increase in HAZ with increasing heat stress exposure at age 6 months, but no effect at older ages. Interpretation: Our results suggest that heat stress impacts prenatal and postnatal growth up to 2 years of age but sensitivity might vary by age. In the context of a rapidly warming planet, these findings could have short-term and long-term health effects for the individual, and immediate and future implications for public child health. Funding: Wellcome Trust.&quot;,&quot;publisher&quot;:&quot;Elsevier B.V.&quot;,&quot;issue&quot;:&quot;10&quot;,&quot;volume&quot;:&quot;8&quot;},&quot;isTemporary&quot;:false}]},{&quot;citationID&quot;:&quot;MENDELEY_CITATION_ea5f1b19-5358-4d34-8da3-1347e78c70f3&quot;,&quot;properties&quot;:{&quot;noteIndex&quot;:0},&quot;isEdited&quot;:false,&quot;manualOverride&quot;:{&quot;isManuallyOverridden&quot;:false,&quot;citeprocText&quot;:&quot;(9)&quot;,&quot;manualOverrideText&quot;:&quot;&quot;},&quot;citationTag&quot;:&quot;MENDELEY_CITATION_v3_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&quot;,&quot;citationItems&quot;:[{&quot;id&quot;:&quot;b44551d4-fecd-330e-96d4-d862d52e4046&quot;,&quot;itemData&quot;:{&quot;type&quot;:&quot;article&quot;,&quot;id&quot;:&quot;b44551d4-fecd-330e-96d4-d862d52e4046&quot;,&quot;title&quot;:&quot;Effect of Elevated Ambient Temperature on Maternal, Foetal, and Neonatal Outcomes: A Scoping Review&quot;,&quot;author&quot;:[{&quot;family&quot;:&quot;Dalugoda&quot;,&quot;given&quot;:&quot;Yohani&quot;,&quot;parse-names&quot;:false,&quot;dropping-particle&quot;:&quot;&quot;,&quot;non-dropping-particle&quot;:&quot;&quot;},{&quot;family&quot;:&quot;Kuppa&quot;,&quot;given&quot;:&quot;Jyothi&quot;,&quot;parse-names&quot;:false,&quot;dropping-particle&quot;:&quot;&quot;,&quot;non-dropping-particle&quot;:&quot;&quot;},{&quot;family&quot;:&quot;Phung&quot;,&quot;given&quot;:&quot;Hai&quot;,&quot;parse-names&quot;:false,&quot;dropping-particle&quot;:&quot;&quot;,&quot;non-dropping-particle&quot;:&quot;&quot;},{&quot;family&quot;:&quot;Rutherford&quot;,&quot;given&quot;:&quot;Shannon&quot;,&quot;parse-names&quot;:false,&quot;dropping-particle&quot;:&quot;&quot;,&quot;non-dropping-particle&quot;:&quot;&quot;},{&quot;family&quot;:&quot;Phung&quot;,&quot;given&quot;:&quot;Dung&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031771&quot;,&quot;ISSN&quot;:&quot;16604601&quot;,&quot;PMID&quot;:&quot;35162797&quot;,&quot;issued&quot;:{&quot;date-parts&quot;:[[2022,2,1]]},&quot;abstract&quot;:&quot;This scoping review provides an overview of the published literature, identifies research gaps, and summarises the current evidence of the association between elevated ambient temperature exposure during pregnancy and adverse maternal, foetal, and neonatal outcomes. Following the PRISMA extension for scoping reviews reporting guidelines, a systematic search was conducted on CINAHL, PubMed, and Embase and included original articles published in the English language from 2015 to 2020 with no geographical limitations. A total of seventy-five studies were included, conducted across twenty-four countries, with a majority in the USA (n = 23) and China (n = 13). Study designs, temperature metrics, and exposure windows varied considerably across studies. Of the eighteenheat-associated adverse maternal, foetal, and neonatal outcomes identified, pre-term birth was the most common outcome (n = 30), followed by low birth weight (n = 11), stillbirth (n = 9), and gestational diabetes mellitus (n = 8). Overall, papers reported an increased risk with elevated temperature exposures. Less attention has been paid to relationships between heat and the diverse range of other adverse outcomes such as congenital anomalies and neonatal mortality. Further research on these less-reported outcomes is needed to improve understanding and the effect size of these relationships with elevated temperatures, which we know will be exacerbated by climate change.&quot;,&quot;publisher&quot;:&quot;MDPI&quot;,&quot;issue&quot;:&quot;3&quot;,&quot;volume&quot;:&quot;19&quot;},&quot;isTemporary&quot;:false}]},{&quot;citationID&quot;:&quot;MENDELEY_CITATION_03f9ede8-df07-453a-aacb-adf978c35b57&quot;,&quot;properties&quot;:{&quot;noteIndex&quot;:0},&quot;isEdited&quot;:false,&quot;manualOverride&quot;:{&quot;isManuallyOverridden&quot;:false,&quot;citeprocText&quot;:&quot;(10)&quot;,&quot;manualOverrideText&quot;:&quot;&quot;},&quot;citationTag&quot;:&quot;MENDELEY_CITATION_v3_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&quot;,&quot;citationItems&quot;:[{&quot;id&quot;:&quot;fa708202-c9e5-323a-a984-210d2cad3bed&quot;,&quot;itemData&quot;:{&quot;type&quot;:&quot;article&quot;,&quot;id&quot;:&quot;fa708202-c9e5-323a-a984-210d2cad3bed&quot;,&quot;title&quot;:&quot;Advancing the methodology of mapping reviews: A scoping review&quot;,&quot;author&quot;:[{&quot;family&quot;:&quot;Khalil&quot;,&quot;given&quot;:&quot;Hanan&quot;,&quot;parse-names&quot;:false,&quot;dropping-particle&quot;:&quot;&quot;,&quot;non-dropping-particle&quot;:&quot;&quot;},{&quot;family&quot;:&quot;Campbell&quot;,&quot;given&quot;:&quot;Fiona&quot;,&quot;parse-names&quot;:false,&quot;dropping-particle&quot;:&quot;&quot;,&quot;non-dropping-particle&quot;:&quot;&quot;},{&quot;family&quot;:&quot;Danial&quot;,&quot;given&quot;:&quot;Katrina&quot;,&quot;parse-names&quot;:false,&quot;dropping-particle&quot;:&quot;&quot;,&quot;non-dropping-particle&quot;:&quot;&quot;},{&quot;family&quot;:&quot;Pollock&quot;,&quot;given&quot;:&quot;Danielle&quot;,&quot;parse-names&quot;:false,&quot;dropping-particle&quot;:&quot;&quot;,&quot;non-dropping-particle&quot;:&quot;&quot;},{&quot;family&quot;:&quot;Munn&quot;,&quot;given&quot;:&quot;Zachary&quot;,&quot;parse-names&quot;:false,&quot;dropping-particle&quot;:&quot;&quot;,&quot;non-dropping-particle&quot;:&quot;&quot;},{&quot;family&quot;:&quot;Welsh&quot;,&quot;given&quot;:&quot;Vivian&quot;,&quot;parse-names&quot;:false,&quot;dropping-particle&quot;:&quot;&quot;,&quot;non-dropping-particle&quot;:&quot;&quot;},{&quot;family&quot;:&quot;Saran&quot;,&quot;given&quot;:&quot;Ashrita&quot;,&quot;parse-names&quot;:false,&quot;dropping-particle&quot;:&quot;&quot;,&quot;non-dropping-particle&quot;:&quot;&quot;},{&quot;family&quot;:&quot;Hoppe&quot;,&quot;given&quot;:&quot;Dimi&quot;,&quot;parse-names&quot;:false,&quot;dropping-particle&quot;:&quot;&quot;,&quot;non-dropping-particle&quot;:&quot;&quot;},{&quot;family&quot;:&quot;Tricco&quot;,&quot;given&quot;:&quot;Andrea C.&quot;,&quot;parse-names&quot;:false,&quot;dropping-particle&quot;:&quot;&quot;,&quot;non-dropping-particle&quot;:&quot;&quot;}],&quot;container-title&quot;:&quot;Research Synthesis Methods&quot;,&quot;container-title-short&quot;:&quot;Res Synth Methods&quot;,&quot;DOI&quot;:&quot;10.1002/jrsm.1694&quot;,&quot;ISSN&quot;:&quot;17592887&quot;,&quot;PMID&quot;:&quot;38169156&quot;,&quot;issued&quot;:{&quot;date-parts&quot;:[[2024,5,1]]},&quot;page&quot;:&quot;384-397&quot;,&quot;abstract&quot;:&quot;This scoping review aims to identify and systematically review published mapping reviews to assess their commonality and heterogeneity and determine whether additional efforts should be made to standardise methodology and reporting. The following databases were searched; Ovid MEDLINE, Embase, CINAHL, PsycINFO, Campbell collaboration database, Social Science Abstracts, Library and Information Science Abstracts (LISA). Following a pilot-test on a random sample of 20 citations included within title and abstracts, two team members independently completed all screening. Ten articles were piloted at full-text screening, and then each citation was reviewed independently by two team members. Discrepancies at both stages were resolved through discussion. Following a pilot-test on a random sample of five relevant full-text articles, one team member abstracted all the relevant data. Uncertainties in the data abstraction were resolved by another team member. A total of 335 articles were eligible for this scoping review and subsequently included. There was an increasing growth in the number of published mapping reviews over the years from 5 in 2010 to 73 in 2021. Moreover, there was a significant variability in reporting the included mapping reviews including their research question, priori protocol, methodology, data synthesis and reporting. This work has further highlighted the gaps in evidence synthesis methodologies. Further guidance developed by evidence synthesis organisations, such as JBI and Campbell, has the potential to clarify challenges experienced by researchers, given the magnitude of mapping reviews published every year.&quot;,&quot;publisher&quot;:&quot;John Wiley and Sons Ltd&quot;,&quot;issue&quot;:&quot;3&quot;,&quot;volume&quot;:&quot;15&quot;},&quot;isTemporary&quot;:false}]},{&quot;citationID&quot;:&quot;MENDELEY_CITATION_2f6d9a82-163f-4e1c-a9df-bb4c05ee5b64&quot;,&quot;properties&quot;:{&quot;noteIndex&quot;:0},&quot;isEdited&quot;:false,&quot;manualOverride&quot;:{&quot;isManuallyOverridden&quot;:false,&quot;citeprocText&quot;:&quot;(11)&quot;,&quot;manualOverrideText&quot;:&quot;&quot;},&quot;citationTag&quot;:&quot;MENDELEY_CITATION_v3_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&quot;,&quot;citationItems&quot;:[{&quot;id&quot;:&quot;ed072ba0-84ef-35e3-a3d4-0569e602aea2&quot;,&quot;itemData&quot;:{&quot;type&quot;:&quot;article-journal&quot;,&quot;id&quot;:&quot;ed072ba0-84ef-35e3-a3d4-0569e602aea2&quot;,&quot;title&quot;:&quot;Guidance for conducting systematic scoping reviews&quot;,&quot;author&quot;:[{&quot;family&quot;:&quot;Peters&quot;,&quot;given&quot;:&quot;Micah D.J.&quot;,&quot;parse-names&quot;:false,&quot;dropping-particle&quot;:&quot;&quot;,&quot;non-dropping-particle&quot;:&quot;&quot;},{&quot;family&quot;:&quot;Godfrey&quot;,&quot;given&quot;:&quot;Christina M.&quot;,&quot;parse-names&quot;:false,&quot;dropping-particle&quot;:&quot;&quot;,&quot;non-dropping-particle&quot;:&quot;&quot;},{&quot;family&quot;:&quot;Khalil&quot;,&quot;given&quot;:&quot;Hanan&quot;,&quot;parse-names&quot;:false,&quot;dropping-particle&quot;:&quot;&quot;,&quot;non-dropping-particle&quot;:&quot;&quot;},{&quot;family&quot;:&quot;McInerney&quot;,&quot;given&quot;:&quot;Patricia&quot;,&quot;parse-names&quot;:false,&quot;dropping-particle&quot;:&quot;&quot;,&quot;non-dropping-particle&quot;:&quot;&quot;},{&quot;family&quot;:&quot;Parker&quot;,&quot;given&quot;:&quot;Deborah&quot;,&quot;parse-names&quot;:false,&quot;dropping-particle&quot;:&quot;&quot;,&quot;non-dropping-particle&quot;:&quot;&quot;},{&quot;family&quot;:&quot;Soares&quot;,&quot;given&quot;:&quot;Cassia Baldini&quot;,&quot;parse-names&quot;:false,&quot;dropping-particle&quot;:&quot;&quot;,&quot;non-dropping-particle&quot;:&quot;&quot;}],&quot;container-title&quot;:&quot;International Journal of Evidence-Based Healthcare&quot;,&quot;container-title-short&quot;:&quot;Int J Evid Based Healthc&quot;,&quot;DOI&quot;:&quot;10.1097/XEB.0000000000000050&quot;,&quot;ISSN&quot;:&quot;17441609&quot;,&quot;PMID&quot;:&quot;26134548&quot;,&quot;issued&quot;:{&quot;date-parts&quot;:[[2015,9,1]]},&quot;page&quot;:&quot;141-146&quot;,&quot;abstract&quot;:&quot;Reviews of primary research are becoming more common as evidence-based practice gains recognition as the benchmark for care, and the number of, and access to, primary research sources has grown. One of the newer review types is the 'scoping review'. In general, scoping reviews are commonly used for 'reconnaissance' - to clarify working definitions and conceptual boundaries of a topic or field. Scoping reviews are therefore particularly useful when a body of literature has not yet been comprehensively reviewed, or exhibits a complex or heterogeneous nature not amenable to a more precise systematic review of the evidence. While scoping reviews may be conducted to determine the value and probable scope of a full systematic review, they may also be undertaken as exercises in and of themselves to summarize and disseminate research findings, to identify research gaps, and to make recommendations for the future research. This article briefly introduces the reader to scoping reviews, how they are different to systematic reviews, and why they might be conducted. The methodology and guidance for the conduct of systematic scoping reviews outlined below was developed by members of the Joanna Briggs Institute and members of five Joanna Briggs Collaborating Centres.&quot;,&quot;publisher&quot;:&quot;Lippincott Williams and Wilkins&quot;,&quot;issue&quot;:&quot;3&quot;,&quot;volume&quot;:&quot;13&quot;},&quot;isTemporary&quot;:false}]},{&quot;citationID&quot;:&quot;MENDELEY_CITATION_2cfc1af6-133c-475f-8e12-1e5d576f433b&quot;,&quot;properties&quot;:{&quot;noteIndex&quot;:0},&quot;isEdited&quot;:false,&quot;manualOverride&quot;:{&quot;isManuallyOverridden&quot;:false,&quot;citeprocText&quot;:&quot;(1)&quot;,&quot;manualOverrideText&quot;:&quot;&quot;},&quot;citationTag&quot;:&quot;MENDELEY_CITATION_v3_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&quot;,&quot;citationItems&quot;:[{&quot;id&quot;:&quot;fb8127a5-0ff1-329e-8692-a5cc33077bf1&quot;,&quot;itemData&quot;:{&quot;type&quot;:&quot;article-journal&quot;,&quot;id&quot;:&quot;fb8127a5-0ff1-329e-8692-a5cc33077bf1&quot;,&quot;title&quot;:&quot;A systematic review and meta-analysis of heat exposure impacts on maternal, fetal and neonatal health.&quot;,&quot;author&quot;:[{&quot;family&quot;:&quot;Lakhoo&quot;,&quot;given&quot;:&quot;Darshnika P&quot;,&quot;parse-names&quot;:false,&quot;dropping-particle&quot;:&quot;&quot;,&quot;non-dropping-particle&quot;:&quot;&quot;},{&quot;family&quot;:&quot;Brink&quot;,&quot;given&quot;:&quot;Nicholas&quot;,&quot;parse-names&quot;:false,&quot;dropping-particle&quot;:&quot;&quot;,&quot;non-dropping-particle&quot;:&quot;&quot;},{&quot;family&quot;:&quot;Radebe&quot;,&quot;given&quot;:&quot;Lebohang&quot;,&quot;parse-names&quot;:false,&quot;dropping-particle&quot;:&quot;&quot;,&quot;non-dropping-particle&quot;:&quot;&quot;},{&quot;family&quot;:&quot;Craig&quot;,&quot;given&quot;:&quot;Marlies H&quot;,&quot;parse-names&quot;:false,&quot;dropping-particle&quot;:&quot;&quot;,&quot;non-dropping-particle&quot;:&quot;&quot;},{&quot;family&quot;:&quot;Pham&quot;,&quot;given&quot;:&quot;Minh Duc&quot;,&quot;parse-names&quot;:false,&quot;dropping-particle&quot;:&quot;&quot;,&quot;non-dropping-particle&quot;:&quot;&quot;},{&quot;family&quot;:&quot;Haghighi&quot;,&quot;given&quot;:&quot;Marjan M&quot;,&quot;parse-names&quot;:false,&quot;dropping-particle&quot;:&quot;&quot;,&quot;non-dropping-particle&quot;:&quot;&quot;},{&quot;family&quot;:&quot;Wise&quot;,&quot;given&quot;:&quot;Amy&quot;,&quot;parse-names&quot;:false,&quot;dropping-particle&quot;:&quot;&quot;,&quot;non-dropping-particle&quot;:&quot;&quot;},{&quot;family&quot;:&quot;Solarin&quot;,&quot;given&quot;:&quot;Ijeoma&quot;,&quot;parse-names&quot;:false,&quot;dropping-particle&quot;:&quot;&quot;,&quot;non-dropping-particle&quot;:&quot;&quot;},{&quot;family&quot;:&quot;Luchters&quot;,&quot;given&quot;:&quot;Stanley&quot;,&quot;parse-names&quot;:false,&quot;dropping-particle&quot;:&quot;&quot;,&quot;non-dropping-particle&quot;:&quot;&quot;},{&quot;family&quot;:&quot;Maimela&quot;,&quot;given&quot;:&quot;Gloria&quot;,&quot;parse-names&quot;:false,&quot;dropping-particle&quot;:&quot;&quot;,&quot;non-dropping-particle&quot;:&quot;&quot;},{&quot;family&quot;:&quot;Chersich&quot;,&quot;given&quot;:&quot;Matthew F&quot;,&quot;parse-names&quot;:false,&quot;dropping-particle&quot;:&quot;&quot;,&quot;non-dropping-particle&quot;:&quot;&quot;},{&quot;family&quot;:&quot;Heat-Health Study Group&quot;,&quot;given&quot;:&quot;&quot;,&quot;parse-names&quot;:false,&quot;dropping-particle&quot;:&quot;&quot;,&quot;non-dropping-particle&quot;:&quot;&quot;},{&quot;family&quot;:&quot;HIGH Horizons Study Group&quot;,&quot;given&quot;:&quot;&quot;,&quot;parse-names&quot;:false,&quot;dropping-particle&quot;:&quot;&quot;,&quot;non-dropping-particle&quot;:&quot;&quot;}],&quot;container-title&quot;:&quot;Nature medicine&quot;,&quot;container-title-short&quot;:&quot;Nat Med&quot;,&quot;DOI&quot;:&quot;10.1038/s41591-024-03395-8&quot;,&quot;ISSN&quot;:&quot;1546-170X&quot;,&quot;PMID&quot;:&quot;39500369&quot;,&quot;URL&quot;:&quot;http://www.ncbi.nlm.nih.gov/pubmed/39500369&quot;,&quot;issued&quot;:{&quot;date-parts&quot;:[[2024,11,5]]},&quot;abstract&quot;:&quot;Climate Change has severe and wide-ranging health impacts, especially for vulnerable groups. Despite growing evidence of heat-associated adverse maternal and neonatal health outcomes, there remains a lack of synthesis quantifying associations and identifying specific risk periods. We systematically reviewed the literature on heat impacts on maternal, fetal, and neonatal health, and quantified impacts through meta-analyses. We found 198 studies across66 countries, predominantly high income (63.3%) and temperature climate zones (40.1%), and 23 outcomes. Results showed increased odds of preterm birth of 1.04 (95%CI = 1.03, 1.06; n = 12) per 1°C increase in heat exposure and 1.26 (95%CI = 1.08, 1.47; n = 10) during heatwaves. Similarly high heat exposure increased the risk for stillbirths (OR = 1.13 (95%CI=0.95, 1.34; n = 9)), congenital anomalies (OR=1.48 (95%CI = 1.16, 1.88; n = 6)), and gestational diabetes mellitus (OR = 1.28 (95%CI = 1.05, 1.74; n = 4)). The odds of any obstetric complication increased by 1.25 (95%CI = 1.09, 1.42; n = 11) during heatwaves. Patterns in susceptibility windows varied by condition. The findings were limited by heterogeneity in exposure metrics and study designs. The systematic review demonstrated that escalating heat exposure poses a major threat to maternal and neonatal health, highlighting research priorities, guiding the selection and monitoring of heat-health indicators, and emphasising the need to prioritise maternal and neonatal health in national climate-health programmes.&quot;},&quot;isTemporary&quot;:false}]},{&quot;citationID&quot;:&quot;MENDELEY_CITATION_7a3b7329-48e3-4891-a071-cf72711e56b4&quot;,&quot;properties&quot;:{&quot;noteIndex&quot;:0},&quot;isEdited&quot;:false,&quot;manualOverride&quot;:{&quot;isManuallyOverridden&quot;:false,&quot;citeprocText&quot;:&quot;(12)&quot;,&quot;manualOverrideText&quot;:&quot;&quot;},&quot;citationTag&quot;:&quot;MENDELEY_CITATION_v3_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&quot;,&quot;citationItems&quot;:[{&quot;id&quot;:&quot;eb2c3002-b7a9-3020-ad54-ff8b5e2ff54e&quot;,&quot;itemData&quot;:{&quot;type&quot;:&quot;article-journal&quot;,&quot;id&quot;:&quot;eb2c3002-b7a9-3020-ad54-ff8b5e2ff54e&quot;,&quot;title&quot;:&quot;Country-level impact of climate change on maternal and newborn health: Associations between temperature, precipitation, maternal mortality, stillbirth, and neonatal mortality in the Democratic Republic of the Congo&quot;,&quot;author&quot;:[{&quot;family&quot;:&quot;Ngongo&quot;,&quot;given&quot;:&quot;Carrie J.&quot;,&quot;parse-names&quot;:false,&quot;dropping-particle&quot;:&quot;&quot;,&quot;non-dropping-particle&quot;:&quot;&quot;},{&quot;family&quot;:&quot;Bisanzio&quot;,&quot;given&quot;:&quot;Donal&quot;,&quot;parse-names&quot;:false,&quot;dropping-particle&quot;:&quot;&quot;,&quot;non-dropping-particle&quot;:&quot;&quot;},{&quot;family&quot;:&quot;Corrigan&quot;,&quot;given&quot;:&quot;Gabriella&quot;,&quot;parse-names&quot;:false,&quot;dropping-particle&quot;:&quot;&quot;,&quot;non-dropping-particle&quot;:&quot;&quot;},{&quot;family&quot;:&quot;Angendu&quot;,&quot;given&quot;:&quot;Karl B.&quot;,&quot;parse-names&quot;:false,&quot;dropping-particle&quot;:&quot;&quot;,&quot;non-dropping-particle&quot;:&quot;&quot;},{&quot;family&quot;:&quot;Smith-Arthur&quot;,&quot;given&quot;:&quot;Alisha&quot;,&quot;parse-names&quot;:false,&quot;dropping-particle&quot;:&quot;&quot;,&quot;non-dropping-particle&quot;:&quot;&quot;},{&quot;family&quot;:&quot;Hutchinson&quot;,&quot;given&quot;:&quot;Brian&quot;,&quot;parse-names&quot;:false,&quot;dropping-particle&quot;:&quot;&quot;,&quot;non-dropping-particle&quot;:&quot;&quot;},{&quot;family&quot;:&quot;Akilimali&quot;,&quot;given&quot;:&quot;Pierre&quot;,&quot;parse-names&quot;:false,&quot;dropping-particle&quot;:&quot;&quot;,&quot;non-dropping-particle&quot;:&quot;&quot;}],&quot;container-title&quot;:&quot;Environment International&quot;,&quot;container-title-short&quot;:&quot;Environ Int&quot;,&quot;DOI&quot;:&quot;10.1016/j.envint.2025.109564&quot;,&quot;ISSN&quot;:&quot;18736750&quot;,&quot;PMID&quot;:&quot;40554223&quot;,&quot;issued&quot;:{&quot;date-parts&quot;:[[2025,8,1]]},&quot;abstract&quot;:&quot;Background: Evidence connecting extreme heat to maternal and newborn health outcomes is needed at country level, especially in tropical areas. DHIS2 (District Health Information Software 2) collects aggregated population health data by health zone in the Democratic Republic of the Congo (DRC). Methods: Drawing from DHIS2 records of 22·7 million DRC births 2018–2023, spatio-temporal modeling assessed associations between maternal mortality, stillbirth, and neonatal mortality and same-month, remotely sensed temperature, precipitation, anomalous high temperature (&gt;95th percentile), and anomalous heavy precipitation (&gt;95th percentile), controlling for month, year, remoteness, and health zone. Findings: Temperatures &gt; 34 °C and anomalous heavy precipitation were strongly associated with increases in same-month stillbirth and maternal mortality and less strongly associated with neonatal mortality. The stillbirth rate rose by 2·3/1,000 births for every degree increase above 34 °C (95% CI: 1·9; 2·5) or by 5·9/1,000 births in months &gt; 95th percentile (32·9 °C; 95% CI: 5·1; 6·7). Maternal mortality rose by 27·3 deaths/100,000 live births for every degree increase above 34 °C (95% CI: 19·1; 35·7) or by 95·3 deaths/100,000 live births in months &gt; 95th percentile (95% CI: 71·3; 119·4). Months with anomalous heavy precipitation were associated with an increase of 5·4 stillbirths/1,000 births (95% CI: 4·8; 6·2) and with 120 maternal deaths/100,000 live births (95% CI: 100·9; 139·5). Interpretation: DHIS2 data offer a readily available opportunity to assess associations between climate and country-level population health outcomes. Further work is needed to hone and evaluate effective approaches that protect mothers and newborns in the face of projected warming and rainfall changes. Risk-based planning, geographic targeting, and stakeholder coordination will support appropriate, context-specific responses.&quot;,&quot;publisher&quot;:&quot;Elsevier Ltd&quot;,&quot;volume&quot;:&quot;202&quot;},&quot;isTemporary&quot;:false}]},{&quot;citationID&quot;:&quot;MENDELEY_CITATION_a524ebf7-a3fc-4256-b9ec-f86c0b1bcb35&quot;,&quot;properties&quot;:{&quot;noteIndex&quot;:0},&quot;isEdited&quot;:false,&quot;manualOverride&quot;:{&quot;isManuallyOverridden&quot;:false,&quot;citeprocText&quot;:&quot;(13–17)&quot;,&quot;manualOverrideText&quot;:&quot;&quot;},&quot;citationTag&quot;:&quot;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&quot;,&quot;citationItems&quot;:[{&quot;id&quot;:&quot;e4b10673-4515-3a94-b030-70c0ab7f3fcd&quot;,&quot;itemData&quot;:{&quot;type&quot;:&quot;report&quot;,&quot;id&quot;:&quot;e4b10673-4515-3a94-b030-70c0ab7f3fcd&quot;,&quot;title&quot;:&quot;Estimating the burden of temperature-related low birthweight attributable to anthropogenic climate change in low-income and middle-income countries: a retrospective, multicentre, epidemiological study&quot;,&quot;author&quot;:[{&quot;family&quot;:&quot;Zhu&quot;,&quot;given&quot;:&quot;Z MS&quot;,&quot;parse-names&quot;:false,&quot;dropping-particle&quot;:&quot;&quot;,&quot;non-dropping-particle&quot;:&quot;&quot;},{&quot;family&quot;:&quot;Chen MPH&quot;,&quot;given&quot;:&quot;X&quot;,&quot;parse-names&quot;:false,&quot;dropping-particle&quot;:&quot;&quot;,&quot;non-dropping-particle&quot;:&quot;&quot;},{&quot;family&quot;:&quot;Wang&quot;,&quot;given&quot;:&quot;H MS&quot;,&quot;parse-names&quot;:false,&quot;dropping-particle&quot;:&quot;&quot;,&quot;non-dropping-particle&quot;:&quot;&quot;},{&quot;family&quot;:&quot;Wulayin&quot;,&quot;given&quot;:&quot;M MS&quot;,&quot;parse-names&quot;:false,&quot;dropping-particle&quot;:&quot;&quot;,&quot;non-dropping-particle&quot;:&quot;&quot;},{&quot;family&quot;:&quot;Wang&quot;,&quot;given&quot;:&quot;Q&quot;,&quot;parse-names&quot;:false,&quot;dropping-particle&quot;:&quot;&quot;,&quot;non-dropping-particle&quot;:&quot;&quot;},{&quot;family&quot;:&quot;Zhang&quot;,&quot;given&quot;:&quot;T&quot;,&quot;parse-names&quot;:false,&quot;dropping-particle&quot;:&quot;&quot;,&quot;non-dropping-particle&quot;:&quot;&quot;},{&quot;family&quot;:&quot;Yang&quot;,&quot;given&quot;:&quot;S&quot;,&quot;parse-names&quot;:false,&quot;dropping-particle&quot;:&quot;&quot;,&quot;non-dropping-particle&quot;:&quot;&quot;},{&quot;family&quot;:&quot;Xu&quot;,&quot;given&quot;:&quot;L&quot;,&quot;parse-names&quot;:false,&quot;dropping-particle&quot;:&quot;&quot;,&quot;non-dropping-particle&quot;:&quot;&quot;},{&quot;family&quot;:&quot;Wang&quot;,&quot;given&quot;:&quot;Qiong&quot;,&quot;parse-names&quot;:false,&quot;dropping-particle&quot;:&quot;&quot;,&quot;non-dropping-particle&quot;:&quot;&quot;},{&quot;family&quot;:&quot;Zhu&quot;,&quot;given&quot;:&quot;Zhenghong&quot;,&quot;parse-names&quot;:false,&quot;dropping-particle&quot;:&quot;&quot;,&quot;non-dropping-particle&quot;:&quot;&quot;},{&quot;family&quot;:&quot;Zhang&quot;,&quot;given&quot;:&quot;Tuantuan&quot;,&quot;parse-names&quot;:false,&quot;dropping-particle&quot;:&quot;&quot;,&quot;non-dropping-particle&quot;:&quot;&quot;},{&quot;family&quot;:&quot;Benmarhnia&quot;,&quot;given&quot;:&quot;Tarik&quot;,&quot;parse-names&quot;:false,&quot;dropping-particle&quot;:&quot;&quot;,&quot;non-dropping-particle&quot;:&quot;&quot;},{&quot;family&quot;:&quot;Chen&quot;,&quot;given&quot;:&quot;Xin&quot;,&quot;parse-names&quot;:false,&quot;dropping-particle&quot;:&quot;&quot;,&quot;non-dropping-particle&quot;:&quot;&quot;},{&quot;family&quot;:&quot;Wang&quot;,&quot;given&quot;:&quot;Huailin&quot;,&quot;parse-names&quot;:false,&quot;dropping-particle&quot;:&quot;&quot;,&quot;non-dropping-particle&quot;:&quot;&quot;},{&quot;family&quot;:&quot;Wulayin&quot;,&quot;given&quot;:&quot;Maimaitiminjiang&quot;,&quot;parse-names&quot;:false,&quot;dropping-particle&quot;:&quot;&quot;,&quot;non-dropping-particle&quot;:&quot;&quot;},{&quot;family&quot;:&quot;Knibbs&quot;,&quot;given&quot;:&quot;Luke D&quot;,&quot;parse-names&quot;:false,&quot;dropping-particle&quot;:&quot;&quot;,&quot;non-dropping-particle&quot;:&quot;&quot;},{&quot;family&quot;:&quot;Yang&quot;,&quot;given&quot;:&quot;Song&quot;,&quot;parse-names&quot;:false,&quot;dropping-particle&quot;:&quot;&quot;,&quot;non-dropping-particle&quot;:&quot;&quot;},{&quot;family&quot;:&quot;Xu&quot;,&quot;given&quot;:&quot;Lianlian&quot;,&quot;parse-names&quot;:false,&quot;dropping-particle&quot;:&quot;&quot;,&quot;non-dropping-particle&quot;:&quot;&quot;},{&quot;family&quot;:&quot;Huang&quot;,&quot;given&quot;:&quot;Cunrui&quot;,&quot;parse-names&quot;:false,&quot;dropping-particle&quot;:&quot;&quot;,&quot;non-dropping-particle&quot;:&quot;&quot;}],&quot;container-title&quot;:&quot;Articles Lancet Planet Health&quot;,&quot;URL&quot;:&quot;www.thelancet.com/&quot;,&quot;issued&quot;:{&quot;date-parts&quot;:[[2024]]},&quot;abstract&quot;:&quot;Background Pregnant individuals are particularly susceptible to non-optimal temperatures due to their physiological status. Moreover, pregnancy is a crucial period for programming fetal health. Quantifying the impact of non-optimal temperature exposure and the contribution of anthropogenic climate change is crucial for mitigating and adapting to climate-related health risks. However, this has not been thoroughly studied in pregnant individuals in low-income and middle-income countries (LMICs).&quot;,&quot;container-title-short&quot;:&quot;&quot;},&quot;isTemporary&quot;:false},{&quot;id&quot;:&quot;4b24afca-6b6e-38b6-8a32-dbc2e59f94f9&quot;,&quot;itemData&quot;:{&quot;type&quot;:&quot;article-journal&quot;,&quot;id&quot;:&quot;4b24afca-6b6e-38b6-8a32-dbc2e59f94f9&quot;,&quot;title&quot;:&quot;Temperature-related neonatal deaths attributable to climate change in 29 low- and middle-income countries&quot;,&quot;author&quot;:[{&quot;family&quot;:&quot;Dimitrova&quot;,&quot;given&quot;:&quot;Asya&quot;,&quot;parse-names&quot;:false,&quot;dropping-particle&quot;:&quot;&quot;,&quot;non-dropping-particle&quot;:&quot;&quot;},{&quot;family&quot;:&quot;Dimitrova&quot;,&quot;given&quot;:&quot;Anna&quot;,&quot;parse-names&quot;:false,&quot;dropping-particle&quot;:&quot;&quot;,&quot;non-dropping-particle&quot;:&quot;&quot;},{&quot;family&quot;:&quot;Mengel&quot;,&quot;given&quot;:&quot;Matthias&quot;,&quot;parse-names&quot;:false,&quot;dropping-particle&quot;:&quot;&quot;,&quot;non-dropping-particle&quot;:&quot;&quot;},{&quot;family&quot;:&quot;Gasparrini&quot;,&quot;given&quot;:&quot;Antonio&quot;,&quot;parse-names&quot;:false,&quot;dropping-particle&quot;:&quot;&quot;,&quot;non-dropping-particle&quot;:&quot;&quot;},{&quot;family&quot;:&quot;Lotze-Campen&quot;,&quot;given&quot;:&quot;Hermann&quot;,&quot;parse-names&quot;:false,&quot;dropping-particle&quot;:&quot;&quot;,&quot;non-dropping-particle&quot;:&quot;&quot;},{&quot;family&quot;:&quot;Gabrysch&quot;,&quot;given&quot;:&quot;Sabine&quot;,&quot;parse-names&quot;:false,&quot;dropping-particle&quot;:&quot;&quot;,&quot;non-dropping-particle&quot;:&quot;&quot;}],&quot;container-title&quot;:&quot;Nature Communications&quot;,&quot;container-title-short&quot;:&quot;Nat Commun&quot;,&quot;DOI&quot;:&quot;10.1038/s41467-024-49890-x&quot;,&quot;ISSN&quot;:&quot;20411723&quot;,&quot;PMID&quot;:&quot;38951496&quot;,&quot;issued&quot;:{&quot;date-parts&quot;:[[2024,12,1]]},&quot;abstract&quot;:&quot;Exposure to high and low ambient temperatures increases the risk of neonatal mortality, but the contribution of climate change to temperature-related neonatal deaths is unknown. We use Demographic and Health Survey (DHS) data (n = 40,073) from 29 low- and middle-income countries to estimate the temperature-related burden of neonatal deaths between 2001 and 2019 that is attributable to climate change. We find that across all countries, 4.3% of neonatal deaths were associated with non-optimal temperatures. Climate change was responsible for 32% (range: 19-79%) of heat-related neonatal deaths, while reducing the respective cold-related burden by 30% (range: 10-63%). Climate change has impacted temperature-related neonatal deaths in all study countries, with most pronounced climate-induced losses from increased heat and gains from decreased cold observed in countries in sub-Saharan Africa. Future increases in global mean temperatures are expected to exacerbate the heat-related burden, which calls for ambitious mitigation and adaptation measures to safeguard the health of newborns.&quot;,&quot;publisher&quot;:&quot;Nature Research&quot;,&quot;issue&quot;:&quot;1&quot;,&quot;volume&quot;:&quot;15&quot;},&quot;isTemporary&quot;:false},{&quot;id&quot;:&quot;86b67f56-9819-3434-a972-be35ff312a8f&quot;,&quot;itemData&quot;:{&quot;type&quot;:&quot;article-journal&quot;,&quot;id&quot;:&quot;86b67f56-9819-3434-a972-be35ff312a8f&quot;,&quot;title&quot;:&quot;A time-stratified, case–crossover study of heat exposure and perinatal mortality from 16 hospitals in sub-Saharan Africa&quot;,&quot;author&quot;:[{&quot;family&quot;:&quot;Hanson&quot;,&quot;given&quot;:&quot;Claudia&quot;,&quot;parse-names&quot;:false,&quot;dropping-particle&quot;:&quot;&quot;,&quot;non-dropping-particle&quot;:&quot;&quot;},{&quot;family&quot;:&quot;Bont&quot;,&quot;given&quot;:&quot;Jeroen&quot;,&quot;parse-names&quot;:false,&quot;dropping-particle&quot;:&quot;&quot;,&quot;non-dropping-particle&quot;:&quot;de&quot;},{&quot;family&quot;:&quot;Annerstedt&quot;,&quot;given&quot;:&quot;Kristi Sidney&quot;,&quot;parse-names&quot;:false,&quot;dropping-particle&quot;:&quot;&quot;,&quot;non-dropping-particle&quot;:&quot;&quot;},{&quot;family&quot;:&quot;Alsina&quot;,&quot;given&quot;:&quot;Maria del Rosario&quot;,&quot;parse-names&quot;:false,&quot;dropping-particle&quot;:&quot;&quot;,&quot;non-dropping-particle&quot;:&quot;&quot;},{&quot;family&quot;:&quot;Nobile&quot;,&quot;given&quot;:&quot;Federica&quot;,&quot;parse-names&quot;:false,&quot;dropping-particle&quot;:&quot;&quot;,&quot;non-dropping-particle&quot;:&quot;&quot;},{&quot;family&quot;:&quot;Roos&quot;,&quot;given&quot;:&quot;Nathalie&quot;,&quot;parse-names&quot;:false,&quot;dropping-particle&quot;:&quot;&quot;,&quot;non-dropping-particle&quot;:&quot;&quot;},{&quot;family&quot;:&quot;Waiswa&quot;,&quot;given&quot;:&quot;Peter&quot;,&quot;parse-names&quot;:false,&quot;dropping-particle&quot;:&quot;&quot;,&quot;non-dropping-particle&quot;:&quot;&quot;},{&quot;family&quot;:&quot;Pembe&quot;,&quot;given&quot;:&quot;Andrea&quot;,&quot;parse-names&quot;:false,&quot;dropping-particle&quot;:&quot;&quot;,&quot;non-dropping-particle&quot;:&quot;&quot;},{&quot;family&quot;:&quot;Dossou&quot;,&quot;given&quot;:&quot;Jean Paul&quot;,&quot;parse-names&quot;:false,&quot;dropping-particle&quot;:&quot;&quot;,&quot;non-dropping-particle&quot;:&quot;&quot;},{&quot;family&quot;:&quot;Chipeta&quot;,&quot;given&quot;:&quot;Effie&quot;,&quot;parse-names&quot;:false,&quot;dropping-particle&quot;:&quot;&quot;,&quot;non-dropping-particle&quot;:&quot;&quot;},{&quot;family&quot;:&quot;Benova&quot;,&quot;given&quot;:&quot;Lenka&quot;,&quot;parse-names&quot;:false,&quot;dropping-particle&quot;:&quot;&quot;,&quot;non-dropping-particle&quot;:&quot;&quot;},{&quot;family&quot;:&quot;Kidanto&quot;,&quot;given&quot;:&quot;Hussein&quot;,&quot;parse-names&quot;:false,&quot;dropping-particle&quot;:&quot;&quot;,&quot;non-dropping-particle&quot;:&quot;&quot;},{&quot;family&quot;:&quot;Part&quot;,&quot;given&quot;:&quot;Cherie&quot;,&quot;parse-names&quot;:false,&quot;dropping-particle&quot;:&quot;&quot;,&quot;non-dropping-particle&quot;:&quot;&quot;},{&quot;family&quot;:&quot;Stafoggia&quot;,&quot;given&quot;:&quot;Massimo&quot;,&quot;parse-names&quot;:false,&quot;dropping-particle&quot;:&quot;&quot;,&quot;non-dropping-particle&quot;:&quot;&quot;},{&quot;family&quot;:&quot;Filippi&quot;,&quot;given&quot;:&quot;Veronique&quot;,&quot;parse-names&quot;:false,&quot;dropping-particle&quot;:&quot;&quot;,&quot;non-dropping-particle&quot;:&quot;&quot;},{&quot;family&quot;:&quot;Ljungman&quot;,&quot;given&quot;:&quot;Petter&quot;,&quot;parse-names&quot;:false,&quot;dropping-particle&quot;:&quot;&quot;,&quot;non-dropping-particle&quot;:&quot;&quot;}],&quot;container-title&quot;:&quot;Nature Medicine&quot;,&quot;container-title-short&quot;:&quot;Nat Med&quot;,&quot;DOI&quot;:&quot;10.1038/s41591-024-03245-7&quot;,&quot;ISSN&quot;:&quot;1546170X&quot;,&quot;PMID&quot;:&quot;39227446&quot;,&quot;issued&quot;:{&quot;date-parts&quot;:[[2024,11,1]]},&quot;page&quot;:&quot;3106-3113&quot;,&quot;abstract&quot;:&quot;Growing evidence suggests that extreme heat events affect both pregnant women and their infants, but few studies are available from sub-Saharan Africa. Using data from 138,015 singleton births in 16 hospitals in Benin, Malawi, Tanzania and Uganda, we investigated the association between extreme heat and early perinatal deaths, including antepartum and intrapartum stillbirths, and deaths within 24 h after birth using a time-stratified case–crossover design. We observed an association between an increase from the 75th to the 99th percentile in mean temperature 1 week (lag 0–6 d) before childbirth and perinatal mortality (odds ratio (OR) = 1.34 (95% confidence interval (CI) 1.01–1.78)). The estimates for stillbirths were similarly positive, but CIs included unity: OR = 1.29 (95% CI 0.95–1.77) for all stillbirths, OR = 1.18 (95% CI 0.71–1.95) for antepartum stillbirths and OR = 1.64 (95% CI 0.74–3.63) for intrapartum stillbirths. The cumulative exposure–response curve suggested that the steepest slopes for heat for intrapartum stillbirths and associations were stronger during the hottest seasons. We conclude that short-term heat exposure may increase mortality risks, particularly for intrapartum stillbirths, raising the importance of improved intrapartum care.&quot;,&quot;publisher&quot;:&quot;Nature Research&quot;,&quot;issue&quot;:&quot;11&quot;,&quot;volume&quot;:&quot;30&quot;},&quot;isTemporary&quot;:false},{&quot;id&quot;:&quot;658e34de-5f5e-3f05-9110-fd21362c4043&quot;,&quot;itemData&quot;:{&quot;type&quot;:&quot;article-journal&quot;,&quot;id&quot;:&quot;658e34de-5f5e-3f05-9110-fd21362c4043&quot;,&quot;title&quot;:&quot;Extreme heat, preterm birth, and stillbirth: A global analysis across 14 lower-middle income countries&quot;,&quot;author&quot;:[{&quot;family&quot;:&quot;McElroy&quot;,&quot;given&quot;:&quot;Sara&quot;,&quot;parse-names&quot;:false,&quot;dropping-particle&quot;:&quot;&quot;,&quot;non-dropping-particle&quot;:&quot;&quot;},{&quot;family&quot;:&quot;Ilango&quot;,&quot;given&quot;:&quot;Sindana&quot;,&quot;parse-names&quot;:false,&quot;dropping-particle&quot;:&quot;&quot;,&quot;non-dropping-particle&quot;:&quot;&quot;},{&quot;family&quot;:&quot;Dimitrova&quot;,&quot;given&quot;:&quot;Anna&quot;,&quot;parse-names&quot;:false,&quot;dropping-particle&quot;:&quot;&quot;,&quot;non-dropping-particle&quot;:&quot;&quot;},{&quot;family&quot;:&quot;Gershunov&quot;,&quot;given&quot;:&quot;Alexander&quot;,&quot;parse-names&quot;:false,&quot;dropping-particle&quot;:&quot;&quot;,&quot;non-dropping-particle&quot;:&quot;&quot;},{&quot;family&quot;:&quot;Benmarhnia&quot;,&quot;given&quot;:&quot;Tarik&quot;,&quot;parse-names&quot;:false,&quot;dropping-particle&quot;:&quot;&quot;,&quot;non-dropping-particle&quot;:&quot;&quot;}],&quot;container-title&quot;:&quot;Environment International&quot;,&quot;container-title-short&quot;:&quot;Environ Int&quot;,&quot;DOI&quot;:&quot;10.1016/j.envint.2021.106902&quot;,&quot;ISSN&quot;:&quot;18736750&quot;,&quot;PMID&quot;:&quot;34627013&quot;,&quot;issued&quot;:{&quot;date-parts&quot;:[[2022,1,1]]},&quot;abstract&quot;:&quot;Stillbirths and complications from preterm birth are two of the leading causes of neonatal deaths across the globe. Lower- to middle-income countries (LMICs) are experiencing some of the highest rates of these adverse birth outcomes. Research has suggested that environmental determinants, such as extreme heat, can increase the risk of preterm birth and stillbirth. Under climate change, extreme heat events have become more severe and frequent and are occurring in differential seasonal patterns. Little is known about how extreme heat affects the risk of preterm birth and stillbirth in LMICs. Thus, it is imperative to examine how exposure to extreme heat affects adverse birth outcomes in regions with some of the highest rates of preterm and stillbirths. Most of the evidence linking extreme heat and adverse birth outcomes has been generated from high-income countries (HICs) notably because measuring temperature in LMICs has proven challenging due to the scarcity of ground monitors. The paucity of health data has been an additional obstacle to study this relationship in LMICs. In this study, globally gridded meteorological data was linked with spatially and temporally resolved Demographic and Health Surveys (DHS) data on adverse birth outcomes. A global analysis of 14 LMICs was conducted per a pooled time-stratified case-crossover design with distributed-lag nonlinear models to ascertain the relationship between acute exposure to extreme heat and PTB and stillbirths. We notably found that experiencing higher maximum temperatures and smaller diurnal temperature range during the last week before birth increased the risk of preterm birth and stillbirth. This study is the first global assessment of extreme heat events and adverse birth outcomes and builds the evidence base for LMICs.&quot;,&quot;publisher&quot;:&quot;Elsevier Ltd&quot;,&quot;volume&quot;:&quot;158&quot;},&quot;isTemporary&quot;:false},{&quot;id&quot;:&quot;32ddf4b2-7b7c-3343-8428-8d27356b629a&quot;,&quot;itemData&quot;:{&quot;type&quot;:&quot;article-journal&quot;,&quot;id&quot;:&quot;32ddf4b2-7b7c-3343-8428-8d27356b629a&quot;,&quot;title&quot;:&quot;Associations between ambient temperature and pregnancy outcomes from three south Asian sites of the Global Network Maternal Newborn Health Registry: A retrospective cohort study&quot;,&quot;author&quot;:[{&quot;family&quot;:&quot;Shankar&quot;,&quot;given&quot;:&quot;Kartik&quot;,&quot;parse-names&quot;:false,&quot;dropping-particle&quot;:&quot;&quot;,&quot;non-dropping-particle&quot;:&quot;&quot;},{&quot;family&quot;:&quot;Hwang&quot;,&quot;given&quot;:&quot;Kay&quot;,&quot;parse-names&quot;:false,&quot;dropping-particle&quot;:&quot;&quot;,&quot;non-dropping-particle&quot;:&quot;&quot;},{&quot;family&quot;:&quot;Westcott&quot;,&quot;given&quot;:&quot;Jamie L.&quot;,&quot;parse-names&quot;:false,&quot;dropping-particle&quot;:&quot;&quot;,&quot;non-dropping-particle&quot;:&quot;&quot;},{&quot;family&quot;:&quot;Saleem&quot;,&quot;given&quot;:&quot;Sarah&quot;,&quot;parse-names&quot;:false,&quot;dropping-particle&quot;:&quot;&quot;,&quot;non-dropping-particle&quot;:&quot;&quot;},{&quot;family&quot;:&quot;Ali&quot;,&quot;given&quot;:&quot;Sumera A.&quot;,&quot;parse-names&quot;:false,&quot;dropping-particle&quot;:&quot;&quot;,&quot;non-dropping-particle&quot;:&quot;&quot;},{&quot;family&quot;:&quot;Jessani&quot;,&quot;given&quot;:&quot;Saleem&quot;,&quot;parse-names&quot;:false,&quot;dropping-particle&quot;:&quot;&quot;,&quot;non-dropping-particle&quot;:&quot;&quot;},{&quot;family&quot;:&quot;Patel&quot;,&quot;given&quot;:&quot;Archana&quot;,&quot;parse-names&quot;:false,&quot;dropping-particle&quot;:&quot;&quot;,&quot;non-dropping-particle&quot;:&quot;&quot;},{&quot;family&quot;:&quot;Kavi&quot;,&quot;given&quot;:&quot;Avinash&quot;,&quot;parse-names&quot;:false,&quot;dropping-particle&quot;:&quot;&quot;,&quot;non-dropping-particle&quot;:&quot;&quot;},{&quot;family&quot;:&quot;Somannavar&quot;,&quot;given&quot;:&quot;Manjunath S.&quot;,&quot;parse-names&quot;:false,&quot;dropping-particle&quot;:&quot;&quot;,&quot;non-dropping-particle&quot;:&quot;&quot;},{&quot;family&quot;:&quot;Goudar&quot;,&quot;given&quot;:&quot;Shivaprasad S.&quot;,&quot;parse-names&quot;:false,&quot;dropping-particle&quot;:&quot;&quot;,&quot;non-dropping-particle&quot;:&quot;&quot;},{&quot;family&quot;:&quot;Hibberd&quot;,&quot;given&quot;:&quot;Patricia L.&quot;,&quot;parse-names&quot;:false,&quot;dropping-particle&quot;:&quot;&quot;,&quot;non-dropping-particle&quot;:&quot;&quot;},{&quot;family&quot;:&quot;Derman&quot;,&quot;given&quot;:&quot;Richard J.&quot;,&quot;parse-names&quot;:false,&quot;dropping-particle&quot;:&quot;&quot;,&quot;non-dropping-particle&quot;:&quot;&quot;},{&quot;family&quot;:&quot;Hoffman&quot;,&quot;given&quot;:&quot;Matthew&quot;,&quot;parse-names&quot;:false,&quot;dropping-particle&quot;:&quot;&quot;,&quot;non-dropping-particle&quot;:&quot;&quot;},{&quot;family&quot;:&quot;Wylie&quot;,&quot;given&quot;:&quot;Blair J.&quot;,&quot;parse-names&quot;:false,&quot;dropping-particle&quot;:&quot;&quot;,&quot;non-dropping-particle&quot;:&quot;&quot;},{&quot;family&quot;:&quot;Goldenberg&quot;,&quot;given&quot;:&quot;Robert L.&quot;,&quot;parse-names&quot;:false,&quot;dropping-particle&quot;:&quot;&quot;,&quot;non-dropping-particle&quot;:&quot;&quot;},{&quot;family&quot;:&quot;Thorsten&quot;,&quot;given&quot;:&quot;Vanessa R.&quot;,&quot;parse-names&quot;:false,&quot;dropping-particle&quot;:&quot;&quot;,&quot;non-dropping-particle&quot;:&quot;&quot;},{&quot;family&quot;:&quot;McClure&quot;,&quot;given&quot;:&quot;Elizabeth M.&quot;,&quot;parse-names&quot;:false,&quot;dropping-particle&quot;:&quot;&quot;,&quot;non-dropping-particle&quot;:&quot;&quot;},{&quot;family&quot;:&quot;Krebs&quot;,&quot;given&quot;:&quot;Nancy F.&quot;,&quot;parse-names&quot;:false,&quot;dropping-particle&quot;:&quot;&quot;,&quot;non-dropping-particle&quot;:&quot;&quot;}],&quot;container-title&quot;:&quot;BJOG: An International Journal of Obstetrics and Gynaecology&quot;,&quot;container-title-short&quot;:&quot;BJOG&quot;,&quot;DOI&quot;:&quot;10.1111/1471-0528.17616&quot;,&quot;ISSN&quot;:&quot;14710528&quot;,&quot;PMID&quot;:&quot;37581948&quot;,&quot;issued&quot;:{&quot;date-parts&quot;:[[2023,11,1]]},&quot;page&quot;:&quot;124-133&quot;,&quot;abstract&quot;:&quot;Objective: Growing evidence suggests that environmental heat stress negatively influences fetal growth and pregnancy outcomes. However, few studies have examined the impact of heat stress on pregnancy outcomes in low-resource settings. We combined data from a large multi-country maternal–child health registry and meteorological data to assess the impacts of heat stress. Design: Retrospective cohort study. Setting: Three sites based in south Asia as part of the Global Network for Women's and Children's Health research in India (Belagavi and Nagpur) and Pakistan (Thatta). Population or Sample: Data from women enrolled between 2014 and 2020 in the Global Network's Maternal Newborn Health Registry (MNHR), a prospective, population-based registry of pregnancies, were used. Methods: A total of 126 273 pregnant women were included in this analysis. Daily maximal air temperatures (Tmax) were acquired from local meteorological records. Associations between averages of daily maximal temperatures for each trimester and main outcomes were analysed using a modified Poisson regression approach. Main outcomes measures: Incidence of stillbirth, preterm birth, low birthweight (&lt;2500 g) or evidence of pregnancy hypertension or pre-eclampsia. Results: In the overall cohort, risk of preterm birth was positively associated with greater temperature in the second trimester (relative risk [RR] 1.05, 95% CI 1.02–1.07, p = 0.0002). Among individual sites, the risk of preterm birth was greatest in Nagpur (RR 1.07, 95% CI 1.03–1.11, p = 0.0005) and associated with second-trimester temperature. The overall risk of low birthweight was associated with ambient temperature in second trimester (RR 1.02, 95% CI 1.01–1.04, p = 0.01). The risk for LBW was associated with first-trimester heat in Thatta and with second-trimester heat in Nagpur. Finally, the overall risk of gestational hypertensive disease was associated with greater temperature in the third trimester among all sites (RR 1.07, 95% CI 1.02–1.12, p = 0.005) and was particularly significant for Nagpur (RR 1.13, 95% CI 1.05–1.23, p = 0.002). These findings highlight the increased risk of detrimental obstetric and neonatal outcomes with greater temperature. Conclusion: In a multi-country, community-based study, greater risk of adverse outcomes was observed with increasing temperature. The study highlights the need for deeper understanding of covarying factors and intervention strategies, especially in regions where high temperatures are common.&quot;,&quot;publisher&quot;:&quot;John Wiley and Sons Inc&quot;,&quot;issue&quot;:&quot;S3&quot;,&quot;volume&quot;:&quot;130&quot;},&quot;isTemporary&quot;:false}]},{&quot;citationID&quot;:&quot;MENDELEY_CITATION_6b8cac3b-6d10-4732-b17f-512223160da0&quot;,&quot;properties&quot;:{&quot;noteIndex&quot;:0},&quot;isEdited&quot;:false,&quot;manualOverride&quot;:{&quot;isManuallyOverridden&quot;:false,&quot;citeprocText&quot;:&quot;(18)&quot;,&quot;manualOverrideText&quot;:&quot;&quot;},&quot;citationTag&quot;:&quot;MENDELEY_CITATION_v3_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&quot;,&quot;citationItems&quot;:[{&quot;id&quot;:&quot;4c5ee1c2-dfce-37b7-ae32-60dbba97ad48&quot;,&quot;itemData&quot;:{&quot;type&quot;:&quot;article-journal&quot;,&quot;id&quot;:&quot;4c5ee1c2-dfce-37b7-ae32-60dbba97ad48&quot;,&quot;title&quot;:&quot;Low and high ambient temperatures during pregnancy and birth weight among 624,940 singleton term births in israel (2010–2014): An investigation of potential windows of susceptibility&quot;,&quot;author&quot;:[{&quot;family&quot;:&quot;Basagaña&quot;,&quot;given&quot;:&quot;Xavier&quot;,&quot;parse-names&quot;:false,&quot;dropping-particle&quot;:&quot;&quot;,&quot;non-dropping-particle&quot;:&quot;&quot;},{&quot;family&quot;:&quot;Michael&quot;,&quot;given&quot;:&quot;Yaron&quot;,&quot;parse-names&quot;:false,&quot;dropping-particle&quot;:&quot;&quot;,&quot;non-dropping-particle&quot;:&quot;&quot;},{&quot;family&quot;:&quot;Lensky&quot;,&quot;given&quot;:&quot;Itamar M.&quot;,&quot;parse-names&quot;:false,&quot;dropping-particle&quot;:&quot;&quot;,&quot;non-dropping-particle&quot;:&quot;&quot;},{&quot;family&quot;:&quot;Rubin&quot;,&quot;given&quot;:&quot;Lisa&quot;,&quot;parse-names&quot;:false,&quot;dropping-particle&quot;:&quot;&quot;,&quot;non-dropping-particle&quot;:&quot;&quot;},{&quot;family&quot;:&quot;Grotto&quot;,&quot;given&quot;:&quot;Itamar&quot;,&quot;parse-names&quot;:false,&quot;dropping-particle&quot;:&quot;&quot;,&quot;non-dropping-particle&quot;:&quot;&quot;},{&quot;family&quot;:&quot;Vadislavsky&quot;,&quot;given&quot;:&quot;Elyakom&quot;,&quot;parse-names&quot;:false,&quot;dropping-particle&quot;:&quot;&quot;,&quot;non-dropping-particle&quot;:&quot;&quot;},{&quot;family&quot;:&quot;Levi&quot;,&quot;given&quot;:&quot;Yoav&quot;,&quot;parse-names&quot;:false,&quot;dropping-particle&quot;:&quot;&quot;,&quot;non-dropping-particle&quot;:&quot;&quot;},{&quot;family&quot;:&quot;Amitai&quot;,&quot;given&quot;:&quot;Eyal&quot;,&quot;parse-names&quot;:false,&quot;dropping-particle&quot;:&quot;&quot;,&quot;non-dropping-particle&quot;:&quot;&quot;},{&quot;family&quot;:&quot;Agay-Shay&quot;,&quot;given&quot;:&quot;Keren&quot;,&quot;parse-names&quot;:false,&quot;dropping-particle&quot;:&quot;&quot;,&quot;non-dropping-particle&quot;:&quot;&quot;}],&quot;container-title&quot;:&quot;Environmental Health Perspectives&quot;,&quot;container-title-short&quot;:&quot;Environ Health Perspect&quot;,&quot;DOI&quot;:&quot;10.1289/EHP8117&quot;,&quot;ISSN&quot;:&quot;15529924&quot;,&quot;PMID&quot;:&quot;34643443&quot;,&quot;issued&quot;:{&quot;date-parts&quot;:[[2021,10,1]]},&quot;abstract&quot;:&quot;BACKGROUND: Exposure to heat during pregnancy has been associated with reduced fetal growth. Less is known about associations with cold and the potential for critical time windows of exposure. OBJECTIVES: We aimed to evaluate, in a national retrospective cohort, critical windows of susceptibility during pregnancy to extreme temperatures (low and high) and fetal growth, among 624,940 singleton term births in Israel during the period 2010–2014. METHODS: Temperature exposures were estimated using a spatially refined gridded climate data set with a 1-h and 1-km2 resolution. Percentiles of temperature were categorized by climatic zone for the entire pregnancy and by trimesters and weeks. Generalized additive models with the distributed lag nonlinear model framework were used to estimate unadjusted and adjusted associations between percentiles and categories of temperature and fetal growth markers: term [births after 36 weeks of gestational age (GA)] mean birth weight and term low birth weight (tLBW, term infants with birth weight below 2,500 g). RESULTS: After adjustment, extreme temperatures (percentiles) during the entire pregnancy were associated with a lower mean birth weight {≤10th vs. 41st–50th percentile: –56 g [95% confidence interval (CI): –63 g, –50 g)]; &gt;90th vs. 41st–50th percentile: –65 g; 95% CI: –72 g, –58 g}. Similar inverse U-shaped patterns were observed for all trimesters, with stronger associations for heat than for cold and for exposures during the third trimester. For heat, results suggest critical windows between 3–9 and 19–34 GA-weeks, with the strongest association estimated at 3 GA-weeks (temperature &gt;90th vs. 41st–50th percentiles: –3:8 g; 95% CI: –7:1 g,–0:4 g). For cold, there was a consistent trend of null associations early in pregnancy and stronger inverse associations over time, with the strongest association at 36 GA-week (≤10th vs. 41st–50th percentiles: –2:9 g; 95% CI: –6:5 g, 0:7g). For tLBW, U-shape patterns were estimated for the entire pregnancy and third trimester exposures, as well as nonsignificant associations with heat for 29–36 GA-weeks. Generally, the patterns of associations with temperatures during the entire pregnancy were consistent when stratified by urbanicity and geocoding hierarchy, when estimated for daily minimum and maximum temperatures, when exposures were classified based on temperature distributions in 49 natural regions, and when estimated for all live births. DISCUSSION: Findings from our study of term live births in Israel (2010–2014) suggest that exposure to extreme temperatures, especially heat, during specific time windows may result in reduced fetal growth.&quot;,&quot;publisher&quot;:&quot;Public Health Services, US Dept of Health and Human Services&quot;,&quot;issue&quot;:&quot;10&quot;,&quot;volume&quot;:&quot;129&quot;},&quot;isTemporary&quot;:false}]},{&quot;citationID&quot;:&quot;MENDELEY_CITATION_c93f72f4-9c2d-4db3-bcea-a8240c3a515b&quot;,&quot;properties&quot;:{&quot;noteIndex&quot;:0},&quot;isEdited&quot;:false,&quot;manualOverride&quot;:{&quot;isManuallyOverridden&quot;:false,&quot;citeprocText&quot;:&quot;(19)&quot;,&quot;manualOverrideText&quot;:&quot;&quot;},&quot;citationTag&quot;:&quot;MENDELEY_CITATION_v3_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&quot;,&quot;citationItems&quot;:[{&quot;id&quot;:&quot;a0f876ac-ba05-3c67-8606-ec69a8f5cfef&quot;,&quot;itemData&quot;:{&quot;type&quot;:&quot;article-journal&quot;,&quot;id&quot;:&quot;a0f876ac-ba05-3c67-8606-ec69a8f5cfef&quot;,&quot;title&quot;:&quot;Too hot to thrive: a qualitative inquiry of community perspectives on the effect of high ambient temperature on postpartum women and neonates in Kilifi, Kenya&quot;,&quot;author&quot;:[{&quot;family&quot;:&quot;Lusambili&quot;,&quot;given&quot;:&quot;Adelaide&quot;,&quot;parse-names&quot;:false,&quot;dropping-particle&quot;:&quot;&quot;,&quot;non-dropping-particle&quot;:&quot;&quot;},{&quot;family&quot;:&quot;Kovats&quot;,&quot;given&quot;:&quot;Sari&quot;,&quot;parse-names&quot;:false,&quot;dropping-particle&quot;:&quot;&quot;,&quot;non-dropping-particle&quot;:&quot;&quot;},{&quot;family&quot;:&quot;Nakstad&quot;,&quot;given&quot;:&quot;Britt&quot;,&quot;parse-names&quot;:false,&quot;dropping-particle&quot;:&quot;&quot;,&quot;non-dropping-particle&quot;:&quot;&quot;},{&quot;family&quot;:&quot;Filippi&quot;,&quot;given&quot;:&quot;Veronique&quot;,&quot;parse-names&quot;:false,&quot;dropping-particle&quot;:&quot;&quot;,&quot;non-dropping-particle&quot;:&quot;&quot;},{&quot;family&quot;:&quot;Khaemba&quot;,&quot;given&quot;:&quot;Peter&quot;,&quot;parse-names&quot;:false,&quot;dropping-particle&quot;:&quot;&quot;,&quot;non-dropping-particle&quot;:&quot;&quot;},{&quot;family&quot;:&quot;Roos&quot;,&quot;given&quot;:&quot;Nathalie&quot;,&quot;parse-names&quot;:false,&quot;dropping-particle&quot;:&quot;&quot;,&quot;non-dropping-particle&quot;:&quot;&quot;},{&quot;family&quot;:&quot;Part&quot;,&quot;given&quot;:&quot;Cherie&quot;,&quot;parse-names&quot;:false,&quot;dropping-particle&quot;:&quot;&quot;,&quot;non-dropping-particle&quot;:&quot;&quot;},{&quot;family&quot;:&quot;Luchters&quot;,&quot;given&quot;:&quot;Stanley&quot;,&quot;parse-names&quot;:false,&quot;dropping-particle&quot;:&quot;&quot;,&quot;non-dropping-particle&quot;:&quot;&quot;},{&quot;family&quot;:&quot;Chersich&quot;,&quot;given&quot;:&quot;Matthew&quot;,&quot;parse-names&quot;:false,&quot;dropping-particle&quot;:&quot;&quot;,&quot;non-dropping-particle&quot;:&quot;&quot;},{&quot;family&quot;:&quot;Hess&quot;,&quot;given&quot;:&quot;Jeremy&quot;,&quot;parse-names&quot;:false,&quot;dropping-particle&quot;:&quot;&quot;,&quot;non-dropping-particle&quot;:&quot;&quot;},{&quot;family&quot;:&quot;Kadio&quot;,&quot;given&quot;:&quot;Kadidiatou&quot;,&quot;parse-names&quot;:false,&quot;dropping-particle&quot;:&quot;&quot;,&quot;non-dropping-particle&quot;:&quot;&quot;},{&quot;family&quot;:&quot;Scorgie&quot;,&quot;given&quot;:&quot;Fiona&quot;,&quot;parse-names&quot;:false,&quot;dropping-particle&quot;:&quot;&quot;,&quot;non-dropping-particle&quot;:&quot;&quot;}],&quot;container-title&quot;:&quot;BMC Pediatrics&quot;,&quot;container-title-short&quot;:&quot;BMC Pediatr&quot;,&quot;DOI&quot;:&quot;10.1186/s12887-023-04517-w&quot;,&quot;ISSN&quot;:&quot;14712431&quot;,&quot;PMID&quot;:&quot;38216969&quot;,&quot;issued&quot;:{&quot;date-parts&quot;:[[2024,12,1]]},&quot;abstract&quot;:&quot;Objective: To understand community perspectives on the effects of high ambient temperature on the health and wellbeing of neonates, and impacts on post-partum women and infant care in Kilifi. Design: Qualitative study using key informant interviews, in-depth interviews and focus group discussions with pregnant and postpartum women (n = 22), mothers-in-law (n = 19), male spouses (n = 20), community health volunteers (CHVs) (n = 22) and stakeholders from health and government ministries (n = 16). Settings: We conducted our research in Kilifi County in Kenya’s Coast Province. The area is largely rural and during summer, air temperatures can reach 37˚C and rarely go below 23˚C. Data analysis: Data were analyzed in NVivo 12, using both inductive and deductive approaches. Results: High ambient temperature is perceived by community members to have direct and indirect health pathways in pregnancy and postpartum periods, including on the neonates. The direct impacts include injuries on the neonate’s skin and in the mouth, leading to discomfort and affecting breastfeeding and sleeping. Participants described babies as “having no peace”. Heat effects were perceived to be amplified by indoor air pollution and heat from indoor cooking fires. Community members believed that exclusive breastfeeding was not practical in conditions of extreme heat because it lowered breast milk production, which was, in turn, linked to a low scarcity of food and time spend by mothers away from their neonates performing household chores. Kangaroo Mother Care (KMC) was also negatively affected. Participants reported that postpartum women took longer to heal in the heat, were exhausted most of the time and tended not to attend postnatal care. Conclusions: High ambient temperatures affect postpartum women and their neonates through direct and indirect pathways. Discomfort makes it difficult for the mother to care for the baby. Multi-sectoral policies and programs are required to mitigate the negative impacts of high ambient temperatures on maternal and neonatal health in rural Kilifi and similar settings.&quot;,&quot;publisher&quot;:&quot;BioMed Central Ltd&quot;,&quot;issue&quot;:&quot;1&quot;,&quot;volume&quot;:&quot;24&quot;},&quot;isTemporary&quot;:false}]},{&quot;citationID&quot;:&quot;MENDELEY_CITATION_44b4d7cd-eb13-42d1-8766-cf5d2d9d0669&quot;,&quot;properties&quot;:{&quot;noteIndex&quot;:0},&quot;isEdited&quot;:false,&quot;manualOverride&quot;:{&quot;isManuallyOverridden&quot;:false,&quot;citeprocText&quot;:&quot;(20–22)&quot;,&quot;manualOverrideText&quot;:&quot;&quot;},&quot;citationTag&quot;:&quot;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&quot;,&quot;citationItems&quot;:[{&quot;id&quot;:&quot;3661e7d1-67ff-3f40-b478-3050fb8cc448&quot;,&quot;itemData&quot;:{&quot;type&quot;:&quot;article-journal&quot;,&quot;id&quot;:&quot;3661e7d1-67ff-3f40-b478-3050fb8cc448&quot;,&quot;title&quot;:&quot;Socioeconomic disparities in climate vulnerability: neonatal mortality in northern Sweden, 1880–1950&quot;,&quot;author&quot;:[{&quot;family&quot;:&quot;Karlsson&quot;,&quot;given&quot;:&quot;Lena&quot;,&quot;parse-names&quot;:false,&quot;dropping-particle&quot;:&quot;&quot;,&quot;non-dropping-particle&quot;:&quot;&quot;},{&quot;family&quot;:&quot;Junkka&quot;,&quot;given&quot;:&quot;Johan&quot;,&quot;parse-names&quot;:false,&quot;dropping-particle&quot;:&quot;&quot;,&quot;non-dropping-particle&quot;:&quot;&quot;},{&quot;family&quot;:&quot;Schumann&quot;,&quot;given&quot;:&quot;Barbara&quot;,&quot;parse-names&quot;:false,&quot;dropping-particle&quot;:&quot;&quot;,&quot;non-dropping-particle&quot;:&quot;&quot;},{&quot;family&quot;:&quot;Lundevaller&quot;,&quot;given&quot;:&quot;Erling Häggström&quot;,&quot;parse-names&quot;:false,&quot;dropping-particle&quot;:&quot;&quot;,&quot;non-dropping-particle&quot;:&quot;&quot;}],&quot;container-title&quot;:&quot;Population and Environment&quot;,&quot;container-title-short&quot;:&quot;Popul Environ&quot;,&quot;DOI&quot;:&quot;10.1007/s11111-021-00383-9&quot;,&quot;ISSN&quot;:&quot;15737810&quot;,&quot;issued&quot;:{&quot;date-parts&quot;:[[2021,12,1]]},&quot;page&quot;:&quot;149-180&quot;,&quot;abstract&quot;:&quot;The aim of this study was to analyse the association between season of birth, temperature and neonatal mortality according to socioeconomic status in northern Sweden from 1880 to 1950. The source material for this study comprised digitised parish records combined with local weather data. The association between temperature, seasonality, socioeconomic status and neonatal mortality was modelled using survival analysis. We can summarise our findings according to three time periods. During the first period (1880–1899), temperature and seasonality had the greatest association with high neonatal mortality, and the socioeconomic differences in vulnerability were small. The second period (1900–1929) was associated with a decline in seasonal and temperature-related vulnerabilities among all socioeconomic groups. For the last period (1930–1950), a new regime evolved with rapidly declining neonatal mortality rates involving class-specific temperature vulnerabilities, and there was a particular effect of high temperature among workers. We conclude that the effect of season of birth on neonatal mortality was declining for all socioeconomic groups (1880–1950), whereas weather vulnerability was pronounced either when the socioeconomic disparities in neonatal mortality were large (1880–1899) or during transformations from high to low neonatal rates in the course of industrialisation and urbanisation.&quot;,&quot;publisher&quot;:&quot;Springer Science and Business Media B.V.&quot;,&quot;issue&quot;:&quot;2&quot;,&quot;volume&quot;:&quot;43&quot;},&quot;isTemporary&quot;:false},{&quot;id&quot;:&quot;7ea7ca27-ca20-3cd8-8b9b-653e2b700c32&quot;,&quot;itemData&quot;:{&quot;type&quot;:&quot;article-journal&quot;,&quot;id&quot;:&quot;7ea7ca27-ca20-3cd8-8b9b-653e2b700c32&quot;,&quot;title&quot;:&quot;Effect of air temperature on human births, preterm births and births associated with maternal hypertension&quot;,&quot;author&quot;:[{&quot;family&quot;:&quot;Blavier&quot;,&quot;given&quot;:&quot;Frédéric&quot;,&quot;parse-names&quot;:false,&quot;dropping-particle&quot;:&quot;&quot;,&quot;non-dropping-particle&quot;:&quot;&quot;},{&quot;family&quot;:&quot;Barbe&quot;,&quot;given&quot;:&quot;Kurt&quot;,&quot;parse-names&quot;:false,&quot;dropping-particle&quot;:&quot;&quot;,&quot;non-dropping-particle&quot;:&quot;&quot;},{&quot;family&quot;:&quot;Faron&quot;,&quot;given&quot;:&quot;Gilles&quot;,&quot;parse-names&quot;:false,&quot;dropping-particle&quot;:&quot;&quot;,&quot;non-dropping-particle&quot;:&quot;&quot;},{&quot;family&quot;:&quot;Doutreloup&quot;,&quot;given&quot;:&quot;Sébastien&quot;,&quot;parse-names&quot;:false,&quot;dropping-particle&quot;:&quot;&quot;,&quot;non-dropping-particle&quot;:&quot;&quot;},{&quot;family&quot;:&quot;Boukerrou&quot;,&quot;given&quot;:&quot;Malik&quot;,&quot;parse-names&quot;:false,&quot;dropping-particle&quot;:&quot;&quot;,&quot;non-dropping-particle&quot;:&quot;&quot;},{&quot;family&quot;:&quot;Fuchs&quot;,&quot;given&quot;:&quot;Florent&quot;,&quot;parse-names&quot;:false,&quot;dropping-particle&quot;:&quot;&quot;,&quot;non-dropping-particle&quot;:&quot;&quot;},{&quot;family&quot;:&quot;Gucciardo&quot;,&quot;given&quot;:&quot;Leonardo&quot;,&quot;parse-names&quot;:false,&quot;dropping-particle&quot;:&quot;&quot;,&quot;non-dropping-particle&quot;:&quot;&quot;}],&quot;container-title&quot;:&quot;Journal of Maternal-Fetal and Neonatal Medicine&quot;,&quot;DOI&quot;:&quot;10.1080/14767058.2021.1919075&quot;,&quot;ISSN&quot;:&quot;14764954&quot;,&quot;PMID&quot;:&quot;33947297&quot;,&quot;issued&quot;:{&quot;date-parts&quot;:[[2022]]},&quot;page&quot;:&quot;6663-6669&quot;,&quot;abstract&quot;:&quot;Objective: We studied potential effects of outdoor air temperatures or barometric pressure on births, preterm births and births associated with maternal hypertension. Methods: 12,269 births were retrospectively reviewed in Brussel and 25,880 in South Reunion Island. National Belgium and French weather reference centers provided outdoor air temperatures and barometric pressures from the nearest weather stations on the corresponding birthdays. Poisson regression models were used to assess if outdoor air temperatures or barometric pressure could be correlated, immediately and several days later, with the number of daily births, preterm births and births associated with hypertension. Results: Outdoor air temperature was significantly correlated to the number of daily births in Brussels. For each additional degree Celsius, overall births increased by 0.4% during the same day. Four days later, overall births increased by 1.8%, preterm births by 2.6% and births associated with hypertension by 5.7%. Similar observations on numbers of daily births were reported in South Reunion Island, without reaching statistical significance (p =.08). Conclusion: As previously demonstrated in recent studies, increased air temperature leads progressively to higher rates of births and preterm births. An even stronger delayed effect of air temperature was observed on births associated with hypertension. This would be worth further investigating.&quot;,&quot;publisher&quot;:&quot;Taylor and Francis Ltd.&quot;,&quot;issue&quot;:&quot;25&quot;,&quot;volume&quot;:&quot;35&quot;,&quot;container-title-short&quot;:&quot;&quot;},&quot;isTemporary&quot;:false},{&quot;id&quot;:&quot;af282663-abde-3aea-9bfc-664695a88f0f&quot;,&quot;itemData&quot;:{&quot;type&quot;:&quot;article-journal&quot;,&quot;id&quot;:&quot;af282663-abde-3aea-9bfc-664695a88f0f&quot;,&quot;title&quot;:&quot;Climate vulnerability of Swedish newborns: Gender differences and time trends of temperature-related neonatal mortality, 1880–1950&quot;,&quot;author&quot;:[{&quot;family&quot;:&quot;Junkka&quot;,&quot;given&quot;:&quot;Johan&quot;,&quot;parse-names&quot;:false,&quot;dropping-particle&quot;:&quot;&quot;,&quot;non-dropping-particle&quot;:&quot;&quot;},{&quot;family&quot;:&quot;Karlsson&quot;,&quot;given&quot;:&quot;Lena&quot;,&quot;parse-names&quot;:false,&quot;dropping-particle&quot;:&quot;&quot;,&quot;non-dropping-particle&quot;:&quot;&quot;},{&quot;family&quot;:&quot;Lundevaller&quot;,&quot;given&quot;:&quot;Erling&quot;,&quot;parse-names&quot;:false,&quot;dropping-particle&quot;:&quot;&quot;,&quot;non-dropping-particle&quot;:&quot;&quot;},{&quot;family&quot;:&quot;Schumann&quot;,&quot;given&quot;:&quot;Barbara&quot;,&quot;parse-names&quot;:false,&quot;dropping-particle&quot;:&quot;&quot;,&quot;non-dropping-particle&quot;:&quot;&quot;}],&quot;container-title&quot;:&quot;Environmental Research&quot;,&quot;container-title-short&quot;:&quot;Environ Res&quot;,&quot;DOI&quot;:&quot;10.1016/j.envres.2020.110400&quot;,&quot;ISSN&quot;:&quot;10960953&quot;,&quot;PMID&quot;:&quot;33129863&quot;,&quot;issued&quot;:{&quot;date-parts&quot;:[[2021,1,1]]},&quot;abstract&quot;:&quot;Background: In resource-poor societies, neonatal mortality (death in the first 28 days of life) is usually very high. Young infants are particularly vulnerable to environmental health risks, which are modified by socioeconomic factors that change over time. We investigated the association between ambient temperature and neonatal mortality in northern Sweden during the demographic transition. Methods: Parish register data and temperature data in coastal Västerbotten, Sweden, between 1880 and 1950 were used. Total and sex-specific neonatal mortality was modelled as a function of mean temperature, adjusting for age, seasonality and calendar time, using discrete-time survival analysis. A linear threshold function was applied with a cut point at 14.5 °C (the minimum mortality temperature). Odds ratios (ORs) with 95% confidence intervals (CIs) were computed. Further analyses were stratified by study period (1800–1899, 1900–1929, and 1930–1950). Results: Neonatal mortality was 32.1 deaths/1000 live births, higher in boys than in girls, and decreased between 1880 and 1950, with high inter-annual variability. Mean daily temperature was +2.5 °C, ranging from −40.9 °C to +28.8 °C. At −20 °C, the OR of neonatal death was 1.56 (CI 1.30–1.87) compared to the reference at +14.5 °C. Among girls, the OR of mortality at −20 °C was 1.17 (0.88–1.54), and among boys, it was 1.94 (1.53–2.45). A temperature increase from +14.5 to +20 °C was associated with a 25% increase of neonatal mortality (OR 1.25, CI 1.04–1.50). Heat- and cold-related risks were lowest between 1900 and 1929. Conclusions: In this remote sub-Arctic region undergoing socio-economic changes, we found an increased mortality risk in neonates related to low but also to high temperature. Climate vulnerability varied across time and was particularly high among boys. This demonstrates that environmental impacts on human health are complex and highly dependent on the specific local context, with many, often unknown, contributing determinants of vulnerability.&quot;,&quot;publisher&quot;:&quot;Academic Press Inc.&quot;,&quot;volume&quot;:&quot;192&quot;},&quot;isTemporary&quot;:false}]},{&quot;citationID&quot;:&quot;MENDELEY_CITATION_2211a512-5156-41e4-9a1d-689cada396a7&quot;,&quot;properties&quot;:{&quot;noteIndex&quot;:0},&quot;isEdited&quot;:false,&quot;manualOverride&quot;:{&quot;isManuallyOverridden&quot;:false,&quot;citeprocText&quot;:&quot;(19)&quot;,&quot;manualOverrideText&quot;:&quot;&quot;},&quot;citationTag&quot;:&quot;MENDELEY_CITATION_v3_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&quot;,&quot;citationItems&quot;:[{&quot;id&quot;:&quot;a0f876ac-ba05-3c67-8606-ec69a8f5cfef&quot;,&quot;itemData&quot;:{&quot;type&quot;:&quot;article-journal&quot;,&quot;id&quot;:&quot;a0f876ac-ba05-3c67-8606-ec69a8f5cfef&quot;,&quot;title&quot;:&quot;Too hot to thrive: a qualitative inquiry of community perspectives on the effect of high ambient temperature on postpartum women and neonates in Kilifi, Kenya&quot;,&quot;author&quot;:[{&quot;family&quot;:&quot;Lusambili&quot;,&quot;given&quot;:&quot;Adelaide&quot;,&quot;parse-names&quot;:false,&quot;dropping-particle&quot;:&quot;&quot;,&quot;non-dropping-particle&quot;:&quot;&quot;},{&quot;family&quot;:&quot;Kovats&quot;,&quot;given&quot;:&quot;Sari&quot;,&quot;parse-names&quot;:false,&quot;dropping-particle&quot;:&quot;&quot;,&quot;non-dropping-particle&quot;:&quot;&quot;},{&quot;family&quot;:&quot;Nakstad&quot;,&quot;given&quot;:&quot;Britt&quot;,&quot;parse-names&quot;:false,&quot;dropping-particle&quot;:&quot;&quot;,&quot;non-dropping-particle&quot;:&quot;&quot;},{&quot;family&quot;:&quot;Filippi&quot;,&quot;given&quot;:&quot;Veronique&quot;,&quot;parse-names&quot;:false,&quot;dropping-particle&quot;:&quot;&quot;,&quot;non-dropping-particle&quot;:&quot;&quot;},{&quot;family&quot;:&quot;Khaemba&quot;,&quot;given&quot;:&quot;Peter&quot;,&quot;parse-names&quot;:false,&quot;dropping-particle&quot;:&quot;&quot;,&quot;non-dropping-particle&quot;:&quot;&quot;},{&quot;family&quot;:&quot;Roos&quot;,&quot;given&quot;:&quot;Nathalie&quot;,&quot;parse-names&quot;:false,&quot;dropping-particle&quot;:&quot;&quot;,&quot;non-dropping-particle&quot;:&quot;&quot;},{&quot;family&quot;:&quot;Part&quot;,&quot;given&quot;:&quot;Cherie&quot;,&quot;parse-names&quot;:false,&quot;dropping-particle&quot;:&quot;&quot;,&quot;non-dropping-particle&quot;:&quot;&quot;},{&quot;family&quot;:&quot;Luchters&quot;,&quot;given&quot;:&quot;Stanley&quot;,&quot;parse-names&quot;:false,&quot;dropping-particle&quot;:&quot;&quot;,&quot;non-dropping-particle&quot;:&quot;&quot;},{&quot;family&quot;:&quot;Chersich&quot;,&quot;given&quot;:&quot;Matthew&quot;,&quot;parse-names&quot;:false,&quot;dropping-particle&quot;:&quot;&quot;,&quot;non-dropping-particle&quot;:&quot;&quot;},{&quot;family&quot;:&quot;Hess&quot;,&quot;given&quot;:&quot;Jeremy&quot;,&quot;parse-names&quot;:false,&quot;dropping-particle&quot;:&quot;&quot;,&quot;non-dropping-particle&quot;:&quot;&quot;},{&quot;family&quot;:&quot;Kadio&quot;,&quot;given&quot;:&quot;Kadidiatou&quot;,&quot;parse-names&quot;:false,&quot;dropping-particle&quot;:&quot;&quot;,&quot;non-dropping-particle&quot;:&quot;&quot;},{&quot;family&quot;:&quot;Scorgie&quot;,&quot;given&quot;:&quot;Fiona&quot;,&quot;parse-names&quot;:false,&quot;dropping-particle&quot;:&quot;&quot;,&quot;non-dropping-particle&quot;:&quot;&quot;}],&quot;container-title&quot;:&quot;BMC Pediatrics&quot;,&quot;container-title-short&quot;:&quot;BMC Pediatr&quot;,&quot;DOI&quot;:&quot;10.1186/s12887-023-04517-w&quot;,&quot;ISSN&quot;:&quot;14712431&quot;,&quot;PMID&quot;:&quot;38216969&quot;,&quot;issued&quot;:{&quot;date-parts&quot;:[[2024,12,1]]},&quot;abstract&quot;:&quot;Objective: To understand community perspectives on the effects of high ambient temperature on the health and wellbeing of neonates, and impacts on post-partum women and infant care in Kilifi. Design: Qualitative study using key informant interviews, in-depth interviews and focus group discussions with pregnant and postpartum women (n = 22), mothers-in-law (n = 19), male spouses (n = 20), community health volunteers (CHVs) (n = 22) and stakeholders from health and government ministries (n = 16). Settings: We conducted our research in Kilifi County in Kenya’s Coast Province. The area is largely rural and during summer, air temperatures can reach 37˚C and rarely go below 23˚C. Data analysis: Data were analyzed in NVivo 12, using both inductive and deductive approaches. Results: High ambient temperature is perceived by community members to have direct and indirect health pathways in pregnancy and postpartum periods, including on the neonates. The direct impacts include injuries on the neonate’s skin and in the mouth, leading to discomfort and affecting breastfeeding and sleeping. Participants described babies as “having no peace”. Heat effects were perceived to be amplified by indoor air pollution and heat from indoor cooking fires. Community members believed that exclusive breastfeeding was not practical in conditions of extreme heat because it lowered breast milk production, which was, in turn, linked to a low scarcity of food and time spend by mothers away from their neonates performing household chores. Kangaroo Mother Care (KMC) was also negatively affected. Participants reported that postpartum women took longer to heal in the heat, were exhausted most of the time and tended not to attend postnatal care. Conclusions: High ambient temperatures affect postpartum women and their neonates through direct and indirect pathways. Discomfort makes it difficult for the mother to care for the baby. Multi-sectoral policies and programs are required to mitigate the negative impacts of high ambient temperatures on maternal and neonatal health in rural Kilifi and similar settings.&quot;,&quot;publisher&quot;:&quot;BioMed Central Ltd&quot;,&quot;issue&quot;:&quot;1&quot;,&quot;volume&quot;:&quot;24&quot;},&quot;isTemporary&quot;:false}]},{&quot;citationID&quot;:&quot;MENDELEY_CITATION_564d7216-2d93-473d-b2fe-80be787a5392&quot;,&quot;properties&quot;:{&quot;noteIndex&quot;:0},&quot;isEdited&quot;:false,&quot;manualOverride&quot;:{&quot;isManuallyOverridden&quot;:false,&quot;citeprocText&quot;:&quot;(23)&quot;,&quot;manualOverrideText&quot;:&quot;&quot;},&quot;citationTag&quot;:&quot;MENDELEY_CITATION_v3_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&quot;,&quot;citationItems&quot;:[{&quot;id&quot;:&quot;0c8d7f59-e685-375b-8bfc-5a365738d41d&quot;,&quot;itemData&quot;:{&quot;type&quot;:&quot;article&quot;,&quot;id&quot;:&quot;0c8d7f59-e685-375b-8bfc-5a365738d41d&quot;,&quot;title&quot;:&quot;Short-term ambient heat exposure and low APGAR score in newborns: A time-stratified case-crossover analysis in São Paulo state, Brazil (2013-2019)&quot;,&quot;author&quot;:[{&quot;family&quot;:&quot;Carretto&quot;,&quot;given&quot;:&quot;Michelle&quot;,&quot;parse-names&quot;:false,&quot;dropping-particle&quot;:&quot;&quot;,&quot;non-dropping-particle&quot;:&quot;Del&quot;},{&quot;family&quot;:&quot;Godin&quot;,&quot;given&quot;:&quot;Audrey&quot;,&quot;parse-names&quot;:false,&quot;dropping-particle&quot;:&quot;&quot;,&quot;non-dropping-particle&quot;:&quot;&quot;},{&quot;family&quot;:&quot;Neves&quot;,&quot;given&quot;:&quot;Danielson&quot;,&quot;parse-names&quot;:false,&quot;dropping-particle&quot;:&quot;&quot;,&quot;non-dropping-particle&quot;:&quot;&quot;},{&quot;family&quot;:&quot;Paixao&quot;,&quot;given&quot;:&quot;Enny S.&quot;,&quot;parse-names&quot;:false,&quot;dropping-particle&quot;:&quot;&quot;,&quot;non-dropping-particle&quot;:&quot;&quot;},{&quot;family&quot;:&quot;Wan&quot;,&quot;given&quot;:&quot;Kai&quot;,&quot;parse-names&quot;:false,&quot;dropping-particle&quot;:&quot;&quot;,&quot;non-dropping-particle&quot;:&quot;&quot;},{&quot;family&quot;:&quot;Pescarini&quot;,&quot;given&quot;:&quot;Julia&quot;,&quot;parse-names&quot;:false,&quot;dropping-particle&quot;:&quot;&quot;,&quot;non-dropping-particle&quot;:&quot;&quot;},{&quot;family&quot;:&quot;Ferreira&quot;,&quot;given&quot;:&quot;Andrêa&quot;,&quot;parse-names&quot;:false,&quot;dropping-particle&quot;:&quot;&quot;,&quot;non-dropping-particle&quot;:&quot;&quot;},{&quot;family&quot;:&quot;Cortes&quot;,&quot;given&quot;:&quot;Taisa R.&quot;,&quot;parse-names&quot;:false,&quot;dropping-particle&quot;:&quot;&quot;,&quot;non-dropping-particle&quot;:&quot;&quot;},{&quot;family&quot;:&quot;Smeeth&quot;,&quot;given&quot;:&quot;Liam&quot;,&quot;parse-names&quot;:false,&quot;dropping-particle&quot;:&quot;&quot;,&quot;non-dropping-particle&quot;:&quot;&quot;},{&quot;family&quot;:&quot;Barreto&quot;,&quot;given&quot;:&quot;Mauricio L.&quot;,&quot;parse-names&quot;:false,&quot;dropping-particle&quot;:&quot;&quot;,&quot;non-dropping-particle&quot;:&quot;&quot;},{&quot;family&quot;:&quot;Brickley&quot;,&quot;given&quot;:&quot;Elizabeth B.&quot;,&quot;parse-names&quot;:false,&quot;dropping-particle&quot;:&quot;&quot;,&quot;non-dropping-particle&quot;:&quot;&quot;},{&quot;family&quot;:&quot;Part&quot;,&quot;given&quot;:&quot;Chérie&quot;,&quot;parse-names&quot;:false,&quot;dropping-particle&quot;:&quot;&quot;,&quot;non-dropping-particle&quot;:&quot;&quot;}],&quot;DOI&quot;:&quot;10.1101/2025.04.08.25325468&quot;,&quot;URL&quot;:&quot;http://medrxiv.org/lookup/doi/10.1101/2025.04.08.25325468&quot;,&quot;issued&quot;:{&quot;date-parts&quot;:[[2025,4,10]]},&quot;abstract&quot;:&quot;&lt;p&gt; Exposure to high ambient temperatures near the time of delivery has been associated with adverse birth outcomes, but studies examining the impact on immediate newborn health remain limited. We used a time-stratified case-crossover design combined with a distributed lag nonlinear model to evaluate the short-term effects of ambient heat (0-1 day lag) on low 5-minute APGAR score (≤7; sub-categories: 6-7, 3-5, 0-2). Cases of low APGAR score among low-risk births ( &lt;italic&gt;n&lt;/italic&gt; =34,980) in São Paulo state (274 municipalities), 2013-2019, were extracted from Brazil’s Live Birth Information System ( &lt;italic&gt;Sistema de Informações Sobre Nascidos Vivos&lt;/italic&gt; ). Municipality-level daily mean temperatures were constructed from ERA5-Land reanalysis data and linked with case and control days by date and municipality of delivery. Models were adjusted for relative humidity and stratified by maternal age, race/ethnicity, education, parity, timing of prenatal care initiation, infant sex, municipality-level deprivation, and Köppen climate zone. Overall, exposure to high (95 &lt;sup&gt;th&lt;/sup&gt; percentile: 26.1°C) versus moderate (50 &lt;sup&gt;th&lt;/sup&gt; percentile: 20.9°C) temperature 0-1 days before delivery was associated with 8% higher odds (OR: 1.08, 95% CI: 1.02-1.14) of low APGAR score (≤7). In stratified analyses, heat-associated risks were elevated among infants born to women with &amp;lt;12 years of schooling (1.10, 1.03-1.17) and/or self-identifying as Brown/ &lt;italic&gt;Parda&lt;/italic&gt; (1.10, 1.01-1.20). Associations were primarily driven by same-day (lag 0) exposure and were only observed in newborns with moderately low APGAR scores (6-7). Acute exposure to ambient heat may adversely impact newborns’ immediate health in low-risk live-births, highlighting the need for heat mitigation measures near the time of delivery. &lt;/p&gt;&quot;,&quot;container-title-short&quot;:&quot;&quot;},&quot;isTemporary&quot;:false}]},{&quot;citationID&quot;:&quot;MENDELEY_CITATION_63771324-9ded-4fe0-9c21-a5e5409ba3cc&quot;,&quot;properties&quot;:{&quot;noteIndex&quot;:0},&quot;isEdited&quot;:false,&quot;manualOverride&quot;:{&quot;isManuallyOverridden&quot;:false,&quot;citeprocText&quot;:&quot;(24)&quot;,&quot;manualOverrideText&quot;:&quot;&quot;},&quot;citationTag&quot;:&quot;MENDELEY_CITATION_v3_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&quot;,&quot;citationItems&quot;:[{&quot;id&quot;:&quot;5363eed8-7521-323c-a05a-0fd528d54ba6&quot;,&quot;itemData&quot;:{&quot;type&quot;:&quot;article-journal&quot;,&quot;id&quot;:&quot;5363eed8-7521-323c-a05a-0fd528d54ba6&quot;,&quot;title&quot;:&quot;Impacts of high temperature on adverse birth outcomes in Seoul, Korea: Disparities by individual- and community-level characteristics&quot;,&quot;author&quot;:[{&quot;family&quot;:&quot;Son&quot;,&quot;given&quot;:&quot;Ji Young&quot;,&quot;parse-names&quot;:false,&quot;dropping-particle&quot;:&quot;&quot;,&quot;non-dropping-particle&quot;:&quot;&quot;},{&quot;family&quot;:&quot;Lee&quot;,&quot;given&quot;:&quot;Jong Tae&quot;,&quot;parse-names&quot;:false,&quot;dropping-particle&quot;:&quot;&quot;,&quot;non-dropping-particle&quot;:&quot;&quot;},{&quot;family&quot;:&quot;Lane&quot;,&quot;given&quot;:&quot;Kevin J.&quot;,&quot;parse-names&quot;:false,&quot;dropping-particle&quot;:&quot;&quot;,&quot;non-dropping-particle&quot;:&quot;&quot;},{&quot;family&quot;:&quot;Bell&quot;,&quot;given&quot;:&quot;Michelle L.&quot;,&quot;parse-names&quot;:false,&quot;dropping-particle&quot;:&quot;&quot;,&quot;non-dropping-particle&quot;:&quot;&quot;}],&quot;container-title&quot;:&quot;Environmental Research&quot;,&quot;container-title-short&quot;:&quot;Environ Res&quot;,&quot;DOI&quot;:&quot;10.1016/j.envres.2018.10.032&quot;,&quot;ISSN&quot;:&quot;10960953&quot;,&quot;PMID&quot;:&quot;30396130&quot;,&quot;issued&quot;:{&quot;date-parts&quot;:[[2019,1,1]]},&quot;page&quot;:&quot;460-466&quot;,&quot;abstract&quot;:&quot;Background: Few studies have examined temperature's effect on adverse birth outcomes and relevant effect modifiers. Objectives: We investigated associations between heat and adverse birth outcomes and how individual and community characteristics affect these associations for Seoul, Korea, 2004–2012. Methods: We applied logistic regression to estimate associations between heat index during pregnancy, 4 weeks before delivery, and 1 week before delivery and risk of preterm birth and term low birth weight. We investigated effect modification by individual (infant's sex, mother's age, and mother's educational level) and community characteristics (socioeconomic status (SES) and percentage of green areas near residence at the gu level, which is similar to borough in Western countries). We also evaluated associations by combinations of individual- and community-level SES. Results: Heat exposure during whole pregnancy was significantly associated with risk of preterm birth. An interquartile (IQR) increase (5.5 °C) in heat index during whole pregnancy was associated with an odds ratio (OR) of 1.033 (95% CI 1.005, 1.061) with NO2 adjustment, and 1.028 (95% CI 0.998, 1.059) with PM10 adjustment, for preterm birth. We also found significant associations with heat exposure during 4 weeks before delivery and 1 week before delivery on preterm birth. We did not observe significant associations with term low birth weight. Higher risk of heat on preterm birth was associated with some individual characteristics such as infants with younger or older mothers and lower community-level SES. For combinations of individual- and community-level SES, the highest and most significant estimated effect was found for infants with low educated mothers living in low SES communities, with suggestions of effects of both individual-and community-level SES. Conclusions: Our findings have implications for evaluating impacts of high temperatures on birth outcomes, estimating health impacts of climate change, and identifying which subpopulations and factors are most relevant for disparities in this association.&quot;,&quot;publisher&quot;:&quot;Academic Press Inc.&quot;,&quot;volume&quot;:&quot;168&quot;},&quot;isTemporary&quot;:false}]},{&quot;citationID&quot;:&quot;MENDELEY_CITATION_d8d9bff1-5e43-42b0-b460-6e8c8f1cd9e8&quot;,&quot;properties&quot;:{&quot;noteIndex&quot;:0},&quot;isEdited&quot;:false,&quot;manualOverride&quot;:{&quot;isManuallyOverridden&quot;:false,&quot;citeprocText&quot;:&quot;(25)&quot;,&quot;manualOverrideText&quot;:&quot;&quot;},&quot;citationTag&quot;:&quot;MENDELEY_CITATION_v3_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&quot;,&quot;citationItems&quot;:[{&quot;id&quot;:&quot;27e98a79-ed96-30ce-8bcc-c09efe127cc0&quot;,&quot;itemData&quot;:{&quot;type&quot;:&quot;article-journal&quot;,&quot;id&quot;:&quot;27e98a79-ed96-30ce-8bcc-c09efe127cc0&quot;,&quot;title&quot;:&quot;The association of maternal exposure to ambient temperature with low birth weight in term pregnancies varies by location: In Brazil, positive associations may occur only in the Amazon region&quot;,&quot;author&quot;:[{&quot;family&quot;:&quot;Requia&quot;,&quot;given&quot;:&quot;Weeberb J.&quot;,&quot;parse-names&quot;:false,&quot;dropping-particle&quot;:&quot;&quot;,&quot;non-dropping-particle&quot;:&quot;&quot;},{&quot;family&quot;:&quot;Koutrakis&quot;,&quot;given&quot;:&quot;Petros&quot;,&quot;parse-names&quot;:false,&quot;dropping-particle&quot;:&quot;&quot;,&quot;non-dropping-particle&quot;:&quot;&quot;},{&quot;family&quot;:&quot;Papatheodorou&quot;,&quot;given&quot;:&quot;Stefania&quot;,&quot;parse-names&quot;:false,&quot;dropping-particle&quot;:&quot;&quot;,&quot;non-dropping-particle&quot;:&quot;&quot;}],&quot;container-title&quot;:&quot;Environmental Research&quot;,&quot;container-title-short&quot;:&quot;Environ Res&quot;,&quot;DOI&quot;:&quot;10.1016/j.envres.2022.113923&quot;,&quot;ISSN&quot;:&quot;10960953&quot;,&quot;PMID&quot;:&quot;35863440&quot;,&quot;issued&quot;:{&quot;date-parts&quot;:[[2022,11,1]]},&quot;abstract&quot;:&quot;Exposure to ambient temperature has been linked to adverse birth outcomes in several regions, including the USA, Australia, China, countries in the Middle East, and European countries. To date, no studies were performed in South America, a region with serious challenges related to climate change. Our investigation addresses this literature lack by examining the association between Low Birth Weight (LBW) and ambient temperature exposure in the largest county in South America, Brazil. We applied a nationwide case-control study design using a logistic regression model to estimate the odds ratio (OR) for LBW associated with ambient temperature during a specific trimester of pregnancy (1–3 trimester). Our sample size includes 5,790,713 birth records nationwide over 18 years (2001–2018), of which 264,967 infants were included in the model as cases of LBW, representing 4.6% of our total sample. We adjusted our model for several confounding variables, including weather factors, air pollution, seasonality, and SES variables at the individual level. Our findings indicate that North was the only region with positive and statistically significant associations in the primary analysis and most of the sensitivity analysis, which is the region where the Amazon is located. In this region, we estimated an increase of 5.16% (95%CI: 3.60; 6.74) in the odds of LBW per 1 °C increase in apparent temperature when the exposure occurred in the second trimester. Our results may be explained by the climate conditions in the Amazon region in the past years. A large body of literature indicates that the Amazon region has been facing serious climate challenges including issues related to policy, governance, and deforestation. Specifically, regarding deforestation, it is suggested that land use change and deforestation is projected to increase heat stress in the Amazon region, because of Amazon savannization, increasing the risk of heat stress exposure in Northern Brazil. Our study can assist public sectors and clinicians in mitigating the risk and vulnerability of the Amazonian population.&quot;,&quot;publisher&quot;:&quot;Academic Press Inc.&quot;,&quot;volume&quot;:&quot;214&quot;},&quot;isTemporary&quot;:false}]},{&quot;citationID&quot;:&quot;MENDELEY_CITATION_7ed86e10-d869-4561-a6eb-fad0d5b53b7c&quot;,&quot;properties&quot;:{&quot;noteIndex&quot;:0},&quot;isEdited&quot;:false,&quot;manualOverride&quot;:{&quot;isManuallyOverridden&quot;:false,&quot;citeprocText&quot;:&quot;(26)&quot;,&quot;manualOverrideText&quot;:&quot;&quot;},&quot;citationTag&quot;:&quot;MENDELEY_CITATION_v3_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&quot;,&quot;citationItems&quot;:[{&quot;id&quot;:&quot;3ff158f6-5350-3c0d-a319-c6f1dca3d6f1&quot;,&quot;itemData&quot;:{&quot;type&quot;:&quot;article-journal&quot;,&quot;id&quot;:&quot;3ff158f6-5350-3c0d-a319-c6f1dca3d6f1&quot;,&quot;title&quot;:&quot;Impact of cash transfers on the association between prenatal exposures to high temperatures and low birthweight: Retrospective analysis from the LEAP 1000 study&quot;,&quot;author&quot;:[{&quot;family&quot;:&quot;LaPointe&quot;,&quot;given&quot;:&quot;Sarah&quot;,&quot;parse-names&quot;:false,&quot;dropping-particle&quot;:&quot;&quot;,&quot;non-dropping-particle&quot;:&quot;&quot;},{&quot;family&quot;:&quot;Mendola&quot;,&quot;given&quot;:&quot;Pauline&quot;,&quot;parse-names&quot;:false,&quot;dropping-particle&quot;:&quot;&quot;,&quot;non-dropping-particle&quot;:&quot;&quot;},{&quot;family&quot;:&quot;Lin&quot;,&quot;given&quot;:&quot;Shao&quot;,&quot;parse-names&quot;:false,&quot;dropping-particle&quot;:&quot;&quot;,&quot;non-dropping-particle&quot;:&quot;&quot;},{&quot;family&quot;:&quot;Tian&quot;,&quot;given&quot;:&quot;Lili&quot;,&quot;parse-names&quot;:false,&quot;dropping-particle&quot;:&quot;&quot;,&quot;non-dropping-particle&quot;:&quot;&quot;},{&quot;family&quot;:&quot;Bonell&quot;,&quot;given&quot;:&quot;Ana&quot;,&quot;parse-names&quot;:false,&quot;dropping-particle&quot;:&quot;&quot;,&quot;non-dropping-particle&quot;:&quot;&quot;},{&quot;family&quot;:&quot;Adamba&quot;,&quot;given&quot;:&quot;Clement&quot;,&quot;parse-names&quot;:false,&quot;dropping-particle&quot;:&quot;&quot;,&quot;non-dropping-particle&quot;:&quot;&quot;},{&quot;family&quot;:&quot;Palermo&quot;,&quot;given&quot;:&quot;Tia&quot;,&quot;parse-names&quot;:false,&quot;dropping-particle&quot;:&quot;&quot;,&quot;non-dropping-particle&quot;:&quot;&quot;}],&quot;container-title&quot;:&quot;BJOG: An International Journal of Obstetrics and Gynaecology&quot;,&quot;container-title-short&quot;:&quot;BJOG&quot;,&quot;DOI&quot;:&quot;10.1111/1471-0528.17761&quot;,&quot;ISSN&quot;:&quot;14710528&quot;,&quot;PMID&quot;:&quot;38238994&quot;,&quot;issued&quot;:{&quot;date-parts&quot;:[[2024,4,1]]},&quot;page&quot;:&quot;641-650&quot;,&quot;abstract&quot;:&quot;Objective: To explore the associations between prenatal temperature exposures and low birthweight (LBW) and modification by cash transfer (CT) receipt. Design: Retrospective cohort study. Setting: Five rural districts in Northern Ghana. Population or sample: A total of 3016 infants born to women interviewed as part of the Livelihood Empowerment Against Poverty (LEAP 1000) impact evaluation between 2015 and 2017. Methods: Birthweight was collected using household surveys administered to LEAP 1000 eligible women. We used a UNICEF-developed multiple imputation approach to address missingness of birthweight and applied an empirical heaping correction to the multiply imputed birthweight data. Survey data were linked to the European Centre for Medium-Range Weather Forecasts Reanalysis 5-hourly temperature averaged to weeks for 2011–2017 using community centroids. Using distributed-lag nonlinear models, we explored the lag-specific associations between weekly average temperatures greater than 30°C and LBW, and stratified by LEAP 1000 treatment. Main outcome measures: Low birthweight (&lt;2.5 kg). Results: Twelve percent (n = 365) of infants were LBW; the mean ± SD birthweight was 3.02 ± 0.37 kg. Overall, increasing temperatures were associated with increased odds of LBW, with the greatest odds observed in the 3 weeks before birth (odds ratio 1.005–1.025). These positive associations were even larger among comparison infants and null among treatment infants. Conclusions: Our study found increased odds of LBW with high weekly average temperatures throughout pregnancy and the preconception period and demonstrate mitigated effects by the LEAP 1000 CT program. More evidence on the potential of CTs to serve as adaptation interventions in low- and middle-income countries is needed to protect pregnant persons and their infants from the impacts of climate change.&quot;,&quot;publisher&quot;:&quot;John Wiley and Sons Inc&quot;,&quot;issue&quot;:&quot;5&quot;,&quot;volume&quot;:&quot;131&quot;},&quot;isTemporary&quot;:false}]},{&quot;citationID&quot;:&quot;MENDELEY_CITATION_e73bbb5a-5bb7-4ee7-9846-35fab9261fcb&quot;,&quot;properties&quot;:{&quot;noteIndex&quot;:0},&quot;isEdited&quot;:false,&quot;manualOverride&quot;:{&quot;isManuallyOverridden&quot;:false,&quot;citeprocText&quot;:&quot;(27–34)&quot;,&quot;manualOverrideText&quot;:&quot;&quot;},&quot;citationTag&quot;:&quot;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&quot;,&quot;citationItems&quot;:[{&quot;id&quot;:&quot;fe36c22b-6117-3430-b52d-4c9abf155e92&quot;,&quot;itemData&quot;:{&quot;type&quot;:&quot;article-journal&quot;,&quot;id&quot;:&quot;fe36c22b-6117-3430-b52d-4c9abf155e92&quot;,&quot;title&quot;:&quot;Adverse Birth Outcomes Associated with Heat Stress and Wildfire Smoke Exposure During Preconception and Pregnancy&quot;,&quot;author&quot;:[{&quot;family&quot;:&quot;Khalili&quot;,&quot;given&quot;:&quot;Roxana&quot;,&quot;parse-names&quot;:false,&quot;dropping-particle&quot;:&quot;&quot;,&quot;non-dropping-particle&quot;:&quot;&quot;},{&quot;family&quot;:&quot;Liu&quot;,&quot;given&quot;:&quot;Yisi&quot;,&quot;parse-names&quot;:false,&quot;dropping-particle&quot;:&quot;&quot;,&quot;non-dropping-particle&quot;:&quot;&quot;},{&quot;family&quot;:&quot;Xu&quot;,&quot;given&quot;:&quot;Yan&quot;,&quot;parse-names&quot;:false,&quot;dropping-particle&quot;:&quot;&quot;,&quot;non-dropping-particle&quot;:&quot;&quot;},{&quot;family&quot;:&quot;O’Sharkey&quot;,&quot;given&quot;:&quot;Karl&quot;,&quot;parse-names&quot;:false,&quot;dropping-particle&quot;:&quot;&quot;,&quot;non-dropping-particle&quot;:&quot;&quot;},{&quot;family&quot;:&quot;Pavlovic&quot;,&quot;given&quot;:&quot;Nathan&quot;,&quot;parse-names&quot;:false,&quot;dropping-particle&quot;:&quot;&quot;,&quot;non-dropping-particle&quot;:&quot;&quot;},{&quot;family&quot;:&quot;McClure&quot;,&quot;given&quot;:&quot;Crystal&quot;,&quot;parse-names&quot;:false,&quot;dropping-particle&quot;:&quot;&quot;,&quot;non-dropping-particle&quot;:&quot;&quot;},{&quot;family&quot;:&quot;Lurmann&quot;,&quot;given&quot;:&quot;Fred&quot;,&quot;parse-names&quot;:false,&quot;dropping-particle&quot;:&quot;&quot;,&quot;non-dropping-particle&quot;:&quot;&quot;},{&quot;family&quot;:&quot;Yang&quot;,&quot;given&quot;:&quot;Tingyu&quot;,&quot;parse-names&quot;:false,&quot;dropping-particle&quot;:&quot;&quot;,&quot;non-dropping-particle&quot;:&quot;&quot;},{&quot;family&quot;:&quot;Chen&quot;,&quot;given&quot;:&quot;Xinci&quot;,&quot;parse-names&quot;:false,&quot;dropping-particle&quot;:&quot;&quot;,&quot;non-dropping-particle&quot;:&quot;&quot;},{&quot;family&quot;:&quot;Vigil&quot;,&quot;given&quot;:&quot;Mario&quot;,&quot;parse-names&quot;:false,&quot;dropping-particle&quot;:&quot;&quot;,&quot;non-dropping-particle&quot;:&quot;&quot;},{&quot;family&quot;:&quot;Grubbs&quot;,&quot;given&quot;:&quot;Brendan&quot;,&quot;parse-names&quot;:false,&quot;dropping-particle&quot;:&quot;&quot;,&quot;non-dropping-particle&quot;:&quot;&quot;},{&quot;family&quot;:&quot;Marayati&quot;,&quot;given&quot;:&quot;Layla&quot;,&quot;parse-names&quot;:false,&quot;dropping-particle&quot;:&quot;&quot;,&quot;non-dropping-particle&quot;:&quot;Al&quot;},{&quot;family&quot;:&quot;Lerner&quot;,&quot;given&quot;:&quot;Deborah&quot;,&quot;parse-names&quot;:false,&quot;dropping-particle&quot;:&quot;&quot;,&quot;non-dropping-particle&quot;:&quot;&quot;},{&quot;family&quot;:&quot;Lurvey&quot;,&quot;given&quot;:&quot;Nathana&quot;,&quot;parse-names&quot;:false,&quot;dropping-particle&quot;:&quot;&quot;,&quot;non-dropping-particle&quot;:&quot;&quot;},{&quot;family&quot;:&quot;Marsit&quot;,&quot;given&quot;:&quot;Carmen J.&quot;,&quot;parse-names&quot;:false,&quot;dropping-particle&quot;:&quot;&quot;,&quot;non-dropping-particle&quot;:&quot;&quot;},{&quot;family&quot;:&quot;Johnston&quot;,&quot;given&quot;:&quot;Jill&quot;,&quot;parse-names&quot;:false,&quot;dropping-particle&quot;:&quot;&quot;,&quot;non-dropping-particle&quot;:&quot;&quot;},{&quot;family&quot;:&quot;Bastain&quot;,&quot;given&quot;:&quot;Theresa M.&quot;,&quot;parse-names&quot;:false,&quot;dropping-particle&quot;:&quot;&quot;,&quot;non-dropping-particle&quot;:&quot;&quot;},{&quot;family&quot;:&quot;Breton&quot;,&quot;given&quot;:&quot;Carrie&quot;,&quot;parse-names&quot;:false,&quot;dropping-particle&quot;:&quot;V.&quot;,&quot;non-dropping-particle&quot;:&quot;&quot;},{&quot;family&quot;:&quot;Farzan&quot;,&quot;given&quot;:&quot;Shohreh F.&quot;,&quot;parse-names&quot;:false,&quot;dropping-particle&quot;:&quot;&quot;,&quot;non-dropping-particle&quot;:&quot;&quot;},{&quot;family&quot;:&quot;Habre&quot;,&quot;given&quot;:&quot;Rima&quot;,&quot;parse-names&quot;:false,&quot;dropping-particle&quot;:&quot;&quot;,&quot;non-dropping-particle&quot;:&quot;&quot;}],&quot;container-title&quot;:&quot;Environmental Science and Technology&quot;,&quot;container-title-short&quot;:&quot;Environ Sci Technol&quot;,&quot;DOI&quot;:&quot;10.1021/acs.est.4c10194&quot;,&quot;ISSN&quot;:&quot;15205851&quot;,&quot;PMID&quot;:&quot;40532130&quot;,&quot;issued&quot;:{&quot;date-parts&quot;:[[2025,7,1]]},&quot;page&quot;:&quot;12458-12471&quot;,&quot;abstract&quot;:&quot;We investigated associations between preconception and prenatal heat stress and wildfire (WF) smoke exposures on adverse birth outcomes and whether neighborhood climate vulnerability is an effect modifier in the Maternal And Developmental Risks from Environmental and Social stressors cohort (N = 713). Generalized linear models were fit to test the association between exposures and small-for-gestational-age (SGA), low birthweight (LBW), and Fenton growth z-score outcomes, adjusting for confounders. Living in a high climate vulnerability index neighborhood was tested as an effect modifier. During preconception, increases in heat stress and WF measures were associated with higher odds of SGA. Living in the most climate-vulnerable neighborhoods during preconception significantly modified and nearly doubled the odds of SGA with exposure to heat stress. Similarly, heat stress and WF exposure in trimester-specific time periods were associated with adverse birth outcomes. Conversely, third-trimester exposures were associated with lower odds of LBW. Throughout pregnancy, two measures of infant size (SGA and Fenton z-scores) were lower among those with greater exposure to multiple WF exposures. This study highlights how living in more climate-vulnerable neighborhoods significantly modifies the effect of heat stress on SGA, suggesting that the increasing adaptation capacity of communities may strengthen climate change resilience.&quot;,&quot;publisher&quot;:&quot;American Chemical Society&quot;,&quot;issue&quot;:&quot;25&quot;,&quot;volume&quot;:&quot;59&quot;},&quot;isTemporary&quot;:false},{&quot;id&quot;:&quot;492f3c81-b2d2-3593-bf09-ff2e94b4029d&quot;,&quot;itemData&quot;:{&quot;type&quot;:&quot;article-journal&quot;,&quot;id&quot;:&quot;492f3c81-b2d2-3593-bf09-ff2e94b4029d&quot;,&quot;title&quot;:&quot;Maternal occupational exposures during early stages of pregnancy and adverse birth outcomes in the NINFEA birth-cohort&quot;,&quot;author&quot;:[{&quot;family&quot;:&quot;d’Errico&quot;,&quot;given&quot;:&quot;Antonio&quot;,&quot;parse-names&quot;:false,&quot;dropping-particle&quot;:&quot;&quot;,&quot;non-dropping-particle&quot;:&quot;&quot;},{&quot;family&quot;:&quot;Popovic&quot;,&quot;given&quot;:&quot;Maja&quot;,&quot;parse-names&quot;:false,&quot;dropping-particle&quot;:&quot;&quot;,&quot;non-dropping-particle&quot;:&quot;&quot;},{&quot;family&quot;:&quot;Pizzi&quot;,&quot;given&quot;:&quot;Costanza&quot;,&quot;parse-names&quot;:false,&quot;dropping-particle&quot;:&quot;&quot;,&quot;non-dropping-particle&quot;:&quot;&quot;},{&quot;family&quot;:&quot;Moirano&quot;,&quot;given&quot;:&quot;Giovenale&quot;,&quot;parse-names&quot;:false,&quot;dropping-particle&quot;:&quot;&quot;,&quot;non-dropping-particle&quot;:&quot;&quot;},{&quot;family&quot;:&quot;Moccia&quot;,&quot;given&quot;:&quot;Chiara&quot;,&quot;parse-names&quot;:false,&quot;dropping-particle&quot;:&quot;&quot;,&quot;non-dropping-particle&quot;:&quot;&quot;},{&quot;family&quot;:&quot;Richiardi&quot;,&quot;given&quot;:&quot;Lorenzo&quot;,&quot;parse-names&quot;:false,&quot;dropping-particle&quot;:&quot;&quot;,&quot;non-dropping-particle&quot;:&quot;&quot;},{&quot;family&quot;:&quot;Maule&quot;,&quot;given&quot;:&quot;Milena&quot;,&quot;parse-names&quot;:false,&quot;dropping-particle&quot;:&quot;&quot;,&quot;non-dropping-particle&quot;:&quot;&quot;}],&quot;container-title&quot;:&quot;PLoS ONE&quot;,&quot;container-title-short&quot;:&quot;PLoS One&quot;,&quot;DOI&quot;:&quot;10.1371/journal.pone.0313085&quot;,&quot;ISSN&quot;:&quot;19326203&quot;,&quot;PMID&quot;:&quot;39808632&quot;,&quot;issued&quot;:{&quot;date-parts&quot;:[[2025,1,1]]},&quot;abstract&quot;:&quot;Objectives Maternal occupational exposures during early pregnancy can be detrimental to foetus health and have short- and long-term health effects on the child. This study examined their association with adverse birth outcomes. The study included 3938 nulliparous women from the Italian NINFEA mother-child cohort. Their occupational exposures during the first trimester of pregnancy were assessed through prospectively collected questionnaire information and job-exposure matrices. Associations between maternal exposures and birthweight, preterm birth, and delivery by caesarean section were analysed by multivariable linear and logistic regression models. An exploratory factor analysis was carried out to explore co-exposure profiles in association with birth outcomes. Results Women exposed to passive smoking at work and those who reduced their working hours during pregnancy were found to have an increased likelihood of all analysed birth outcomes. Children of mothers performing a demanding work were less likely to be born preterm [OR 0.72 (95% CI 0.54 to 0.95)] and more likely to have a higher birthweight [β = 40.4 g (95% CI 7.5 to 73.4)]. Maternal exposures to heat and dust were associated with a lower birthweight [β = -160.1 g (95% CI -299.6 to -20.7)] and increased odds of caesarean section [OR 6.99 (95% CI 2.36 to 25.47)], respectively. Conclusions This study provides some evidence of the selection of healthy population into the workforce and of association between work-related passive smoking, heat and dust and adverse birth outcomes.&quot;,&quot;publisher&quot;:&quot;Public Library of Science&quot;,&quot;issue&quot;:&quot;1&quot;,&quot;volume&quot;:&quot;20&quot;},&quot;isTemporary&quot;:false},{&quot;id&quot;:&quot;839266d4-11f4-3979-8a1e-e0f3ac42ad24&quot;,&quot;itemData&quot;:{&quot;type&quot;:&quot;article-journal&quot;,&quot;id&quot;:&quot;839266d4-11f4-3979-8a1e-e0f3ac42ad24&quot;,&quot;title&quot;:&quot;Health disparities in the impact of prenatal temperature exposure on birth outcomes: A nationwide population-based study in the Netherlands&quot;,&quot;author&quot;:[{&quot;family&quot;:&quot;Burgos-Ochoa&quot;,&quot;given&quot;:&quot;L.&quot;,&quot;parse-names&quot;:false,&quot;dropping-particle&quot;:&quot;&quot;,&quot;non-dropping-particle&quot;:&quot;&quot;},{&quot;family&quot;:&quot;Garcia-Gomez&quot;,&quot;given&quot;:&quot;P.&quot;,&quot;parse-names&quot;:false,&quot;dropping-particle&quot;:&quot;&quot;,&quot;non-dropping-particle&quot;:&quot;&quot;},{&quot;family&quot;:&quot;Steegers&quot;,&quot;given&quot;:&quot;E. A.P.&quot;,&quot;parse-names&quot;:false,&quot;dropping-particle&quot;:&quot;&quot;,&quot;non-dropping-particle&quot;:&quot;&quot;},{&quot;family&quot;:&quot;Ourti&quot;,&quot;given&quot;:&quot;T. G.M.&quot;,&quot;parse-names&quot;:false,&quot;dropping-particle&quot;:&quot;&quot;,&quot;non-dropping-particle&quot;:&quot;Van&quot;},{&quot;family&quot;:&quot;Bertens&quot;,&quot;given&quot;:&quot;L. C.M.&quot;,&quot;parse-names&quot;:false,&quot;dropping-particle&quot;:&quot;&quot;,&quot;non-dropping-particle&quot;:&quot;&quot;},{&quot;family&quot;:&quot;Been&quot;,&quot;given&quot;:&quot;J.&quot;,&quot;parse-names&quot;:false,&quot;dropping-particle&quot;:&quot;V.&quot;,&quot;non-dropping-particle&quot;:&quot;&quot;}],&quot;container-title&quot;:&quot;Public Health&quot;,&quot;container-title-short&quot;:&quot;Public Health&quot;,&quot;DOI&quot;:&quot;10.1016/j.puhe.2025.105819&quot;,&quot;ISSN&quot;:&quot;14765616&quot;,&quot;PMID&quot;:&quot;40579254&quot;,&quot;issued&quot;:{&quot;date-parts&quot;:[[2025,8,1]]},&quot;abstract&quot;:&quot;Objective: This study aimed to investigate the impact of prenatal temperature exposure on birth outcomes and related health disparities across socioeconomic status (SES) levels. Study design: Retrospective study, based on birth registry national data comprising the years 2003–2017. Methods: Data on singleton births from the Dutch perinatal registry (N = 2,472,352) were analysed. We measured exposure as the number of days during gestation when mean ambient temperature fell into specific, mutually exclusive bins, using the 8–12 °C range as a reference. A robust method based on a temperature-bin regression model was employed to capitalize on the unpredictability of daily temperature fluctuations, assessing the impact on birth outcomes while accounting for seasonal and other underlying trends. This method also enabled an exploration of effect heterogeneity across variables such as household income, neighbourhood SES, and maternal education levels. Results: In-utero exposure to an additional hot day (with a mean temperature exceeding 20 °C), relative to the reference range, led to increased odds of low birth weight (LBW) (OR [95 % CI] = 1.007 [1.005, 1.009]), small for gestational age (SGA) (OR [95 % CI] = 1.004 [1.003, 1.005]), and preterm birth (PTB) (OR [95 % CI] = 1.006 [1.005, 1.007]). Exposure during the second trimester to an additional cold day led to increased odds of LBW and PTB. The observed impact was the most detrimental for births in low-SES households. Conclusions: Prenatal exposure to extreme temperatures has a detrimental impact on birth outcomes in the Netherlands. Projected increases in extreme temperatures may further exacerbate health inequalities in early life. These findings underscore the need for targeted public health policy strategies such as heat-health guidance during pregnancy to protect vulnerable populations.&quot;,&quot;publisher&quot;:&quot;Elsevier B.V.&quot;,&quot;volume&quot;:&quot;245&quot;},&quot;isTemporary&quot;:false},{&quot;id&quot;:&quot;3d303323-7556-35db-a09b-31019fa8487d&quot;,&quot;itemData&quot;:{&quot;type&quot;:&quot;report&quot;,&quot;id&quot;:&quot;3d303323-7556-35db-a09b-31019fa8487d&quot;,&quot;title&quot;:&quot;CRITICAL WINDOWS OF SUSCEPTIBILITY FOR THE EFFECTS OF PRENATAL EXPOSURE TO HEAT AND HEAT VARIABILITY ON GESTATIONAL GROWTH 2 3 4 Conflicts of Interest: The authors declare they have nothing to disclose&quot;,&quot;author&quot;:[{&quot;family&quot;:&quot;Carlson&quot;,&quot;given&quot;:&quot;Jeffrey M&quot;,&quot;parse-names&quot;:false,&quot;dropping-particle&quot;:&quot;&quot;,&quot;non-dropping-particle&quot;:&quot;&quot;},{&quot;family&quot;:&quot;Zanobetti&quot;,&quot;given&quot;:&quot;Antonella&quot;,&quot;parse-names&quot;:false,&quot;dropping-particle&quot;:&quot;&quot;,&quot;non-dropping-particle&quot;:&quot;&quot;},{&quot;family&quot;:&quot;Ettinger De Cuba&quot;,&quot;given&quot;:&quot;Stephanie&quot;,&quot;parse-names&quot;:false,&quot;dropping-particle&quot;:&quot;&quot;,&quot;non-dropping-particle&quot;:&quot;&quot;},{&quot;family&quot;:&quot;Poblacion&quot;,&quot;given&quot;:&quot;Ana P&quot;,&quot;parse-names&quot;:false,&quot;dropping-particle&quot;:&quot;&quot;,&quot;non-dropping-particle&quot;:&quot;&quot;},{&quot;family&quot;:&quot;Fabian&quot;,&quot;given&quot;:&quot;Patricia M&quot;,&quot;parse-names&quot;:false,&quot;dropping-particle&quot;:&quot;&quot;,&quot;non-dropping-particle&quot;:&quot;&quot;},{&quot;family&quot;:&quot;Carnes&quot;,&quot;given&quot;:&quot;Fei&quot;,&quot;parse-names&quot;:false,&quot;dropping-particle&quot;:&quot;&quot;,&quot;non-dropping-particle&quot;:&quot;&quot;},{&quot;family&quot;:&quot;Rhee&quot;,&quot;given&quot;:&quot;Jongeun&quot;,&quot;parse-names&quot;:false,&quot;dropping-particle&quot;:&quot;&quot;,&quot;non-dropping-particle&quot;:&quot;&quot;},{&quot;family&quot;:&quot;Lane&quot;,&quot;given&quot;:&quot;Kevin J&quot;,&quot;parse-names&quot;:false,&quot;dropping-particle&quot;:&quot;&quot;,&quot;non-dropping-particle&quot;:&quot;&quot;},{&quot;family&quot;:&quot;Sandel&quot;,&quot;given&quot;:&quot;Megan T&quot;,&quot;parse-names&quot;:false,&quot;dropping-particle&quot;:&quot;&quot;,&quot;non-dropping-particle&quot;:&quot;&quot;},{&quot;family&quot;:&quot;Janulewicz&quot;,&quot;given&quot;:&quot;Patricia A 6&quot;,&quot;parse-names&quot;:false,&quot;dropping-particle&quot;:&quot;&quot;,&quot;non-dropping-particle&quot;:&quot;&quot;}],&quot;issued&quot;:{&quot;date-parts&quot;:[[2022]]},&quot;abstract&quot;:&quot;28 29 Background: Studies have shown that prenatal heat exposure may impact fetal growth, but few&quot;,&quot;container-title-short&quot;:&quot;&quot;},&quot;isTemporary&quot;:false},{&quot;id&quot;:&quot;eef0b900-d032-3349-8093-5ebdbfe15290&quot;,&quot;itemData&quot;:{&quot;type&quot;:&quot;article-journal&quot;,&quot;id&quot;:&quot;eef0b900-d032-3349-8093-5ebdbfe15290&quot;,&quot;title&quot;:&quot;Prenatal exposure to heat and humidity and infant birth size in Ghana&quot;,&quot;author&quot;:[{&quot;family&quot;:&quot;Reddam&quot;,&quot;given&quot;:&quot;Aalekhya&quot;,&quot;parse-names&quot;:false,&quot;dropping-particle&quot;:&quot;&quot;,&quot;non-dropping-particle&quot;:&quot;&quot;},{&quot;family&quot;:&quot;Mujtaba&quot;,&quot;given&quot;:&quot;Mohammed Nuhu&quot;,&quot;parse-names&quot;:false,&quot;dropping-particle&quot;:&quot;&quot;,&quot;non-dropping-particle&quot;:&quot;&quot;},{&quot;family&quot;:&quot;Tuholske&quot;,&quot;given&quot;:&quot;Cascade&quot;,&quot;parse-names&quot;:false,&quot;dropping-particle&quot;:&quot;&quot;,&quot;non-dropping-particle&quot;:&quot;&quot;},{&quot;family&quot;:&quot;Kaali&quot;,&quot;given&quot;:&quot;Seyram&quot;,&quot;parse-names&quot;:false,&quot;dropping-particle&quot;:&quot;&quot;,&quot;non-dropping-particle&quot;:&quot;&quot;},{&quot;family&quot;:&quot;Ae-Ngibise&quot;,&quot;given&quot;:&quot;Kenneth Ayuurebobi&quot;,&quot;parse-names&quot;:false,&quot;dropping-particle&quot;:&quot;&quot;,&quot;non-dropping-particle&quot;:&quot;&quot;},{&quot;family&quot;:&quot;Wylie&quot;,&quot;given&quot;:&quot;Blair J.&quot;,&quot;parse-names&quot;:false,&quot;dropping-particle&quot;:&quot;&quot;,&quot;non-dropping-particle&quot;:&quot;&quot;},{&quot;family&quot;:&quot;Medgyesi&quot;,&quot;given&quot;:&quot;Danielle N.&quot;,&quot;parse-names&quot;:false,&quot;dropping-particle&quot;:&quot;&quot;,&quot;non-dropping-particle&quot;:&quot;&quot;},{&quot;family&quot;:&quot;Boamah-Kaali&quot;,&quot;given&quot;:&quot;Ellen&quot;,&quot;parse-names&quot;:false,&quot;dropping-particle&quot;:&quot;&quot;,&quot;non-dropping-particle&quot;:&quot;&quot;},{&quot;family&quot;:&quot;Baccarelli&quot;,&quot;given&quot;:&quot;Andrea A.&quot;,&quot;parse-names&quot;:false,&quot;dropping-particle&quot;:&quot;&quot;,&quot;non-dropping-particle&quot;:&quot;&quot;},{&quot;family&quot;:&quot;Agyei&quot;,&quot;given&quot;:&quot;Oscar&quot;,&quot;parse-names&quot;:false,&quot;dropping-particle&quot;:&quot;&quot;,&quot;non-dropping-particle&quot;:&quot;&quot;},{&quot;family&quot;:&quot;Chillrud&quot;,&quot;given&quot;:&quot;Steve N.&quot;,&quot;parse-names&quot;:false,&quot;dropping-particle&quot;:&quot;&quot;,&quot;non-dropping-particle&quot;:&quot;&quot;},{&quot;family&quot;:&quot;Asante&quot;,&quot;given&quot;:&quot;Kwaku Poku&quot;,&quot;parse-names&quot;:false,&quot;dropping-particle&quot;:&quot;&quot;,&quot;non-dropping-particle&quot;:&quot;&quot;},{&quot;family&quot;:&quot;Jack&quot;,&quot;given&quot;:&quot;Darby W.&quot;,&quot;parse-names&quot;:false,&quot;dropping-particle&quot;:&quot;&quot;,&quot;non-dropping-particle&quot;:&quot;&quot;},{&quot;family&quot;:&quot;Lee&quot;,&quot;given&quot;:&quot;Alison G.&quot;,&quot;parse-names&quot;:false,&quot;dropping-particle&quot;:&quot;&quot;,&quot;non-dropping-particle&quot;:&quot;&quot;},{&quot;family&quot;:&quot;Abubakari&quot;,&quot;given&quot;:&quot;Sulemana Watara&quot;,&quot;parse-names&quot;:false,&quot;dropping-particle&quot;:&quot;&quot;,&quot;non-dropping-particle&quot;:&quot;&quot;}],&quot;container-title&quot;:&quot;Environmental Research&quot;,&quot;container-title-short&quot;:&quot;Environ Res&quot;,&quot;DOI&quot;:&quot;10.1016/j.envres.2024.120557&quot;,&quot;ISSN&quot;:&quot;10960953&quot;,&quot;PMID&quot;:&quot;39647686&quot;,&quot;issued&quot;:{&quot;date-parts&quot;:[[2025,2,1]]},&quot;abstract&quot;:&quot;Previous studies – primarily in high income countries – have shown that high prenatal temperatures are associated with adverse birth outcomes. However, these studies are mostly focused on average exposure across the full gestational period or short-term exposure immediately prior to delivery and may miss important sensitive windows of exposure in utero. Further, nearly all use ambient air temperature data, which neglect physiologically important interactions between air temperature and humidity. The Ghana Randomized Air Pollution and Health Study (GRAPHS) recruited pregnant individuals from 2013 to 2015 from communities in the Kintampo North Municipality and Kintampo South District of Ghana. We estimated daily maximum shaded wet bulb globe temperature (WBGTmax) and heat index (HImax) during pregnancy and examined associations with birth weight, birth length, head circumference, and incidence of low birth weight, preterm birth, and small for gestational age. Using linear regression analyses, trimester average models identified that higher WBGTmax in the first trimester was associated with larger head circumference; second trimester was associated with shorter birth length, lower birth weight and higher odds of preterm birth, and third trimester was associated with shorter gestational age and larger head circumference. Time-varying analyses using distributed lag nonlinear models find that, compared to the median, lower WBGTmax and HImax (25th percentile) during the first half of pregnancy was associated with higher birth weight and longer birth length. Compared to the median, lower WBGTmax and HImax (25th percentile) in the second half of pregnancy was associated with smaller head circumference while higher wet bulb globe temperature (75th percentile) was associated with larger head circumference. Overall, our study identified that higher WBGTmax and HImax are associated with pregnancy duration and newborn size. Given the overall trend in our study area of rising temperatures, these data suggest that adaptation strategies are urgently needed to protect child health.&quot;,&quot;publisher&quot;:&quot;Academic Press Inc.&quot;,&quot;volume&quot;:&quot;266&quot;},&quot;isTemporary&quot;:false},{&quot;id&quot;:&quot;2840df40-6adc-3019-9d3e-3d0a32267a58&quot;,&quot;itemData&quot;:{&quot;type&quot;:&quot;article-journal&quot;,&quot;id&quot;:&quot;2840df40-6adc-3019-9d3e-3d0a32267a58&quot;,&quot;title&quot;:&quot;Associations between heat wave during pregnancy and term birth weight outcomes: The PARIS birth cohort&quot;,&quot;author&quot;:[{&quot;family&quot;:&quot;Rancière&quot;,&quot;given&quot;:&quot;Fanny&quot;,&quot;parse-names&quot;:false,&quot;dropping-particle&quot;:&quot;&quot;,&quot;non-dropping-particle&quot;:&quot;&quot;},{&quot;family&quot;:&quot;Wafo&quot;,&quot;given&quot;:&quot;Octave&quot;,&quot;parse-names&quot;:false,&quot;dropping-particle&quot;:&quot;&quot;,&quot;non-dropping-particle&quot;:&quot;&quot;},{&quot;family&quot;:&quot;Perrot&quot;,&quot;given&quot;:&quot;Xavier&quot;,&quot;parse-names&quot;:false,&quot;dropping-particle&quot;:&quot;&quot;,&quot;non-dropping-particle&quot;:&quot;&quot;},{&quot;family&quot;:&quot;Momas&quot;,&quot;given&quot;:&quot;Isabelle&quot;,&quot;parse-names&quot;:false,&quot;dropping-particle&quot;:&quot;&quot;,&quot;non-dropping-particle&quot;:&quot;&quot;}],&quot;container-title&quot;:&quot;Environment International&quot;,&quot;container-title-short&quot;:&quot;Environ Int&quot;,&quot;DOI&quot;:&quot;10.1016/j.envint.2024.108730&quot;,&quot;ISSN&quot;:&quot;18736750&quot;,&quot;PMID&quot;:&quot;38776654&quot;,&quot;issued&quot;:{&quot;date-parts&quot;:[[2024,6,1]]},&quot;abstract&quot;:&quot;Background: Climate change will make extreme weather events more frequent in the 21st century. Extreme ambient temperatures during the prenatal period have been associated with adverse pregnancy outcomes such as preterm birth. It is unclear, however, whether heat waves during pregnancy impact fetal growth in apparently healthy term newborns. Objectives: We aimed to investigate associations between heat wave during pregnancy and birth weight outcomes in term newborns from the PARIS birth cohort, and to explore meteorological conditions and air pollution as possible intermediate factors. Methods: We examined data on 3,359 newborns born between 37 and 42 weeks in Paris, France, between 2003 and 2006. Associations of maternal exposure to heat wave (during whole pregnancy and each trimester) with birth weight and small for gestational age (SGA) at term were studied using linear and logistic regression models adjusted for potential confounders. Maternal characteristics were investigated as possible modifiers. We explored the mediating role of ambient temperature, relative humidity, and air pollution levels in the relationship between heat wave during the first trimester and term SGA. Results: Mothers who were pregnant during the 2003 French heat wave (n = 506, 15 %) were more likely to have a term SGA baby (aOR = 2.70; 95 % CI: 1.38, 5.28) compared to mothers who did not experience heat wave during pregnancy. The association was stronger when heat wave occurred during the first trimester (aOR = 4.18; 95 % CI: 1.69, 10.35). Primiparous women were identified as more vulnerable than multiparous women. Average ambient temperature and air quality index explained about 36 % and 56 % of the association between heat wave during the first trimester and term SGA, respectively. Conclusions: This study suggests prenatal exposure to heat wave, especially during the first trimester, may adversely affect fetal growth of term newborns, which could be explained by both increasing ambient temperatures and worsening air quality.&quot;,&quot;publisher&quot;:&quot;Elsevier Ltd&quot;,&quot;volume&quot;:&quot;188&quot;},&quot;isTemporary&quot;:false},{&quot;id&quot;:&quot;1ef41c5f-2893-38dc-86ac-9a6ecc8c48de&quot;,&quot;itemData&quot;:{&quot;type&quot;:&quot;article-journal&quot;,&quot;id&quot;:&quot;1ef41c5f-2893-38dc-86ac-9a6ecc8c48de&quot;,&quot;title&quot;:&quot;The relationship between extreme ambient temperature and small for gestational age: A cohort study of 1,436,480 singleton term births in China&quot;,&quot;author&quot;:[{&quot;family&quot;:&quot;Li&quot;,&quot;given&quot;:&quot;Xiang&quot;,&quot;parse-names&quot;:false,&quot;dropping-particle&quot;:&quot;&quot;,&quot;non-dropping-particle&quot;:&quot;&quot;},{&quot;family&quot;:&quot;Ma&quot;,&quot;given&quot;:&quot;Jing&quot;,&quot;parse-names&quot;:false,&quot;dropping-particle&quot;:&quot;&quot;,&quot;non-dropping-particle&quot;:&quot;&quot;},{&quot;family&quot;:&quot;Cheng&quot;,&quot;given&quot;:&quot;Yang&quot;,&quot;parse-names&quot;:false,&quot;dropping-particle&quot;:&quot;&quot;,&quot;non-dropping-particle&quot;:&quot;&quot;},{&quot;family&quot;:&quot;Feng&quot;,&quot;given&quot;:&quot;Ling&quot;,&quot;parse-names&quot;:false,&quot;dropping-particle&quot;:&quot;&quot;,&quot;non-dropping-particle&quot;:&quot;&quot;},{&quot;family&quot;:&quot;Wang&quot;,&quot;given&quot;:&quot;Shaoshuai&quot;,&quot;parse-names&quot;:false,&quot;dropping-particle&quot;:&quot;&quot;,&quot;non-dropping-particle&quot;:&quot;&quot;},{&quot;family&quot;:&quot;Dong&quot;,&quot;given&quot;:&quot;Guanpeng&quot;,&quot;parse-names&quot;:false,&quot;dropping-particle&quot;:&quot;&quot;,&quot;non-dropping-particle&quot;:&quot;&quot;}],&quot;container-title&quot;:&quot;Environmental Research&quot;,&quot;container-title-short&quot;:&quot;Environ Res&quot;,&quot;DOI&quot;:&quot;10.1016/j.envres.2023.116412&quot;,&quot;ISSN&quot;:&quot;10960953&quot;,&quot;PMID&quot;:&quot;37315757&quot;,&quot;issued&quot;:{&quot;date-parts&quot;:[[2023,9,1]]},&quot;abstract&quot;:&quot;Studies have shown that exposure to extreme ambient temperature can contribute to adverse pregnancy outcomes, however, results across studies have been inconsistent. We aimed to evaluate the relationships between trimester-specific extreme temperature exposures and fetal growth restriction indicated by small for gestational age (SGA) in term pregnancies, and to assess whether and to what extent this relationship varies between different geographic regions. We linked 1,436,480 singleton term newborns (2014–2016) in Hubei Province, China, with a sub-district-level temperature exposures estimated by a generalized additive spatio-temporal model. Mixed-effects logistic regression models were employed to estimate the effects of extreme cold (temperature ≤5th percentile) and heat exposures (temperature &gt;95th percentile) on term SGA in three different geographic regions, while adjusting for the effects of maternal age, infant sex, the frequency of health checks, parity, educational level, season of birth, area-level income, and PM2.5 exposure. We also stratified our analyses by infant sex, maternal age, urban‒rural type, income categories and PM2.5 exposure for robustness analyses. We found that both cold (OR:1.32, 95% CI: 1.25–1.39) and heat (OR:1.17, 95% CI: 1.13–1.22) exposures during the third trimester significantly increased the risk of SGA in the East region. Only extreme heat exposure (OR:1.29, 95% CI: 1.21–1.37) during the third trimester was significantly related to SGA in the Middle region. Our findings suggest that extreme ambient temperature exposure during pregnancy can lead to fetal growth restriction. Governments and public health institutions should pay more attention to environmental stresses during gestation, especially in the late stage of the pregnancy.&quot;,&quot;publisher&quot;:&quot;Academic Press Inc.&quot;,&quot;volume&quot;:&quot;232&quot;},&quot;isTemporary&quot;:false},{&quot;id&quot;:&quot;e2a54233-44ef-3019-88aa-1c68cf997dee&quot;,&quot;itemData&quot;:{&quot;type&quot;:&quot;article-journal&quot;,&quot;id&quot;:&quot;e2a54233-44ef-3019-88aa-1c68cf997dee&quot;,&quot;title&quot;:&quot;Association between maximum temperature and PM2.5with pregnancy outcomes in Lima, Peru&quot;,&quot;author&quot;:[{&quot;family&quot;:&quot;Tapia&quot;,&quot;given&quot;:&quot;Vilma L.&quot;,&quot;parse-names&quot;:false,&quot;dropping-particle&quot;:&quot;&quot;,&quot;non-dropping-particle&quot;:&quot;&quot;},{&quot;family&quot;:&quot;Vasquez-Apestegui&quot;,&quot;given&quot;:&quot;Bertha Vanessa&quot;,&quot;parse-names&quot;:false,&quot;dropping-particle&quot;:&quot;&quot;,&quot;non-dropping-particle&quot;:&quot;&quot;},{&quot;family&quot;:&quot;Alcantara-Zapata&quot;,&quot;given&quot;:&quot;Diana&quot;,&quot;parse-names&quot;:false,&quot;dropping-particle&quot;:&quot;&quot;,&quot;non-dropping-particle&quot;:&quot;&quot;},{&quot;family&quot;:&quot;Vu&quot;,&quot;given&quot;:&quot;Bryan&quot;,&quot;parse-names&quot;:false,&quot;dropping-particle&quot;:&quot;&quot;,&quot;non-dropping-particle&quot;:&quot;&quot;},{&quot;family&quot;:&quot;Steenland&quot;,&quot;given&quot;:&quot;Kyle&quot;,&quot;parse-names&quot;:false,&quot;dropping-particle&quot;:&quot;&quot;,&quot;non-dropping-particle&quot;:&quot;&quot;},{&quot;family&quot;:&quot;Gonzales&quot;,&quot;given&quot;:&quot;Gustavo F.&quot;,&quot;parse-names&quot;:false,&quot;dropping-particle&quot;:&quot;&quot;,&quot;non-dropping-particle&quot;:&quot;&quot;}],&quot;container-title&quot;:&quot;Environmental Epidemiology&quot;,&quot;DOI&quot;:&quot;10.1097/EE9.0000000000000179&quot;,&quot;ISSN&quot;:&quot;24747882&quot;,&quot;issued&quot;:{&quot;date-parts&quot;:[[2021,12,12]]},&quot;page&quot;:&quot;E179&quot;,&quot;abstract&quot;:&quot;Background: We have previously documented an inverse relationship between PM2.5 in Lima, Peru, and reproductive outcomes. Here, we investigate the effect of temperature on birth weight, birth weight-Z-score adjusted for gestational age, low birth weight, and preterm birth. We also explore interactions between PM2.5 and temperature. Methods: We studied 123,034 singleton births in three public hospitals of Lima with temperature and PM2.5 during gestation between 2012 and 2016. We used linear, logistic, and Cox regression to estimate associations between temperature during gestation and birth outcomes and explored possible modification of the temperature effect by PM2.5. Results: Exposure to maximum temperature in the last trimester was inversely associated with both birth weight [β: -23.7; 95% confidence interval [CI]: -28.0, -19.5] and z-score weight-for-gestational-age (β: -0.024; 95% CI: -0.029, -0.020) with an interquartile range of 5.32 °C. There was also an increased risk of preterm birth with higher temperature (interquartile range) in the first trimester (hazard ratio: 1.04; 95% CI: 1.001, 1.070). The effect of temperature on birthweight was primarily seen at higher PM2.5 levels. There were no statistically significant associations between temperature exposure with low birth weight. Conclusions: Exposition to maximum temperature was associated with lower birth weight and z-score weight-for-gestational-age and higher risk of preterm birth, in accordance with much of the literature. The effects on birth weight were seen only in the third trimester.&quot;,&quot;publisher&quot;:&quot;Wolters Kluwer Health&quot;,&quot;issue&quot;:&quot;6&quot;,&quot;volume&quot;:&quot;5&quot;,&quot;container-title-short&quot;:&quot;&quot;},&quot;isTemporary&quot;:false}]},{&quot;citationID&quot;:&quot;MENDELEY_CITATION_dc6a0069-27fd-415d-86cb-e4a7ca751627&quot;,&quot;properties&quot;:{&quot;noteIndex&quot;:0},&quot;isEdited&quot;:false,&quot;manualOverride&quot;:{&quot;isManuallyOverridden&quot;:false,&quot;citeprocText&quot;:&quot;(35,36)&quot;,&quot;manualOverrideText&quot;:&quot;&quot;},&quot;citationTag&quot;:&quot;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&quot;,&quot;citationItems&quot;:[{&quot;id&quot;:&quot;48e11200-38de-344b-898f-06c69a6c9bf0&quot;,&quot;itemData&quot;:{&quot;type&quot;:&quot;article-journal&quot;,&quot;id&quot;:&quot;48e11200-38de-344b-898f-06c69a6c9bf0&quot;,&quot;title&quot;:&quot;The association of apparent temperature with fetal growth: A birth cohort study in Beijing, China&quot;,&quot;author&quot;:[{&quot;family&quot;:&quot;Yuan&quot;,&quot;given&quot;:&quot;Xin&quot;,&quot;parse-names&quot;:false,&quot;dropping-particle&quot;:&quot;&quot;,&quot;non-dropping-particle&quot;:&quot;&quot;},{&quot;family&quot;:&quot;Zhou&quot;,&quot;given&quot;:&quot;Shuang&quot;,&quot;parse-names&quot;:false,&quot;dropping-particle&quot;:&quot;&quot;,&quot;non-dropping-particle&quot;:&quot;&quot;},{&quot;family&quot;:&quot;Li&quot;,&quot;given&quot;:&quot;Xiaoqing&quot;,&quot;parse-names&quot;:false,&quot;dropping-particle&quot;:&quot;&quot;,&quot;non-dropping-particle&quot;:&quot;&quot;},{&quot;family&quot;:&quot;Lyu&quot;,&quot;given&quot;:&quot;Jinlang&quot;,&quot;parse-names&quot;:false,&quot;dropping-particle&quot;:&quot;&quot;,&quot;non-dropping-particle&quot;:&quot;&quot;},{&quot;family&quot;:&quot;Lin&quot;,&quot;given&quot;:&quot;Lizi&quot;,&quot;parse-names&quot;:false,&quot;dropping-particle&quot;:&quot;&quot;,&quot;non-dropping-particle&quot;:&quot;&quot;},{&quot;family&quot;:&quot;Ji&quot;,&quot;given&quot;:&quot;Yuelong&quot;,&quot;parse-names&quot;:false,&quot;dropping-particle&quot;:&quot;&quot;,&quot;non-dropping-particle&quot;:&quot;&quot;},{&quot;family&quot;:&quot;Wang&quot;,&quot;given&quot;:&quot;Hui&quot;,&quot;parse-names&quot;:false,&quot;dropping-particle&quot;:&quot;&quot;,&quot;non-dropping-particle&quot;:&quot;&quot;},{&quot;family&quot;:&quot;Liu&quot;,&quot;given&quot;:&quot;Jue&quot;,&quot;parse-names&quot;:false,&quot;dropping-particle&quot;:&quot;&quot;,&quot;non-dropping-particle&quot;:&quot;&quot;},{&quot;family&quot;:&quot;Li&quot;,&quot;given&quot;:&quot;Qin&quot;,&quot;parse-names&quot;:false,&quot;dropping-particle&quot;:&quot;&quot;,&quot;non-dropping-particle&quot;:&quot;&quot;},{&quot;family&quot;:&quot;Wang&quot;,&quot;given&quot;:&quot;Hai Jun&quot;,&quot;parse-names&quot;:false,&quot;dropping-particle&quot;:&quot;&quot;,&quot;non-dropping-particle&quot;:&quot;&quot;}],&quot;container-title&quot;:&quot;Sustainable Cities and Society&quot;,&quot;container-title-short&quot;:&quot;Sustain Cities Soc&quot;,&quot;DOI&quot;:&quot;10.1016/j.scs.2025.106266&quot;,&quot;ISSN&quot;:&quot;22106707&quot;,&quot;issued&quot;:{&quot;date-parts&quot;:[[2025,4,1]]},&quot;abstract&quot;:&quot;The physiological characteristics of pregnant women and fetuses make them more susceptible to unfavorable temperature conditions. This cohort study in Beijing, China, involved 23,182 singleton pregnant women. Apparent temperature (AT; a composite index of temperature and relative humidity) matched to the participants' residential addresses. Fetal growth was assessed using ultrasound parameters, transformed into gestational-age- and gender-adjusted standard score (Z-score). Association between AT and fetal growth analysed by mixed linear models showed that both high and low AT exposures significantly negatively affected fetal head, abdominal and femur length development and significantly decreased fetal weight in utero. For instance, at ≤23 weeks, both lower and higher AT were associated with a decrease in abdominal circumference (AC) Z-scores by 0.16 (95 % confidence interval (95 % CI):0.20, -0.11). At 24–31 weeks, lower and higher AT decreased AC Z-scores by 0.13 (95 % CI:0.17, -0.09) and 0.09 (95 % CI:0.13, -0.05), respectively. At 32–40 weeks, lower and higher AT decreased AC Z-scores by 0.03 (95 % CI:0.06, 0.01) and 0.06 (95 % CI:0.09, -0.02), respectively. This study contributes to a deeper understanding of the vulnerabilities of pregnant women and fetuses to urban heat exposure, to safeguard public health and promote sustainable development.&quot;,&quot;publisher&quot;:&quot;Elsevier Ltd&quot;,&quot;volume&quot;:&quot;123&quot;},&quot;isTemporary&quot;:false},{&quot;id&quot;:&quot;1f236389-9430-37b4-854e-798d8edb18d8&quot;,&quot;itemData&quot;:{&quot;type&quot;:&quot;article-journal&quot;,&quot;id&quot;:&quot;1f236389-9430-37b4-854e-798d8edb18d8&quot;,&quot;title&quot;:&quot;Ambient temperature during pregnancy and fetal growth in Eastern Massachusetts, USA&quot;,&quot;author&quot;:[{&quot;family&quot;:&quot;Leung&quot;,&quot;given&quot;:&quot;Michael&quot;,&quot;parse-names&quot;:false,&quot;dropping-particle&quot;:&quot;&quot;,&quot;non-dropping-particle&quot;:&quot;&quot;},{&quot;family&quot;:&quot;Laden&quot;,&quot;given&quot;:&quot;Francine&quot;,&quot;parse-names&quot;:false,&quot;dropping-particle&quot;:&quot;&quot;,&quot;non-dropping-particle&quot;:&quot;&quot;},{&quot;family&quot;:&quot;Coull&quot;,&quot;given&quot;:&quot;Brent A.&quot;,&quot;parse-names&quot;:false,&quot;dropping-particle&quot;:&quot;&quot;,&quot;non-dropping-particle&quot;:&quot;&quot;},{&quot;family&quot;:&quot;Modest&quot;,&quot;given&quot;:&quot;Anna M.&quot;,&quot;parse-names&quot;:false,&quot;dropping-particle&quot;:&quot;&quot;,&quot;non-dropping-particle&quot;:&quot;&quot;},{&quot;family&quot;:&quot;Hacker&quot;,&quot;given&quot;:&quot;Michele R.&quot;,&quot;parse-names&quot;:false,&quot;dropping-particle&quot;:&quot;&quot;,&quot;non-dropping-particle&quot;:&quot;&quot;},{&quot;family&quot;:&quot;Wylie&quot;,&quot;given&quot;:&quot;Blair J.&quot;,&quot;parse-names&quot;:false,&quot;dropping-particle&quot;:&quot;&quot;,&quot;non-dropping-particle&quot;:&quot;&quot;},{&quot;family&quot;:&quot;Iyer&quot;,&quot;given&quot;:&quot;Hari S.&quot;,&quot;parse-names&quot;:false,&quot;dropping-particle&quot;:&quot;&quot;,&quot;non-dropping-particle&quot;:&quot;&quot;},{&quot;family&quot;:&quot;Hart&quot;,&quot;given&quot;:&quot;Jaime E.&quot;,&quot;parse-names&quot;:false,&quot;dropping-particle&quot;:&quot;&quot;,&quot;non-dropping-particle&quot;:&quot;&quot;},{&quot;family&quot;:&quot;Wei&quot;,&quot;given&quot;:&quot;Yaguang&quot;,&quot;parse-names&quot;:false,&quot;dropping-particle&quot;:&quot;&quot;,&quot;non-dropping-particle&quot;:&quot;&quot;},{&quot;family&quot;:&quot;Schwartz&quot;,&quot;given&quot;:&quot;Joel&quot;,&quot;parse-names&quot;:false,&quot;dropping-particle&quot;:&quot;&quot;,&quot;non-dropping-particle&quot;:&quot;&quot;},{&quot;family&quot;:&quot;Weisskopf&quot;,&quot;given&quot;:&quot;Marc G.&quot;,&quot;parse-names&quot;:false,&quot;dropping-particle&quot;:&quot;&quot;,&quot;non-dropping-particle&quot;:&quot;&quot;},{&quot;family&quot;:&quot;Papatheodorou&quot;,&quot;given&quot;:&quot;Stefania&quot;,&quot;parse-names&quot;:false,&quot;dropping-particle&quot;:&quot;&quot;,&quot;non-dropping-particle&quot;:&quot;&quot;}],&quot;container-title&quot;:&quot;International Journal of Epidemiology&quot;,&quot;container-title-short&quot;:&quot;Int J Epidemiol&quot;,&quot;DOI&quot;:&quot;10.1093/ije/dyac228&quot;,&quot;ISSN&quot;:&quot;14643685&quot;,&quot;PMID&quot;:&quot;36495569&quot;,&quot;issued&quot;:{&quot;date-parts&quot;:[[2023,6,1]]},&quot;page&quot;:&quot;749-760&quot;,&quot;abstract&quot;:&quot;Background: Left unabated, rising temperatures pose an escalating threat to human health. The potential effects of hot temperatures on fetal health have been under-explored. Here, we examined the association between prenatal ambient temperature exposure and fetal growth measures in a Massachusetts-based pregnancy cohort. Methods: We used ultrasound measurements of biparietal diameter (BPD), head circumference (HC), femur length and abdominal circumference (AC), in addition to birthweight (BW), from 9446 births at Beth Israel Deaconess Medical Center from 2011 to 2016. Ultrasound scans were classified into three distinct gestational periods: 16-23 weeks, 24-31 weeks, 32+ weeks; and z-scores were created for each fetal growth measure using the INTERGROWTH-21st standards. We fitted distributed lag models to estimate the time-varying association between weekly temperature and fetal growth, adjusting for sociodemographic characteristics, seasonal and long-Term trends, humidity and particulate matter (PM2.5). Results: Higher ambient temperature was associated with smaller fetal growth measures. The critical window of exposure appeared to be Weeks 1-20 for ultrasound parameters, and high temperatures throughout pregnancy were important for BW. Associations were strongest for head parameters (BPD and HC) in early to mid-pregnancy, AC late in pregnancy and BW. For example, a 5ºC higher cumulative temperature exposure was associated with a lower mean AC z-score of-0.26 (95% CI:-0.48,-0.04) among 24-31-Week scans, and a lower mean BW z-score of-0.32 (95% CI:-0.51,-0.12). Conclusion: Higher temperatures were associated with impaired fetal growth. This has major health implications given that extreme temperatures are more common and escalating.&quot;,&quot;publisher&quot;:&quot;Oxford University Press&quot;,&quot;issue&quot;:&quot;3&quot;,&quot;volume&quot;:&quot;52&quot;},&quot;isTemporary&quot;:false}]},{&quot;citationID&quot;:&quot;MENDELEY_CITATION_1023325a-16de-4fdd-ac02-d2a2b4aa2c12&quot;,&quot;properties&quot;:{&quot;noteIndex&quot;:0},&quot;isEdited&quot;:false,&quot;manualOverride&quot;:{&quot;isManuallyOverridden&quot;:false,&quot;citeprocText&quot;:&quot;(12,14,15,20,22,37,38)&quot;,&quot;manualOverrideText&quot;:&quot;&quot;},&quot;citationTag&quot;:&quot;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&quot;,&quot;citationItems&quot;:[{&quot;id&quot;:&quot;3661e7d1-67ff-3f40-b478-3050fb8cc448&quot;,&quot;itemData&quot;:{&quot;type&quot;:&quot;article-journal&quot;,&quot;id&quot;:&quot;3661e7d1-67ff-3f40-b478-3050fb8cc448&quot;,&quot;title&quot;:&quot;Socioeconomic disparities in climate vulnerability: neonatal mortality in northern Sweden, 1880–1950&quot;,&quot;author&quot;:[{&quot;family&quot;:&quot;Karlsson&quot;,&quot;given&quot;:&quot;Lena&quot;,&quot;parse-names&quot;:false,&quot;dropping-particle&quot;:&quot;&quot;,&quot;non-dropping-particle&quot;:&quot;&quot;},{&quot;family&quot;:&quot;Junkka&quot;,&quot;given&quot;:&quot;Johan&quot;,&quot;parse-names&quot;:false,&quot;dropping-particle&quot;:&quot;&quot;,&quot;non-dropping-particle&quot;:&quot;&quot;},{&quot;family&quot;:&quot;Schumann&quot;,&quot;given&quot;:&quot;Barbara&quot;,&quot;parse-names&quot;:false,&quot;dropping-particle&quot;:&quot;&quot;,&quot;non-dropping-particle&quot;:&quot;&quot;},{&quot;family&quot;:&quot;Lundevaller&quot;,&quot;given&quot;:&quot;Erling Häggström&quot;,&quot;parse-names&quot;:false,&quot;dropping-particle&quot;:&quot;&quot;,&quot;non-dropping-particle&quot;:&quot;&quot;}],&quot;container-title&quot;:&quot;Population and Environment&quot;,&quot;container-title-short&quot;:&quot;Popul Environ&quot;,&quot;DOI&quot;:&quot;10.1007/s11111-021-00383-9&quot;,&quot;ISSN&quot;:&quot;15737810&quot;,&quot;issued&quot;:{&quot;date-parts&quot;:[[2021,12,1]]},&quot;page&quot;:&quot;149-180&quot;,&quot;abstract&quot;:&quot;The aim of this study was to analyse the association between season of birth, temperature and neonatal mortality according to socioeconomic status in northern Sweden from 1880 to 1950. The source material for this study comprised digitised parish records combined with local weather data. The association between temperature, seasonality, socioeconomic status and neonatal mortality was modelled using survival analysis. We can summarise our findings according to three time periods. During the first period (1880–1899), temperature and seasonality had the greatest association with high neonatal mortality, and the socioeconomic differences in vulnerability were small. The second period (1900–1929) was associated with a decline in seasonal and temperature-related vulnerabilities among all socioeconomic groups. For the last period (1930–1950), a new regime evolved with rapidly declining neonatal mortality rates involving class-specific temperature vulnerabilities, and there was a particular effect of high temperature among workers. We conclude that the effect of season of birth on neonatal mortality was declining for all socioeconomic groups (1880–1950), whereas weather vulnerability was pronounced either when the socioeconomic disparities in neonatal mortality were large (1880–1899) or during transformations from high to low neonatal rates in the course of industrialisation and urbanisation.&quot;,&quot;publisher&quot;:&quot;Springer Science and Business Media B.V.&quot;,&quot;issue&quot;:&quot;2&quot;,&quot;volume&quot;:&quot;43&quot;},&quot;isTemporary&quot;:false},{&quot;id&quot;:&quot;af282663-abde-3aea-9bfc-664695a88f0f&quot;,&quot;itemData&quot;:{&quot;type&quot;:&quot;article-journal&quot;,&quot;id&quot;:&quot;af282663-abde-3aea-9bfc-664695a88f0f&quot;,&quot;title&quot;:&quot;Climate vulnerability of Swedish newborns: Gender differences and time trends of temperature-related neonatal mortality, 1880–1950&quot;,&quot;author&quot;:[{&quot;family&quot;:&quot;Junkka&quot;,&quot;given&quot;:&quot;Johan&quot;,&quot;parse-names&quot;:false,&quot;dropping-particle&quot;:&quot;&quot;,&quot;non-dropping-particle&quot;:&quot;&quot;},{&quot;family&quot;:&quot;Karlsson&quot;,&quot;given&quot;:&quot;Lena&quot;,&quot;parse-names&quot;:false,&quot;dropping-particle&quot;:&quot;&quot;,&quot;non-dropping-particle&quot;:&quot;&quot;},{&quot;family&quot;:&quot;Lundevaller&quot;,&quot;given&quot;:&quot;Erling&quot;,&quot;parse-names&quot;:false,&quot;dropping-particle&quot;:&quot;&quot;,&quot;non-dropping-particle&quot;:&quot;&quot;},{&quot;family&quot;:&quot;Schumann&quot;,&quot;given&quot;:&quot;Barbara&quot;,&quot;parse-names&quot;:false,&quot;dropping-particle&quot;:&quot;&quot;,&quot;non-dropping-particle&quot;:&quot;&quot;}],&quot;container-title&quot;:&quot;Environmental Research&quot;,&quot;container-title-short&quot;:&quot;Environ Res&quot;,&quot;DOI&quot;:&quot;10.1016/j.envres.2020.110400&quot;,&quot;ISSN&quot;:&quot;10960953&quot;,&quot;PMID&quot;:&quot;33129863&quot;,&quot;issued&quot;:{&quot;date-parts&quot;:[[2021,1,1]]},&quot;abstract&quot;:&quot;Background: In resource-poor societies, neonatal mortality (death in the first 28 days of life) is usually very high. Young infants are particularly vulnerable to environmental health risks, which are modified by socioeconomic factors that change over time. We investigated the association between ambient temperature and neonatal mortality in northern Sweden during the demographic transition. Methods: Parish register data and temperature data in coastal Västerbotten, Sweden, between 1880 and 1950 were used. Total and sex-specific neonatal mortality was modelled as a function of mean temperature, adjusting for age, seasonality and calendar time, using discrete-time survival analysis. A linear threshold function was applied with a cut point at 14.5 °C (the minimum mortality temperature). Odds ratios (ORs) with 95% confidence intervals (CIs) were computed. Further analyses were stratified by study period (1800–1899, 1900–1929, and 1930–1950). Results: Neonatal mortality was 32.1 deaths/1000 live births, higher in boys than in girls, and decreased between 1880 and 1950, with high inter-annual variability. Mean daily temperature was +2.5 °C, ranging from −40.9 °C to +28.8 °C. At −20 °C, the OR of neonatal death was 1.56 (CI 1.30–1.87) compared to the reference at +14.5 °C. Among girls, the OR of mortality at −20 °C was 1.17 (0.88–1.54), and among boys, it was 1.94 (1.53–2.45). A temperature increase from +14.5 to +20 °C was associated with a 25% increase of neonatal mortality (OR 1.25, CI 1.04–1.50). Heat- and cold-related risks were lowest between 1900 and 1929. Conclusions: In this remote sub-Arctic region undergoing socio-economic changes, we found an increased mortality risk in neonates related to low but also to high temperature. Climate vulnerability varied across time and was particularly high among boys. This demonstrates that environmental impacts on human health are complex and highly dependent on the specific local context, with many, often unknown, contributing determinants of vulnerability.&quot;,&quot;publisher&quot;:&quot;Academic Press Inc.&quot;,&quot;volume&quot;:&quot;192&quot;},&quot;isTemporary&quot;:false},{&quot;id&quot;:&quot;86b67f56-9819-3434-a972-be35ff312a8f&quot;,&quot;itemData&quot;:{&quot;type&quot;:&quot;article-journal&quot;,&quot;id&quot;:&quot;86b67f56-9819-3434-a972-be35ff312a8f&quot;,&quot;title&quot;:&quot;A time-stratified, case–crossover study of heat exposure and perinatal mortality from 16 hospitals in sub-Saharan Africa&quot;,&quot;author&quot;:[{&quot;family&quot;:&quot;Hanson&quot;,&quot;given&quot;:&quot;Claudia&quot;,&quot;parse-names&quot;:false,&quot;dropping-particle&quot;:&quot;&quot;,&quot;non-dropping-particle&quot;:&quot;&quot;},{&quot;family&quot;:&quot;Bont&quot;,&quot;given&quot;:&quot;Jeroen&quot;,&quot;parse-names&quot;:false,&quot;dropping-particle&quot;:&quot;&quot;,&quot;non-dropping-particle&quot;:&quot;de&quot;},{&quot;family&quot;:&quot;Annerstedt&quot;,&quot;given&quot;:&quot;Kristi Sidney&quot;,&quot;parse-names&quot;:false,&quot;dropping-particle&quot;:&quot;&quot;,&quot;non-dropping-particle&quot;:&quot;&quot;},{&quot;family&quot;:&quot;Alsina&quot;,&quot;given&quot;:&quot;Maria del Rosario&quot;,&quot;parse-names&quot;:false,&quot;dropping-particle&quot;:&quot;&quot;,&quot;non-dropping-particle&quot;:&quot;&quot;},{&quot;family&quot;:&quot;Nobile&quot;,&quot;given&quot;:&quot;Federica&quot;,&quot;parse-names&quot;:false,&quot;dropping-particle&quot;:&quot;&quot;,&quot;non-dropping-particle&quot;:&quot;&quot;},{&quot;family&quot;:&quot;Roos&quot;,&quot;given&quot;:&quot;Nathalie&quot;,&quot;parse-names&quot;:false,&quot;dropping-particle&quot;:&quot;&quot;,&quot;non-dropping-particle&quot;:&quot;&quot;},{&quot;family&quot;:&quot;Waiswa&quot;,&quot;given&quot;:&quot;Peter&quot;,&quot;parse-names&quot;:false,&quot;dropping-particle&quot;:&quot;&quot;,&quot;non-dropping-particle&quot;:&quot;&quot;},{&quot;family&quot;:&quot;Pembe&quot;,&quot;given&quot;:&quot;Andrea&quot;,&quot;parse-names&quot;:false,&quot;dropping-particle&quot;:&quot;&quot;,&quot;non-dropping-particle&quot;:&quot;&quot;},{&quot;family&quot;:&quot;Dossou&quot;,&quot;given&quot;:&quot;Jean Paul&quot;,&quot;parse-names&quot;:false,&quot;dropping-particle&quot;:&quot;&quot;,&quot;non-dropping-particle&quot;:&quot;&quot;},{&quot;family&quot;:&quot;Chipeta&quot;,&quot;given&quot;:&quot;Effie&quot;,&quot;parse-names&quot;:false,&quot;dropping-particle&quot;:&quot;&quot;,&quot;non-dropping-particle&quot;:&quot;&quot;},{&quot;family&quot;:&quot;Benova&quot;,&quot;given&quot;:&quot;Lenka&quot;,&quot;parse-names&quot;:false,&quot;dropping-particle&quot;:&quot;&quot;,&quot;non-dropping-particle&quot;:&quot;&quot;},{&quot;family&quot;:&quot;Kidanto&quot;,&quot;given&quot;:&quot;Hussein&quot;,&quot;parse-names&quot;:false,&quot;dropping-particle&quot;:&quot;&quot;,&quot;non-dropping-particle&quot;:&quot;&quot;},{&quot;family&quot;:&quot;Part&quot;,&quot;given&quot;:&quot;Cherie&quot;,&quot;parse-names&quot;:false,&quot;dropping-particle&quot;:&quot;&quot;,&quot;non-dropping-particle&quot;:&quot;&quot;},{&quot;family&quot;:&quot;Stafoggia&quot;,&quot;given&quot;:&quot;Massimo&quot;,&quot;parse-names&quot;:false,&quot;dropping-particle&quot;:&quot;&quot;,&quot;non-dropping-particle&quot;:&quot;&quot;},{&quot;family&quot;:&quot;Filippi&quot;,&quot;given&quot;:&quot;Veronique&quot;,&quot;parse-names&quot;:false,&quot;dropping-particle&quot;:&quot;&quot;,&quot;non-dropping-particle&quot;:&quot;&quot;},{&quot;family&quot;:&quot;Ljungman&quot;,&quot;given&quot;:&quot;Petter&quot;,&quot;parse-names&quot;:false,&quot;dropping-particle&quot;:&quot;&quot;,&quot;non-dropping-particle&quot;:&quot;&quot;}],&quot;container-title&quot;:&quot;Nature Medicine&quot;,&quot;container-title-short&quot;:&quot;Nat Med&quot;,&quot;DOI&quot;:&quot;10.1038/s41591-024-03245-7&quot;,&quot;ISSN&quot;:&quot;1546170X&quot;,&quot;PMID&quot;:&quot;39227446&quot;,&quot;issued&quot;:{&quot;date-parts&quot;:[[2024,11,1]]},&quot;page&quot;:&quot;3106-3113&quot;,&quot;abstract&quot;:&quot;Growing evidence suggests that extreme heat events affect both pregnant women and their infants, but few studies are available from sub-Saharan Africa. Using data from 138,015 singleton births in 16 hospitals in Benin, Malawi, Tanzania and Uganda, we investigated the association between extreme heat and early perinatal deaths, including antepartum and intrapartum stillbirths, and deaths within 24 h after birth using a time-stratified case–crossover design. We observed an association between an increase from the 75th to the 99th percentile in mean temperature 1 week (lag 0–6 d) before childbirth and perinatal mortality (odds ratio (OR) = 1.34 (95% confidence interval (CI) 1.01–1.78)). The estimates for stillbirths were similarly positive, but CIs included unity: OR = 1.29 (95% CI 0.95–1.77) for all stillbirths, OR = 1.18 (95% CI 0.71–1.95) for antepartum stillbirths and OR = 1.64 (95% CI 0.74–3.63) for intrapartum stillbirths. The cumulative exposure–response curve suggested that the steepest slopes for heat for intrapartum stillbirths and associations were stronger during the hottest seasons. We conclude that short-term heat exposure may increase mortality risks, particularly for intrapartum stillbirths, raising the importance of improved intrapartum care.&quot;,&quot;publisher&quot;:&quot;Nature Research&quot;,&quot;issue&quot;:&quot;11&quot;,&quot;volume&quot;:&quot;30&quot;},&quot;isTemporary&quot;:false},{&quot;id&quot;:&quot;eb2c3002-b7a9-3020-ad54-ff8b5e2ff54e&quot;,&quot;itemData&quot;:{&quot;type&quot;:&quot;article-journal&quot;,&quot;id&quot;:&quot;eb2c3002-b7a9-3020-ad54-ff8b5e2ff54e&quot;,&quot;title&quot;:&quot;Country-level impact of climate change on maternal and newborn health: Associations between temperature, precipitation, maternal mortality, stillbirth, and neonatal mortality in the Democratic Republic of the Congo&quot;,&quot;author&quot;:[{&quot;family&quot;:&quot;Ngongo&quot;,&quot;given&quot;:&quot;Carrie J.&quot;,&quot;parse-names&quot;:false,&quot;dropping-particle&quot;:&quot;&quot;,&quot;non-dropping-particle&quot;:&quot;&quot;},{&quot;family&quot;:&quot;Bisanzio&quot;,&quot;given&quot;:&quot;Donal&quot;,&quot;parse-names&quot;:false,&quot;dropping-particle&quot;:&quot;&quot;,&quot;non-dropping-particle&quot;:&quot;&quot;},{&quot;family&quot;:&quot;Corrigan&quot;,&quot;given&quot;:&quot;Gabriella&quot;,&quot;parse-names&quot;:false,&quot;dropping-particle&quot;:&quot;&quot;,&quot;non-dropping-particle&quot;:&quot;&quot;},{&quot;family&quot;:&quot;Angendu&quot;,&quot;given&quot;:&quot;Karl B.&quot;,&quot;parse-names&quot;:false,&quot;dropping-particle&quot;:&quot;&quot;,&quot;non-dropping-particle&quot;:&quot;&quot;},{&quot;family&quot;:&quot;Smith-Arthur&quot;,&quot;given&quot;:&quot;Alisha&quot;,&quot;parse-names&quot;:false,&quot;dropping-particle&quot;:&quot;&quot;,&quot;non-dropping-particle&quot;:&quot;&quot;},{&quot;family&quot;:&quot;Hutchinson&quot;,&quot;given&quot;:&quot;Brian&quot;,&quot;parse-names&quot;:false,&quot;dropping-particle&quot;:&quot;&quot;,&quot;non-dropping-particle&quot;:&quot;&quot;},{&quot;family&quot;:&quot;Akilimali&quot;,&quot;given&quot;:&quot;Pierre&quot;,&quot;parse-names&quot;:false,&quot;dropping-particle&quot;:&quot;&quot;,&quot;non-dropping-particle&quot;:&quot;&quot;}],&quot;container-title&quot;:&quot;Environment International&quot;,&quot;container-title-short&quot;:&quot;Environ Int&quot;,&quot;DOI&quot;:&quot;10.1016/j.envint.2025.109564&quot;,&quot;ISSN&quot;:&quot;18736750&quot;,&quot;PMID&quot;:&quot;40554223&quot;,&quot;issued&quot;:{&quot;date-parts&quot;:[[2025,8,1]]},&quot;abstract&quot;:&quot;Background: Evidence connecting extreme heat to maternal and newborn health outcomes is needed at country level, especially in tropical areas. DHIS2 (District Health Information Software 2) collects aggregated population health data by health zone in the Democratic Republic of the Congo (DRC). Methods: Drawing from DHIS2 records of 22·7 million DRC births 2018–2023, spatio-temporal modeling assessed associations between maternal mortality, stillbirth, and neonatal mortality and same-month, remotely sensed temperature, precipitation, anomalous high temperature (&gt;95th percentile), and anomalous heavy precipitation (&gt;95th percentile), controlling for month, year, remoteness, and health zone. Findings: Temperatures &gt; 34 °C and anomalous heavy precipitation were strongly associated with increases in same-month stillbirth and maternal mortality and less strongly associated with neonatal mortality. The stillbirth rate rose by 2·3/1,000 births for every degree increase above 34 °C (95% CI: 1·9; 2·5) or by 5·9/1,000 births in months &gt; 95th percentile (32·9 °C; 95% CI: 5·1; 6·7). Maternal mortality rose by 27·3 deaths/100,000 live births for every degree increase above 34 °C (95% CI: 19·1; 35·7) or by 95·3 deaths/100,000 live births in months &gt; 95th percentile (95% CI: 71·3; 119·4). Months with anomalous heavy precipitation were associated with an increase of 5·4 stillbirths/1,000 births (95% CI: 4·8; 6·2) and with 120 maternal deaths/100,000 live births (95% CI: 100·9; 139·5). Interpretation: DHIS2 data offer a readily available opportunity to assess associations between climate and country-level population health outcomes. Further work is needed to hone and evaluate effective approaches that protect mothers and newborns in the face of projected warming and rainfall changes. Risk-based planning, geographic targeting, and stakeholder coordination will support appropriate, context-specific responses.&quot;,&quot;publisher&quot;:&quot;Elsevier Ltd&quot;,&quot;volume&quot;:&quot;202&quot;},&quot;isTemporary&quot;:false},{&quot;id&quot;:&quot;2425b574-766c-3dba-abbb-a234b1554e0d&quot;,&quot;itemData&quot;:{&quot;type&quot;:&quot;article-journal&quot;,&quot;id&quot;:&quot;2425b574-766c-3dba-abbb-a234b1554e0d&quot;,&quot;title&quot;:&quot;The association of temperature extremes, ecosystem resilience, with child mortality: Novel evidence from India&quot;,&quot;author&quot;:[{&quot;family&quot;:&quot;Shaw&quot;,&quot;given&quot;:&quot;Subhojit&quot;,&quot;parse-names&quot;:false,&quot;dropping-particle&quot;:&quot;&quot;,&quot;non-dropping-particle&quot;:&quot;&quot;},{&quot;family&quot;:&quot;Chattopadhyay&quot;,&quot;given&quot;:&quot;Aparajita&quot;,&quot;parse-names&quot;:false,&quot;dropping-particle&quot;:&quot;&quot;,&quot;non-dropping-particle&quot;:&quot;&quot;},{&quot;family&quot;:&quot;Dey&quot;,&quot;given&quot;:&quot;Sourav&quot;,&quot;parse-names&quot;:false,&quot;dropping-particle&quot;:&quot;&quot;,&quot;non-dropping-particle&quot;:&quot;&quot;},{&quot;family&quot;:&quot;Hoffmann&quot;,&quot;given&quot;:&quot;Roman&quot;,&quot;parse-names&quot;:false,&quot;dropping-particle&quot;:&quot;&quot;,&quot;non-dropping-particle&quot;:&quot;&quot;}],&quot;container-title&quot;:&quot;Environmental Research&quot;,&quot;container-title-short&quot;:&quot;Environ Res&quot;,&quot;DOI&quot;:&quot;10.1016/j.envres.2024.120690&quot;,&quot;ISSN&quot;:&quot;10960953&quot;,&quot;PMID&quot;:&quot;39730043&quot;,&quot;issued&quot;:{&quot;date-parts&quot;:[[2025,2,15]]},&quot;abstract&quot;:&quot;The present study investigates how ecosystem resilience affects children's health and acts as a protective shield against high temperature exposure. Ecosystem resilience is the ability of an ecosystem to absorb anthropogenic or climatic shocks and recover from those shocks. The study used various data sources to estimate the impact of temperature extremes on child mortality in India. Data on neonatal mortality (NMR) and infant mortality (IMR) were obtained from the National Family Health Survey (NFHS-5) conducted between 2019 and 2021. Satellite data were used to assess extreme heat and ecosystem resilience. Univariate and bivariate Local Indicator of Spatial Autocorrelation (LISA) analysis were applied to examine the spatial association of high temperature, ecosystem resilience, and NMR, IMR. Further, a multivariate Cox hazard model, taking into account the censored data, was used to estimate mortality risk in high temperatures and non-resilient ecosystems. The spatial regression model reveals a significant association between higher temperatures and higher NMR (β: 1.78) and IMR (β: 1.79). The cox-proportional hazard models show elevated risks for neonatal and infant deaths due to high temperatures and non-resilient ecosystems. The resilience of the ecosystem plays an important role in exerting a positive effect on children's health, though, at its current state, resilience fails to moderate the high temperature impact on mortality. The present study, the first of its kind in India, highlights the exposure to high temperatures leading to neonatal and infant deaths when reliance imparts limited protective effect to offshoot the impact of high temperature on excess mortality.&quot;,&quot;publisher&quot;:&quot;Academic Press Inc.&quot;,&quot;volume&quot;:&quot;267&quot;},&quot;isTemporary&quot;:false},{&quot;id&quot;:&quot;7c029804-35cd-3c9e-98bd-921cf7e1951b&quot;,&quot;itemData&quot;:{&quot;type&quot;:&quot;article-journal&quot;,&quot;id&quot;:&quot;7c029804-35cd-3c9e-98bd-921cf7e1951b&quot;,&quot;title&quot;:&quot;Not only cold but also heat: the effect of maternal exposure to high temperatures during gestation on neonatal mortality in pre-transitional Casalguidi, 1819–1859&quot;,&quot;author&quot;:[{&quot;family&quot;:&quot;Manfredini&quot;,&quot;given&quot;:&quot;Matteo&quot;,&quot;parse-names&quot;:false,&quot;dropping-particle&quot;:&quot;&quot;,&quot;non-dropping-particle&quot;:&quot;&quot;}],&quot;container-title&quot;:&quot;Population and Environment&quot;,&quot;container-title-short&quot;:&quot;Popul Environ&quot;,&quot;DOI&quot;:&quot;10.1007/s11111-024-00467-2&quot;,&quot;ISSN&quot;:&quot;15737810&quot;,&quot;issued&quot;:{&quot;date-parts&quot;:[[2024,12,1]]},&quot;abstract&quot;:&quot;Consideration of weather and the environment is becoming increasingly prominent in the field of historical demography. Early studies on infant mortality have paved the way for this type of analysis, shedding light on the significant impact of cold weather conditions on child survival. However, recent research on contemporary populations has drawn attention to the increased risk of adverse birth outcomes due to maternal exposure to heat during pregnancy. The present study aims to validate this finding in a pre-transitional population, specifically focusing on its effects on neonatal mortality. To our knowledge, this analysis is being applied to such populations for the first time, with the goal of exploring whether factors other than cold winters may have also influenced mortality mechanisms during this crucial life stage in historical populations. The results show that heat exposure significantly affected early neonatal mortality, and they also reveal that the susceptibility window was limited to the second trimester of gestation. Temperature-related risks of death were influenced by the tie the family had to the land, with sharecroppers being at the lowest risk. This finding was attributed more to cultural elements associated with the value of children within this social group than to purely economic factors related to living conditions.&quot;,&quot;publisher&quot;:&quot;Springer Science and Business Media B.V.&quot;,&quot;issue&quot;:&quot;4&quot;,&quot;volume&quot;:&quot;46&quot;},&quot;isTemporary&quot;:false},{&quot;id&quot;:&quot;4b24afca-6b6e-38b6-8a32-dbc2e59f94f9&quot;,&quot;itemData&quot;:{&quot;type&quot;:&quot;article-journal&quot;,&quot;id&quot;:&quot;4b24afca-6b6e-38b6-8a32-dbc2e59f94f9&quot;,&quot;title&quot;:&quot;Temperature-related neonatal deaths attributable to climate change in 29 low- and middle-income countries&quot;,&quot;author&quot;:[{&quot;family&quot;:&quot;Dimitrova&quot;,&quot;given&quot;:&quot;Asya&quot;,&quot;parse-names&quot;:false,&quot;dropping-particle&quot;:&quot;&quot;,&quot;non-dropping-particle&quot;:&quot;&quot;},{&quot;family&quot;:&quot;Dimitrova&quot;,&quot;given&quot;:&quot;Anna&quot;,&quot;parse-names&quot;:false,&quot;dropping-particle&quot;:&quot;&quot;,&quot;non-dropping-particle&quot;:&quot;&quot;},{&quot;family&quot;:&quot;Mengel&quot;,&quot;given&quot;:&quot;Matthias&quot;,&quot;parse-names&quot;:false,&quot;dropping-particle&quot;:&quot;&quot;,&quot;non-dropping-particle&quot;:&quot;&quot;},{&quot;family&quot;:&quot;Gasparrini&quot;,&quot;given&quot;:&quot;Antonio&quot;,&quot;parse-names&quot;:false,&quot;dropping-particle&quot;:&quot;&quot;,&quot;non-dropping-particle&quot;:&quot;&quot;},{&quot;family&quot;:&quot;Lotze-Campen&quot;,&quot;given&quot;:&quot;Hermann&quot;,&quot;parse-names&quot;:false,&quot;dropping-particle&quot;:&quot;&quot;,&quot;non-dropping-particle&quot;:&quot;&quot;},{&quot;family&quot;:&quot;Gabrysch&quot;,&quot;given&quot;:&quot;Sabine&quot;,&quot;parse-names&quot;:false,&quot;dropping-particle&quot;:&quot;&quot;,&quot;non-dropping-particle&quot;:&quot;&quot;}],&quot;container-title&quot;:&quot;Nature Communications&quot;,&quot;container-title-short&quot;:&quot;Nat Commun&quot;,&quot;DOI&quot;:&quot;10.1038/s41467-024-49890-x&quot;,&quot;ISSN&quot;:&quot;20411723&quot;,&quot;PMID&quot;:&quot;38951496&quot;,&quot;issued&quot;:{&quot;date-parts&quot;:[[2024,12,1]]},&quot;abstract&quot;:&quot;Exposure to high and low ambient temperatures increases the risk of neonatal mortality, but the contribution of climate change to temperature-related neonatal deaths is unknown. We use Demographic and Health Survey (DHS) data (n = 40,073) from 29 low- and middle-income countries to estimate the temperature-related burden of neonatal deaths between 2001 and 2019 that is attributable to climate change. We find that across all countries, 4.3% of neonatal deaths were associated with non-optimal temperatures. Climate change was responsible for 32% (range: 19-79%) of heat-related neonatal deaths, while reducing the respective cold-related burden by 30% (range: 10-63%). Climate change has impacted temperature-related neonatal deaths in all study countries, with most pronounced climate-induced losses from increased heat and gains from decreased cold observed in countries in sub-Saharan Africa. Future increases in global mean temperatures are expected to exacerbate the heat-related burden, which calls for ambitious mitigation and adaptation measures to safeguard the health of newborns.&quot;,&quot;publisher&quot;:&quot;Nature Research&quot;,&quot;issue&quot;:&quot;1&quot;,&quot;volume&quot;:&quot;15&quot;},&quot;isTemporary&quot;:false}]},{&quot;citationID&quot;:&quot;MENDELEY_CITATION_7792195a-5457-4d2e-8e9d-340fd876a7be&quot;,&quot;properties&quot;:{&quot;noteIndex&quot;:0},&quot;isEdited&quot;:false,&quot;manualOverride&quot;:{&quot;isManuallyOverridden&quot;:false,&quot;citeprocText&quot;:&quot;(39–41)&quot;,&quot;manualOverrideText&quot;:&quot;&quot;},&quot;citationTag&quot;:&quot;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&quot;,&quot;citationItems&quot;:[{&quot;id&quot;:&quot;796bf436-faf9-3e20-8d7e-ae1d84fdc23b&quot;,&quot;itemData&quot;:{&quot;type&quot;:&quot;article-journal&quot;,&quot;id&quot;:&quot;796bf436-faf9-3e20-8d7e-ae1d84fdc23b&quot;,&quot;title&quot;:&quot;Exposure to acute ambient temperature extremes and neonatal intensive care unit admissions: A case-crossover study&quot;,&quot;author&quot;:[{&quot;family&quot;:&quot;LaPointe&quot;,&quot;given&quot;:&quot;Sarah&quot;,&quot;parse-names&quot;:false,&quot;dropping-particle&quot;:&quot;&quot;,&quot;non-dropping-particle&quot;:&quot;&quot;},{&quot;family&quot;:&quot;Nie&quot;,&quot;given&quot;:&quot;Jing&quot;,&quot;parse-names&quot;:false,&quot;dropping-particle&quot;:&quot;&quot;,&quot;non-dropping-particle&quot;:&quot;&quot;},{&quot;family&quot;:&quot;Stevens&quot;,&quot;given&quot;:&quot;Danielle R.&quot;,&quot;parse-names&quot;:false,&quot;dropping-particle&quot;:&quot;&quot;,&quot;non-dropping-particle&quot;:&quot;&quot;},{&quot;family&quot;:&quot;Gleason&quot;,&quot;given&quot;:&quot;Jessica L.&quot;,&quot;parse-names&quot;:false,&quot;dropping-particle&quot;:&quot;&quot;,&quot;non-dropping-particle&quot;:&quot;&quot;},{&quot;family&quot;:&quot;Ha&quot;,&quot;given&quot;:&quot;Sandie&quot;,&quot;parse-names&quot;:false,&quot;dropping-particle&quot;:&quot;&quot;,&quot;non-dropping-particle&quot;:&quot;&quot;},{&quot;family&quot;:&quot;Seeni&quot;,&quot;given&quot;:&quot;Indulaxmi&quot;,&quot;parse-names&quot;:false,&quot;dropping-particle&quot;:&quot;&quot;,&quot;non-dropping-particle&quot;:&quot;&quot;},{&quot;family&quot;:&quot;Grantz&quot;,&quot;given&quot;:&quot;Katherine L.&quot;,&quot;parse-names&quot;:false,&quot;dropping-particle&quot;:&quot;&quot;,&quot;non-dropping-particle&quot;:&quot;&quot;},{&quot;family&quot;:&quot;Mendola&quot;,&quot;given&quot;:&quot;Pauline&quot;,&quot;parse-names&quot;:false,&quot;dropping-particle&quot;:&quot;&quot;,&quot;non-dropping-particle&quot;:&quot;&quot;}],&quot;container-title&quot;:&quot;Science of the Total Environment&quot;,&quot;DOI&quot;:&quot;10.1016/j.scitotenv.2024.176149&quot;,&quot;ISSN&quot;:&quot;18791026&quot;,&quot;PMID&quot;:&quot;39260482&quot;,&quot;issued&quot;:{&quot;date-parts&quot;:[[2024,11,25]]},&quot;abstract&quot;:&quot;Background: Extreme in utero temperatures have been associated with adverse birth outcomes, including preterm birth and low birthweight. However, there is limited evidence on associations with neonatal intensive care unit (NICU) admissions, which reflect a range of poor neonatal health outcomes. Methods: This case-crossover study assesses the associations between ambient temperature changes during the week of delivery and risk of NICU admission. Data from the Consortium on Safe Labor (2002–2008) were linked to ambient temperature at hospital referral regions. Adjusted hazard ratios (HR) and 95 % confidence intervals (CI) estimated NICU admission risk with a 1 °C increase on each day of the week of delivery and of the average weekly temperature, adjusted for particulate matter ≤2.5 μm (PM2.5) and relative humidity. We also estimated associations with 1 °C increases and 1 °C decreases in temperatures during weeks of site-specific extreme heat (&gt;90th and 95th percentiles) and cold (&lt;5th and 10th percentiles), respectively. Results: There were 27,188 NICU admissions with median (25th, 75th) temperature of 16.4 °C (5.8, 23.0) during the week before delivery. A 1 °C increase in temperature during the week of delivery was not associated with risk of NICU admission. However, analyses of extreme temperatures found that a 1 °C decrease in weekly average temperatures below the 10th and 5th percentiles was associated with 30 % (aHR = 1.30, 95 % CI 1.28, 1.31) and 47 % (aHR = 1.47, 95 % CI 1.45, 1.50) increased risk of NICU admissions, while a 1 °C increase in weekly average temperatures above the 90th and 95th percentiles was associated with more than two- (aHR = 2.29, 95 % CI 2.17, 2.42) and four-fold (aHR = 4.30, 95 % CI 3.68, 5.03) higher risk of NICU admission, respectively. Conclusions: Our study found temperature extremes in the week before delivery increased NICU admission risk, particularly during extreme heat, which may translate to more adverse neonatal outcomes as extreme temperatures persist.&quot;,&quot;publisher&quot;:&quot;Elsevier B.V.&quot;,&quot;volume&quot;:&quot;953&quot;,&quot;container-title-short&quot;:&quot;&quot;},&quot;isTemporary&quot;:false},{&quot;id&quot;:&quot;0a9742bf-216a-316c-b14e-c88504338677&quot;,&quot;itemData&quot;:{&quot;type&quot;:&quot;article-journal&quot;,&quot;id&quot;:&quot;0a9742bf-216a-316c-b14e-c88504338677&quot;,&quot;title&quot;:&quot;Extreme temperatures during pregnancy and adverse birth outcomes: Evidence from 2009 to 2018 U.S. national birth data&quot;,&quot;author&quot;:[{&quot;family&quot;:&quot;Cil&quot;,&quot;given&quot;:&quot;Gulcan&quot;,&quot;parse-names&quot;:false,&quot;dropping-particle&quot;:&quot;&quot;,&quot;non-dropping-particle&quot;:&quot;&quot;},{&quot;family&quot;:&quot;Kim&quot;,&quot;given&quot;:&quot;Jiyoon&quot;,&quot;parse-names&quot;:false,&quot;dropping-particle&quot;:&quot;&quot;,&quot;non-dropping-particle&quot;:&quot;&quot;}],&quot;container-title&quot;:&quot;Health Economics (United Kingdom)&quot;,&quot;DOI&quot;:&quot;10.1002/hec.4559&quot;,&quot;ISSN&quot;:&quot;10991050&quot;,&quot;PMID&quot;:&quot;35751786&quot;,&quot;issued&quot;:{&quot;date-parts&quot;:[[2022,9,1]]},&quot;page&quot;:&quot;1993-2024&quot;,&quot;abstract&quot;:&quot;We provide the first estimates of the impacts of prenatal exposure to extreme temperatures on infant health at birth using the latest national birth data from 2009 to 2018 from all U.S. states. We consistently find that an additional day with mean temperature greater than 80°F or less than 10°F increases preterm births and low birthweight. Strikingly, the adverse effects are borne disproportionately by Black and Hispanic mothers, suggesting that the projected increase in extreme temperatures may further exacerbate the existing birth health disparities across different race/ethnicity groups. We also contribute by investigating the impact of deviations from the normal weather pattern, to identify the extreme weather events after accounting for the adaptation response. We find that prenatal exposure to extreme heat two standard deviations above county's historic average induces preterm births and NICU admissions, particularly for mothers whose pregnancies overlap with summer months. These results are timely and policy relevant, considering the recent weather trends with rising temperatures and frequent extreme weather events.&quot;,&quot;publisher&quot;:&quot;John Wiley and Sons Ltd&quot;,&quot;issue&quot;:&quot;9&quot;,&quot;volume&quot;:&quot;31&quot;,&quot;container-title-short&quot;:&quot;&quot;},&quot;isTemporary&quot;:false},{&quot;id&quot;:&quot;29418a12-0a97-3a23-9260-422a3ba8f850&quot;,&quot;itemData&quot;:{&quot;type&quot;:&quot;article-journal&quot;,&quot;id&quot;:&quot;29418a12-0a97-3a23-9260-422a3ba8f850&quot;,&quot;title&quot;:&quot;Neonates in Ahmedabad, India, during the 2010 Heat Wave: A climate change adaptation study&quot;,&quot;author&quot;:[{&quot;family&quot;:&quot;Kakkad&quot;,&quot;given&quot;:&quot;Khyati&quot;,&quot;parse-names&quot;:false,&quot;dropping-particle&quot;:&quot;&quot;,&quot;non-dropping-particle&quot;:&quot;&quot;},{&quot;family&quot;:&quot;Barzaga&quot;,&quot;given&quot;:&quot;Michelle L.&quot;,&quot;parse-names&quot;:false,&quot;dropping-particle&quot;:&quot;&quot;,&quot;non-dropping-particle&quot;:&quot;&quot;},{&quot;family&quot;:&quot;Wallenstein&quot;,&quot;given&quot;:&quot;Sylvan&quot;,&quot;parse-names&quot;:false,&quot;dropping-particle&quot;:&quot;&quot;,&quot;non-dropping-particle&quot;:&quot;&quot;},{&quot;family&quot;:&quot;Azhar&quot;,&quot;given&quot;:&quot;Gulrez Shah&quot;,&quot;parse-names&quot;:false,&quot;dropping-particle&quot;:&quot;&quot;,&quot;non-dropping-particle&quot;:&quot;&quot;},{&quot;family&quot;:&quot;Sheffield&quot;,&quot;given&quot;:&quot;Perry E.&quot;,&quot;parse-names&quot;:false,&quot;dropping-particle&quot;:&quot;&quot;,&quot;non-dropping-particle&quot;:&quot;&quot;}],&quot;container-title&quot;:&quot;Journal of Environmental and Public Health&quot;,&quot;container-title-short&quot;:&quot;J Environ Public Health&quot;,&quot;DOI&quot;:&quot;10.1155/2014/946875&quot;,&quot;ISSN&quot;:&quot;16879813&quot;,&quot;PMID&quot;:&quot;24734050&quot;,&quot;issued&quot;:{&quot;date-parts&quot;:[[2014]]},&quot;abstract&quot;:&quot;Health effects from climate change are an international concern with urban areas at particular risk due to urban heat island effects. The burden of disease on vulnerable populations in non-climate-controlled settings has not been well studied. This study compared neonatal morbidity in a non-air-conditioned hospital during the 2010 heat wave in Ahmedabad to morbidity in the prior and subsequent years. The outcome of interest was neonatal intensive care unit (NICU) admissions for heat. During the months of April, May, and June of 2010, 24 NICU admissions were for heat versus 8 and 4 in 2009 and 2011, respectively. Both the effect of moving the maternity ward and the effect of high temperatures were statistically significant, controlling for each other. Above 42 degrees Celsius, each daily maximum temperature increase of a degree was associated with 43% increase in heat-related admissions (95% CI 9.2-88%). Lower floor location of the maternity ward within hospital which occurred after the 2010 heat wave showed a protective effect. These findings demonstrate the importance of simple surveillance measures in motivating a hospital policy change for climate change adaptation - here relocating one ward - and the potential increasing health burden of heat in non-climate-controlled institutions on vulnerable populations. © 2014 Khyati Kakkad et al.&quot;,&quot;publisher&quot;:&quot;Hindawi Publishing Corporation&quot;,&quot;volume&quot;:&quot;2014&quot;},&quot;isTemporary&quot;:false}]},{&quot;citationID&quot;:&quot;MENDELEY_CITATION_f47dfb9b-d137-4eed-b0c9-5a323d7f4dd4&quot;,&quot;properties&quot;:{&quot;noteIndex&quot;:0},&quot;isEdited&quot;:false,&quot;manualOverride&quot;:{&quot;isManuallyOverridden&quot;:false,&quot;citeprocText&quot;:&quot;(19)&quot;,&quot;manualOverrideText&quot;:&quot;&quot;},&quot;citationTag&quot;:&quot;MENDELEY_CITATION_v3_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&quot;,&quot;citationItems&quot;:[{&quot;id&quot;:&quot;a0f876ac-ba05-3c67-8606-ec69a8f5cfef&quot;,&quot;itemData&quot;:{&quot;type&quot;:&quot;article-journal&quot;,&quot;id&quot;:&quot;a0f876ac-ba05-3c67-8606-ec69a8f5cfef&quot;,&quot;title&quot;:&quot;Too hot to thrive: a qualitative inquiry of community perspectives on the effect of high ambient temperature on postpartum women and neonates in Kilifi, Kenya&quot;,&quot;author&quot;:[{&quot;family&quot;:&quot;Lusambili&quot;,&quot;given&quot;:&quot;Adelaide&quot;,&quot;parse-names&quot;:false,&quot;dropping-particle&quot;:&quot;&quot;,&quot;non-dropping-particle&quot;:&quot;&quot;},{&quot;family&quot;:&quot;Kovats&quot;,&quot;given&quot;:&quot;Sari&quot;,&quot;parse-names&quot;:false,&quot;dropping-particle&quot;:&quot;&quot;,&quot;non-dropping-particle&quot;:&quot;&quot;},{&quot;family&quot;:&quot;Nakstad&quot;,&quot;given&quot;:&quot;Britt&quot;,&quot;parse-names&quot;:false,&quot;dropping-particle&quot;:&quot;&quot;,&quot;non-dropping-particle&quot;:&quot;&quot;},{&quot;family&quot;:&quot;Filippi&quot;,&quot;given&quot;:&quot;Veronique&quot;,&quot;parse-names&quot;:false,&quot;dropping-particle&quot;:&quot;&quot;,&quot;non-dropping-particle&quot;:&quot;&quot;},{&quot;family&quot;:&quot;Khaemba&quot;,&quot;given&quot;:&quot;Peter&quot;,&quot;parse-names&quot;:false,&quot;dropping-particle&quot;:&quot;&quot;,&quot;non-dropping-particle&quot;:&quot;&quot;},{&quot;family&quot;:&quot;Roos&quot;,&quot;given&quot;:&quot;Nathalie&quot;,&quot;parse-names&quot;:false,&quot;dropping-particle&quot;:&quot;&quot;,&quot;non-dropping-particle&quot;:&quot;&quot;},{&quot;family&quot;:&quot;Part&quot;,&quot;given&quot;:&quot;Cherie&quot;,&quot;parse-names&quot;:false,&quot;dropping-particle&quot;:&quot;&quot;,&quot;non-dropping-particle&quot;:&quot;&quot;},{&quot;family&quot;:&quot;Luchters&quot;,&quot;given&quot;:&quot;Stanley&quot;,&quot;parse-names&quot;:false,&quot;dropping-particle&quot;:&quot;&quot;,&quot;non-dropping-particle&quot;:&quot;&quot;},{&quot;family&quot;:&quot;Chersich&quot;,&quot;given&quot;:&quot;Matthew&quot;,&quot;parse-names&quot;:false,&quot;dropping-particle&quot;:&quot;&quot;,&quot;non-dropping-particle&quot;:&quot;&quot;},{&quot;family&quot;:&quot;Hess&quot;,&quot;given&quot;:&quot;Jeremy&quot;,&quot;parse-names&quot;:false,&quot;dropping-particle&quot;:&quot;&quot;,&quot;non-dropping-particle&quot;:&quot;&quot;},{&quot;family&quot;:&quot;Kadio&quot;,&quot;given&quot;:&quot;Kadidiatou&quot;,&quot;parse-names&quot;:false,&quot;dropping-particle&quot;:&quot;&quot;,&quot;non-dropping-particle&quot;:&quot;&quot;},{&quot;family&quot;:&quot;Scorgie&quot;,&quot;given&quot;:&quot;Fiona&quot;,&quot;parse-names&quot;:false,&quot;dropping-particle&quot;:&quot;&quot;,&quot;non-dropping-particle&quot;:&quot;&quot;}],&quot;container-title&quot;:&quot;BMC Pediatrics&quot;,&quot;container-title-short&quot;:&quot;BMC Pediatr&quot;,&quot;DOI&quot;:&quot;10.1186/s12887-023-04517-w&quot;,&quot;ISSN&quot;:&quot;14712431&quot;,&quot;PMID&quot;:&quot;38216969&quot;,&quot;issued&quot;:{&quot;date-parts&quot;:[[2024,12,1]]},&quot;abstract&quot;:&quot;Objective: To understand community perspectives on the effects of high ambient temperature on the health and wellbeing of neonates, and impacts on post-partum women and infant care in Kilifi. Design: Qualitative study using key informant interviews, in-depth interviews and focus group discussions with pregnant and postpartum women (n = 22), mothers-in-law (n = 19), male spouses (n = 20), community health volunteers (CHVs) (n = 22) and stakeholders from health and government ministries (n = 16). Settings: We conducted our research in Kilifi County in Kenya’s Coast Province. The area is largely rural and during summer, air temperatures can reach 37˚C and rarely go below 23˚C. Data analysis: Data were analyzed in NVivo 12, using both inductive and deductive approaches. Results: High ambient temperature is perceived by community members to have direct and indirect health pathways in pregnancy and postpartum periods, including on the neonates. The direct impacts include injuries on the neonate’s skin and in the mouth, leading to discomfort and affecting breastfeeding and sleeping. Participants described babies as “having no peace”. Heat effects were perceived to be amplified by indoor air pollution and heat from indoor cooking fires. Community members believed that exclusive breastfeeding was not practical in conditions of extreme heat because it lowered breast milk production, which was, in turn, linked to a low scarcity of food and time spend by mothers away from their neonates performing household chores. Kangaroo Mother Care (KMC) was also negatively affected. Participants reported that postpartum women took longer to heal in the heat, were exhausted most of the time and tended not to attend postnatal care. Conclusions: High ambient temperatures affect postpartum women and their neonates through direct and indirect pathways. Discomfort makes it difficult for the mother to care for the baby. Multi-sectoral policies and programs are required to mitigate the negative impacts of high ambient temperatures on maternal and neonatal health in rural Kilifi and similar settings.&quot;,&quot;publisher&quot;:&quot;BioMed Central Ltd&quot;,&quot;issue&quot;:&quot;1&quot;,&quot;volume&quot;:&quot;24&quot;},&quot;isTemporary&quot;:false}]},{&quot;citationID&quot;:&quot;MENDELEY_CITATION_da8c86bc-5bb9-4b78-9667-ec983a77e9e5&quot;,&quot;properties&quot;:{&quot;noteIndex&quot;:0},&quot;isEdited&quot;:false,&quot;manualOverride&quot;:{&quot;isManuallyOverridden&quot;:false,&quot;citeprocText&quot;:&quot;(23,42)&quot;,&quot;manualOverrideText&quot;:&quot;&quot;},&quot;citationTag&quot;:&quot;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&quot;,&quot;citationItems&quot;:[{&quot;id&quot;:&quot;21f19083-a9a2-3539-bcc4-08baa643aff9&quot;,&quot;itemData&quot;:{&quot;type&quot;:&quot;article-journal&quot;,&quot;id&quot;:&quot;21f19083-a9a2-3539-bcc4-08baa643aff9&quot;,&quot;title&quot;:&quot;Impact of ambient temperature exposure on newborns with low Apgar scores in northwest China&quot;,&quot;author&quot;:[{&quot;family&quot;:&quot;Tang&quot;,&quot;given&quot;:&quot;Zezhong&quot;,&quot;parse-names&quot;:false,&quot;dropping-particle&quot;:&quot;&quot;,&quot;non-dropping-particle&quot;:&quot;&quot;},{&quot;family&quot;:&quot;Wu&quot;,&quot;given&quot;:&quot;Mingyang&quot;,&quot;parse-names&quot;:false,&quot;dropping-particle&quot;:&quot;&quot;,&quot;non-dropping-particle&quot;:&quot;&quot;},{&quot;family&quot;:&quot;Song&quot;,&quot;given&quot;:&quot;Guangrong&quot;,&quot;parse-names&quot;:false,&quot;dropping-particle&quot;:&quot;&quot;,&quot;non-dropping-particle&quot;:&quot;&quot;},{&quot;family&quot;:&quot;Yang&quot;,&quot;given&quot;:&quot;Rong&quot;,&quot;parse-names&quot;:false,&quot;dropping-particle&quot;:&quot;&quot;,&quot;non-dropping-particle&quot;:&quot;&quot;},{&quot;family&quot;:&quot;Wang&quot;,&quot;given&quot;:&quot;Youjie&quot;,&quot;parse-names&quot;:false,&quot;dropping-particle&quot;:&quot;&quot;,&quot;non-dropping-particle&quot;:&quot;&quot;}],&quot;DOI&quot;:&quot;10.1007/s11356-021-13340-8/Published&quot;,&quot;URL&quot;:&quot;http://www.weather.&quot;,&quot;abstract&quot;:&quot;In the context of global climate change, research efforts were focused on the association of ambient temperatures on maternal and neonatal health condition, but few have examined associations with low Apgar scores. From January 1, 2017, to December 31, 2018, all singleton deliveries of Ningxia Hui Autonomous Region were extracted from the Hospital Information System (N = 182,322). Daily temperature data were obtained from the official website of China Meteorological Administration. Low Apgar scores were defined as Apgar score ≤ 3 at 5 min in the present study. Logistic regression models were used to estimate the adjusted association between prenatal temperature exposure and low Apgar scores. Restricted cubic spline models were used to explore the dose-response relationship between temperature and low Apgar scores. The study population included 182,322 live singleton births, with 1575 (0.86%) cases of low Apgar scores. The elevated ambient temperature in different exposure timing windows in late pregnancy was associated with increased risk of low Apgar scores. As compared to moderate (10th-90th) temperature exposure, prenatal exposure to extreme hot (&gt;90th) was associated with 13.9-47.0% increased risk of low Apgar scores, while non-significant relationship was found between extreme cold (&lt;10th) exposure and low Apgar scores. The restricted cubic spline models showed a U-shaped relationship between prenatal temperature exposure and low Apgar scores (P for non-linearity &lt; 0.05). Exposure to high ambient temperature during late pregnancy is associated with an increased risk of low Apgar scores in northwest China.&quot;,&quot;container-title-short&quot;:&quot;&quot;},&quot;isTemporary&quot;:false},{&quot;id&quot;:&quot;0c8d7f59-e685-375b-8bfc-5a365738d41d&quot;,&quot;itemData&quot;:{&quot;type&quot;:&quot;article&quot;,&quot;id&quot;:&quot;0c8d7f59-e685-375b-8bfc-5a365738d41d&quot;,&quot;title&quot;:&quot;Short-term ambient heat exposure and low APGAR score in newborns: A time-stratified case-crossover analysis in São Paulo state, Brazil (2013-2019)&quot;,&quot;author&quot;:[{&quot;family&quot;:&quot;Carretto&quot;,&quot;given&quot;:&quot;Michelle&quot;,&quot;parse-names&quot;:false,&quot;dropping-particle&quot;:&quot;&quot;,&quot;non-dropping-particle&quot;:&quot;Del&quot;},{&quot;family&quot;:&quot;Godin&quot;,&quot;given&quot;:&quot;Audrey&quot;,&quot;parse-names&quot;:false,&quot;dropping-particle&quot;:&quot;&quot;,&quot;non-dropping-particle&quot;:&quot;&quot;},{&quot;family&quot;:&quot;Neves&quot;,&quot;given&quot;:&quot;Danielson&quot;,&quot;parse-names&quot;:false,&quot;dropping-particle&quot;:&quot;&quot;,&quot;non-dropping-particle&quot;:&quot;&quot;},{&quot;family&quot;:&quot;Paixao&quot;,&quot;given&quot;:&quot;Enny S.&quot;,&quot;parse-names&quot;:false,&quot;dropping-particle&quot;:&quot;&quot;,&quot;non-dropping-particle&quot;:&quot;&quot;},{&quot;family&quot;:&quot;Wan&quot;,&quot;given&quot;:&quot;Kai&quot;,&quot;parse-names&quot;:false,&quot;dropping-particle&quot;:&quot;&quot;,&quot;non-dropping-particle&quot;:&quot;&quot;},{&quot;family&quot;:&quot;Pescarini&quot;,&quot;given&quot;:&quot;Julia&quot;,&quot;parse-names&quot;:false,&quot;dropping-particle&quot;:&quot;&quot;,&quot;non-dropping-particle&quot;:&quot;&quot;},{&quot;family&quot;:&quot;Ferreira&quot;,&quot;given&quot;:&quot;Andrêa&quot;,&quot;parse-names&quot;:false,&quot;dropping-particle&quot;:&quot;&quot;,&quot;non-dropping-particle&quot;:&quot;&quot;},{&quot;family&quot;:&quot;Cortes&quot;,&quot;given&quot;:&quot;Taisa R.&quot;,&quot;parse-names&quot;:false,&quot;dropping-particle&quot;:&quot;&quot;,&quot;non-dropping-particle&quot;:&quot;&quot;},{&quot;family&quot;:&quot;Smeeth&quot;,&quot;given&quot;:&quot;Liam&quot;,&quot;parse-names&quot;:false,&quot;dropping-particle&quot;:&quot;&quot;,&quot;non-dropping-particle&quot;:&quot;&quot;},{&quot;family&quot;:&quot;Barreto&quot;,&quot;given&quot;:&quot;Mauricio L.&quot;,&quot;parse-names&quot;:false,&quot;dropping-particle&quot;:&quot;&quot;,&quot;non-dropping-particle&quot;:&quot;&quot;},{&quot;family&quot;:&quot;Brickley&quot;,&quot;given&quot;:&quot;Elizabeth B.&quot;,&quot;parse-names&quot;:false,&quot;dropping-particle&quot;:&quot;&quot;,&quot;non-dropping-particle&quot;:&quot;&quot;},{&quot;family&quot;:&quot;Part&quot;,&quot;given&quot;:&quot;Chérie&quot;,&quot;parse-names&quot;:false,&quot;dropping-particle&quot;:&quot;&quot;,&quot;non-dropping-particle&quot;:&quot;&quot;}],&quot;DOI&quot;:&quot;10.1101/2025.04.08.25325468&quot;,&quot;URL&quot;:&quot;http://medrxiv.org/lookup/doi/10.1101/2025.04.08.25325468&quot;,&quot;issued&quot;:{&quot;date-parts&quot;:[[2025,4,10]]},&quot;abstract&quot;:&quot;&lt;p&gt; Exposure to high ambient temperatures near the time of delivery has been associated with adverse birth outcomes, but studies examining the impact on immediate newborn health remain limited. We used a time-stratified case-crossover design combined with a distributed lag nonlinear model to evaluate the short-term effects of ambient heat (0-1 day lag) on low 5-minute APGAR score (≤7; sub-categories: 6-7, 3-5, 0-2). Cases of low APGAR score among low-risk births ( &lt;italic&gt;n&lt;/italic&gt; =34,980) in São Paulo state (274 municipalities), 2013-2019, were extracted from Brazil’s Live Birth Information System ( &lt;italic&gt;Sistema de Informações Sobre Nascidos Vivos&lt;/italic&gt; ). Municipality-level daily mean temperatures were constructed from ERA5-Land reanalysis data and linked with case and control days by date and municipality of delivery. Models were adjusted for relative humidity and stratified by maternal age, race/ethnicity, education, parity, timing of prenatal care initiation, infant sex, municipality-level deprivation, and Köppen climate zone. Overall, exposure to high (95 &lt;sup&gt;th&lt;/sup&gt; percentile: 26.1°C) versus moderate (50 &lt;sup&gt;th&lt;/sup&gt; percentile: 20.9°C) temperature 0-1 days before delivery was associated with 8% higher odds (OR: 1.08, 95% CI: 1.02-1.14) of low APGAR score (≤7). In stratified analyses, heat-associated risks were elevated among infants born to women with &amp;lt;12 years of schooling (1.10, 1.03-1.17) and/or self-identifying as Brown/ &lt;italic&gt;Parda&lt;/italic&gt; (1.10, 1.01-1.20). Associations were primarily driven by same-day (lag 0) exposure and were only observed in newborns with moderately low APGAR scores (6-7). Acute exposure to ambient heat may adversely impact newborns’ immediate health in low-risk live-births, highlighting the need for heat mitigation measures near the time of delivery. &lt;/p&gt;&quot;,&quot;container-title-short&quot;:&quot;&quot;},&quot;isTemporary&quot;:false}]},{&quot;citationID&quot;:&quot;MENDELEY_CITATION_ef8facdf-5cf1-432f-b7f2-ac11a5cf6129&quot;,&quot;properties&quot;:{&quot;noteIndex&quot;:0},&quot;isEdited&quot;:false,&quot;manualOverride&quot;:{&quot;isManuallyOverridden&quot;:false,&quot;citeprocText&quot;:&quot;(43–48)&quot;,&quot;manualOverrideText&quot;:&quot;&quot;},&quot;citationTag&quot;:&quot;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&quot;,&quot;citationItems&quot;:[{&quot;id&quot;:&quot;af74e300-407e-3eb5-8552-963d3b0bc853&quot;,&quot;itemData&quot;:{&quot;type&quot;:&quot;article-journal&quot;,&quot;id&quot;:&quot;af74e300-407e-3eb5-8552-963d3b0bc853&quot;,&quot;title&quot;:&quot;Associations between PM2.5, ambient heat exposure and congenital hydronephrosis in southeastern China&quot;,&quot;author&quot;:[{&quot;family&quot;:&quot;Huang&quot;,&quot;given&quot;:&quot;Zhi Meng&quot;,&quot;parse-names&quot;:false,&quot;dropping-particle&quot;:&quot;&quot;,&quot;non-dropping-particle&quot;:&quot;&quot;},{&quot;family&quot;:&quot;Zhong&quot;,&quot;given&quot;:&quot;Xiao Hong&quot;,&quot;parse-names&quot;:false,&quot;dropping-particle&quot;:&quot;&quot;,&quot;non-dropping-particle&quot;:&quot;&quot;},{&quot;family&quot;:&quot;Shen&quot;,&quot;given&quot;:&quot;Tong&quot;,&quot;parse-names&quot;:false,&quot;dropping-particle&quot;:&quot;&quot;,&quot;non-dropping-particle&quot;:&quot;&quot;},{&quot;family&quot;:&quot;Gu&quot;,&quot;given&quot;:&quot;Song Lei&quot;,&quot;parse-names&quot;:false,&quot;dropping-particle&quot;:&quot;&quot;,&quot;non-dropping-particle&quot;:&quot;&quot;},{&quot;family&quot;:&quot;Chen&quot;,&quot;given&quot;:&quot;Meng Nan&quot;,&quot;parse-names&quot;:false,&quot;dropping-particle&quot;:&quot;&quot;,&quot;non-dropping-particle&quot;:&quot;&quot;},{&quot;family&quot;:&quot;Xu&quot;,&quot;given&quot;:&quot;Wen Li&quot;,&quot;parse-names&quot;:false,&quot;dropping-particle&quot;:&quot;&quot;,&quot;non-dropping-particle&quot;:&quot;&quot;},{&quot;family&quot;:&quot;Chen&quot;,&quot;given&quot;:&quot;Rui Qi&quot;,&quot;parse-names&quot;:false,&quot;dropping-particle&quot;:&quot;&quot;,&quot;non-dropping-particle&quot;:&quot;&quot;},{&quot;family&quot;:&quot;Wu&quot;,&quot;given&quot;:&quot;Jin Zhun&quot;,&quot;parse-names&quot;:false,&quot;dropping-particle&quot;:&quot;&quot;,&quot;non-dropping-particle&quot;:&quot;&quot;},{&quot;family&quot;:&quot;Yang&quot;,&quot;given&quot;:&quot;Xiao Qing&quot;,&quot;parse-names&quot;:false,&quot;dropping-particle&quot;:&quot;&quot;,&quot;non-dropping-particle&quot;:&quot;&quot;}],&quot;container-title&quot;:&quot;Frontiers in Public Health&quot;,&quot;container-title-short&quot;:&quot;Front Public Health&quot;,&quot;DOI&quot;:&quot;10.3389/fpubh.2024.1389969&quot;,&quot;ISSN&quot;:&quot;22962565&quot;,&quot;PMID&quot;:&quot;39135922&quot;,&quot;issued&quot;:{&quot;date-parts&quot;:[[2024]]},&quot;abstract&quot;:&quot;Objectives: This research aims to analyze how exposure to fine particulate matter (PM2.5) and ambient heat during pregnancy increases the risk of congenital hydronephrosis (CH) in newborns. Methods: A case–control study was conducted to investigate the relationship between exposure to PM2.5 and ambient heat during pregnancy and the occurrence of CH in newborns. The study, which was conducted from 2015 to 2020, included 409 infants with CH as the case group and 409 infants without any abnormalities as the control group. Using spatial remote sensing technology, the exposure of each pregnant mother to PM2.5 concentration was meticulously mapped. Additionally, data on the ambient temperature of exposure for each participant were also collected. A logistics regression model was used to calculate the influence of exposure to PM2.5 and ambient heat on the occurrence of CH. Stratified analysis and interaction analysis were used to study the interaction between ambient heat exposure and PM2.5 on the occurrence of CH. Results: At the 6th week of gestation, exposure to PM2.5 may increase the risk of CH. For every 10 μg/m3 increase in PM2.5 exposure, the risk of CH increased by 2% (95%CI = 0.98, 1.05) at a p-value of &gt;0.05, indicating that there was no significant relationship between the results. Exposure to intense heat at 6th and 7th weeks of gestation increased the risk of CH. Specifically, for every 1°C increase in heat exposure, the risk of CH in offspring increased by 21% (95%CI = 1.04, 1.41) during the 6th week and 13% during the 7th week (95%CI = 1.02, 1.24). At 5th and 6th weeks of gestation, the relative excess risk due to interaction (RERI) was greater than 0 at the 50th percentile (22.58°C), 75th percentile (27.25°C), and 90th percentile (29.13°C) of daily maximum temperature (Tmax) distribution, indicating that the risk of CH was higher when exposed to both ambient heat and PM2.5 at the same time compared to exposure to a single risk factor. Conclusion: Exposure to higher levels of PM2.5 and ambient heat during pregnancy increases the risk of CH in infants. There was a positive interaction between exposure to intense heat and high concentration of PM2.5 on the occurrence of CH.&quot;,&quot;publisher&quot;:&quot;Frontiers Media SA&quot;,&quot;volume&quot;:&quot;12&quot;},&quot;isTemporary&quot;:false},{&quot;id&quot;:&quot;1c936d7a-3981-31bf-afde-5baf3ebc2d76&quot;,&quot;itemData&quot;:{&quot;type&quot;:&quot;article-journal&quot;,&quot;id&quot;:&quot;1c936d7a-3981-31bf-afde-5baf3ebc2d76&quot;,&quot;title&quot;:&quot;Ambient temperature and major structural anomalies: A retrospective study of over 2 million newborns&quot;,&quot;author&quot;:[{&quot;family&quot;:&quot;Zhang&quot;,&quot;given&quot;:&quot;Yangchang&quot;,&quot;parse-names&quot;:false,&quot;dropping-particle&quot;:&quot;&quot;,&quot;non-dropping-particle&quot;:&quot;&quot;},{&quot;family&quot;:&quot;Sun&quot;,&quot;given&quot;:&quot;Feng&quot;,&quot;parse-names&quot;:false,&quot;dropping-particle&quot;:&quot;&quot;,&quot;non-dropping-particle&quot;:&quot;&quot;},{&quot;family&quot;:&quot;Yuan&quot;,&quot;given&quot;:&quot;Kun&quot;,&quot;parse-names&quot;:false,&quot;dropping-particle&quot;:&quot;&quot;,&quot;non-dropping-particle&quot;:&quot;&quot;},{&quot;family&quot;:&quot;Du&quot;,&quot;given&quot;:&quot;Ying&quot;,&quot;parse-names&quot;:false,&quot;dropping-particle&quot;:&quot;&quot;,&quot;non-dropping-particle&quot;:&quot;&quot;},{&quot;family&quot;:&quot;Wu&quot;,&quot;given&quot;:&quot;Lizhi&quot;,&quot;parse-names&quot;:false,&quot;dropping-particle&quot;:&quot;&quot;,&quot;non-dropping-particle&quot;:&quot;&quot;},{&quot;family&quot;:&quot;Ge&quot;,&quot;given&quot;:&quot;Yang&quot;,&quot;parse-names&quot;:false,&quot;dropping-particle&quot;:&quot;&quot;,&quot;non-dropping-particle&quot;:&quot;&quot;},{&quot;family&quot;:&quot;Zhang&quot;,&quot;given&quot;:&quot;Zhenyu&quot;,&quot;parse-names&quot;:false,&quot;dropping-particle&quot;:&quot;&quot;,&quot;non-dropping-particle&quot;:&quot;&quot;},{&quot;family&quot;:&quot;Sun&quot;,&quot;given&quot;:&quot;Shengzhi&quot;,&quot;parse-names&quot;:false,&quot;dropping-particle&quot;:&quot;&quot;,&quot;non-dropping-particle&quot;:&quot;&quot;},{&quot;family&quot;:&quot;Cao&quot;,&quot;given&quot;:&quot;Wangnan&quot;,&quot;parse-names&quot;:false,&quot;dropping-particle&quot;:&quot;&quot;,&quot;non-dropping-particle&quot;:&quot;&quot;}],&quot;container-title&quot;:&quot;Science of the Total Environment&quot;,&quot;DOI&quot;:&quot;10.1016/j.scitotenv.2023.163613&quot;,&quot;ISSN&quot;:&quot;18791026&quot;,&quot;PMID&quot;:&quot;37087019&quot;,&quot;issued&quot;:{&quot;date-parts&quot;:[[2023,7,15]]},&quot;abstract&quot;:&quot;Background: Maternal exposure to ambient heat may be associated with congenital anomalies, but evidence is still limited. Objectives: We aimed to estimate the association between maternal exposure to ambient heat during the 3–12 weeks post-conception (critical window of organogenesis) and risk of total and various diagnostic categories of major structural anomalies among live singleton births in the contiguous United States (US). Methods: We included data on 2,352,529 births with the first day of critical developmental windows falling within months of May through August from 2000 to 2004 across 525 US counties. We used a validated spatial-temporal model to estimate daily county-level population-weighted temperature. We used logistic regression to estimate the association between ambient temperature and risk of diagnostic categories of anomalies during the critical window after adjusting for individual and county-level factors. We conducted subgroup analysis to identify potential susceptible subpopulations. Results: A total of 29,188 anomalies (12.4 per 1000 births) were recorded during the study period. Maternal exposure to extreme heat (&gt; 95th percentile) was associated with higher risk of total anomalies, central nervous system anomalies, and other uncategorized anomalies with an odds ratio (OR) of 1.05 (95 % CI: 1.00, 1.11), 1.17 (95 % CI: 1.01, 1.37), and 1.16 (95 % CI: 1.04, 1.29) compared with minimum morbidity temperature, respectively. The associations were homogeneous across subgroups defined by maternal age, maternal race/ethnicity, marital status, educational attainment, and parity, but were more pronounced among mothers residing in more socially vulnerable counties and births with multiple anomalies. Conclusions: Among US live singleton births, maternal exposure to ambient heat may be associated with higher risk of total anomalies, central nervous system anomalies, and other uncategorized anomalies. We suggest additional research is carried out to better understand the relations between maternal heat exposure and congenital anomalies in the presence of global warming.&quot;,&quot;publisher&quot;:&quot;Elsevier B.V.&quot;,&quot;volume&quot;:&quot;882&quot;,&quot;container-title-short&quot;:&quot;&quot;},&quot;isTemporary&quot;:false},{&quot;id&quot;:&quot;c972d7cc-8b0b-3fa6-a37b-c548b3ee4784&quot;,&quot;itemData&quot;:{&quot;type&quot;:&quot;article-journal&quot;,&quot;id&quot;:&quot;c972d7cc-8b0b-3fa6-a37b-c548b3ee4784&quot;,&quot;title&quot;:&quot;Projected changes in maternal heat exposure during early pregnancy and the associated congenital heart defect burden in the united states&quot;,&quot;author&quot;:[{&quot;family&quot;:&quot;Zhang&quot;,&quot;given&quot;:&quot;Wangjian&quot;,&quot;parse-names&quot;:false,&quot;dropping-particle&quot;:&quot;&quot;,&quot;non-dropping-particle&quot;:&quot;&quot;},{&quot;family&quot;:&quot;Spero&quot;,&quot;given&quot;:&quot;Tanya L.&quot;,&quot;parse-names&quot;:false,&quot;dropping-particle&quot;:&quot;&quot;,&quot;non-dropping-particle&quot;:&quot;&quot;},{&quot;family&quot;:&quot;Nolte&quot;,&quot;given&quot;:&quot;Christopher G.&quot;,&quot;parse-names&quot;:false,&quot;dropping-particle&quot;:&quot;&quot;,&quot;non-dropping-particle&quot;:&quot;&quot;},{&quot;family&quot;:&quot;Garcia&quot;,&quot;given&quot;:&quot;Valerie C.&quot;,&quot;parse-names&quot;:false,&quot;dropping-particle&quot;:&quot;&quot;,&quot;non-dropping-particle&quot;:&quot;&quot;},{&quot;family&quot;:&quot;Lin&quot;,&quot;given&quot;:&quot;Ziqiang&quot;,&quot;parse-names&quot;:false,&quot;dropping-particle&quot;:&quot;&quot;,&quot;non-dropping-particle&quot;:&quot;&quot;},{&quot;family&quot;:&quot;Romitti&quot;,&quot;given&quot;:&quot;Paul A.&quot;,&quot;parse-names&quot;:false,&quot;dropping-particle&quot;:&quot;&quot;,&quot;non-dropping-particle&quot;:&quot;&quot;},{&quot;family&quot;:&quot;Shaw&quot;,&quot;given&quot;:&quot;Gary M.&quot;,&quot;parse-names&quot;:false,&quot;dropping-particle&quot;:&quot;&quot;,&quot;non-dropping-particle&quot;:&quot;&quot;},{&quot;family&quot;:&quot;Sheridan&quot;,&quot;given&quot;:&quot;Scott C.&quot;,&quot;parse-names&quot;:false,&quot;dropping-particle&quot;:&quot;&quot;,&quot;non-dropping-particle&quot;:&quot;&quot;},{&quot;family&quot;:&quot;Feldkamp&quot;,&quot;given&quot;:&quot;Marcia L.&quot;,&quot;parse-names&quot;:false,&quot;dropping-particle&quot;:&quot;&quot;,&quot;non-dropping-particle&quot;:&quot;&quot;},{&quot;family&quot;:&quot;Woomert&quot;,&quot;given&quot;:&quot;Alison&quot;,&quot;parse-names&quot;:false,&quot;dropping-particle&quot;:&quot;&quot;,&quot;non-dropping-particle&quot;:&quot;&quot;},{&quot;family&quot;:&quot;Hwang&quot;,&quot;given&quot;:&quot;Syni An&quot;,&quot;parse-names&quot;:false,&quot;dropping-particle&quot;:&quot;&quot;,&quot;non-dropping-particle&quot;:&quot;&quot;},{&quot;family&quot;:&quot;Fisher&quot;,&quot;given&quot;:&quot;Sarah C.&quot;,&quot;parse-names&quot;:false,&quot;dropping-particle&quot;:&quot;&quot;,&quot;non-dropping-particle&quot;:&quot;&quot;},{&quot;family&quot;:&quot;Browne&quot;,&quot;given&quot;:&quot;Marilyn L.&quot;,&quot;parse-names&quot;:false,&quot;dropping-particle&quot;:&quot;&quot;,&quot;non-dropping-particle&quot;:&quot;&quot;},{&quot;family&quot;:&quot;Hao&quot;,&quot;given&quot;:&quot;Yuantao&quot;,&quot;parse-names&quot;:false,&quot;dropping-particle&quot;:&quot;&quot;,&quot;non-dropping-particle&quot;:&quot;&quot;},{&quot;family&quot;:&quot;Lin&quot;,&quot;given&quot;:&quot;Shao&quot;,&quot;parse-names&quot;:false,&quot;dropping-particle&quot;:&quot;&quot;,&quot;non-dropping-particle&quot;:&quot;&quot;}],&quot;container-title&quot;:&quot;Journal of the American Heart Association&quot;,&quot;container-title-short&quot;:&quot;J Am Heart Assoc&quot;,&quot;DOI&quot;:&quot;10.1161/JAHA.118.010995&quot;,&quot;ISSN&quot;:&quot;20479980&quot;,&quot;PMID&quot;:&quot;30696385&quot;,&quot;issued&quot;:{&quot;date-parts&quot;:[[2019]]},&quot;abstract&quot;:&quot;Background-—More intense and longer-lasting heat events are expected in the United States as a consequence of climate change. This study aimed to project the potential changes in maternal heat exposure during early pregnancy (3–8 weeks post conception) and the associated burden of congenital heart defects (CHDs) in the future. Methods and Results-—This study expanded on a prior nationwide case-control study that evaluated the association between CHDs and maternal heat exposure during early pregnancy in summer and spring. We defined multiple indicators of heat exposure, and applied published odds ratios obtained for the matching season of the baseline (1995–2005) into the projection period (2025– 2035) to estimate potential changes in CHD burden throughout the United States. Increases in maternal heat exposure were projected across the United States and to be larger in the summer. The Midwest will potentially have the highest increase in summer maternal exposure to excessively hot days (3.42; 95% CI, 2.99–3.88 per pregnancy), heat event frequency (0.52; 95% CI, 0.44–0.60) and heat event duration (1.73; 95% CI, 1.49–1.97). We also found large increases in specific CHD subtypes during spring, including a 34.0% (95% CI, 4.9%–70.8%) increase in conotruncal CHD in the South and a 38.6% (95% CI, 9.9%–75.1%) increase in atrial septal defect in the Northeast. Conclusions-—Projected increases in maternal heat exposure could result in an increased CHD burden in certain seasons and regions of the United States.&quot;,&quot;publisher&quot;:&quot;American Heart Association Inc.&quot;,&quot;issue&quot;:&quot;3&quot;,&quot;volume&quot;:&quot;8&quot;},&quot;isTemporary&quot;:false},{&quot;id&quot;:&quot;23c17e72-f423-388c-8358-a3ab4cb7e2b9&quot;,&quot;itemData&quot;:{&quot;type&quot;:&quot;article-journal&quot;,&quot;id&quot;:&quot;23c17e72-f423-388c-8358-a3ab4cb7e2b9&quot;,&quot;title&quot;:&quot;Climate Change and Congenital Anomalies: A Population-Based Study of the Effect of Prolonged Extreme Heat Exposure on the Risk of Neural Tube Defects in France&quot;,&quot;author&quot;:[{&quot;family&quot;:&quot;Bruckner&quot;,&quot;given&quot;:&quot;Tim A&quot;,&quot;parse-names&quot;:false,&quot;dropping-particle&quot;:&quot;&quot;,&quot;non-dropping-particle&quot;:&quot;&quot;},{&quot;family&quot;:&quot;Trinh&quot;,&quot;given&quot;:&quot;Nhung T  H&quot;,&quot;parse-names&quot;:false,&quot;dropping-particle&quot;:&quot;&quot;,&quot;non-dropping-particle&quot;:&quot;&quot;},{&quot;family&quot;:&quot;Lelong&quot;,&quot;given&quot;:&quot;Nathalie&quot;,&quot;parse-names&quot;:false,&quot;dropping-particle&quot;:&quot;&quot;,&quot;non-dropping-particle&quot;:&quot;&quot;},{&quot;family&quot;:&quot;Madani&quot;,&quot;given&quot;:&quot;Kaveh&quot;,&quot;parse-names&quot;:false,&quot;dropping-particle&quot;:&quot;&quot;,&quot;non-dropping-particle&quot;:&quot;&quot;},{&quot;family&quot;:&quot;Slama&quot;,&quot;given&quot;:&quot;Rémy&quot;,&quot;parse-names&quot;:false,&quot;dropping-particle&quot;:&quot;&quot;,&quot;non-dropping-particle&quot;:&quot;&quot;},{&quot;family&quot;:&quot;Given&quot;,&quot;given&quot;:&quot;Joanne&quot;,&quot;parse-names&quot;:false,&quot;dropping-particle&quot;:&quot;&quot;,&quot;non-dropping-particle&quot;:&quot;&quot;},{&quot;family&quot;:&quot;Khoshnood&quot;,&quot;given&quot;:&quot;Babak&quot;,&quot;parse-names&quot;:false,&quot;dropping-particle&quot;:&quot;&quot;,&quot;non-dropping-particle&quot;:&quot;&quot;}],&quot;container-title&quot;:&quot;Birth Defects Research&quot;,&quot;container-title-short&quot;:&quot;Birth Defects Res&quot;,&quot;DOI&quot;:&quot;10.1002/bdr2.2397&quot;,&quot;ISSN&quot;:&quot;24721727&quot;,&quot;PMID&quot;:&quot;39215441&quot;,&quot;issued&quot;:{&quot;date-parts&quot;:[[2024,9,1]]},&quot;abstract&quot;:&quot;Background: Exposure to long-lasting extreme ambient temperatures in the periconceptional or early pregnancy period might increase the risk of neural tube defects (NTDs). We tested whether prolonged severe heat exposure as experienced during the 2003 extreme heatwave in France, affected the risk of NTDs. Methods: We retrieved NTD cases spanning from January 1994 to December 2018 from the Paris Registry of Congenital Malformations. The 2003 heatwave was characterized by the long duration and high intensity of nine consecutive days with temperatures ≥35°C. We classified monthly conceptions occurring in August 2003 as “exposed” to prolonged extreme heat around conception (i.e., periconceptional period). We assessed whether the risk of NTDs among cohorts exposed to the prolonged severe heatwave of 2003 in the periconceptional period differed from expected values using Poisson/negative binomial regression. Findings: We identified 1272 NTD cases from January 1994 to December 2018, yielding a monthly mean count of 4.24. Ten NTD cases occurred among births conceived in August 2003. The risk of NTD was increased in the cohort with periconceptional exposure to the August 2003 heatwave (relative risk = 2.14, 95% confidence interval: 1.46 to 3.13), compared to non-exposed cohorts. Sensitivity analyses excluding July and September months or restricting to summer months yielded consistent findings. Interpretation: Evidence from the “natural experiment” of an extreme climate event suggests an elevated risk of NTDs following exposure to prolonged extreme heat during the periconceptional period.&quot;,&quot;publisher&quot;:&quot;John Wiley and Sons Inc&quot;,&quot;issue&quot;:&quot;9&quot;,&quot;volume&quot;:&quot;116&quot;},&quot;isTemporary&quot;:false},{&quot;id&quot;:&quot;ad13f641-7f7f-3e44-9830-adb58c9e9353&quot;,&quot;itemData&quot;:{&quot;type&quot;:&quot;article-journal&quot;,&quot;id&quot;:&quot;ad13f641-7f7f-3e44-9830-adb58c9e9353&quot;,&quot;title&quot;:&quot;A population-based case-control study of extreme summer temperature and birth defects&quot;,&quot;author&quot;:[{&quot;family&quot;:&quot;Zutphen&quot;,&quot;given&quot;:&quot;Alissa R.&quot;,&quot;parse-names&quot;:false,&quot;dropping-particle&quot;:&quot;&quot;,&quot;non-dropping-particle&quot;:&quot;van&quot;},{&quot;family&quot;:&quot;Lin&quot;,&quot;given&quot;:&quot;Shao&quot;,&quot;parse-names&quot;:false,&quot;dropping-particle&quot;:&quot;&quot;,&quot;non-dropping-particle&quot;:&quot;&quot;},{&quot;family&quot;:&quot;Fletcher&quot;,&quot;given&quot;:&quot;Barbara A.&quot;,&quot;parse-names&quot;:false,&quot;dropping-particle&quot;:&quot;&quot;,&quot;non-dropping-particle&quot;:&quot;&quot;},{&quot;family&quot;:&quot;Hwang&quot;,&quot;given&quot;:&quot;Syni An&quot;,&quot;parse-names&quot;:false,&quot;dropping-particle&quot;:&quot;&quot;,&quot;non-dropping-particle&quot;:&quot;&quot;}],&quot;container-title&quot;:&quot;Environmental Health Perspectives&quot;,&quot;container-title-short&quot;:&quot;Environ Health Perspect&quot;,&quot;DOI&quot;:&quot;10.1289/ehp.1104671&quot;,&quot;ISSN&quot;:&quot;00916765&quot;,&quot;PMID&quot;:&quot;23031822&quot;,&quot;issued&quot;:{&quot;date-parts&quot;:[[2012,10]]},&quot;page&quot;:&quot;1443-1449&quot;,&quot;abstract&quot;:&quot;Background: Although hyperthermia is a recognized animal teratogen and maternal fever has been associated with birth defects in humans, data on the relationship between high environmental temperatures and birth defects are limited. Objective: To determine whether pregnancies are potentially vulnerable to the weather extremes anticipated with climate change, we evaluated the relationship between extreme summer temperature and the occurrence of birth defects. Methods: We performed a population-based case-control study by linking the New York State Congenital Malformations Registry to birth certificates for the years 1992-2006. We selected nonmalformed infants from a 10% random sample of live births as controls. We assigned meteorologic data based on maternal residence at birth, summarized universal apparent temperature (UAT; degrees Fahrenheit) across the critical period of embryogenesis, and estimated adjusted odds ratios (aOR) and 95% confidence intervals (CI) with multivariable logistic regression, controlling for confounders available on the birth certificate. Results: Among 6,422 cases and 59,328 controls that shared at least 1 week of the critical period in summer, a 5-degree increase in mean daily minimum UAT was significantly associated with congenital cataracts (aOR = 1.51; 95% CI: 1.14, 1.99). Congenital cataracts were significantly associated with all ambient temperature indicators as well: heat wave, number of heat waves, and number of days above the 90th percentile. Inconsistent associations with a subset of temperature indicators were observed for renal agenesis/hypoplasia (positive) and anophthalmia/microphthalmia and gastroschisis (negative). Conclusions: We found positive and consistent associations between multiple heat indicators during the relevant developmental window and congenital cataracts which should be confirmed with other data sources.&quot;,&quot;issue&quot;:&quot;10&quot;,&quot;volume&quot;:&quot;120&quot;},&quot;isTemporary&quot;:false},{&quot;id&quot;:&quot;debf875a-66b3-3434-9e96-21c1d19106c9&quot;,&quot;itemData&quot;:{&quot;type&quot;:&quot;article-journal&quot;,&quot;id&quot;:&quot;debf875a-66b3-3434-9e96-21c1d19106c9&quot;,&quot;title&quot;:&quot;Does maternal exposure during pregnancy to higher ambient temperature increase the risk of hypospadias?&quot;,&quot;author&quot;:[{&quot;family&quot;:&quot;Kilinc&quot;,&quot;given&quot;:&quot;Muhammet Fatih&quot;,&quot;parse-names&quot;:false,&quot;dropping-particle&quot;:&quot;&quot;,&quot;non-dropping-particle&quot;:&quot;&quot;},{&quot;family&quot;:&quot;Cakmak&quot;,&quot;given&quot;:&quot;Sedat&quot;,&quot;parse-names&quot;:false,&quot;dropping-particle&quot;:&quot;&quot;,&quot;non-dropping-particle&quot;:&quot;&quot;},{&quot;family&quot;:&quot;Demir&quot;,&quot;given&quot;:&quot;Demirhan Orsan&quot;,&quot;parse-names&quot;:false,&quot;dropping-particle&quot;:&quot;&quot;,&quot;non-dropping-particle&quot;:&quot;&quot;},{&quot;family&quot;:&quot;Doluoglu&quot;,&quot;given&quot;:&quot;Omer Gokhan&quot;,&quot;parse-names&quot;:false,&quot;dropping-particle&quot;:&quot;&quot;,&quot;non-dropping-particle&quot;:&quot;&quot;},{&quot;family&quot;:&quot;Yildiz&quot;,&quot;given&quot;:&quot;Yildiray&quot;,&quot;parse-names&quot;:false,&quot;dropping-particle&quot;:&quot;&quot;,&quot;non-dropping-particle&quot;:&quot;&quot;},{&quot;family&quot;:&quot;Horasanli&quot;,&quot;given&quot;:&quot;Kaya&quot;,&quot;parse-names&quot;:false,&quot;dropping-particle&quot;:&quot;&quot;,&quot;non-dropping-particle&quot;:&quot;&quot;},{&quot;family&quot;:&quot;Dalkilic&quot;,&quot;given&quot;:&quot;Ayhan&quot;,&quot;parse-names&quot;:false,&quot;dropping-particle&quot;:&quot;&quot;,&quot;non-dropping-particle&quot;:&quot;&quot;}],&quot;container-title&quot;:&quot;Journal of Pediatric Urology&quot;,&quot;container-title-short&quot;:&quot;J Pediatr Urol&quot;,&quot;DOI&quot;:&quot;10.1016/j.jpurol.2016.06.015&quot;,&quot;ISSN&quot;:&quot;18734898&quot;,&quot;PMID&quot;:&quot;27567375&quot;,&quot;issued&quot;:{&quot;date-parts&quot;:[[2016,12,1]]},&quot;page&quot;:&quot;407.e1-407.e6&quot;,&quot;abstract&quot;:&quot;Introduction The association between ambient temperature that the mother is exposed to during pregnancy and hypospadias has not been investigated by the studies, although the recent studies showed the correlation between some congenital malformations (congenital heart disease, neural tube defect, etc.) and ambient temperature. Objective The aim was to investigate the relation between hypospadias and the ambient temperatures that the mother is exposed to during her pregnancy. Methods The data of patients with hypospadias that had their gestational periods in Ankara and Istanbul regions, and had other urological treatments (circumcision, urinary tract infection, pyeloplasty, nephrolithotomy, etc.) between January 2000 and November 2015 were analyzed retrospectively. The ambient temperature at 8–14 weeks of gestation was investigated for each patient by reviewing the data of the General Directorate of Meteorology, since this period was risky for development of hypospadias. The data including ambient temperature that the pregnant mother was exposed to, maternal age, parity, economical status, gestational age at birth, and birth weight were compared between two groups. The retrospective nature of the study may be a potential source for selection bias. Results The data of 1,709 children that had hypospadias repair and 4,946 children that had other urological treatments between 2000 and 2015 were retrospectively analyzed. There were no differences between the groups for maternal age, parity, economical status, gestational age at birth, and birth weight (Table). Analysis of exposed maximum and average ambient temperatures at 8–14 weeks of gestation revealed that July and August, hot periods in summer time, were more prevalent in the hypospadias group (p = 0.01). The average and maximum monthly ambient temperatures during summer increased the risk for hypospadias (OR, 1.32; 95% CI, 1.08–1.52; and OR, 1.22; 95% CI, 0.99–1.54, respectively. Conclusions In this paper, we evaluated the relation between hypospadias and the ambient temperatures that the mother is exposed during her pregnancy. The results of this study indicated that the high ambient temperatures the mother and fetus are exposed to at 8–14 weeks of gestation increased the risk of hypospadias in the offspring.[Table presented]&quot;,&quot;publisher&quot;:&quot;Elsevier Ltd&quot;,&quot;issue&quot;:&quot;6&quot;,&quot;volume&quot;:&quot;12&quot;},&quot;isTemporary&quot;:false}]},{&quot;citationID&quot;:&quot;MENDELEY_CITATION_101982bb-a71b-465d-8356-b6838c88cf3d&quot;,&quot;properties&quot;:{&quot;noteIndex&quot;:0},&quot;isEdited&quot;:false,&quot;manualOverride&quot;:{&quot;isManuallyOverridden&quot;:false,&quot;citeprocText&quot;:&quot;(23,32,49)&quot;,&quot;manualOverrideText&quot;:&quot;&quot;},&quot;citationItems&quot;:[{&quot;id&quot;:&quot;0c8d7f59-e685-375b-8bfc-5a365738d41d&quot;,&quot;itemData&quot;:{&quot;type&quot;:&quot;article&quot;,&quot;id&quot;:&quot;0c8d7f59-e685-375b-8bfc-5a365738d41d&quot;,&quot;title&quot;:&quot;Short-term ambient heat exposure and low APGAR score in newborns: A time-stratified case-crossover analysis in São Paulo state, Brazil (2013-2019)&quot;,&quot;author&quot;:[{&quot;family&quot;:&quot;Carretto&quot;,&quot;given&quot;:&quot;Michelle&quot;,&quot;parse-names&quot;:false,&quot;dropping-particle&quot;:&quot;&quot;,&quot;non-dropping-particle&quot;:&quot;Del&quot;},{&quot;family&quot;:&quot;Godin&quot;,&quot;given&quot;:&quot;Audrey&quot;,&quot;parse-names&quot;:false,&quot;dropping-particle&quot;:&quot;&quot;,&quot;non-dropping-particle&quot;:&quot;&quot;},{&quot;family&quot;:&quot;Neves&quot;,&quot;given&quot;:&quot;Danielson&quot;,&quot;parse-names&quot;:false,&quot;dropping-particle&quot;:&quot;&quot;,&quot;non-dropping-particle&quot;:&quot;&quot;},{&quot;family&quot;:&quot;Paixao&quot;,&quot;given&quot;:&quot;Enny S.&quot;,&quot;parse-names&quot;:false,&quot;dropping-particle&quot;:&quot;&quot;,&quot;non-dropping-particle&quot;:&quot;&quot;},{&quot;family&quot;:&quot;Wan&quot;,&quot;given&quot;:&quot;Kai&quot;,&quot;parse-names&quot;:false,&quot;dropping-particle&quot;:&quot;&quot;,&quot;non-dropping-particle&quot;:&quot;&quot;},{&quot;family&quot;:&quot;Pescarini&quot;,&quot;given&quot;:&quot;Julia&quot;,&quot;parse-names&quot;:false,&quot;dropping-particle&quot;:&quot;&quot;,&quot;non-dropping-particle&quot;:&quot;&quot;},{&quot;family&quot;:&quot;Ferreira&quot;,&quot;given&quot;:&quot;Andrêa&quot;,&quot;parse-names&quot;:false,&quot;dropping-particle&quot;:&quot;&quot;,&quot;non-dropping-particle&quot;:&quot;&quot;},{&quot;family&quot;:&quot;Cortes&quot;,&quot;given&quot;:&quot;Taisa R.&quot;,&quot;parse-names&quot;:false,&quot;dropping-particle&quot;:&quot;&quot;,&quot;non-dropping-particle&quot;:&quot;&quot;},{&quot;family&quot;:&quot;Smeeth&quot;,&quot;given&quot;:&quot;Liam&quot;,&quot;parse-names&quot;:false,&quot;dropping-particle&quot;:&quot;&quot;,&quot;non-dropping-particle&quot;:&quot;&quot;},{&quot;family&quot;:&quot;Barreto&quot;,&quot;given&quot;:&quot;Mauricio L.&quot;,&quot;parse-names&quot;:false,&quot;dropping-particle&quot;:&quot;&quot;,&quot;non-dropping-particle&quot;:&quot;&quot;},{&quot;family&quot;:&quot;Brickley&quot;,&quot;given&quot;:&quot;Elizabeth B.&quot;,&quot;parse-names&quot;:false,&quot;dropping-particle&quot;:&quot;&quot;,&quot;non-dropping-particle&quot;:&quot;&quot;},{&quot;family&quot;:&quot;Part&quot;,&quot;given&quot;:&quot;Chérie&quot;,&quot;parse-names&quot;:false,&quot;dropping-particle&quot;:&quot;&quot;,&quot;non-dropping-particle&quot;:&quot;&quot;}],&quot;DOI&quot;:&quot;10.1101/2025.04.08.25325468&quot;,&quot;URL&quot;:&quot;http://medrxiv.org/lookup/doi/10.1101/2025.04.08.25325468&quot;,&quot;issued&quot;:{&quot;date-parts&quot;:[[2025,4,10]]},&quot;abstract&quot;:&quot;&lt;p&gt; Exposure to high ambient temperatures near the time of delivery has been associated with adverse birth outcomes, but studies examining the impact on immediate newborn health remain limited. We used a time-stratified case-crossover design combined with a distributed lag nonlinear model to evaluate the short-term effects of ambient heat (0-1 day lag) on low 5-minute APGAR score (≤7; sub-categories: 6-7, 3-5, 0-2). Cases of low APGAR score among low-risk births ( &lt;italic&gt;n&lt;/italic&gt; =34,980) in São Paulo state (274 municipalities), 2013-2019, were extracted from Brazil’s Live Birth Information System ( &lt;italic&gt;Sistema de Informações Sobre Nascidos Vivos&lt;/italic&gt; ). Municipality-level daily mean temperatures were constructed from ERA5-Land reanalysis data and linked with case and control days by date and municipality of delivery. Models were adjusted for relative humidity and stratified by maternal age, race/ethnicity, education, parity, timing of prenatal care initiation, infant sex, municipality-level deprivation, and Köppen climate zone. Overall, exposure to high (95 &lt;sup&gt;th&lt;/sup&gt; percentile: 26.1°C) versus moderate (50 &lt;sup&gt;th&lt;/sup&gt; percentile: 20.9°C) temperature 0-1 days before delivery was associated with 8% higher odds (OR: 1.08, 95% CI: 1.02-1.14) of low APGAR score (≤7). In stratified analyses, heat-associated risks were elevated among infants born to women with &amp;lt;12 years of schooling (1.10, 1.03-1.17) and/or self-identifying as Brown/ &lt;italic&gt;Parda&lt;/italic&gt; (1.10, 1.01-1.20). Associations were primarily driven by same-day (lag 0) exposure and were only observed in newborns with moderately low APGAR scores (6-7). Acute exposure to ambient heat may adversely impact newborns’ immediate health in low-risk live-births, highlighting the need for heat mitigation measures near the time of delivery. &lt;/p&gt;&quot;,&quot;container-title-short&quot;:&quot;&quot;},&quot;isTemporary&quot;:false},{&quot;id&quot;:&quot;d2e071cf-bb3a-3795-930a-a99e1d3fafb0&quot;,&quot;itemData&quot;:{&quot;type&quot;:&quot;article-journal&quot;,&quot;id&quot;:&quot;d2e071cf-bb3a-3795-930a-a99e1d3fafb0&quot;,&quot;title&quot;:&quot;The Association between Extreme Temperatures and Birth Weight in South Korea&quot;,&quot;author&quot;:[{&quot;family&quot;:&quot;Jung&quot;,&quot;given&quot;:&quot;Dawoon&quot;,&quot;parse-names&quot;:false,&quot;dropping-particle&quot;:&quot;&quot;,&quot;non-dropping-particle&quot;:&quot;&quot;}],&quot;container-title&quot;:&quot;Weather, Climate, and Society&quot;,&quot;DOI&quot;:&quot;10.1175/WCAS-D-24-0020.1&quot;,&quot;ISSN&quot;:&quot;19488335&quot;,&quot;issued&quot;:{&quot;date-parts&quot;:[[2025,4,1]]},&quot;page&quot;:&quot;177-191&quot;,&quot;abstract&quot;:&quot;This study examined the effect of ambient temperatures in utero on newborn children’s birth weight in South Korea and showed that exposure to high temperatures (over 308C/858F) is associated with negative birth outcomes. The impact was observed primarily in the second trimester. Per estimates, one extra day in the second trimester, exposing to more than 308C, lowers birth weight by 0.8%. The results further indicated a heterogeneous effect of ambient temperature on birth outcomes by household income. The negative effect of hot-temperature exposure was more apparent in the lower 25% household income group than in the upper 75% household income group.&quot;,&quot;publisher&quot;:&quot;American Meteorological Society&quot;,&quot;issue&quot;:&quot;2&quot;,&quot;volume&quot;:&quot;17&quot;,&quot;container-title-short&quot;:&quot;&quot;},&quot;isTemporary&quot;:false},{&quot;id&quot;:&quot;2840df40-6adc-3019-9d3e-3d0a32267a58&quot;,&quot;itemData&quot;:{&quot;type&quot;:&quot;article-journal&quot;,&quot;id&quot;:&quot;2840df40-6adc-3019-9d3e-3d0a32267a58&quot;,&quot;title&quot;:&quot;Associations between heat wave during pregnancy and term birth weight outcomes: The PARIS birth cohort&quot;,&quot;author&quot;:[{&quot;family&quot;:&quot;Rancière&quot;,&quot;given&quot;:&quot;Fanny&quot;,&quot;parse-names&quot;:false,&quot;dropping-particle&quot;:&quot;&quot;,&quot;non-dropping-particle&quot;:&quot;&quot;},{&quot;family&quot;:&quot;Wafo&quot;,&quot;given&quot;:&quot;Octave&quot;,&quot;parse-names&quot;:false,&quot;dropping-particle&quot;:&quot;&quot;,&quot;non-dropping-particle&quot;:&quot;&quot;},{&quot;family&quot;:&quot;Perrot&quot;,&quot;given&quot;:&quot;Xavier&quot;,&quot;parse-names&quot;:false,&quot;dropping-particle&quot;:&quot;&quot;,&quot;non-dropping-particle&quot;:&quot;&quot;},{&quot;family&quot;:&quot;Momas&quot;,&quot;given&quot;:&quot;Isabelle&quot;,&quot;parse-names&quot;:false,&quot;dropping-particle&quot;:&quot;&quot;,&quot;non-dropping-particle&quot;:&quot;&quot;}],&quot;container-title&quot;:&quot;Environment International&quot;,&quot;container-title-short&quot;:&quot;Environ Int&quot;,&quot;DOI&quot;:&quot;10.1016/j.envint.2024.108730&quot;,&quot;ISSN&quot;:&quot;18736750&quot;,&quot;PMID&quot;:&quot;38776654&quot;,&quot;issued&quot;:{&quot;date-parts&quot;:[[2024,6,1]]},&quot;abstract&quot;:&quot;Background: Climate change will make extreme weather events more frequent in the 21st century. Extreme ambient temperatures during the prenatal period have been associated with adverse pregnancy outcomes such as preterm birth. It is unclear, however, whether heat waves during pregnancy impact fetal growth in apparently healthy term newborns. Objectives: We aimed to investigate associations between heat wave during pregnancy and birth weight outcomes in term newborns from the PARIS birth cohort, and to explore meteorological conditions and air pollution as possible intermediate factors. Methods: We examined data on 3,359 newborns born between 37 and 42 weeks in Paris, France, between 2003 and 2006. Associations of maternal exposure to heat wave (during whole pregnancy and each trimester) with birth weight and small for gestational age (SGA) at term were studied using linear and logistic regression models adjusted for potential confounders. Maternal characteristics were investigated as possible modifiers. We explored the mediating role of ambient temperature, relative humidity, and air pollution levels in the relationship between heat wave during the first trimester and term SGA. Results: Mothers who were pregnant during the 2003 French heat wave (n = 506, 15 %) were more likely to have a term SGA baby (aOR = 2.70; 95 % CI: 1.38, 5.28) compared to mothers who did not experience heat wave during pregnancy. The association was stronger when heat wave occurred during the first trimester (aOR = 4.18; 95 % CI: 1.69, 10.35). Primiparous women were identified as more vulnerable than multiparous women. Average ambient temperature and air quality index explained about 36 % and 56 % of the association between heat wave during the first trimester and term SGA, respectively. Conclusions: This study suggests prenatal exposure to heat wave, especially during the first trimester, may adversely affect fetal growth of term newborns, which could be explained by both increasing ambient temperatures and worsening air quality.&quot;,&quot;publisher&quot;:&quot;Elsevier Ltd&quot;,&quot;volume&quot;:&quot;188&quot;},&quot;isTemporary&quot;:false}],&quot;citationTag&quot;:&quot;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&quot;},{&quot;citationID&quot;:&quot;MENDELEY_CITATION_506ce367-db54-40e9-a519-d1087e1e9e6c&quot;,&quot;properties&quot;:{&quot;noteIndex&quot;:0},&quot;isEdited&quot;:false,&quot;manualOverride&quot;:{&quot;isManuallyOverridden&quot;:false,&quot;citeprocText&quot;:&quot;(27)&quot;,&quot;manualOverrideText&quot;:&quot;&quot;},&quot;citationItems&quot;:[{&quot;id&quot;:&quot;fe36c22b-6117-3430-b52d-4c9abf155e92&quot;,&quot;itemData&quot;:{&quot;type&quot;:&quot;article-journal&quot;,&quot;id&quot;:&quot;fe36c22b-6117-3430-b52d-4c9abf155e92&quot;,&quot;title&quot;:&quot;Adverse Birth Outcomes Associated with Heat Stress and Wildfire Smoke Exposure During Preconception and Pregnancy&quot;,&quot;author&quot;:[{&quot;family&quot;:&quot;Khalili&quot;,&quot;given&quot;:&quot;Roxana&quot;,&quot;parse-names&quot;:false,&quot;dropping-particle&quot;:&quot;&quot;,&quot;non-dropping-particle&quot;:&quot;&quot;},{&quot;family&quot;:&quot;Liu&quot;,&quot;given&quot;:&quot;Yisi&quot;,&quot;parse-names&quot;:false,&quot;dropping-particle&quot;:&quot;&quot;,&quot;non-dropping-particle&quot;:&quot;&quot;},{&quot;family&quot;:&quot;Xu&quot;,&quot;given&quot;:&quot;Yan&quot;,&quot;parse-names&quot;:false,&quot;dropping-particle&quot;:&quot;&quot;,&quot;non-dropping-particle&quot;:&quot;&quot;},{&quot;family&quot;:&quot;O’Sharkey&quot;,&quot;given&quot;:&quot;Karl&quot;,&quot;parse-names&quot;:false,&quot;dropping-particle&quot;:&quot;&quot;,&quot;non-dropping-particle&quot;:&quot;&quot;},{&quot;family&quot;:&quot;Pavlovic&quot;,&quot;given&quot;:&quot;Nathan&quot;,&quot;parse-names&quot;:false,&quot;dropping-particle&quot;:&quot;&quot;,&quot;non-dropping-particle&quot;:&quot;&quot;},{&quot;family&quot;:&quot;McClure&quot;,&quot;given&quot;:&quot;Crystal&quot;,&quot;parse-names&quot;:false,&quot;dropping-particle&quot;:&quot;&quot;,&quot;non-dropping-particle&quot;:&quot;&quot;},{&quot;family&quot;:&quot;Lurmann&quot;,&quot;given&quot;:&quot;Fred&quot;,&quot;parse-names&quot;:false,&quot;dropping-particle&quot;:&quot;&quot;,&quot;non-dropping-particle&quot;:&quot;&quot;},{&quot;family&quot;:&quot;Yang&quot;,&quot;given&quot;:&quot;Tingyu&quot;,&quot;parse-names&quot;:false,&quot;dropping-particle&quot;:&quot;&quot;,&quot;non-dropping-particle&quot;:&quot;&quot;},{&quot;family&quot;:&quot;Chen&quot;,&quot;given&quot;:&quot;Xinci&quot;,&quot;parse-names&quot;:false,&quot;dropping-particle&quot;:&quot;&quot;,&quot;non-dropping-particle&quot;:&quot;&quot;},{&quot;family&quot;:&quot;Vigil&quot;,&quot;given&quot;:&quot;Mario&quot;,&quot;parse-names&quot;:false,&quot;dropping-particle&quot;:&quot;&quot;,&quot;non-dropping-particle&quot;:&quot;&quot;},{&quot;family&quot;:&quot;Grubbs&quot;,&quot;given&quot;:&quot;Brendan&quot;,&quot;parse-names&quot;:false,&quot;dropping-particle&quot;:&quot;&quot;,&quot;non-dropping-particle&quot;:&quot;&quot;},{&quot;family&quot;:&quot;Marayati&quot;,&quot;given&quot;:&quot;Layla&quot;,&quot;parse-names&quot;:false,&quot;dropping-particle&quot;:&quot;&quot;,&quot;non-dropping-particle&quot;:&quot;Al&quot;},{&quot;family&quot;:&quot;Lerner&quot;,&quot;given&quot;:&quot;Deborah&quot;,&quot;parse-names&quot;:false,&quot;dropping-particle&quot;:&quot;&quot;,&quot;non-dropping-particle&quot;:&quot;&quot;},{&quot;family&quot;:&quot;Lurvey&quot;,&quot;given&quot;:&quot;Nathana&quot;,&quot;parse-names&quot;:false,&quot;dropping-particle&quot;:&quot;&quot;,&quot;non-dropping-particle&quot;:&quot;&quot;},{&quot;family&quot;:&quot;Marsit&quot;,&quot;given&quot;:&quot;Carmen J.&quot;,&quot;parse-names&quot;:false,&quot;dropping-particle&quot;:&quot;&quot;,&quot;non-dropping-particle&quot;:&quot;&quot;},{&quot;family&quot;:&quot;Johnston&quot;,&quot;given&quot;:&quot;Jill&quot;,&quot;parse-names&quot;:false,&quot;dropping-particle&quot;:&quot;&quot;,&quot;non-dropping-particle&quot;:&quot;&quot;},{&quot;family&quot;:&quot;Bastain&quot;,&quot;given&quot;:&quot;Theresa M.&quot;,&quot;parse-names&quot;:false,&quot;dropping-particle&quot;:&quot;&quot;,&quot;non-dropping-particle&quot;:&quot;&quot;},{&quot;family&quot;:&quot;Breton&quot;,&quot;given&quot;:&quot;Carrie&quot;,&quot;parse-names&quot;:false,&quot;dropping-particle&quot;:&quot;V.&quot;,&quot;non-dropping-particle&quot;:&quot;&quot;},{&quot;family&quot;:&quot;Farzan&quot;,&quot;given&quot;:&quot;Shohreh F.&quot;,&quot;parse-names&quot;:false,&quot;dropping-particle&quot;:&quot;&quot;,&quot;non-dropping-particle&quot;:&quot;&quot;},{&quot;family&quot;:&quot;Habre&quot;,&quot;given&quot;:&quot;Rima&quot;,&quot;parse-names&quot;:false,&quot;dropping-particle&quot;:&quot;&quot;,&quot;non-dropping-particle&quot;:&quot;&quot;}],&quot;container-title&quot;:&quot;Environmental Science and Technology&quot;,&quot;container-title-short&quot;:&quot;Environ Sci Technol&quot;,&quot;DOI&quot;:&quot;10.1021/acs.est.4c10194&quot;,&quot;ISSN&quot;:&quot;15205851&quot;,&quot;PMID&quot;:&quot;40532130&quot;,&quot;issued&quot;:{&quot;date-parts&quot;:[[2025,7,1]]},&quot;page&quot;:&quot;12458-12471&quot;,&quot;abstract&quot;:&quot;We investigated associations between preconception and prenatal heat stress and wildfire (WF) smoke exposures on adverse birth outcomes and whether neighborhood climate vulnerability is an effect modifier in the Maternal And Developmental Risks from Environmental and Social stressors cohort (N = 713). Generalized linear models were fit to test the association between exposures and small-for-gestational-age (SGA), low birthweight (LBW), and Fenton growth z-score outcomes, adjusting for confounders. Living in a high climate vulnerability index neighborhood was tested as an effect modifier. During preconception, increases in heat stress and WF measures were associated with higher odds of SGA. Living in the most climate-vulnerable neighborhoods during preconception significantly modified and nearly doubled the odds of SGA with exposure to heat stress. Similarly, heat stress and WF exposure in trimester-specific time periods were associated with adverse birth outcomes. Conversely, third-trimester exposures were associated with lower odds of LBW. Throughout pregnancy, two measures of infant size (SGA and Fenton z-scores) were lower among those with greater exposure to multiple WF exposures. This study highlights how living in more climate-vulnerable neighborhoods significantly modifies the effect of heat stress on SGA, suggesting that the increasing adaptation capacity of communities may strengthen climate change resilience.&quot;,&quot;publisher&quot;:&quot;American Chemical Society&quot;,&quot;issue&quot;:&quot;25&quot;,&quot;volume&quot;:&quot;59&quot;},&quot;isTemporary&quot;:false}],&quot;citationTag&quot;:&quot;MENDELEY_CITATION_v3_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&quot;},{&quot;citationID&quot;:&quot;MENDELEY_CITATION_8d064ec1-d412-4fb1-a4c4-670661fc4d47&quot;,&quot;properties&quot;:{&quot;noteIndex&quot;:0},&quot;isEdited&quot;:false,&quot;manualOverride&quot;:{&quot;isManuallyOverridden&quot;:false,&quot;citeprocText&quot;:&quot;(12)&quot;,&quot;manualOverrideText&quot;:&quot;&quot;},&quot;citationItems&quot;:[{&quot;id&quot;:&quot;eb2c3002-b7a9-3020-ad54-ff8b5e2ff54e&quot;,&quot;itemData&quot;:{&quot;type&quot;:&quot;article-journal&quot;,&quot;id&quot;:&quot;eb2c3002-b7a9-3020-ad54-ff8b5e2ff54e&quot;,&quot;title&quot;:&quot;Country-level impact of climate change on maternal and newborn health: Associations between temperature, precipitation, maternal mortality, stillbirth, and neonatal mortality in the Democratic Republic of the Congo&quot;,&quot;author&quot;:[{&quot;family&quot;:&quot;Ngongo&quot;,&quot;given&quot;:&quot;Carrie J.&quot;,&quot;parse-names&quot;:false,&quot;dropping-particle&quot;:&quot;&quot;,&quot;non-dropping-particle&quot;:&quot;&quot;},{&quot;family&quot;:&quot;Bisanzio&quot;,&quot;given&quot;:&quot;Donal&quot;,&quot;parse-names&quot;:false,&quot;dropping-particle&quot;:&quot;&quot;,&quot;non-dropping-particle&quot;:&quot;&quot;},{&quot;family&quot;:&quot;Corrigan&quot;,&quot;given&quot;:&quot;Gabriella&quot;,&quot;parse-names&quot;:false,&quot;dropping-particle&quot;:&quot;&quot;,&quot;non-dropping-particle&quot;:&quot;&quot;},{&quot;family&quot;:&quot;Angendu&quot;,&quot;given&quot;:&quot;Karl B.&quot;,&quot;parse-names&quot;:false,&quot;dropping-particle&quot;:&quot;&quot;,&quot;non-dropping-particle&quot;:&quot;&quot;},{&quot;family&quot;:&quot;Smith-Arthur&quot;,&quot;given&quot;:&quot;Alisha&quot;,&quot;parse-names&quot;:false,&quot;dropping-particle&quot;:&quot;&quot;,&quot;non-dropping-particle&quot;:&quot;&quot;},{&quot;family&quot;:&quot;Hutchinson&quot;,&quot;given&quot;:&quot;Brian&quot;,&quot;parse-names&quot;:false,&quot;dropping-particle&quot;:&quot;&quot;,&quot;non-dropping-particle&quot;:&quot;&quot;},{&quot;family&quot;:&quot;Akilimali&quot;,&quot;given&quot;:&quot;Pierre&quot;,&quot;parse-names&quot;:false,&quot;dropping-particle&quot;:&quot;&quot;,&quot;non-dropping-particle&quot;:&quot;&quot;}],&quot;container-title&quot;:&quot;Environment International&quot;,&quot;container-title-short&quot;:&quot;Environ Int&quot;,&quot;DOI&quot;:&quot;10.1016/j.envint.2025.109564&quot;,&quot;ISSN&quot;:&quot;18736750&quot;,&quot;PMID&quot;:&quot;40554223&quot;,&quot;issued&quot;:{&quot;date-parts&quot;:[[2025,8,1]]},&quot;abstract&quot;:&quot;Background: Evidence connecting extreme heat to maternal and newborn health outcomes is needed at country level, especially in tropical areas. DHIS2 (District Health Information Software 2) collects aggregated population health data by health zone in the Democratic Republic of the Congo (DRC). Methods: Drawing from DHIS2 records of 22·7 million DRC births 2018–2023, spatio-temporal modeling assessed associations between maternal mortality, stillbirth, and neonatal mortality and same-month, remotely sensed temperature, precipitation, anomalous high temperature (&gt;95th percentile), and anomalous heavy precipitation (&gt;95th percentile), controlling for month, year, remoteness, and health zone. Findings: Temperatures &gt; 34 °C and anomalous heavy precipitation were strongly associated with increases in same-month stillbirth and maternal mortality and less strongly associated with neonatal mortality. The stillbirth rate rose by 2·3/1,000 births for every degree increase above 34 °C (95% CI: 1·9; 2·5) or by 5·9/1,000 births in months &gt; 95th percentile (32·9 °C; 95% CI: 5·1; 6·7). Maternal mortality rose by 27·3 deaths/100,000 live births for every degree increase above 34 °C (95% CI: 19·1; 35·7) or by 95·3 deaths/100,000 live births in months &gt; 95th percentile (95% CI: 71·3; 119·4). Months with anomalous heavy precipitation were associated with an increase of 5·4 stillbirths/1,000 births (95% CI: 4·8; 6·2) and with 120 maternal deaths/100,000 live births (95% CI: 100·9; 139·5). Interpretation: DHIS2 data offer a readily available opportunity to assess associations between climate and country-level population health outcomes. Further work is needed to hone and evaluate effective approaches that protect mothers and newborns in the face of projected warming and rainfall changes. Risk-based planning, geographic targeting, and stakeholder coordination will support appropriate, context-specific responses.&quot;,&quot;publisher&quot;:&quot;Elsevier Ltd&quot;,&quot;volume&quot;:&quot;202&quot;},&quot;isTemporary&quot;:false}],&quot;citationTag&quot;:&quot;MENDELEY_CITATION_v3_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&quot;},{&quot;citationID&quot;:&quot;MENDELEY_CITATION_184f78eb-8ce2-4a18-bf4e-c26a0621b51e&quot;,&quot;properties&quot;:{&quot;noteIndex&quot;:0},&quot;isEdited&quot;:false,&quot;manualOverride&quot;:{&quot;isManuallyOverridden&quot;:false,&quot;citeprocText&quot;:&quot;(23,26)&quot;,&quot;manualOverrideText&quot;:&quot;&quot;},&quot;citationItems&quot;:[{&quot;id&quot;:&quot;3ff158f6-5350-3c0d-a319-c6f1dca3d6f1&quot;,&quot;itemData&quot;:{&quot;type&quot;:&quot;article-journal&quot;,&quot;id&quot;:&quot;3ff158f6-5350-3c0d-a319-c6f1dca3d6f1&quot;,&quot;title&quot;:&quot;Impact of cash transfers on the association between prenatal exposures to high temperatures and low birthweight: Retrospective analysis from the LEAP 1000 study&quot;,&quot;author&quot;:[{&quot;family&quot;:&quot;LaPointe&quot;,&quot;given&quot;:&quot;Sarah&quot;,&quot;parse-names&quot;:false,&quot;dropping-particle&quot;:&quot;&quot;,&quot;non-dropping-particle&quot;:&quot;&quot;},{&quot;family&quot;:&quot;Mendola&quot;,&quot;given&quot;:&quot;Pauline&quot;,&quot;parse-names&quot;:false,&quot;dropping-particle&quot;:&quot;&quot;,&quot;non-dropping-particle&quot;:&quot;&quot;},{&quot;family&quot;:&quot;Lin&quot;,&quot;given&quot;:&quot;Shao&quot;,&quot;parse-names&quot;:false,&quot;dropping-particle&quot;:&quot;&quot;,&quot;non-dropping-particle&quot;:&quot;&quot;},{&quot;family&quot;:&quot;Tian&quot;,&quot;given&quot;:&quot;Lili&quot;,&quot;parse-names&quot;:false,&quot;dropping-particle&quot;:&quot;&quot;,&quot;non-dropping-particle&quot;:&quot;&quot;},{&quot;family&quot;:&quot;Bonell&quot;,&quot;given&quot;:&quot;Ana&quot;,&quot;parse-names&quot;:false,&quot;dropping-particle&quot;:&quot;&quot;,&quot;non-dropping-particle&quot;:&quot;&quot;},{&quot;family&quot;:&quot;Adamba&quot;,&quot;given&quot;:&quot;Clement&quot;,&quot;parse-names&quot;:false,&quot;dropping-particle&quot;:&quot;&quot;,&quot;non-dropping-particle&quot;:&quot;&quot;},{&quot;family&quot;:&quot;Palermo&quot;,&quot;given&quot;:&quot;Tia&quot;,&quot;parse-names&quot;:false,&quot;dropping-particle&quot;:&quot;&quot;,&quot;non-dropping-particle&quot;:&quot;&quot;}],&quot;container-title&quot;:&quot;BJOG: An International Journal of Obstetrics and Gynaecology&quot;,&quot;container-title-short&quot;:&quot;BJOG&quot;,&quot;DOI&quot;:&quot;10.1111/1471-0528.17761&quot;,&quot;ISSN&quot;:&quot;14710528&quot;,&quot;PMID&quot;:&quot;38238994&quot;,&quot;issued&quot;:{&quot;date-parts&quot;:[[2024,4,1]]},&quot;page&quot;:&quot;641-650&quot;,&quot;abstract&quot;:&quot;Objective: To explore the associations between prenatal temperature exposures and low birthweight (LBW) and modification by cash transfer (CT) receipt. Design: Retrospective cohort study. Setting: Five rural districts in Northern Ghana. Population or sample: A total of 3016 infants born to women interviewed as part of the Livelihood Empowerment Against Poverty (LEAP 1000) impact evaluation between 2015 and 2017. Methods: Birthweight was collected using household surveys administered to LEAP 1000 eligible women. We used a UNICEF-developed multiple imputation approach to address missingness of birthweight and applied an empirical heaping correction to the multiply imputed birthweight data. Survey data were linked to the European Centre for Medium-Range Weather Forecasts Reanalysis 5-hourly temperature averaged to weeks for 2011–2017 using community centroids. Using distributed-lag nonlinear models, we explored the lag-specific associations between weekly average temperatures greater than 30°C and LBW, and stratified by LEAP 1000 treatment. Main outcome measures: Low birthweight (&lt;2.5 kg). Results: Twelve percent (n = 365) of infants were LBW; the mean ± SD birthweight was 3.02 ± 0.37 kg. Overall, increasing temperatures were associated with increased odds of LBW, with the greatest odds observed in the 3 weeks before birth (odds ratio 1.005–1.025). These positive associations were even larger among comparison infants and null among treatment infants. Conclusions: Our study found increased odds of LBW with high weekly average temperatures throughout pregnancy and the preconception period and demonstrate mitigated effects by the LEAP 1000 CT program. More evidence on the potential of CTs to serve as adaptation interventions in low- and middle-income countries is needed to protect pregnant persons and their infants from the impacts of climate change.&quot;,&quot;publisher&quot;:&quot;John Wiley and Sons Inc&quot;,&quot;issue&quot;:&quot;5&quot;,&quot;volume&quot;:&quot;131&quot;},&quot;isTemporary&quot;:false},{&quot;id&quot;:&quot;0c8d7f59-e685-375b-8bfc-5a365738d41d&quot;,&quot;itemData&quot;:{&quot;type&quot;:&quot;article&quot;,&quot;id&quot;:&quot;0c8d7f59-e685-375b-8bfc-5a365738d41d&quot;,&quot;title&quot;:&quot;Short-term ambient heat exposure and low APGAR score in newborns: A time-stratified case-crossover analysis in São Paulo state, Brazil (2013-2019)&quot;,&quot;author&quot;:[{&quot;family&quot;:&quot;Carretto&quot;,&quot;given&quot;:&quot;Michelle&quot;,&quot;parse-names&quot;:false,&quot;dropping-particle&quot;:&quot;&quot;,&quot;non-dropping-particle&quot;:&quot;Del&quot;},{&quot;family&quot;:&quot;Godin&quot;,&quot;given&quot;:&quot;Audrey&quot;,&quot;parse-names&quot;:false,&quot;dropping-particle&quot;:&quot;&quot;,&quot;non-dropping-particle&quot;:&quot;&quot;},{&quot;family&quot;:&quot;Neves&quot;,&quot;given&quot;:&quot;Danielson&quot;,&quot;parse-names&quot;:false,&quot;dropping-particle&quot;:&quot;&quot;,&quot;non-dropping-particle&quot;:&quot;&quot;},{&quot;family&quot;:&quot;Paixao&quot;,&quot;given&quot;:&quot;Enny S.&quot;,&quot;parse-names&quot;:false,&quot;dropping-particle&quot;:&quot;&quot;,&quot;non-dropping-particle&quot;:&quot;&quot;},{&quot;family&quot;:&quot;Wan&quot;,&quot;given&quot;:&quot;Kai&quot;,&quot;parse-names&quot;:false,&quot;dropping-particle&quot;:&quot;&quot;,&quot;non-dropping-particle&quot;:&quot;&quot;},{&quot;family&quot;:&quot;Pescarini&quot;,&quot;given&quot;:&quot;Julia&quot;,&quot;parse-names&quot;:false,&quot;dropping-particle&quot;:&quot;&quot;,&quot;non-dropping-particle&quot;:&quot;&quot;},{&quot;family&quot;:&quot;Ferreira&quot;,&quot;given&quot;:&quot;Andrêa&quot;,&quot;parse-names&quot;:false,&quot;dropping-particle&quot;:&quot;&quot;,&quot;non-dropping-particle&quot;:&quot;&quot;},{&quot;family&quot;:&quot;Cortes&quot;,&quot;given&quot;:&quot;Taisa R.&quot;,&quot;parse-names&quot;:false,&quot;dropping-particle&quot;:&quot;&quot;,&quot;non-dropping-particle&quot;:&quot;&quot;},{&quot;family&quot;:&quot;Smeeth&quot;,&quot;given&quot;:&quot;Liam&quot;,&quot;parse-names&quot;:false,&quot;dropping-particle&quot;:&quot;&quot;,&quot;non-dropping-particle&quot;:&quot;&quot;},{&quot;family&quot;:&quot;Barreto&quot;,&quot;given&quot;:&quot;Mauricio L.&quot;,&quot;parse-names&quot;:false,&quot;dropping-particle&quot;:&quot;&quot;,&quot;non-dropping-particle&quot;:&quot;&quot;},{&quot;family&quot;:&quot;Brickley&quot;,&quot;given&quot;:&quot;Elizabeth B.&quot;,&quot;parse-names&quot;:false,&quot;dropping-particle&quot;:&quot;&quot;,&quot;non-dropping-particle&quot;:&quot;&quot;},{&quot;family&quot;:&quot;Part&quot;,&quot;given&quot;:&quot;Chérie&quot;,&quot;parse-names&quot;:false,&quot;dropping-particle&quot;:&quot;&quot;,&quot;non-dropping-particle&quot;:&quot;&quot;}],&quot;DOI&quot;:&quot;10.1101/2025.04.08.25325468&quot;,&quot;URL&quot;:&quot;http://medrxiv.org/lookup/doi/10.1101/2025.04.08.25325468&quot;,&quot;issued&quot;:{&quot;date-parts&quot;:[[2025,4,10]]},&quot;abstract&quot;:&quot;&lt;p&gt; Exposure to high ambient temperatures near the time of delivery has been associated with adverse birth outcomes, but studies examining the impact on immediate newborn health remain limited. We used a time-stratified case-crossover design combined with a distributed lag nonlinear model to evaluate the short-term effects of ambient heat (0-1 day lag) on low 5-minute APGAR score (≤7; sub-categories: 6-7, 3-5, 0-2). Cases of low APGAR score among low-risk births ( &lt;italic&gt;n&lt;/italic&gt; =34,980) in São Paulo state (274 municipalities), 2013-2019, were extracted from Brazil’s Live Birth Information System ( &lt;italic&gt;Sistema de Informações Sobre Nascidos Vivos&lt;/italic&gt; ). Municipality-level daily mean temperatures were constructed from ERA5-Land reanalysis data and linked with case and control days by date and municipality of delivery. Models were adjusted for relative humidity and stratified by maternal age, race/ethnicity, education, parity, timing of prenatal care initiation, infant sex, municipality-level deprivation, and Köppen climate zone. Overall, exposure to high (95 &lt;sup&gt;th&lt;/sup&gt; percentile: 26.1°C) versus moderate (50 &lt;sup&gt;th&lt;/sup&gt; percentile: 20.9°C) temperature 0-1 days before delivery was associated with 8% higher odds (OR: 1.08, 95% CI: 1.02-1.14) of low APGAR score (≤7). In stratified analyses, heat-associated risks were elevated among infants born to women with &amp;lt;12 years of schooling (1.10, 1.03-1.17) and/or self-identifying as Brown/ &lt;italic&gt;Parda&lt;/italic&gt; (1.10, 1.01-1.20). Associations were primarily driven by same-day (lag 0) exposure and were only observed in newborns with moderately low APGAR scores (6-7). Acute exposure to ambient heat may adversely impact newborns’ immediate health in low-risk live-births, highlighting the need for heat mitigation measures near the time of delivery. &lt;/p&gt;&quot;,&quot;container-title-short&quot;:&quot;&quot;},&quot;isTemporary&quot;:false}],&quot;citationTag&quot;:&quot;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&quot;},{&quot;citationID&quot;:&quot;MENDELEY_CITATION_58e27155-908b-46af-a4cb-263b5f9465ed&quot;,&quot;properties&quot;:{&quot;noteIndex&quot;:0},&quot;isEdited&quot;:false,&quot;manualOverride&quot;:{&quot;isManuallyOverridden&quot;:false,&quot;citeprocText&quot;:&quot;(32)&quot;,&quot;manualOverrideText&quot;:&quot;&quot;},&quot;citationItems&quot;:[{&quot;id&quot;:&quot;2840df40-6adc-3019-9d3e-3d0a32267a58&quot;,&quot;itemData&quot;:{&quot;type&quot;:&quot;article-journal&quot;,&quot;id&quot;:&quot;2840df40-6adc-3019-9d3e-3d0a32267a58&quot;,&quot;title&quot;:&quot;Associations between heat wave during pregnancy and term birth weight outcomes: The PARIS birth cohort&quot;,&quot;author&quot;:[{&quot;family&quot;:&quot;Rancière&quot;,&quot;given&quot;:&quot;Fanny&quot;,&quot;parse-names&quot;:false,&quot;dropping-particle&quot;:&quot;&quot;,&quot;non-dropping-particle&quot;:&quot;&quot;},{&quot;family&quot;:&quot;Wafo&quot;,&quot;given&quot;:&quot;Octave&quot;,&quot;parse-names&quot;:false,&quot;dropping-particle&quot;:&quot;&quot;,&quot;non-dropping-particle&quot;:&quot;&quot;},{&quot;family&quot;:&quot;Perrot&quot;,&quot;given&quot;:&quot;Xavier&quot;,&quot;parse-names&quot;:false,&quot;dropping-particle&quot;:&quot;&quot;,&quot;non-dropping-particle&quot;:&quot;&quot;},{&quot;family&quot;:&quot;Momas&quot;,&quot;given&quot;:&quot;Isabelle&quot;,&quot;parse-names&quot;:false,&quot;dropping-particle&quot;:&quot;&quot;,&quot;non-dropping-particle&quot;:&quot;&quot;}],&quot;container-title&quot;:&quot;Environment International&quot;,&quot;container-title-short&quot;:&quot;Environ Int&quot;,&quot;DOI&quot;:&quot;10.1016/j.envint.2024.108730&quot;,&quot;ISSN&quot;:&quot;18736750&quot;,&quot;PMID&quot;:&quot;38776654&quot;,&quot;issued&quot;:{&quot;date-parts&quot;:[[2024,6,1]]},&quot;abstract&quot;:&quot;Background: Climate change will make extreme weather events more frequent in the 21st century. Extreme ambient temperatures during the prenatal period have been associated with adverse pregnancy outcomes such as preterm birth. It is unclear, however, whether heat waves during pregnancy impact fetal growth in apparently healthy term newborns. Objectives: We aimed to investigate associations between heat wave during pregnancy and birth weight outcomes in term newborns from the PARIS birth cohort, and to explore meteorological conditions and air pollution as possible intermediate factors. Methods: We examined data on 3,359 newborns born between 37 and 42 weeks in Paris, France, between 2003 and 2006. Associations of maternal exposure to heat wave (during whole pregnancy and each trimester) with birth weight and small for gestational age (SGA) at term were studied using linear and logistic regression models adjusted for potential confounders. Maternal characteristics were investigated as possible modifiers. We explored the mediating role of ambient temperature, relative humidity, and air pollution levels in the relationship between heat wave during the first trimester and term SGA. Results: Mothers who were pregnant during the 2003 French heat wave (n = 506, 15 %) were more likely to have a term SGA baby (aOR = 2.70; 95 % CI: 1.38, 5.28) compared to mothers who did not experience heat wave during pregnancy. The association was stronger when heat wave occurred during the first trimester (aOR = 4.18; 95 % CI: 1.69, 10.35). Primiparous women were identified as more vulnerable than multiparous women. Average ambient temperature and air quality index explained about 36 % and 56 % of the association between heat wave during the first trimester and term SGA, respectively. Conclusions: This study suggests prenatal exposure to heat wave, especially during the first trimester, may adversely affect fetal growth of term newborns, which could be explained by both increasing ambient temperatures and worsening air quality.&quot;,&quot;publisher&quot;:&quot;Elsevier Ltd&quot;,&quot;volume&quot;:&quot;188&quot;},&quot;isTemporary&quot;:false}],&quot;citationTag&quot;:&quot;MENDELEY_CITATION_v3_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&quot;},{&quot;citationID&quot;:&quot;MENDELEY_CITATION_ec916ea9-a3f1-44ec-b1c1-2e5d932580f8&quot;,&quot;properties&quot;:{&quot;noteIndex&quot;:0},&quot;isEdited&quot;:false,&quot;manualOverride&quot;:{&quot;isManuallyOverridden&quot;:false,&quot;citeprocText&quot;:&quot;(36)&quot;,&quot;manualOverrideText&quot;:&quot;&quot;},&quot;citationItems&quot;:[{&quot;id&quot;:&quot;1f236389-9430-37b4-854e-798d8edb18d8&quot;,&quot;itemData&quot;:{&quot;type&quot;:&quot;article-journal&quot;,&quot;id&quot;:&quot;1f236389-9430-37b4-854e-798d8edb18d8&quot;,&quot;title&quot;:&quot;Ambient temperature during pregnancy and fetal growth in Eastern Massachusetts, USA&quot;,&quot;author&quot;:[{&quot;family&quot;:&quot;Leung&quot;,&quot;given&quot;:&quot;Michael&quot;,&quot;parse-names&quot;:false,&quot;dropping-particle&quot;:&quot;&quot;,&quot;non-dropping-particle&quot;:&quot;&quot;},{&quot;family&quot;:&quot;Laden&quot;,&quot;given&quot;:&quot;Francine&quot;,&quot;parse-names&quot;:false,&quot;dropping-particle&quot;:&quot;&quot;,&quot;non-dropping-particle&quot;:&quot;&quot;},{&quot;family&quot;:&quot;Coull&quot;,&quot;given&quot;:&quot;Brent A.&quot;,&quot;parse-names&quot;:false,&quot;dropping-particle&quot;:&quot;&quot;,&quot;non-dropping-particle&quot;:&quot;&quot;},{&quot;family&quot;:&quot;Modest&quot;,&quot;given&quot;:&quot;Anna M.&quot;,&quot;parse-names&quot;:false,&quot;dropping-particle&quot;:&quot;&quot;,&quot;non-dropping-particle&quot;:&quot;&quot;},{&quot;family&quot;:&quot;Hacker&quot;,&quot;given&quot;:&quot;Michele R.&quot;,&quot;parse-names&quot;:false,&quot;dropping-particle&quot;:&quot;&quot;,&quot;non-dropping-particle&quot;:&quot;&quot;},{&quot;family&quot;:&quot;Wylie&quot;,&quot;given&quot;:&quot;Blair J.&quot;,&quot;parse-names&quot;:false,&quot;dropping-particle&quot;:&quot;&quot;,&quot;non-dropping-particle&quot;:&quot;&quot;},{&quot;family&quot;:&quot;Iyer&quot;,&quot;given&quot;:&quot;Hari S.&quot;,&quot;parse-names&quot;:false,&quot;dropping-particle&quot;:&quot;&quot;,&quot;non-dropping-particle&quot;:&quot;&quot;},{&quot;family&quot;:&quot;Hart&quot;,&quot;given&quot;:&quot;Jaime E.&quot;,&quot;parse-names&quot;:false,&quot;dropping-particle&quot;:&quot;&quot;,&quot;non-dropping-particle&quot;:&quot;&quot;},{&quot;family&quot;:&quot;Wei&quot;,&quot;given&quot;:&quot;Yaguang&quot;,&quot;parse-names&quot;:false,&quot;dropping-particle&quot;:&quot;&quot;,&quot;non-dropping-particle&quot;:&quot;&quot;},{&quot;family&quot;:&quot;Schwartz&quot;,&quot;given&quot;:&quot;Joel&quot;,&quot;parse-names&quot;:false,&quot;dropping-particle&quot;:&quot;&quot;,&quot;non-dropping-particle&quot;:&quot;&quot;},{&quot;family&quot;:&quot;Weisskopf&quot;,&quot;given&quot;:&quot;Marc G.&quot;,&quot;parse-names&quot;:false,&quot;dropping-particle&quot;:&quot;&quot;,&quot;non-dropping-particle&quot;:&quot;&quot;},{&quot;family&quot;:&quot;Papatheodorou&quot;,&quot;given&quot;:&quot;Stefania&quot;,&quot;parse-names&quot;:false,&quot;dropping-particle&quot;:&quot;&quot;,&quot;non-dropping-particle&quot;:&quot;&quot;}],&quot;container-title&quot;:&quot;International Journal of Epidemiology&quot;,&quot;container-title-short&quot;:&quot;Int J Epidemiol&quot;,&quot;DOI&quot;:&quot;10.1093/ije/dyac228&quot;,&quot;ISSN&quot;:&quot;14643685&quot;,&quot;PMID&quot;:&quot;36495569&quot;,&quot;issued&quot;:{&quot;date-parts&quot;:[[2023,6,1]]},&quot;page&quot;:&quot;749-760&quot;,&quot;abstract&quot;:&quot;Background: Left unabated, rising temperatures pose an escalating threat to human health. The potential effects of hot temperatures on fetal health have been under-explored. Here, we examined the association between prenatal ambient temperature exposure and fetal growth measures in a Massachusetts-based pregnancy cohort. Methods: We used ultrasound measurements of biparietal diameter (BPD), head circumference (HC), femur length and abdominal circumference (AC), in addition to birthweight (BW), from 9446 births at Beth Israel Deaconess Medical Center from 2011 to 2016. Ultrasound scans were classified into three distinct gestational periods: 16-23 weeks, 24-31 weeks, 32+ weeks; and z-scores were created for each fetal growth measure using the INTERGROWTH-21st standards. We fitted distributed lag models to estimate the time-varying association between weekly temperature and fetal growth, adjusting for sociodemographic characteristics, seasonal and long-Term trends, humidity and particulate matter (PM2.5). Results: Higher ambient temperature was associated with smaller fetal growth measures. The critical window of exposure appeared to be Weeks 1-20 for ultrasound parameters, and high temperatures throughout pregnancy were important for BW. Associations were strongest for head parameters (BPD and HC) in early to mid-pregnancy, AC late in pregnancy and BW. For example, a 5ºC higher cumulative temperature exposure was associated with a lower mean AC z-score of-0.26 (95% CI:-0.48,-0.04) among 24-31-Week scans, and a lower mean BW z-score of-0.32 (95% CI:-0.51,-0.12). Conclusion: Higher temperatures were associated with impaired fetal growth. This has major health implications given that extreme temperatures are more common and escalating.&quot;,&quot;publisher&quot;:&quot;Oxford University Press&quot;,&quot;issue&quot;:&quot;3&quot;,&quot;volume&quot;:&quot;52&quot;},&quot;isTemporary&quot;:false}],&quot;citationTag&quot;:&quot;MENDELEY_CITATION_v3_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&quot;},{&quot;citationID&quot;:&quot;MENDELEY_CITATION_67a0cd61-0c1e-41e0-aebf-39aa00573599&quot;,&quot;properties&quot;:{&quot;noteIndex&quot;:0},&quot;isEdited&quot;:false,&quot;manualOverride&quot;:{&quot;isManuallyOverridden&quot;:false,&quot;citeprocText&quot;:&quot;(50)&quot;,&quot;manualOverrideText&quot;:&quot;&quot;},&quot;citationItems&quot;:[{&quot;id&quot;:&quot;d34db7da-247e-397b-948f-6569cc50bb8b&quot;,&quot;itemData&quot;:{&quot;type&quot;:&quot;article-journal&quot;,&quot;id&quot;:&quot;d34db7da-247e-397b-948f-6569cc50bb8b&quot;,&quot;title&quot;:&quot;Heat stress and adverse pregnancy outcome: Prospective cohort study&quot;,&quot;author&quot;:[{&quot;family&quot;:&quot;Rekha&quot;,&quot;given&quot;:&quot;Shanmugam&quot;,&quot;parse-names&quot;:false,&quot;dropping-particle&quot;:&quot;&quot;,&quot;non-dropping-particle&quot;:&quot;&quot;},{&quot;family&quot;:&quot;Nalini&quot;,&quot;given&quot;:&quot;Sirala Jagadeesh&quot;,&quot;parse-names&quot;:false,&quot;dropping-particle&quot;:&quot;&quot;,&quot;non-dropping-particle&quot;:&quot;&quot;},{&quot;family&quot;:&quot;Bhuvana&quot;,&quot;given&quot;:&quot;Srinivasan&quot;,&quot;parse-names&quot;:false,&quot;dropping-particle&quot;:&quot;&quot;,&quot;non-dropping-particle&quot;:&quot;&quot;},{&quot;family&quot;:&quot;Kanmani&quot;,&quot;given&quot;:&quot;Sellappa&quot;,&quot;parse-names&quot;:false,&quot;dropping-particle&quot;:&quot;&quot;,&quot;non-dropping-particle&quot;:&quot;&quot;},{&quot;family&quot;:&quot;Hirst&quot;,&quot;given&quot;:&quot;Jane Elizabeth&quot;,&quot;parse-names&quot;:false,&quot;dropping-particle&quot;:&quot;&quot;,&quot;non-dropping-particle&quot;:&quot;&quot;},{&quot;family&quot;:&quot;Venugopal&quot;,&quot;given&quot;:&quot;Vidhya&quot;,&quot;parse-names&quot;:false,&quot;dropping-particle&quot;:&quot;&quot;,&quot;non-dropping-particle&quot;:&quot;&quot;}],&quot;container-title&quot;:&quot;BJOG: An International Journal of Obstetrics and Gynaecology&quot;,&quot;container-title-short&quot;:&quot;BJOG&quot;,&quot;DOI&quot;:&quot;10.1111/1471-0528.17680&quot;,&quot;ISSN&quot;:&quot;14710528&quot;,&quot;PMID&quot;:&quot;37814395&quot;,&quot;issued&quot;:{&quot;date-parts&quot;:[[2024,4,1]]},&quot;page&quot;:&quot;612-622&quot;,&quot;abstract&quot;:&quot;Objective: To explore the relationship between occupational heat exposure, physiological heat strain indicators and adverse outcomes in pregnant women. Design: Prospective cohort. Setting: Workplaces in Tamil Nadu, India. Sample: A cohort of 800 pregnant women engaged in moderate to heavy physical work in 2017–2019 and 2021–2022. Methods: Participants were recruited at between 8 and 14 weeks of gestation. Occupational heat exposure and heat strain indicators were captured each trimester. ‘Heat exposed’ was defined as heat stress exceeding the threshold limit value (TLV) for safe manual work (with maximum wet-bulb globe temperatures of 27.5°C for a heavy workload and 28.0°C for a moderate workload). Physiological heat strain indicators (HSIs) such as core body temperature (CBT) and urine specific gravity (USG) were measured before and after each shift. Heat-related health symptoms were captured using the modified HOTHAPS questionnaire. Main outcome measures: The main outcome measures included (1) a composite measure of any adverse pregnancy outcome (APO) during pregnancy (including miscarriage, preterm birth, low birthweight, stillbirth, intrauterine growth restriction and birth defects), (2) a composite measure of adverse outcomes at birth (3) and miscarriage. Results: Of the 800 participants, 47.3% had high occupational heat exposure. A rise in CBT was recorded in 17.4% of exposed workers, and 29.6% of workers experienced moderate dehydration (USG ≥ 1.020). Heat-exposed women had a doubled risk of miscarriage (adjusted odds ratio, aOR 2.4; 95% confidence interval, 95% CI 1.0–5.7). High occupational heat exposure was associated with an increased risk of any adverse pregnancy and foetal outcome (aOR 2.3; 95% CI 1.4–3.8) and adverse outcome at birth (aOR 2.0; 95% CI 1.2–3.3). Conclusions: High occupational heat exposure is associated with HSIs and adverse pregnancy outcomes in India.&quot;,&quot;publisher&quot;:&quot;John Wiley and Sons Inc&quot;,&quot;issue&quot;:&quot;5&quot;,&quot;volume&quot;:&quot;131&quot;},&quot;isTemporary&quot;:false}],&quot;citationTag&quot;:&quot;MENDELEY_CITATION_v3_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&quot;},{&quot;citationID&quot;:&quot;MENDELEY_CITATION_b35d309e-4f09-4bf4-a323-88ac181d2197&quot;,&quot;properties&quot;:{&quot;noteIndex&quot;:0},&quot;isEdited&quot;:false,&quot;manualOverride&quot;:{&quot;isManuallyOverridden&quot;:false,&quot;citeprocText&quot;:&quot;(51)&quot;,&quot;manualOverrideText&quot;:&quot;&quot;},&quot;citationItems&quot;:[{&quot;id&quot;:&quot;cb7bfc12-b25f-3871-a6de-fd505a9ec39f&quot;,&quot;itemData&quot;:{&quot;type&quot;:&quot;report&quot;,&quot;id&quot;:&quot;cb7bfc12-b25f-3871-a6de-fd505a9ec39f&quot;,&quot;title&quot;:&quot;Increased late preterm birth risk and altered uterine blood flow upon exposure to heat stress&quot;,&quot;author&quot;:[{&quot;family&quot;:&quot;Yüzen&quot;,&quot;given&quot;:&quot;Dennis&quot;,&quot;parse-names&quot;:false,&quot;dropping-particle&quot;:&quot;&quot;,&quot;non-dropping-particle&quot;:&quot;&quot;},{&quot;family&quot;:&quot;Graf&quot;,&quot;given&quot;:&quot;Isabel&quot;,&quot;parse-names&quot;:false,&quot;dropping-particle&quot;:&quot;&quot;,&quot;non-dropping-particle&quot;:&quot;&quot;},{&quot;family&quot;:&quot;Tallarek&quot;,&quot;given&quot;:&quot;Ann-Christin&quot;,&quot;parse-names&quot;:false,&quot;dropping-particle&quot;:&quot;&quot;,&quot;non-dropping-particle&quot;:&quot;&quot;},{&quot;family&quot;:&quot;Hollwitz&quot;,&quot;given&quot;:&quot;Bettina&quot;,&quot;parse-names&quot;:false,&quot;dropping-particle&quot;:&quot;&quot;,&quot;non-dropping-particle&quot;:&quot;&quot;},{&quot;family&quot;:&quot;Wiessner&quot;,&quot;given&quot;:&quot;Christian&quot;,&quot;parse-names&quot;:false,&quot;dropping-particle&quot;:&quot;&quot;,&quot;non-dropping-particle&quot;:&quot;&quot;},{&quot;family&quot;:&quot;Schleussner&quot;,&quot;given&quot;:&quot;Ekkehard&quot;,&quot;parse-names&quot;:false,&quot;dropping-particle&quot;:&quot;&quot;,&quot;non-dropping-particle&quot;:&quot;&quot;},{&quot;family&quot;:&quot;Stammer&quot;,&quot;given&quot;:&quot;Detlef&quot;,&quot;parse-names&quot;:false,&quot;dropping-particle&quot;:&quot;&quot;,&quot;non-dropping-particle&quot;:&quot;&quot;},{&quot;family&quot;:&quot;Padula&quot;,&quot;given&quot;:&quot;Amy&quot;,&quot;parse-names&quot;:false,&quot;dropping-particle&quot;:&quot;&quot;,&quot;non-dropping-particle&quot;:&quot;&quot;},{&quot;family&quot;:&quot;Hecher&quot;,&quot;given&quot;:&quot;Kurt&quot;,&quot;parse-names&quot;:false,&quot;dropping-particle&quot;:&quot;&quot;,&quot;non-dropping-particle&quot;:&quot;&quot;},{&quot;family&quot;:&quot;Arck&quot;,&quot;given&quot;:&quot;Petra Clara&quot;,&quot;parse-names&quot;:false,&quot;dropping-particle&quot;:&quot;&quot;,&quot;non-dropping-particle&quot;:&quot;&quot;},{&quot;family&quot;:&quot;Diemert&quot;,&quot;given&quot;:&quot;Anke&quot;,&quot;parse-names&quot;:false,&quot;dropping-particle&quot;:&quot;&quot;,&quot;non-dropping-particle&quot;:&quot;&quot;}],&quot;URL&quot;:&quot;www.thelancet.com&quot;,&quot;issued&quot;:{&quot;date-parts&quot;:[[2023]]},&quot;abstract&quot;:&quot;Background Climate change, in particular the exposure to heat, impacts on human health and can trigger diseases. Pregnant people are considered a vulnerable group given the physiological changes during pregnancy and the potentially long-lasting consequences for the offspring. Evidence published to date on higher risk of pregnancy complications upon heat stress exposure are from geographical areas with high ambient temperatures. Studies from geographic regions with temperate climates are sparse; however, these areas are critical since individuals may be less equipped to adapt to heat stress. This study addresses a significant gap in knowledge due to the temperature increase documented globally.&quot;,&quot;container-title-short&quot;:&quot;&quot;},&quot;isTemporary&quot;:false}],&quot;citationTag&quot;:&quot;MENDELEY_CITATION_v3_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&quot;},{&quot;citationID&quot;:&quot;MENDELEY_CITATION_e73ad8c3-5cfd-4d9e-8281-c87556008a56&quot;,&quot;properties&quot;:{&quot;noteIndex&quot;:0},&quot;isEdited&quot;:false,&quot;manualOverride&quot;:{&quot;isManuallyOverridden&quot;:false,&quot;citeprocText&quot;:&quot;(52)&quot;,&quot;manualOverrideText&quot;:&quot;&quot;},&quot;citationItems&quot;:[{&quot;id&quot;:&quot;16d3e333-32a7-314b-b40a-371da3383cd1&quot;,&quot;itemData&quot;:{&quot;type&quot;:&quot;article-journal&quot;,&quot;id&quot;:&quot;16d3e333-32a7-314b-b40a-371da3383cd1&quot;,&quot;title&quot;:&quot;Ambient temperature and term birthweight in Latin American cities&quot;,&quot;author&quot;:[{&quot;family&quot;:&quot;Bakhtsiyarava&quot;,&quot;given&quot;:&quot;Maryia&quot;,&quot;parse-names&quot;:false,&quot;dropping-particle&quot;:&quot;&quot;,&quot;non-dropping-particle&quot;:&quot;&quot;},{&quot;family&quot;:&quot;Ortigoza&quot;,&quot;given&quot;:&quot;Ana&quot;,&quot;parse-names&quot;:false,&quot;dropping-particle&quot;:&quot;&quot;,&quot;non-dropping-particle&quot;:&quot;&quot;},{&quot;family&quot;:&quot;Sánchez&quot;,&quot;given&quot;:&quot;Brisa N.&quot;,&quot;parse-names&quot;:false,&quot;dropping-particle&quot;:&quot;&quot;,&quot;non-dropping-particle&quot;:&quot;&quot;},{&quot;family&quot;:&quot;Braverman-Bronstein&quot;,&quot;given&quot;:&quot;Ariela&quot;,&quot;parse-names&quot;:false,&quot;dropping-particle&quot;:&quot;&quot;,&quot;non-dropping-particle&quot;:&quot;&quot;},{&quot;family&quot;:&quot;Kephart&quot;,&quot;given&quot;:&quot;Josiah L.&quot;,&quot;parse-names&quot;:false,&quot;dropping-particle&quot;:&quot;&quot;,&quot;non-dropping-particle&quot;:&quot;&quot;},{&quot;family&quot;:&quot;Rodríguez López&quot;,&quot;given&quot;:&quot;Santiago&quot;,&quot;parse-names&quot;:false,&quot;dropping-particle&quot;:&quot;&quot;,&quot;non-dropping-particle&quot;:&quot;&quot;},{&quot;family&quot;:&quot;Rodríguez&quot;,&quot;given&quot;:&quot;Jordan&quot;,&quot;parse-names&quot;:false,&quot;dropping-particle&quot;:&quot;&quot;,&quot;non-dropping-particle&quot;:&quot;&quot;},{&quot;family&quot;:&quot;Diez Roux&quot;,&quot;given&quot;:&quot;Ana&quot;,&quot;parse-names&quot;:false,&quot;dropping-particle&quot;:&quot;V.&quot;,&quot;non-dropping-particle&quot;:&quot;&quot;}],&quot;container-title&quot;:&quot;Environment International&quot;,&quot;container-title-short&quot;:&quot;Environ Int&quot;,&quot;DOI&quot;:&quot;10.1016/j.envint.2022.107412&quot;,&quot;ISSN&quot;:&quot;18736750&quot;,&quot;PMID&quot;:&quot;35870377&quot;,&quot;issued&quot;:{&quot;date-parts&quot;:[[2022,9,1]]},&quot;abstract&quot;:&quot;Background: Extreme temperatures may lead to adverse pregnancy and birth outcomes, including low birthweight. Studies on the impact of temperature on birthweight have been inconclusive due to methodological challenges related to operationalizing temperature exposure, the definitions of exposure windows, accounting for gestational age, and a limited geographic scope. Methods: We combined data on individual-level term live births (N≈15 million births) from urban areas in Brazil, Chile, and Mexico from 2010 to 2015 from the SALURBAL study (Urban Health in Latin America) with high-resolution daily air temperature data and computed average ambient temperature for every month of gestation for each newborn. Associations between full-term birthweight and average temperature during gestation were analyzed using multi-level distributed lag non-linear models that adjusted for newborn's sex, season of conception, and calendar year of child's birth; controlled for maternal age, education, partnership status, presence of previous births, and climate zone; and included a random term for the sub-city of mother's residence. Findings: Higher temperatures during the entire gestation are associated with lower birthweight, particularly in Mexico and Brazil. The cumulative effect of temperature on birthweight is mostly driven by exposure to higher temperatures during months 7–9 of gestation. Higher maternal education can attenuate the temperature-birthweight associations. Interpretation: Our work shows that climate-health impacts are likely to be context- and place-specific and warrants research on temperature and birthweight in diverse climates to adequately anticipate global climate change. Given the high societal cost of suboptimal birthweight, public health efforts should be aimed at diminishing the detrimental effect of higher temperatures on birthweight. Funding: The Wellcome Trust.&quot;,&quot;publisher&quot;:&quot;Elsevier Ltd&quot;,&quot;volume&quot;:&quot;167&quot;},&quot;isTemporary&quot;:false}],&quot;citationTag&quot;:&quot;MENDELEY_CITATION_v3_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&quot;},{&quot;citationID&quot;:&quot;MENDELEY_CITATION_a26ab627-2a0e-4e9c-afb4-f0f27d63c4d8&quot;,&quot;properties&quot;:{&quot;noteIndex&quot;:0},&quot;isEdited&quot;:false,&quot;manualOverride&quot;:{&quot;isManuallyOverridden&quot;:false,&quot;citeprocText&quot;:&quot;(26)&quot;,&quot;manualOverrideText&quot;:&quot;&quot;},&quot;citationItems&quot;:[{&quot;id&quot;:&quot;3ff158f6-5350-3c0d-a319-c6f1dca3d6f1&quot;,&quot;itemData&quot;:{&quot;type&quot;:&quot;article-journal&quot;,&quot;id&quot;:&quot;3ff158f6-5350-3c0d-a319-c6f1dca3d6f1&quot;,&quot;title&quot;:&quot;Impact of cash transfers on the association between prenatal exposures to high temperatures and low birthweight: Retrospective analysis from the LEAP 1000 study&quot;,&quot;author&quot;:[{&quot;family&quot;:&quot;LaPointe&quot;,&quot;given&quot;:&quot;Sarah&quot;,&quot;parse-names&quot;:false,&quot;dropping-particle&quot;:&quot;&quot;,&quot;non-dropping-particle&quot;:&quot;&quot;},{&quot;family&quot;:&quot;Mendola&quot;,&quot;given&quot;:&quot;Pauline&quot;,&quot;parse-names&quot;:false,&quot;dropping-particle&quot;:&quot;&quot;,&quot;non-dropping-particle&quot;:&quot;&quot;},{&quot;family&quot;:&quot;Lin&quot;,&quot;given&quot;:&quot;Shao&quot;,&quot;parse-names&quot;:false,&quot;dropping-particle&quot;:&quot;&quot;,&quot;non-dropping-particle&quot;:&quot;&quot;},{&quot;family&quot;:&quot;Tian&quot;,&quot;given&quot;:&quot;Lili&quot;,&quot;parse-names&quot;:false,&quot;dropping-particle&quot;:&quot;&quot;,&quot;non-dropping-particle&quot;:&quot;&quot;},{&quot;family&quot;:&quot;Bonell&quot;,&quot;given&quot;:&quot;Ana&quot;,&quot;parse-names&quot;:false,&quot;dropping-particle&quot;:&quot;&quot;,&quot;non-dropping-particle&quot;:&quot;&quot;},{&quot;family&quot;:&quot;Adamba&quot;,&quot;given&quot;:&quot;Clement&quot;,&quot;parse-names&quot;:false,&quot;dropping-particle&quot;:&quot;&quot;,&quot;non-dropping-particle&quot;:&quot;&quot;},{&quot;family&quot;:&quot;Palermo&quot;,&quot;given&quot;:&quot;Tia&quot;,&quot;parse-names&quot;:false,&quot;dropping-particle&quot;:&quot;&quot;,&quot;non-dropping-particle&quot;:&quot;&quot;}],&quot;container-title&quot;:&quot;BJOG: An International Journal of Obstetrics and Gynaecology&quot;,&quot;container-title-short&quot;:&quot;BJOG&quot;,&quot;DOI&quot;:&quot;10.1111/1471-0528.17761&quot;,&quot;ISSN&quot;:&quot;14710528&quot;,&quot;PMID&quot;:&quot;38238994&quot;,&quot;issued&quot;:{&quot;date-parts&quot;:[[2024,4,1]]},&quot;page&quot;:&quot;641-650&quot;,&quot;abstract&quot;:&quot;Objective: To explore the associations between prenatal temperature exposures and low birthweight (LBW) and modification by cash transfer (CT) receipt. Design: Retrospective cohort study. Setting: Five rural districts in Northern Ghana. Population or sample: A total of 3016 infants born to women interviewed as part of the Livelihood Empowerment Against Poverty (LEAP 1000) impact evaluation between 2015 and 2017. Methods: Birthweight was collected using household surveys administered to LEAP 1000 eligible women. We used a UNICEF-developed multiple imputation approach to address missingness of birthweight and applied an empirical heaping correction to the multiply imputed birthweight data. Survey data were linked to the European Centre for Medium-Range Weather Forecasts Reanalysis 5-hourly temperature averaged to weeks for 2011–2017 using community centroids. Using distributed-lag nonlinear models, we explored the lag-specific associations between weekly average temperatures greater than 30°C and LBW, and stratified by LEAP 1000 treatment. Main outcome measures: Low birthweight (&lt;2.5 kg). Results: Twelve percent (n = 365) of infants were LBW; the mean ± SD birthweight was 3.02 ± 0.37 kg. Overall, increasing temperatures were associated with increased odds of LBW, with the greatest odds observed in the 3 weeks before birth (odds ratio 1.005–1.025). These positive associations were even larger among comparison infants and null among treatment infants. Conclusions: Our study found increased odds of LBW with high weekly average temperatures throughout pregnancy and the preconception period and demonstrate mitigated effects by the LEAP 1000 CT program. More evidence on the potential of CTs to serve as adaptation interventions in low- and middle-income countries is needed to protect pregnant persons and their infants from the impacts of climate change.&quot;,&quot;publisher&quot;:&quot;John Wiley and Sons Inc&quot;,&quot;issue&quot;:&quot;5&quot;,&quot;volume&quot;:&quot;131&quot;},&quot;isTemporary&quot;:false}],&quot;citationTag&quot;:&quot;MENDELEY_CITATION_v3_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&quot;},{&quot;citationID&quot;:&quot;MENDELEY_CITATION_bd62c270-3b7e-498a-a2fe-c1dd20706e06&quot;,&quot;properties&quot;:{&quot;noteIndex&quot;:0},&quot;isEdited&quot;:false,&quot;manualOverride&quot;:{&quot;isManuallyOverridden&quot;:false,&quot;citeprocText&quot;:&quot;(21,22,29)&quot;,&quot;manualOverrideText&quot;:&quot;&quot;},&quot;citationTag&quot;:&quot;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&quot;,&quot;citationItems&quot;:[{&quot;id&quot;:&quot;839266d4-11f4-3979-8a1e-e0f3ac42ad24&quot;,&quot;itemData&quot;:{&quot;type&quot;:&quot;article-journal&quot;,&quot;id&quot;:&quot;839266d4-11f4-3979-8a1e-e0f3ac42ad24&quot;,&quot;title&quot;:&quot;Health disparities in the impact of prenatal temperature exposure on birth outcomes: A nationwide population-based study in the Netherlands&quot;,&quot;author&quot;:[{&quot;family&quot;:&quot;Burgos-Ochoa&quot;,&quot;given&quot;:&quot;L.&quot;,&quot;parse-names&quot;:false,&quot;dropping-particle&quot;:&quot;&quot;,&quot;non-dropping-particle&quot;:&quot;&quot;},{&quot;family&quot;:&quot;Garcia-Gomez&quot;,&quot;given&quot;:&quot;P.&quot;,&quot;parse-names&quot;:false,&quot;dropping-particle&quot;:&quot;&quot;,&quot;non-dropping-particle&quot;:&quot;&quot;},{&quot;family&quot;:&quot;Steegers&quot;,&quot;given&quot;:&quot;E. A.P.&quot;,&quot;parse-names&quot;:false,&quot;dropping-particle&quot;:&quot;&quot;,&quot;non-dropping-particle&quot;:&quot;&quot;},{&quot;family&quot;:&quot;Ourti&quot;,&quot;given&quot;:&quot;T. G.M.&quot;,&quot;parse-names&quot;:false,&quot;dropping-particle&quot;:&quot;&quot;,&quot;non-dropping-particle&quot;:&quot;Van&quot;},{&quot;family&quot;:&quot;Bertens&quot;,&quot;given&quot;:&quot;L. C.M.&quot;,&quot;parse-names&quot;:false,&quot;dropping-particle&quot;:&quot;&quot;,&quot;non-dropping-particle&quot;:&quot;&quot;},{&quot;family&quot;:&quot;Been&quot;,&quot;given&quot;:&quot;J.&quot;,&quot;parse-names&quot;:false,&quot;dropping-particle&quot;:&quot;V.&quot;,&quot;non-dropping-particle&quot;:&quot;&quot;}],&quot;container-title&quot;:&quot;Public Health&quot;,&quot;container-title-short&quot;:&quot;Public Health&quot;,&quot;DOI&quot;:&quot;10.1016/j.puhe.2025.105819&quot;,&quot;ISSN&quot;:&quot;14765616&quot;,&quot;PMID&quot;:&quot;40579254&quot;,&quot;issued&quot;:{&quot;date-parts&quot;:[[2025,8,1]]},&quot;abstract&quot;:&quot;Objective: This study aimed to investigate the impact of prenatal temperature exposure on birth outcomes and related health disparities across socioeconomic status (SES) levels. Study design: Retrospective study, based on birth registry national data comprising the years 2003–2017. Methods: Data on singleton births from the Dutch perinatal registry (N = 2,472,352) were analysed. We measured exposure as the number of days during gestation when mean ambient temperature fell into specific, mutually exclusive bins, using the 8–12 °C range as a reference. A robust method based on a temperature-bin regression model was employed to capitalize on the unpredictability of daily temperature fluctuations, assessing the impact on birth outcomes while accounting for seasonal and other underlying trends. This method also enabled an exploration of effect heterogeneity across variables such as household income, neighbourhood SES, and maternal education levels. Results: In-utero exposure to an additional hot day (with a mean temperature exceeding 20 °C), relative to the reference range, led to increased odds of low birth weight (LBW) (OR [95 % CI] = 1.007 [1.005, 1.009]), small for gestational age (SGA) (OR [95 % CI] = 1.004 [1.003, 1.005]), and preterm birth (PTB) (OR [95 % CI] = 1.006 [1.005, 1.007]). Exposure during the second trimester to an additional cold day led to increased odds of LBW and PTB. The observed impact was the most detrimental for births in low-SES households. Conclusions: Prenatal exposure to extreme temperatures has a detrimental impact on birth outcomes in the Netherlands. Projected increases in extreme temperatures may further exacerbate health inequalities in early life. These findings underscore the need for targeted public health policy strategies such as heat-health guidance during pregnancy to protect vulnerable populations.&quot;,&quot;publisher&quot;:&quot;Elsevier B.V.&quot;,&quot;volume&quot;:&quot;245&quot;},&quot;isTemporary&quot;:false},{&quot;id&quot;:&quot;7ea7ca27-ca20-3cd8-8b9b-653e2b700c32&quot;,&quot;itemData&quot;:{&quot;type&quot;:&quot;article-journal&quot;,&quot;id&quot;:&quot;7ea7ca27-ca20-3cd8-8b9b-653e2b700c32&quot;,&quot;title&quot;:&quot;Effect of air temperature on human births, preterm births and births associated with maternal hypertension&quot;,&quot;author&quot;:[{&quot;family&quot;:&quot;Blavier&quot;,&quot;given&quot;:&quot;Frédéric&quot;,&quot;parse-names&quot;:false,&quot;dropping-particle&quot;:&quot;&quot;,&quot;non-dropping-particle&quot;:&quot;&quot;},{&quot;family&quot;:&quot;Barbe&quot;,&quot;given&quot;:&quot;Kurt&quot;,&quot;parse-names&quot;:false,&quot;dropping-particle&quot;:&quot;&quot;,&quot;non-dropping-particle&quot;:&quot;&quot;},{&quot;family&quot;:&quot;Faron&quot;,&quot;given&quot;:&quot;Gilles&quot;,&quot;parse-names&quot;:false,&quot;dropping-particle&quot;:&quot;&quot;,&quot;non-dropping-particle&quot;:&quot;&quot;},{&quot;family&quot;:&quot;Doutreloup&quot;,&quot;given&quot;:&quot;Sébastien&quot;,&quot;parse-names&quot;:false,&quot;dropping-particle&quot;:&quot;&quot;,&quot;non-dropping-particle&quot;:&quot;&quot;},{&quot;family&quot;:&quot;Boukerrou&quot;,&quot;given&quot;:&quot;Malik&quot;,&quot;parse-names&quot;:false,&quot;dropping-particle&quot;:&quot;&quot;,&quot;non-dropping-particle&quot;:&quot;&quot;},{&quot;family&quot;:&quot;Fuchs&quot;,&quot;given&quot;:&quot;Florent&quot;,&quot;parse-names&quot;:false,&quot;dropping-particle&quot;:&quot;&quot;,&quot;non-dropping-particle&quot;:&quot;&quot;},{&quot;family&quot;:&quot;Gucciardo&quot;,&quot;given&quot;:&quot;Leonardo&quot;,&quot;parse-names&quot;:false,&quot;dropping-particle&quot;:&quot;&quot;,&quot;non-dropping-particle&quot;:&quot;&quot;}],&quot;container-title&quot;:&quot;Journal of Maternal-Fetal and Neonatal Medicine&quot;,&quot;DOI&quot;:&quot;10.1080/14767058.2021.1919075&quot;,&quot;ISSN&quot;:&quot;14764954&quot;,&quot;PMID&quot;:&quot;33947297&quot;,&quot;issued&quot;:{&quot;date-parts&quot;:[[2022]]},&quot;page&quot;:&quot;6663-6669&quot;,&quot;abstract&quot;:&quot;Objective: We studied potential effects of outdoor air temperatures or barometric pressure on births, preterm births and births associated with maternal hypertension. Methods: 12,269 births were retrospectively reviewed in Brussel and 25,880 in South Reunion Island. National Belgium and French weather reference centers provided outdoor air temperatures and barometric pressures from the nearest weather stations on the corresponding birthdays. Poisson regression models were used to assess if outdoor air temperatures or barometric pressure could be correlated, immediately and several days later, with the number of daily births, preterm births and births associated with hypertension. Results: Outdoor air temperature was significantly correlated to the number of daily births in Brussels. For each additional degree Celsius, overall births increased by 0.4% during the same day. Four days later, overall births increased by 1.8%, preterm births by 2.6% and births associated with hypertension by 5.7%. Similar observations on numbers of daily births were reported in South Reunion Island, without reaching statistical significance (p =.08). Conclusion: As previously demonstrated in recent studies, increased air temperature leads progressively to higher rates of births and preterm births. An even stronger delayed effect of air temperature was observed on births associated with hypertension. This would be worth further investigating.&quot;,&quot;publisher&quot;:&quot;Taylor and Francis Ltd.&quot;,&quot;issue&quot;:&quot;25&quot;,&quot;volume&quot;:&quot;35&quot;,&quot;container-title-short&quot;:&quot;&quot;},&quot;isTemporary&quot;:false},{&quot;id&quot;:&quot;af282663-abde-3aea-9bfc-664695a88f0f&quot;,&quot;itemData&quot;:{&quot;type&quot;:&quot;article-journal&quot;,&quot;id&quot;:&quot;af282663-abde-3aea-9bfc-664695a88f0f&quot;,&quot;title&quot;:&quot;Climate vulnerability of Swedish newborns: Gender differences and time trends of temperature-related neonatal mortality, 1880–1950&quot;,&quot;author&quot;:[{&quot;family&quot;:&quot;Junkka&quot;,&quot;given&quot;:&quot;Johan&quot;,&quot;parse-names&quot;:false,&quot;dropping-particle&quot;:&quot;&quot;,&quot;non-dropping-particle&quot;:&quot;&quot;},{&quot;family&quot;:&quot;Karlsson&quot;,&quot;given&quot;:&quot;Lena&quot;,&quot;parse-names&quot;:false,&quot;dropping-particle&quot;:&quot;&quot;,&quot;non-dropping-particle&quot;:&quot;&quot;},{&quot;family&quot;:&quot;Lundevaller&quot;,&quot;given&quot;:&quot;Erling&quot;,&quot;parse-names&quot;:false,&quot;dropping-particle&quot;:&quot;&quot;,&quot;non-dropping-particle&quot;:&quot;&quot;},{&quot;family&quot;:&quot;Schumann&quot;,&quot;given&quot;:&quot;Barbara&quot;,&quot;parse-names&quot;:false,&quot;dropping-particle&quot;:&quot;&quot;,&quot;non-dropping-particle&quot;:&quot;&quot;}],&quot;container-title&quot;:&quot;Environmental Research&quot;,&quot;container-title-short&quot;:&quot;Environ Res&quot;,&quot;DOI&quot;:&quot;10.1016/j.envres.2020.110400&quot;,&quot;ISSN&quot;:&quot;10960953&quot;,&quot;PMID&quot;:&quot;33129863&quot;,&quot;issued&quot;:{&quot;date-parts&quot;:[[2021,1,1]]},&quot;abstract&quot;:&quot;Background: In resource-poor societies, neonatal mortality (death in the first 28 days of life) is usually very high. Young infants are particularly vulnerable to environmental health risks, which are modified by socioeconomic factors that change over time. We investigated the association between ambient temperature and neonatal mortality in northern Sweden during the demographic transition. Methods: Parish register data and temperature data in coastal Västerbotten, Sweden, between 1880 and 1950 were used. Total and sex-specific neonatal mortality was modelled as a function of mean temperature, adjusting for age, seasonality and calendar time, using discrete-time survival analysis. A linear threshold function was applied with a cut point at 14.5 °C (the minimum mortality temperature). Odds ratios (ORs) with 95% confidence intervals (CIs) were computed. Further analyses were stratified by study period (1800–1899, 1900–1929, and 1930–1950). Results: Neonatal mortality was 32.1 deaths/1000 live births, higher in boys than in girls, and decreased between 1880 and 1950, with high inter-annual variability. Mean daily temperature was +2.5 °C, ranging from −40.9 °C to +28.8 °C. At −20 °C, the OR of neonatal death was 1.56 (CI 1.30–1.87) compared to the reference at +14.5 °C. Among girls, the OR of mortality at −20 °C was 1.17 (0.88–1.54), and among boys, it was 1.94 (1.53–2.45). A temperature increase from +14.5 to +20 °C was associated with a 25% increase of neonatal mortality (OR 1.25, CI 1.04–1.50). Heat- and cold-related risks were lowest between 1900 and 1929. Conclusions: In this remote sub-Arctic region undergoing socio-economic changes, we found an increased mortality risk in neonates related to low but also to high temperature. Climate vulnerability varied across time and was particularly high among boys. This demonstrates that environmental impacts on human health are complex and highly dependent on the specific local context, with many, often unknown, contributing determinants of vulnerability.&quot;,&quot;publisher&quot;:&quot;Academic Press Inc.&quot;,&quot;volume&quot;:&quot;192&quot;},&quot;isTemporary&quot;:false}]},{&quot;citationID&quot;:&quot;MENDELEY_CITATION_86b6bc23-e70e-4973-a4fe-45e59ee9640d&quot;,&quot;properties&quot;:{&quot;noteIndex&quot;:0},&quot;isEdited&quot;:false,&quot;manualOverride&quot;:{&quot;isManuallyOverridden&quot;:false,&quot;citeprocText&quot;:&quot;(53)&quot;,&quot;manualOverrideText&quot;:&quot;&quot;},&quot;citationTag&quot;:&quot;MENDELEY_CITATION_v3_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&quot;,&quot;citationItems&quot;:[{&quot;id&quot;:&quot;4164af67-03d1-3d1d-8c7f-dbde2d7796db&quot;,&quot;itemData&quot;:{&quot;type&quot;:&quot;report&quot;,&quot;id&quot;:&quot;4164af67-03d1-3d1d-8c7f-dbde2d7796db&quot;,&quot;title&quot;:&quot;Heat impacts on health in Scotland: Deaths 2005-2024 An Official statistics in development release for Scotland&quot;,&quot;author&quot;:[{&quot;family&quot;:&quot;Health Scotland&quot;,&quot;given&quot;:&quot;Public&quot;,&quot;parse-names&quot;:false,&quot;dropping-particle&quot;:&quot;&quot;,&quot;non-dropping-particle&quot;:&quot;&quot;}],&quot;abstract&quot;:&quot;About this release This report by Public Health Scotland provides the first comprehensive analysis of heat impacts on health in Scotland and is specifically focussed on the impact of heat on mortality. The report highlights the estimated heat impacts on mortality in Scotland during the summer months (from June to September) over the last 20 years (2005-2024). A range of risk thresholds for heat attributable deaths are presented and an initial analysis of the differential impact of heat across demographic groups is reported. A detailed description is given of the modelling methods used to produce both the risk thresholds and attributable trends. We are continuing to develop this report and welcome feedback on our current plans for annual updates and ongoing analysis. This will include an in-depth analysis of the impact of heat on hospitalisations, as well as a more comprehensive analysis of the differential impacts across various demographic and health subgroups, including breakdowns by age, gender, SIMD, and health conditions. In the future, this report will be integrated into a broader set of publications and indicators on the impact of climate change on health in Scotland. Main points This report provides a comprehensive and up to date analysis of the impact of heat on deaths in Scotland over the last 20 years from 2005 to 2024. Key risk thresholds for heat-related deaths were identified: • The risk of death for the Scottish population started to increase at 18.2°C • The population was at a 10% higher risk of death at 22.6°C than below the risk increase threshold (18.2°C). • The modelled rate and number of heat-related deaths between 2005 and 2024 was variable but increased in line with higher maximum temperatures from 2007. • People aged 65 and over had a higher rate of attributable deaths than people under 65 years, at all temperature risk thresholds. PHS and official statistics Public Health Scotland (PHS) is the principal and authoritative source of statistics on health and care services in Scotland. PHS is designated by legislation as a producer of 'Official Statistics'.&quot;,&quot;container-title-short&quot;:&quot;&quot;},&quot;isTemporary&quot;:false}]},{&quot;citationID&quot;:&quot;MENDELEY_CITATION_d03049ca-0927-443e-8289-1497a742015c&quot;,&quot;properties&quot;:{&quot;noteIndex&quot;:0},&quot;isEdited&quot;:false,&quot;manualOverride&quot;:{&quot;isManuallyOverridden&quot;:false,&quot;citeprocText&quot;:&quot;(54)&quot;,&quot;manualOverrideText&quot;:&quot;&quot;},&quot;citationTag&quot;:&quot;MENDELEY_CITATION_v3_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&quot;,&quot;citationItems&quot;:[{&quot;id&quot;:&quot;54735a86-7a82-3c59-a3e4-642342a18d0c&quot;,&quot;itemData&quot;:{&quot;type&quot;:&quot;article&quot;,&quot;id&quot;:&quot;54735a86-7a82-3c59-a3e4-642342a18d0c&quot;,&quot;title&quot;:&quot;Simplicity lacks robustness when projecting heat-health outcomes in a changing climate&quot;,&quot;author&quot;:[{&quot;family&quot;:&quot;Vanos&quot;,&quot;given&quot;:&quot;Jennifer K.&quot;,&quot;parse-names&quot;:false,&quot;dropping-particle&quot;:&quot;&quot;,&quot;non-dropping-particle&quot;:&quot;&quot;},{&quot;family&quot;:&quot;Baldwin&quot;,&quot;given&quot;:&quot;Jane W.&quot;,&quot;parse-names&quot;:false,&quot;dropping-particle&quot;:&quot;&quot;,&quot;non-dropping-particle&quot;:&quot;&quot;},{&quot;family&quot;:&quot;Jay&quot;,&quot;given&quot;:&quot;Ollie&quot;,&quot;parse-names&quot;:false,&quot;dropping-particle&quot;:&quot;&quot;,&quot;non-dropping-particle&quot;:&quot;&quot;},{&quot;family&quot;:&quot;Ebi&quot;,&quot;given&quot;:&quot;Kristie L.&quot;,&quot;parse-names&quot;:false,&quot;dropping-particle&quot;:&quot;&quot;,&quot;non-dropping-particle&quot;:&quot;&quot;}],&quot;container-title&quot;:&quot;Nature Communications&quot;,&quot;container-title-short&quot;:&quot;Nat Commun&quot;,&quot;DOI&quot;:&quot;10.1038/s41467-020-19994-1&quot;,&quot;ISSN&quot;:&quot;20411723&quot;,&quot;PMID&quot;:&quot;33247118&quot;,&quot;issued&quot;:{&quot;date-parts&quot;:[[2020,12,1]]},&quot;publisher&quot;:&quot;Nature Research&quot;,&quot;issue&quot;:&quot;1&quot;,&quot;volume&quot;:&quot;11&quot;},&quot;isTemporary&quot;:false}]},{&quot;citationID&quot;:&quot;MENDELEY_CITATION_00a3fac5-fd34-412c-8b94-eff5be87a1d3&quot;,&quot;properties&quot;:{&quot;noteIndex&quot;:0},&quot;isEdited&quot;:false,&quot;manualOverride&quot;:{&quot;isManuallyOverridden&quot;:false,&quot;citeprocText&quot;:&quot;(54)&quot;,&quot;manualOverrideText&quot;:&quot;&quot;},&quot;citationTag&quot;:&quot;MENDELEY_CITATION_v3_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&quot;,&quot;citationItems&quot;:[{&quot;id&quot;:&quot;54735a86-7a82-3c59-a3e4-642342a18d0c&quot;,&quot;itemData&quot;:{&quot;type&quot;:&quot;article&quot;,&quot;id&quot;:&quot;54735a86-7a82-3c59-a3e4-642342a18d0c&quot;,&quot;title&quot;:&quot;Simplicity lacks robustness when projecting heat-health outcomes in a changing climate&quot;,&quot;author&quot;:[{&quot;family&quot;:&quot;Vanos&quot;,&quot;given&quot;:&quot;Jennifer K.&quot;,&quot;parse-names&quot;:false,&quot;dropping-particle&quot;:&quot;&quot;,&quot;non-dropping-particle&quot;:&quot;&quot;},{&quot;family&quot;:&quot;Baldwin&quot;,&quot;given&quot;:&quot;Jane W.&quot;,&quot;parse-names&quot;:false,&quot;dropping-particle&quot;:&quot;&quot;,&quot;non-dropping-particle&quot;:&quot;&quot;},{&quot;family&quot;:&quot;Jay&quot;,&quot;given&quot;:&quot;Ollie&quot;,&quot;parse-names&quot;:false,&quot;dropping-particle&quot;:&quot;&quot;,&quot;non-dropping-particle&quot;:&quot;&quot;},{&quot;family&quot;:&quot;Ebi&quot;,&quot;given&quot;:&quot;Kristie L.&quot;,&quot;parse-names&quot;:false,&quot;dropping-particle&quot;:&quot;&quot;,&quot;non-dropping-particle&quot;:&quot;&quot;}],&quot;container-title&quot;:&quot;Nature Communications&quot;,&quot;container-title-short&quot;:&quot;Nat Commun&quot;,&quot;DOI&quot;:&quot;10.1038/s41467-020-19994-1&quot;,&quot;ISSN&quot;:&quot;20411723&quot;,&quot;PMID&quot;:&quot;33247118&quot;,&quot;issued&quot;:{&quot;date-parts&quot;:[[2020,12,1]]},&quot;publisher&quot;:&quot;Nature Research&quot;,&quot;issue&quot;:&quot;1&quot;,&quot;volume&quot;:&quot;11&quot;},&quot;isTemporary&quot;:false}]},{&quot;citationID&quot;:&quot;MENDELEY_CITATION_c31dadad-7e50-4ec7-bc2d-babed3f59615&quot;,&quot;properties&quot;:{&quot;noteIndex&quot;:0},&quot;isEdited&quot;:false,&quot;manualOverride&quot;:{&quot;isManuallyOverridden&quot;:false,&quot;citeprocText&quot;:&quot;(55)&quot;,&quot;manualOverrideText&quot;:&quot;&quot;},&quot;citationTag&quot;:&quot;MENDELEY_CITATION_v3_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&quot;,&quot;citationItems&quot;:[{&quot;id&quot;:&quot;f48d8cb7-a239-358f-8346-7bde9d904f5c&quot;,&quot;itemData&quot;:{&quot;type&quot;:&quot;article-journal&quot;,&quot;id&quot;:&quot;f48d8cb7-a239-358f-8346-7bde9d904f5c&quot;,&quot;title&quot;:&quot;Mixed methods assessment of personal heat exposure, sleep, physical activity, and heat adaptation strategies among urban residents in the Boston area, MA&quot;,&quot;author&quot;:[{&quot;family&quot;:&quot;Milando&quot;,&quot;given&quot;:&quot;Chad W.&quot;,&quot;parse-names&quot;:false,&quot;dropping-particle&quot;:&quot;&quot;,&quot;non-dropping-particle&quot;:&quot;&quot;},{&quot;family&quot;:&quot;Black-Ingersoll&quot;,&quot;given&quot;:&quot;Flannery&quot;,&quot;parse-names&quot;:false,&quot;dropping-particle&quot;:&quot;&quot;,&quot;non-dropping-particle&quot;:&quot;&quot;},{&quot;family&quot;:&quot;Heidari&quot;,&quot;given&quot;:&quot;Leila&quot;,&quot;parse-names&quot;:false,&quot;dropping-particle&quot;:&quot;&quot;,&quot;non-dropping-particle&quot;:&quot;&quot;},{&quot;family&quot;:&quot;López-Hernández&quot;,&quot;given&quot;:&quot;Ibrahim&quot;,&quot;parse-names&quot;:false,&quot;dropping-particle&quot;:&quot;&quot;,&quot;non-dropping-particle&quot;:&quot;&quot;},{&quot;family&quot;:&quot;Lange&quot;,&quot;given&quot;:&quot;Julie&quot;,&quot;parse-names&quot;:false,&quot;dropping-particle&quot;:&quot;&quot;,&quot;non-dropping-particle&quot;:&quot;de&quot;},{&quot;family&quot;:&quot;Negassa&quot;,&quot;given&quot;:&quot;Abgel&quot;,&quot;parse-names&quot;:false,&quot;dropping-particle&quot;:&quot;&quot;,&quot;non-dropping-particle&quot;:&quot;&quot;},{&quot;family&quot;:&quot;McIntyre&quot;,&quot;given&quot;:&quot;Alina M.&quot;,&quot;parse-names&quot;:false,&quot;dropping-particle&quot;:&quot;&quot;,&quot;non-dropping-particle&quot;:&quot;&quot;},{&quot;family&quot;:&quot;Martinez&quot;,&quot;given&quot;:&quot;M. Pilar Botana&quot;,&quot;parse-names&quot;:false,&quot;dropping-particle&quot;:&quot;&quot;,&quot;non-dropping-particle&quot;:&quot;&quot;},{&quot;family&quot;:&quot;Bongiovanni&quot;,&quot;given&quot;:&quot;Roseann&quot;,&quot;parse-names&quot;:false,&quot;dropping-particle&quot;:&quot;&quot;,&quot;non-dropping-particle&quot;:&quot;&quot;},{&quot;family&quot;:&quot;Levy&quot;,&quot;given&quot;:&quot;Jonathan I.&quot;,&quot;parse-names&quot;:false,&quot;dropping-particle&quot;:&quot;&quot;,&quot;non-dropping-particle&quot;:&quot;&quot;},{&quot;family&quot;:&quot;Kinney&quot;,&quot;given&quot;:&quot;Patrick L.&quot;,&quot;parse-names&quot;:false,&quot;dropping-particle&quot;:&quot;&quot;,&quot;non-dropping-particle&quot;:&quot;&quot;},{&quot;family&quot;:&quot;Scammell&quot;,&quot;given&quot;:&quot;Madeleine K.&quot;,&quot;parse-names&quot;:false,&quot;dropping-particle&quot;:&quot;&quot;,&quot;non-dropping-particle&quot;:&quot;&quot;},{&quot;family&quot;:&quot;Fabian&quot;,&quot;given&quot;:&quot;M. Patricia&quot;,&quot;parse-names&quot;:false,&quot;dropping-particle&quot;:&quot;&quot;,&quot;non-dropping-particle&quot;:&quot;&quot;}],&quot;container-title&quot;:&quot;BMC Public Health&quot;,&quot;container-title-short&quot;:&quot;BMC Public Health&quot;,&quot;DOI&quot;:&quot;10.1186/s12889-022-14692-7&quot;,&quot;ISSN&quot;:&quot;14712458&quot;,&quot;PMID&quot;:&quot;36496371&quot;,&quot;issued&quot;:{&quot;date-parts&quot;:[[2022,12,1]]},&quot;abstract&quot;:&quot;The growing frequency, intensity, and duration of extreme heat events necessitates interventions to reduce heat exposures. Local opportunities for heat adaptation may be optimally identified through collection of both quantitative exposure metrics and qualitative data on perceptions of heat. In this study, we used mixed methods to characterize heat exposure among urban residents in the area of Boston, Massachusetts, US, in summer 2020. Repeated interviews of N = 24 study participants ascertained heat vulnerability and adaptation strategies. Participants also used low-cost sensors to collect temperature, location, sleep, and physical activity data. We saw significant differences across temperature metrics: median personal temperature exposures were 3.9 °C higher than median ambient weather station temperatures. Existing air conditioning (AC) units did not adequately control indoor temperatures to desired thermostat levels: even with AC use, indoor maximum temperatures increased by 0.24 °C per °C of maximum outdoor temperature. Sleep duration was not associated with indoor or outdoor temperature. On warmer days, we observed a range of changes in time-at-home, expected given our small study size. Interview results further indicated opportunities for heat adaptation interventions including AC upgrades, hydration education campaigns, and amelioration of energy costs during high heat periods. Our mixed methods design informs heat adaptation interventions tailored to the challenges faced by residents in the study area. The strength of our community-academic partnership was a large part of the success of the mixed methods approach.&quot;,&quot;publisher&quot;:&quot;BioMed Central Ltd&quot;,&quot;issue&quot;:&quot;1&quot;,&quot;volume&quot;:&quot;22&quot;},&quot;isTemporary&quot;:false}]},{&quot;citationID&quot;:&quot;MENDELEY_CITATION_bd5cca3e-6004-4a87-b407-e24a9801cb45&quot;,&quot;properties&quot;:{&quot;noteIndex&quot;:0},&quot;isEdited&quot;:false,&quot;manualOverride&quot;:{&quot;isManuallyOverridden&quot;:false,&quot;citeprocText&quot;:&quot;(56)&quot;,&quot;manualOverrideText&quot;:&quot;&quot;},&quot;citationTag&quot;:&quot;MENDELEY_CITATION_v3_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&quot;,&quot;citationItems&quot;:[{&quot;id&quot;:&quot;23186423-51ce-36b7-a32e-0f7de45acc00&quot;,&quot;itemData&quot;:{&quot;type&quot;:&quot;article-journal&quot;,&quot;id&quot;:&quot;23186423-51ce-36b7-a32e-0f7de45acc00&quot;,&quot;title&quot;:&quot;Thermal Protection of Newborns: The World Health Organization Guidelines Need to Include Clear and Feasible Options for Low-Resource Settings&quot;,&quot;author&quot;:[{&quot;family&quot;:&quot;Daga&quot;,&quot;given&quot;:&quot;Subhashchandra&quot;,&quot;parse-names&quot;:false,&quot;dropping-particle&quot;:&quot;&quot;,&quot;non-dropping-particle&quot;:&quot;&quot;},{&quot;family&quot;:&quot;Daga&quot;,&quot;given&quot;:&quot;S&quot;,&quot;parse-names&quot;:false,&quot;dropping-particle&quot;:&quot;&quot;,&quot;non-dropping-particle&quot;:&quot;&quot;}],&quot;DOI&quot;:&quot;10.24018/ejclinicmed.2021.2.6.154&quot;,&quot;ISSN&quot;:&quot;2736-5476&quot;,&quot;URL&quot;:&quot;www.ej-clinicmed.orgDOI:http://dx.doi.org/10.24018/www.ej-clinicmed.orgDOI:http://dx.doi.org/10.24018/&quot;,&quot;issued&quot;:{&quot;date-parts&quot;:[[2021]]},&quot;page&quot;:&quot;14&quot;,&quot;abstract&quot;:&quot;Backgorund: Hypothermia in babies may increase mortality, directly or indirectly, by potentiating the effect of the other morbidities. Guidelines published by The World health organization (WHO) on newborn health (2015) may be inadequate to address the issue in a low-resource setting. To be relevant in such a context, they should be user-friendly for the trainers of health workers (HW) who may be responsible for interpreting the recommendations and training the HW. Text: According to earlier guidelines (2013), 'No randomized or quasi-randomized trial that evaluated the impact of keeping infants warm after discharge (hospital births) or after 24 hours (home births) was identified'. However, kangaroo mother care (KMC), a strong recommendation with moderate-quality evidence, and thermal protection are inseparable, as the most crucial component of KMC is skin-to-skin contact, which keeps a baby warm. A HW may be surprised when the guidelines or the basis change and, the move comes at a time when the earlier guidelines (1993) are just finding roots in patient care practices. Current guidelines are based on the Grading of Recommendations Assessment, Development, and Evaluation (GRADE) methodology, where randomized trials assume more importance. The guidelines recommend the following methods to keep infants warm after birth: KMC (strong recommendation, moderate-quality evidence), intermittent KMC (strong recommendation, moderate-quality evidence), and radiant warmers or incubators (strong recommendation, very low-quality evidence). The divergence between the evidence and the recommendations may be difficult for the HW to comprehend. Conclusions: The guidelines for postnatal care need to be revisited and revised so that clear and feasible options for keeping infants warm in low-resource settings are offered. Besides KMC, warm rooms, heated mattresses, plastic wraps and Styrofoam boxes may be suggested. What is already known about this subject? • In the absence of a randomized or quasi-randomized trial that evaluated the impact of keeping infants warm, there are fewer options in a low-resource setting. • They include Kangaroo mother care and incubators/radiant warmers. What does this study add? • Options that may not have been supported by randomized trials but have consistent results may be suggested. • They include warm rooms, heated mattresses, plastic wraps and Styrofoam boxes. • In future revisions, the level of evidence should be paired with the recommendations. How might this impact on clinical practice or future developments? The health worker may choose the most feasible option at home or at a facility. Keywords: GRADE methodology, hypothermia in a newborn, keeping babies warm, WHO guidelines on newborn care.&quot;,&quot;volume&quot;:&quot;154&quot;,&quot;container-title-short&quot;:&quot;&quot;},&quot;isTemporary&quot;:false}]},{&quot;citationID&quot;:&quot;MENDELEY_CITATION_9fa1d799-cfb3-4f73-8e3a-4771b2d0429f&quot;,&quot;properties&quot;:{&quot;noteIndex&quot;:0},&quot;isEdited&quot;:false,&quot;manualOverride&quot;:{&quot;isManuallyOverridden&quot;:false,&quot;citeprocText&quot;:&quot;(56)&quot;,&quot;manualOverrideText&quot;:&quot;&quot;},&quot;citationTag&quot;:&quot;MENDELEY_CITATION_v3_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&quot;,&quot;citationItems&quot;:[{&quot;id&quot;:&quot;23186423-51ce-36b7-a32e-0f7de45acc00&quot;,&quot;itemData&quot;:{&quot;type&quot;:&quot;article-journal&quot;,&quot;id&quot;:&quot;23186423-51ce-36b7-a32e-0f7de45acc00&quot;,&quot;title&quot;:&quot;Thermal Protection of Newborns: The World Health Organization Guidelines Need to Include Clear and Feasible Options for Low-Resource Settings&quot;,&quot;author&quot;:[{&quot;family&quot;:&quot;Daga&quot;,&quot;given&quot;:&quot;Subhashchandra&quot;,&quot;parse-names&quot;:false,&quot;dropping-particle&quot;:&quot;&quot;,&quot;non-dropping-particle&quot;:&quot;&quot;},{&quot;family&quot;:&quot;Daga&quot;,&quot;given&quot;:&quot;S&quot;,&quot;parse-names&quot;:false,&quot;dropping-particle&quot;:&quot;&quot;,&quot;non-dropping-particle&quot;:&quot;&quot;}],&quot;DOI&quot;:&quot;10.24018/ejclinicmed.2021.2.6.154&quot;,&quot;ISSN&quot;:&quot;2736-5476&quot;,&quot;URL&quot;:&quot;www.ej-clinicmed.orgDOI:http://dx.doi.org/10.24018/www.ej-clinicmed.orgDOI:http://dx.doi.org/10.24018/&quot;,&quot;issued&quot;:{&quot;date-parts&quot;:[[2021]]},&quot;page&quot;:&quot;14&quot;,&quot;abstract&quot;:&quot;Backgorund: Hypothermia in babies may increase mortality, directly or indirectly, by potentiating the effect of the other morbidities. Guidelines published by The World health organization (WHO) on newborn health (2015) may be inadequate to address the issue in a low-resource setting. To be relevant in such a context, they should be user-friendly for the trainers of health workers (HW) who may be responsible for interpreting the recommendations and training the HW. Text: According to earlier guidelines (2013), 'No randomized or quasi-randomized trial that evaluated the impact of keeping infants warm after discharge (hospital births) or after 24 hours (home births) was identified'. However, kangaroo mother care (KMC), a strong recommendation with moderate-quality evidence, and thermal protection are inseparable, as the most crucial component of KMC is skin-to-skin contact, which keeps a baby warm. A HW may be surprised when the guidelines or the basis change and, the move comes at a time when the earlier guidelines (1993) are just finding roots in patient care practices. Current guidelines are based on the Grading of Recommendations Assessment, Development, and Evaluation (GRADE) methodology, where randomized trials assume more importance. The guidelines recommend the following methods to keep infants warm after birth: KMC (strong recommendation, moderate-quality evidence), intermittent KMC (strong recommendation, moderate-quality evidence), and radiant warmers or incubators (strong recommendation, very low-quality evidence). The divergence between the evidence and the recommendations may be difficult for the HW to comprehend. Conclusions: The guidelines for postnatal care need to be revisited and revised so that clear and feasible options for keeping infants warm in low-resource settings are offered. Besides KMC, warm rooms, heated mattresses, plastic wraps and Styrofoam boxes may be suggested. What is already known about this subject? • In the absence of a randomized or quasi-randomized trial that evaluated the impact of keeping infants warm, there are fewer options in a low-resource setting. • They include Kangaroo mother care and incubators/radiant warmers. What does this study add? • Options that may not have been supported by randomized trials but have consistent results may be suggested. • They include warm rooms, heated mattresses, plastic wraps and Styrofoam boxes. • In future revisions, the level of evidence should be paired with the recommendations. How might this impact on clinical practice or future developments? The health worker may choose the most feasible option at home or at a facility. Keywords: GRADE methodology, hypothermia in a newborn, keeping babies warm, WHO guidelines on newborn care.&quot;,&quot;volume&quot;:&quot;154&quot;,&quot;container-title-short&quot;:&quot;&quot;},&quot;isTemporary&quot;:false}]},{&quot;citationID&quot;:&quot;MENDELEY_CITATION_9cc439bf-9fd9-4f3d-a199-2e9736ddcce0&quot;,&quot;properties&quot;:{&quot;noteIndex&quot;:0},&quot;isEdited&quot;:false,&quot;manualOverride&quot;:{&quot;isManuallyOverridden&quot;:false,&quot;citeprocText&quot;:&quot;(57)&quot;,&quot;manualOverrideText&quot;:&quot;&quot;},&quot;citationTag&quot;:&quot;MENDELEY_CITATION_v3_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&quot;,&quot;citationItems&quot;:[{&quot;id&quot;:&quot;503a2a39-6569-30ee-bc35-d08b3cc46a3f&quot;,&quot;itemData&quot;:{&quot;type&quot;:&quot;book&quot;,&quot;id&quot;:&quot;503a2a39-6569-30ee-bc35-d08b3cc46a3f&quot;,&quot;title&quot;:&quot;Report of a Scoping Meeting for the Selection of Indicators to Monitor the Impact of Extreme Heat on Maternal, Newborn and Child Health, Geneva, Switzerland, 24-25 April 2023&quot;,&quot;ISBN&quot;:&quot;9789240079830&quot;,&quot;issued&quot;:{&quot;date-parts&quot;:[[2024]]},&quot;abstract&quot;:&quot;Description based upon print version of record. Intro -- _Hlk132219931 -- _Hlk132357341 -- _Hlk134164261 -- sujet -- Acknowledgements v.&quot;,&quot;publisher&quot;:&quot;World Health Organization&quot;,&quot;container-title-short&quot;:&quot;&quot;},&quot;isTemporary&quot;:false}]},{&quot;citationID&quot;:&quot;MENDELEY_CITATION_5c4bde7d-3960-44dd-bfab-279d07e72aae&quot;,&quot;properties&quot;:{&quot;noteIndex&quot;:0},&quot;isEdited&quot;:false,&quot;manualOverride&quot;:{&quot;isManuallyOverridden&quot;:false,&quot;citeprocText&quot;:&quot;(7)&quot;,&quot;manualOverrideText&quot;:&quot;&quot;},&quot;citationTag&quot;:&quot;MENDELEY_CITATION_v3_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&quot;,&quot;citationItems&quot;:[{&quot;id&quot;:&quot;d89df8be-e941-3d4d-891c-c5130bde753c&quot;,&quot;itemData&quot;:{&quot;type&quot;:&quot;article-journal&quot;,&quot;id&quot;:&quot;d89df8be-e941-3d4d-891c-c5130bde753c&quot;,&quot;title&quot;:&quot;Impacts of heat exposure in utero on long-term health and social outcomes: a systematic review&quot;,&quot;author&quot;:[{&quot;family&quot;:&quot;Brink&quot;,&quot;given&quot;:&quot;Nicholas&quot;,&quot;parse-names&quot;:false,&quot;dropping-particle&quot;:&quot;&quot;,&quot;non-dropping-particle&quot;:&quot;&quot;},{&quot;family&quot;:&quot;Lakhoo&quot;,&quot;given&quot;:&quot;Darshnika P.&quot;,&quot;parse-names&quot;:false,&quot;dropping-particle&quot;:&quot;&quot;,&quot;non-dropping-particle&quot;:&quot;&quot;},{&quot;family&quot;:&quot;Solarin&quot;,&quot;given&quot;:&quot;Ijeoma&quot;,&quot;parse-names&quot;:false,&quot;dropping-particle&quot;:&quot;&quot;,&quot;non-dropping-particle&quot;:&quot;&quot;},{&quot;family&quot;:&quot;Maimela&quot;,&quot;given&quot;:&quot;Gloria&quot;,&quot;parse-names&quot;:false,&quot;dropping-particle&quot;:&quot;&quot;,&quot;non-dropping-particle&quot;:&quot;&quot;},{&quot;family&quot;:&quot;Dadelszen&quot;,&quot;given&quot;:&quot;Peter&quot;,&quot;parse-names&quot;:false,&quot;dropping-particle&quot;:&quot;&quot;,&quot;non-dropping-particle&quot;:&quot;von&quot;},{&quot;family&quot;:&quot;Norris&quot;,&quot;given&quot;:&quot;Shane&quot;,&quot;parse-names&quot;:false,&quot;dropping-particle&quot;:&quot;&quot;,&quot;non-dropping-particle&quot;:&quot;&quot;},{&quot;family&quot;:&quot;Chersich&quot;,&quot;given&quot;:&quot;Matthew F.&quot;,&quot;parse-names&quot;:false,&quot;dropping-particle&quot;:&quot;&quot;,&quot;non-dropping-particle&quot;:&quot;&quot;}],&quot;container-title&quot;:&quot;BMC Pregnancy and Childbirth&quot;,&quot;container-title-short&quot;:&quot;BMC Pregnancy Childbirth&quot;,&quot;DOI&quot;:&quot;10.1186/s12884-024-06512-0&quot;,&quot;ISSN&quot;:&quot;14712393&quot;,&quot;PMID&quot;:&quot;38704541&quot;,&quot;issued&quot;:{&quot;date-parts&quot;:[[2024,12,1]]},&quot;abstract&quot;:&quot;Background: Climate change, particularly global warming, is amongst the greatest threats to human health. While short-term effects of heat exposure in pregnancy, such as preterm birth, are well documented, long-term effects have received less attention. This review aims to systematically assess evidence on the long-term impacts on the foetus of heat exposure in utero. Methods: A search was conducted in August 2019 and updated in April 2023 in MEDLINE(PubMed). We included studies on the relationship of environmental heat exposure during pregnancy and any long-term outcomes. Risk of bias was assessed using tools developed by the Joanna-Briggs Institute, and the evidence was appraised using the GRADE approach. Synthesis without Meta-Analysis (SWiM) guidelines were used. Results: Eighteen thousand six hundred twenty one records were screened, with 29 studies included across six outcome groups. Studies were mostly conducted in high-income countries (n = 16/25), in cooler climates. All studies were observational, with 17 cohort, 5 case-control and 8 cross-sectional studies. The timeline of the data is from 1913 to 2019, and individuals ranged in age from neonates to adults, and the elderly. Increasing heat exposure during pregnancy was associated with decreased earnings and lower educational attainment (n = 4/6), as well as worsened cardiovascular (n = 3/6), respiratory (n = 3/3), psychiatric (n = 7/12) and anthropometric (n = 2/2) outcomes, possibly culminating in increased overall mortality (n = 2/3). The effect on female infants was greater than on males in 8 of 9 studies differentiating by sex. The quality of evidence was low in respiratory and longevity outcome groups to very low in all others. Conclusions: Increasing heat exposure was associated with a multitude of detrimental outcomes across diverse body systems. The biological pathways involved are yet to be elucidated, but could include epigenetic and developmental perturbations, through interactions with the placenta and inflammation. This highlights the need for further research into the long-term effects of heat exposure, biological pathways, and possible adaptation strategies in studies, particularly in neglected regions. Heat exposure in-utero has the potential to compound existing health and social inequalities. Poor study design of the included studies constrains the conclusions of this review, with heterogenous exposure measures and outcomes rendering comparisons across contexts/studies difficult. Trial Registration: PROSPERO CRD 42019140136.&quot;,&quot;publisher&quot;:&quot;BioMed Central Ltd&quot;,&quot;issue&quot;:&quot;1&quot;,&quot;volume&quot;:&quot;24&quot;},&quot;isTemporary&quot;:false}]},{&quot;citationID&quot;:&quot;MENDELEY_CITATION_07e3d689-76dc-4daf-9dca-7de092ac9619&quot;,&quot;properties&quot;:{&quot;noteIndex&quot;:0},&quot;isEdited&quot;:false,&quot;manualOverride&quot;:{&quot;isManuallyOverridden&quot;:false,&quot;citeprocText&quot;:&quot;(58)&quot;,&quot;manualOverrideText&quot;:&quot;&quot;},&quot;citationTag&quot;:&quot;MENDELEY_CITATION_v3_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&quot;,&quot;citationItems&quot;:[{&quot;id&quot;:&quot;abeedeb9-c3eb-3037-8672-20535a962444&quot;,&quot;itemData&quot;:{&quot;type&quot;:&quot;article&quot;,&quot;id&quot;:&quot;abeedeb9-c3eb-3037-8672-20535a962444&quot;,&quot;title&quot;:&quot;Heat loss responses at rest and during exercise in pregnancy: A scoping review.&quot;,&quot;author&quot;:[{&quot;family&quot;:&quot;Dervis&quot;,&quot;given&quot;:&quot;Sheila&quot;,&quot;parse-names&quot;:false,&quot;dropping-particle&quot;:&quot;&quot;,&quot;non-dropping-particle&quot;:&quot;&quot;},{&quot;family&quot;:&quot;Dobson&quot;,&quot;given&quot;:&quot;Kayla Lerher&quot;,&quot;parse-names&quot;:false,&quot;dropping-particle&quot;:&quot;&quot;,&quot;non-dropping-particle&quot;:&quot;&quot;},{&quot;family&quot;:&quot;Nagpal&quot;,&quot;given&quot;:&quot;Taniya Singh&quot;,&quot;parse-names&quot;:false,&quot;dropping-particle&quot;:&quot;&quot;,&quot;non-dropping-particle&quot;:&quot;&quot;},{&quot;family&quot;:&quot;Geurts&quot;,&quot;given&quot;:&quot;Carla&quot;,&quot;parse-names&quot;:false,&quot;dropping-particle&quot;:&quot;&quot;,&quot;non-dropping-particle&quot;:&quot;&quot;},{&quot;family&quot;:&quot;Haman&quot;,&quot;given&quot;:&quot;François&quot;,&quot;parse-names&quot;:false,&quot;dropping-particle&quot;:&quot;&quot;,&quot;non-dropping-particle&quot;:&quot;&quot;},{&quot;family&quot;:&quot;Adamo&quot;,&quot;given&quot;:&quot;Kristi Bree&quot;,&quot;parse-names&quot;:false,&quot;dropping-particle&quot;:&quot;&quot;,&quot;non-dropping-particle&quot;:&quot;&quot;}],&quot;container-title&quot;:&quot;Journal of Thermal Biology&quot;,&quot;container-title-short&quot;:&quot;J Therm Biol&quot;,&quot;DOI&quot;:&quot;10.1016/j.jtherbio.2021.103011&quot;,&quot;ISSN&quot;:&quot;18790992&quot;,&quot;PMID&quot;:&quot;34420641&quot;,&quot;issued&quot;:{&quot;date-parts&quot;:[[2021,7,1]]},&quot;abstract&quot;:&quot;Background: The teratogenic risk associated with maternal hyperthermia (i.e., core temperature ≥39.0 °C) has been a crucial motive in understanding thermoregulatory responses in pregnancy. To date, a substantial number of studies have focused on core temperature responses in a wide range of exercise intensities, duration, and ambient temperatures. Fortunately, none have reported core temperatures exceeding 39.0 °C. Nonetheless, there are limited studies that have provided substantial insight into both dry and evaporative heat loss mechanisms involved in facilitating the maintenance of core temperature (≥39.0 °C) during heat stress in pregnant women. The purpose of this scoping review was to summarize the available literature that has assessed heat loss responses in studies of human pregnancy. Methods: A search strategy was developed combining the terms pregnancy, thermoregulation, and adaptation. A systematic search was performed in the following databases: PubMed, Embase, Scopus, and ProQuest. Studies eligible for inclusion included pregnant women between the ages of 18–40 years old, and at least one measurement of the following: sweating, blood flow, skin temperature, and behavioural responses. Retrieved data were categorized as evaporative (sweating), dry or behavioural heat loss responses and summarized narratively. Results: Thirty-three studies were included in this review (twenty-nine measured physiological responses and four measured behavioural responses). Studies suggest that during exercise, evaporative (sweating) and dry (skin blood flow and temperature) heat loss responses increase from early to late pregnancy in addition to greater cardiac output, blood volume and reduced vascular resistance. Behavioural practices related to heat loss responses are also influenced by cultural/religious expectations, personal preferences and sociodemographics. Conclusion: The findings from this review suggest that pregnancy modifies evaporative (sweating), dry and behavioural heat loss. However, future studies have an opportunity to compare heat loss measurements accounting for gestational weight gain and thermal sensation/comfort scale to associate physiological responses with perceptual responses across pregnancy.&quot;,&quot;publisher&quot;:&quot;Elsevier Ltd&quot;,&quot;volume&quot;:&quot;99&quot;},&quot;isTemporary&quot;:false}]},{&quot;citationID&quot;:&quot;MENDELEY_CITATION_96aa7139-ead2-4cf9-8834-fba785c40106&quot;,&quot;properties&quot;:{&quot;noteIndex&quot;:0},&quot;isEdited&quot;:false,&quot;manualOverride&quot;:{&quot;isManuallyOverridden&quot;:false,&quot;citeprocText&quot;:&quot;(59)&quot;,&quot;manualOverrideText&quot;:&quot;&quot;},&quot;citationTag&quot;:&quot;MENDELEY_CITATION_v3_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&quot;,&quot;citationItems&quot;:[{&quot;id&quot;:&quot;25bf0a66-4e17-32f3-a716-5311d5cc0b68&quot;,&quot;itemData&quot;:{&quot;type&quot;:&quot;article&quot;,&quot;id&quot;:&quot;25bf0a66-4e17-32f3-a716-5311d5cc0b68&quot;,&quot;title&quot;:&quot;Do women feel colder by nature? A systematic literature review and meta-analysis of sex differences in physiological and subjective thermal responses&quot;,&quot;author&quot;:[{&quot;family&quot;:&quot;Vellei&quot;,&quot;given&quot;:&quot;Marika&quot;,&quot;parse-names&quot;:false,&quot;dropping-particle&quot;:&quot;&quot;,&quot;non-dropping-particle&quot;:&quot;&quot;},{&quot;family&quot;:&quot;Pallubinsky&quot;,&quot;given&quot;:&quot;Hannah&quot;,&quot;parse-names&quot;:false,&quot;dropping-particle&quot;:&quot;&quot;,&quot;non-dropping-particle&quot;:&quot;&quot;},{&quot;family&quot;:&quot;Khovalyg&quot;,&quot;given&quot;:&quot;Dolaana&quot;,&quot;parse-names&quot;:false,&quot;dropping-particle&quot;:&quot;&quot;,&quot;non-dropping-particle&quot;:&quot;&quot;},{&quot;family&quot;:&quot;Carter&quot;,&quot;given&quot;:&quot;Sarah&quot;,&quot;parse-names&quot;:false,&quot;dropping-particle&quot;:&quot;&quot;,&quot;non-dropping-particle&quot;:&quot;&quot;},{&quot;family&quot;:&quot;Chinazzo&quot;,&quot;given&quot;:&quot;Giorgia&quot;,&quot;parse-names&quot;:false,&quot;dropping-particle&quot;:&quot;&quot;,&quot;non-dropping-particle&quot;:&quot;&quot;}],&quot;container-title&quot;:&quot;Building and Environment&quot;,&quot;container-title-short&quot;:&quot;Build Environ&quot;,&quot;DOI&quot;:&quot;10.1016/j.buildenv.2025.112936&quot;,&quot;ISSN&quot;:&quot;03601323&quot;,&quot;issued&quot;:{&quot;date-parts&quot;:[[2025,6,1]]},&quot;abstract&quot;:&quot;How individuals perceive and evaluate their thermal environment is a key driver of thermoregulatory behaviour, which not only helps maintain personal comfort but also directly impacts building energy consumption - a sector responsible for approximately 30 % of global carbon dioxide emissions. Historically, human thermal assessment investigations have focused on men, resulting in thermal comfort models and regulations primarily based on male thermal responses. Yet, women often report feeling colder and more uncomfortable indoors, which diminishes their quality of life and promotes behaviours that lead to less energy-efficient building operations. Here, we conduct the first systematic literature review and meta-analysis to better understand sex differences in physiological and subjective thermal responses. Our findings indicate that women experience significantly colder sensations and lower skin temperatures than men in cold environments, but also that female thermal responses fluctuate over time due to menstruation, pregnancy, and menopause. However, the available data on these effects remains limited. Further research into individual differences is crucial to promote comfortable, energy-efficient and equitable spaces that can accommodate diverse thermal needs.&quot;,&quot;publisher&quot;:&quot;Elsevier Ltd&quot;,&quot;volume&quot;:&quot;277&quot;},&quot;isTemporary&quot;:false}]},{&quot;citationID&quot;:&quot;MENDELEY_CITATION_be3d290f-1a48-407d-b9eb-ad6d791e440e&quot;,&quot;properties&quot;:{&quot;noteIndex&quot;:0},&quot;isEdited&quot;:false,&quot;manualOverride&quot;:{&quot;isManuallyOverridden&quot;:false,&quot;citeprocText&quot;:&quot;(59,60)&quot;,&quot;manualOverrideText&quot;:&quot;&quot;},&quot;citationTag&quot;:&quot;MENDELEY_CITATION_v3_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&quot;,&quot;citationItems&quot;:[{&quot;id&quot;:&quot;25bf0a66-4e17-32f3-a716-5311d5cc0b68&quot;,&quot;itemData&quot;:{&quot;type&quot;:&quot;article&quot;,&quot;id&quot;:&quot;25bf0a66-4e17-32f3-a716-5311d5cc0b68&quot;,&quot;title&quot;:&quot;Do women feel colder by nature? A systematic literature review and meta-analysis of sex differences in physiological and subjective thermal responses&quot;,&quot;author&quot;:[{&quot;family&quot;:&quot;Vellei&quot;,&quot;given&quot;:&quot;Marika&quot;,&quot;parse-names&quot;:false,&quot;dropping-particle&quot;:&quot;&quot;,&quot;non-dropping-particle&quot;:&quot;&quot;},{&quot;family&quot;:&quot;Pallubinsky&quot;,&quot;given&quot;:&quot;Hannah&quot;,&quot;parse-names&quot;:false,&quot;dropping-particle&quot;:&quot;&quot;,&quot;non-dropping-particle&quot;:&quot;&quot;},{&quot;family&quot;:&quot;Khovalyg&quot;,&quot;given&quot;:&quot;Dolaana&quot;,&quot;parse-names&quot;:false,&quot;dropping-particle&quot;:&quot;&quot;,&quot;non-dropping-particle&quot;:&quot;&quot;},{&quot;family&quot;:&quot;Carter&quot;,&quot;given&quot;:&quot;Sarah&quot;,&quot;parse-names&quot;:false,&quot;dropping-particle&quot;:&quot;&quot;,&quot;non-dropping-particle&quot;:&quot;&quot;},{&quot;family&quot;:&quot;Chinazzo&quot;,&quot;given&quot;:&quot;Giorgia&quot;,&quot;parse-names&quot;:false,&quot;dropping-particle&quot;:&quot;&quot;,&quot;non-dropping-particle&quot;:&quot;&quot;}],&quot;container-title&quot;:&quot;Building and Environment&quot;,&quot;container-title-short&quot;:&quot;Build Environ&quot;,&quot;DOI&quot;:&quot;10.1016/j.buildenv.2025.112936&quot;,&quot;ISSN&quot;:&quot;03601323&quot;,&quot;issued&quot;:{&quot;date-parts&quot;:[[2025,6,1]]},&quot;abstract&quot;:&quot;How individuals perceive and evaluate their thermal environment is a key driver of thermoregulatory behaviour, which not only helps maintain personal comfort but also directly impacts building energy consumption - a sector responsible for approximately 30 % of global carbon dioxide emissions. Historically, human thermal assessment investigations have focused on men, resulting in thermal comfort models and regulations primarily based on male thermal responses. Yet, women often report feeling colder and more uncomfortable indoors, which diminishes their quality of life and promotes behaviours that lead to less energy-efficient building operations. Here, we conduct the first systematic literature review and meta-analysis to better understand sex differences in physiological and subjective thermal responses. Our findings indicate that women experience significantly colder sensations and lower skin temperatures than men in cold environments, but also that female thermal responses fluctuate over time due to menstruation, pregnancy, and menopause. However, the available data on these effects remains limited. Further research into individual differences is crucial to promote comfortable, energy-efficient and equitable spaces that can accommodate diverse thermal needs.&quot;,&quot;publisher&quot;:&quot;Elsevier Ltd&quot;,&quot;volume&quot;:&quot;277&quot;},&quot;isTemporary&quot;:false},{&quot;id&quot;:&quot;41cf6e34-204c-33b3-a689-4a2c276a1894&quot;,&quot;itemData&quot;:{&quot;type&quot;:&quot;report&quot;,&quot;id&quot;:&quot;41cf6e34-204c-33b3-a689-4a2c276a1894&quot;,&quot;title&quot;:&quot;Is the heat dissipating ability enhanced during pregnancy?&quot;,&quot;author&quot;:[{&quot;family&quot;:&quot;Viii-Eskeli&quot;,&quot;given&quot;:&quot;Kalevi&quot;,&quot;parse-names&quot;:false,&quot;dropping-particle&quot;:&quot;&quot;,&quot;non-dropping-particle&quot;:&quot;&quot;},{&quot;family&quot;:&quot;Erkkola&quot;,&quot;given&quot;:&quot;Risto&quot;,&quot;parse-names&quot;:false,&quot;dropping-particle&quot;:&quot;&quot;,&quot;non-dropping-particle&quot;:&quot;&quot;},{&quot;family&quot;:&quot;Seppiinen&quot;,&quot;given&quot;:&quot;Asko&quot;,&quot;parse-names&quot;:false,&quot;dropping-particle&quot;:&quot;&quot;,&quot;non-dropping-particle&quot;:&quot;&quot;}],&quot;container-title&quot;:&quot;European Journal of Obstetrics &amp; Gynecology and Reproductive Biology&quot;,&quot;issued&quot;:{&quot;date-parts&quot;:[[1991]]},&quot;number-of-pages&quot;:&quot;169-174&quot;,&quot;abstract&quot;:&quot;The effect of short-term heat stress on rectal and skin temperatures was measured in three groups: group I consisted of 15 non-pregnant, healthy women; group II of 23 women 13-14 weeks pregnant; and group III of 23 women 36-37 weeks pregnant. Rectal and skin temperatures were recorded every 5 min during a resting period (20 min, 21-23'C) followed by thermal stress (20 min, 70°C) and a recovery period (45 min, 21-23OC). The rectal temperature decreased significantly in each group at the beginning of the stress. Thu total increase from pre-stress levels to the end of the heat stress was from 37.1 to 37.5 ' C in group I, 37.2 to 37.6O C in group II and 37.0 to 37.3\&quot; C in group III (P &lt; 0.05). During the recovery period, the rectal temperature was significantly lower in the late-pregnancy group as compared to non-pregnant subjects. The skin temperature increased from the resting period to the end of the stress from 34.0 to 39.1' C in group I, from 33.7 to 39.3' C in group II and from 33.5 to 39.0' C in group III (P &lt; 0.001). During the recovery period, the skin temperature declined significantly faster, and to lower levels in the late-pregnancy group as compared to both other groups. We conclude that the heat-dissipating ability is slightly enhanced during late pregnancy.&quot;,&quot;volume&quot;:&quot;39&quot;,&quot;container-title-short&quot;:&quot;&quot;},&quot;isTemporary&quot;:false}]},{&quot;citationID&quot;:&quot;MENDELEY_CITATION_f2658384-0b05-497a-8f3f-14f1d688283d&quot;,&quot;properties&quot;:{&quot;noteIndex&quot;:0},&quot;isEdited&quot;:false,&quot;manualOverride&quot;:{&quot;isManuallyOverridden&quot;:false,&quot;citeprocText&quot;:&quot;(58,59,61)&quot;,&quot;manualOverrideText&quot;:&quot;&quot;},&quot;citationTag&quot;:&quot;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&quot;,&quot;citationItems&quot;:[{&quot;id&quot;:&quot;25bf0a66-4e17-32f3-a716-5311d5cc0b68&quot;,&quot;itemData&quot;:{&quot;type&quot;:&quot;article&quot;,&quot;id&quot;:&quot;25bf0a66-4e17-32f3-a716-5311d5cc0b68&quot;,&quot;title&quot;:&quot;Do women feel colder by nature? A systematic literature review and meta-analysis of sex differences in physiological and subjective thermal responses&quot;,&quot;author&quot;:[{&quot;family&quot;:&quot;Vellei&quot;,&quot;given&quot;:&quot;Marika&quot;,&quot;parse-names&quot;:false,&quot;dropping-particle&quot;:&quot;&quot;,&quot;non-dropping-particle&quot;:&quot;&quot;},{&quot;family&quot;:&quot;Pallubinsky&quot;,&quot;given&quot;:&quot;Hannah&quot;,&quot;parse-names&quot;:false,&quot;dropping-particle&quot;:&quot;&quot;,&quot;non-dropping-particle&quot;:&quot;&quot;},{&quot;family&quot;:&quot;Khovalyg&quot;,&quot;given&quot;:&quot;Dolaana&quot;,&quot;parse-names&quot;:false,&quot;dropping-particle&quot;:&quot;&quot;,&quot;non-dropping-particle&quot;:&quot;&quot;},{&quot;family&quot;:&quot;Carter&quot;,&quot;given&quot;:&quot;Sarah&quot;,&quot;parse-names&quot;:false,&quot;dropping-particle&quot;:&quot;&quot;,&quot;non-dropping-particle&quot;:&quot;&quot;},{&quot;family&quot;:&quot;Chinazzo&quot;,&quot;given&quot;:&quot;Giorgia&quot;,&quot;parse-names&quot;:false,&quot;dropping-particle&quot;:&quot;&quot;,&quot;non-dropping-particle&quot;:&quot;&quot;}],&quot;container-title&quot;:&quot;Building and Environment&quot;,&quot;container-title-short&quot;:&quot;Build Environ&quot;,&quot;DOI&quot;:&quot;10.1016/j.buildenv.2025.112936&quot;,&quot;ISSN&quot;:&quot;03601323&quot;,&quot;issued&quot;:{&quot;date-parts&quot;:[[2025,6,1]]},&quot;abstract&quot;:&quot;How individuals perceive and evaluate their thermal environment is a key driver of thermoregulatory behaviour, which not only helps maintain personal comfort but also directly impacts building energy consumption - a sector responsible for approximately 30 % of global carbon dioxide emissions. Historically, human thermal assessment investigations have focused on men, resulting in thermal comfort models and regulations primarily based on male thermal responses. Yet, women often report feeling colder and more uncomfortable indoors, which diminishes their quality of life and promotes behaviours that lead to less energy-efficient building operations. Here, we conduct the first systematic literature review and meta-analysis to better understand sex differences in physiological and subjective thermal responses. Our findings indicate that women experience significantly colder sensations and lower skin temperatures than men in cold environments, but also that female thermal responses fluctuate over time due to menstruation, pregnancy, and menopause. However, the available data on these effects remains limited. Further research into individual differences is crucial to promote comfortable, energy-efficient and equitable spaces that can accommodate diverse thermal needs.&quot;,&quot;publisher&quot;:&quot;Elsevier Ltd&quot;,&quot;volume&quot;:&quot;277&quot;},&quot;isTemporary&quot;:false},{&quot;id&quot;:&quot;abeedeb9-c3eb-3037-8672-20535a962444&quot;,&quot;itemData&quot;:{&quot;type&quot;:&quot;article&quot;,&quot;id&quot;:&quot;abeedeb9-c3eb-3037-8672-20535a962444&quot;,&quot;title&quot;:&quot;Heat loss responses at rest and during exercise in pregnancy: A scoping review.&quot;,&quot;author&quot;:[{&quot;family&quot;:&quot;Dervis&quot;,&quot;given&quot;:&quot;Sheila&quot;,&quot;parse-names&quot;:false,&quot;dropping-particle&quot;:&quot;&quot;,&quot;non-dropping-particle&quot;:&quot;&quot;},{&quot;family&quot;:&quot;Dobson&quot;,&quot;given&quot;:&quot;Kayla Lerher&quot;,&quot;parse-names&quot;:false,&quot;dropping-particle&quot;:&quot;&quot;,&quot;non-dropping-particle&quot;:&quot;&quot;},{&quot;family&quot;:&quot;Nagpal&quot;,&quot;given&quot;:&quot;Taniya Singh&quot;,&quot;parse-names&quot;:false,&quot;dropping-particle&quot;:&quot;&quot;,&quot;non-dropping-particle&quot;:&quot;&quot;},{&quot;family&quot;:&quot;Geurts&quot;,&quot;given&quot;:&quot;Carla&quot;,&quot;parse-names&quot;:false,&quot;dropping-particle&quot;:&quot;&quot;,&quot;non-dropping-particle&quot;:&quot;&quot;},{&quot;family&quot;:&quot;Haman&quot;,&quot;given&quot;:&quot;François&quot;,&quot;parse-names&quot;:false,&quot;dropping-particle&quot;:&quot;&quot;,&quot;non-dropping-particle&quot;:&quot;&quot;},{&quot;family&quot;:&quot;Adamo&quot;,&quot;given&quot;:&quot;Kristi Bree&quot;,&quot;parse-names&quot;:false,&quot;dropping-particle&quot;:&quot;&quot;,&quot;non-dropping-particle&quot;:&quot;&quot;}],&quot;container-title&quot;:&quot;Journal of Thermal Biology&quot;,&quot;container-title-short&quot;:&quot;J Therm Biol&quot;,&quot;DOI&quot;:&quot;10.1016/j.jtherbio.2021.103011&quot;,&quot;ISSN&quot;:&quot;18790992&quot;,&quot;PMID&quot;:&quot;34420641&quot;,&quot;issued&quot;:{&quot;date-parts&quot;:[[2021,7,1]]},&quot;abstract&quot;:&quot;Background: The teratogenic risk associated with maternal hyperthermia (i.e., core temperature ≥39.0 °C) has been a crucial motive in understanding thermoregulatory responses in pregnancy. To date, a substantial number of studies have focused on core temperature responses in a wide range of exercise intensities, duration, and ambient temperatures. Fortunately, none have reported core temperatures exceeding 39.0 °C. Nonetheless, there are limited studies that have provided substantial insight into both dry and evaporative heat loss mechanisms involved in facilitating the maintenance of core temperature (≥39.0 °C) during heat stress in pregnant women. The purpose of this scoping review was to summarize the available literature that has assessed heat loss responses in studies of human pregnancy. Methods: A search strategy was developed combining the terms pregnancy, thermoregulation, and adaptation. A systematic search was performed in the following databases: PubMed, Embase, Scopus, and ProQuest. Studies eligible for inclusion included pregnant women between the ages of 18–40 years old, and at least one measurement of the following: sweating, blood flow, skin temperature, and behavioural responses. Retrieved data were categorized as evaporative (sweating), dry or behavioural heat loss responses and summarized narratively. Results: Thirty-three studies were included in this review (twenty-nine measured physiological responses and four measured behavioural responses). Studies suggest that during exercise, evaporative (sweating) and dry (skin blood flow and temperature) heat loss responses increase from early to late pregnancy in addition to greater cardiac output, blood volume and reduced vascular resistance. Behavioural practices related to heat loss responses are also influenced by cultural/religious expectations, personal preferences and sociodemographics. Conclusion: The findings from this review suggest that pregnancy modifies evaporative (sweating), dry and behavioural heat loss. However, future studies have an opportunity to compare heat loss measurements accounting for gestational weight gain and thermal sensation/comfort scale to associate physiological responses with perceptual responses across pregnancy.&quot;,&quot;publisher&quot;:&quot;Elsevier Ltd&quot;,&quot;volume&quot;:&quot;99&quot;},&quot;isTemporary&quot;:false},{&quot;id&quot;:&quot;7fccaf8a-adaf-3200-9609-c91c7baa1a31&quot;,&quot;itemData&quot;:{&quot;type&quot;:&quot;article-journal&quot;,&quot;id&quot;:&quot;7fccaf8a-adaf-3200-9609-c91c7baa1a31&quot;,&quot;title&quot;:&quot;Endocrine effects of heat exposure and relevance to climate change&quot;,&quot;author&quot;:[{&quot;family&quot;:&quot;Hannan&quot;,&quot;given&quot;:&quot;Fadil M.&quot;,&quot;parse-names&quot;:false,&quot;dropping-particle&quot;:&quot;&quot;,&quot;non-dropping-particle&quot;:&quot;&quot;},{&quot;family&quot;:&quot;Leow&quot;,&quot;given&quot;:&quot;Melvin K.S.&quot;,&quot;parse-names&quot;:false,&quot;dropping-particle&quot;:&quot;&quot;,&quot;non-dropping-particle&quot;:&quot;&quot;},{&quot;family&quot;:&quot;Lee&quot;,&quot;given&quot;:&quot;Jason K.W.&quot;,&quot;parse-names&quot;:false,&quot;dropping-particle&quot;:&quot;&quot;,&quot;non-dropping-particle&quot;:&quot;&quot;},{&quot;family&quot;:&quot;Kovats&quot;,&quot;given&quot;:&quot;Sari&quot;,&quot;parse-names&quot;:false,&quot;dropping-particle&quot;:&quot;&quot;,&quot;non-dropping-particle&quot;:&quot;&quot;},{&quot;family&quot;:&quot;Elajnaf&quot;,&quot;given&quot;:&quot;Taha&quot;,&quot;parse-names&quot;:false,&quot;dropping-particle&quot;:&quot;&quot;,&quot;non-dropping-particle&quot;:&quot;&quot;},{&quot;family&quot;:&quot;Kennedy&quot;,&quot;given&quot;:&quot;Stephen H.&quot;,&quot;parse-names&quot;:false,&quot;dropping-particle&quot;:&quot;&quot;,&quot;non-dropping-particle&quot;:&quot;&quot;},{&quot;family&quot;:&quot;Thakker&quot;,&quot;given&quot;:&quot;Rajesh&quot;,&quot;parse-names&quot;:false,&quot;dropping-particle&quot;:&quot;V.&quot;,&quot;non-dropping-particle&quot;:&quot;&quot;}],&quot;container-title&quot;:&quot;Nature Reviews Endocrinology&quot;,&quot;container-title-short&quot;:&quot;Nat Rev Endocrinol&quot;,&quot;DOI&quot;:&quot;10.1038/s41574-024-01017-4&quot;,&quot;ISSN&quot;:&quot;17595037&quot;,&quot;PMID&quot;:&quot;39080505&quot;,&quot;issued&quot;:{&quot;date-parts&quot;:[[2024,11,1]]},&quot;page&quot;:&quot;673-684&quot;,&quot;abstract&quot;:&quot;Climate change is increasing both seasonal temperatures and the frequency and severity of heat extremes. As the endocrine system facilitates physiological adaptations to temperature changes, diseases with an endocrinological basis have the potential to affect thermoregulation and increase the risk of heat injury. The effect of climate change and associated high temperature exposure on endocrine axis development and function, and on the prevalence and severity of diseases associated with hormone deficiency or excess, is unclear. This Perspective summarizes current knowledge relating to the hormonal effects of heat exposure in species ranging from rodents to humans. We also describe the potential effect of high temperature exposures on patients with endocrine diseases. Finally, we highlight the need for more basic science, clinical and epidemiological research into the effects of heat on endocrine function and health; this research could enable the development of interventions for people most at risk, in the context of rising environmental temperatures.&quot;,&quot;publisher&quot;:&quot;Nature Research&quot;,&quot;issue&quot;:&quot;11&quot;,&quot;volume&quot;:&quot;20&quot;},&quot;isTemporary&quot;:false}]},{&quot;citationID&quot;:&quot;MENDELEY_CITATION_b3dd5c28-6bd2-44af-abb9-54c48242615a&quot;,&quot;properties&quot;:{&quot;noteIndex&quot;:0},&quot;isEdited&quot;:false,&quot;manualOverride&quot;:{&quot;isManuallyOverridden&quot;:false,&quot;citeprocText&quot;:&quot;(62,63)&quot;,&quot;manualOverrideText&quot;:&quot;&quot;},&quot;citationTag&quot;:&quot;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&quot;,&quot;citationItems&quot;:[{&quot;id&quot;:&quot;5f426aac-7a97-395b-a70a-f62650ba444d&quot;,&quot;itemData&quot;:{&quot;type&quot;:&quot;article-journal&quot;,&quot;id&quot;:&quot;5f426aac-7a97-395b-a70a-f62650ba444d&quot;,&quot;title&quot;:&quot;Environmental heat stress on maternal physiology and fetal blood flow in pregnant subsistence farmers in The Gambia, west Africa: an observational cohort study&quot;,&quot;author&quot;:[{&quot;family&quot;:&quot;Bonell&quot;,&quot;given&quot;:&quot;Ana&quot;,&quot;parse-names&quot;:false,&quot;dropping-particle&quot;:&quot;&quot;,&quot;non-dropping-particle&quot;:&quot;&quot;},{&quot;family&quot;:&quot;Sonko&quot;,&quot;given&quot;:&quot;Bakary&quot;,&quot;parse-names&quot;:false,&quot;dropping-particle&quot;:&quot;&quot;,&quot;non-dropping-particle&quot;:&quot;&quot;},{&quot;family&quot;:&quot;Badjie&quot;,&quot;given&quot;:&quot;Jainaba&quot;,&quot;parse-names&quot;:false,&quot;dropping-particle&quot;:&quot;&quot;,&quot;non-dropping-particle&quot;:&quot;&quot;},{&quot;family&quot;:&quot;Samateh&quot;,&quot;given&quot;:&quot;Tida&quot;,&quot;parse-names&quot;:false,&quot;dropping-particle&quot;:&quot;&quot;,&quot;non-dropping-particle&quot;:&quot;&quot;},{&quot;family&quot;:&quot;Saidy&quot;,&quot;given&quot;:&quot;Tida&quot;,&quot;parse-names&quot;:false,&quot;dropping-particle&quot;:&quot;&quot;,&quot;non-dropping-particle&quot;:&quot;&quot;},{&quot;family&quot;:&quot;Sosseh&quot;,&quot;given&quot;:&quot;Fatou&quot;,&quot;parse-names&quot;:false,&quot;dropping-particle&quot;:&quot;&quot;,&quot;non-dropping-particle&quot;:&quot;&quot;},{&quot;family&quot;:&quot;Sallah&quot;,&quot;given&quot;:&quot;Yahya&quot;,&quot;parse-names&quot;:false,&quot;dropping-particle&quot;:&quot;&quot;,&quot;non-dropping-particle&quot;:&quot;&quot;},{&quot;family&quot;:&quot;Bajo&quot;,&quot;given&quot;:&quot;Kebba&quot;,&quot;parse-names&quot;:false,&quot;dropping-particle&quot;:&quot;&quot;,&quot;non-dropping-particle&quot;:&quot;&quot;},{&quot;family&quot;:&quot;Murray&quot;,&quot;given&quot;:&quot;Kris A.&quot;,&quot;parse-names&quot;:false,&quot;dropping-particle&quot;:&quot;&quot;,&quot;non-dropping-particle&quot;:&quot;&quot;},{&quot;family&quot;:&quot;Hirst&quot;,&quot;given&quot;:&quot;Jane&quot;,&quot;parse-names&quot;:false,&quot;dropping-particle&quot;:&quot;&quot;,&quot;non-dropping-particle&quot;:&quot;&quot;},{&quot;family&quot;:&quot;Vicedo-Cabrera&quot;,&quot;given&quot;:&quot;Ana&quot;,&quot;parse-names&quot;:false,&quot;dropping-particle&quot;:&quot;&quot;,&quot;non-dropping-particle&quot;:&quot;&quot;},{&quot;family&quot;:&quot;Prentice&quot;,&quot;given&quot;:&quot;Andrew M.&quot;,&quot;parse-names&quot;:false,&quot;dropping-particle&quot;:&quot;&quot;,&quot;non-dropping-particle&quot;:&quot;&quot;},{&quot;family&quot;:&quot;Maxwell&quot;,&quot;given&quot;:&quot;Neil S.&quot;,&quot;parse-names&quot;:false,&quot;dropping-particle&quot;:&quot;&quot;,&quot;non-dropping-particle&quot;:&quot;&quot;},{&quot;family&quot;:&quot;Haines&quot;,&quot;given&quot;:&quot;Andy&quot;,&quot;parse-names&quot;:false,&quot;dropping-particle&quot;:&quot;&quot;,&quot;non-dropping-particle&quot;:&quot;&quot;}],&quot;container-title&quot;:&quot;The Lancet Planetary Health&quot;,&quot;container-title-short&quot;:&quot;Lancet Planet Health&quot;,&quot;DOI&quot;:&quot;10.1016/S2542-5196(22)00242-X&quot;,&quot;ISSN&quot;:&quot;25425196&quot;,&quot;PMID&quot;:&quot;36495891&quot;,&quot;issued&quot;:{&quot;date-parts&quot;:[[2022,12,1]]},&quot;page&quot;:&quot;e968-e976&quot;,&quot;abstract&quot;:&quot;Background: Anthropogenic climate change has caused extreme temperatures worldwide, with data showing that sub-Saharan Africa is especially vulnerable to these changes. In sub-Saharan Africa, women comprise 50% of the agricultural workforce, often working throughout pregnancy despite heat exposure increasing the risk of adverse birth outcomes. In this study, we aimed to improve understanding of the pathophysiological mechanisms responsible for the adverse health outcomes resulting from environmental heat stress in pregnant subsistence farmers. We also aimed to provide data to establish whether environmental heat stress also has physiological effects on the fetus. Methods: We conducted an observational cohort study in West Kiang, The Gambia, at the field station for the Medical Research Council Unit The Gambia at London School of Hygiene &amp; Tropical Medicine (named the MRC Keneba field station). Pregnant women who were aged 16 years or older and who were at &lt;36 weeks’ gestation of any gravida or parity were invited to participate in the study. Participants were eligible if they were involved in agricultural or related manual daily tasks of living. Participants were ineligible if they refused to provide consent, had multiple pregnancies (eg, if they had twins), were acutely unwell, or were diagnosed with pre-eclampsia or eclampsia. Heat stress was measured by wet bulb globe temperature (WBGT) and by using the universal thermal climate index (UTCI), and maternal heat strain was directly measured by modified physiological strain index calculated from heart rate and skin temperature. Outcome measures of fetal heart rate (FHR) and fetal strain (defined as a FHR &gt;160 beats per min [bpm] or &lt;115 bpm, or increase in umbilical artery resistance index) were measured at rest and during the working period. Multivariable repeated measure models (linear regression for FHR, and logistic regression for fetal strain) were used to evaluate the association of heat stress and heat strain with acute fetal strain. Findings: Between Aug 26, 2019, and March 27, 2020, 92 eligible participants were recruited to the study. Extreme heat exposure was frequent, with average exposures of WBGT of 27·2°C (SD 3·6°C) and UTCI equivalent temperature of 34·0°C (SD 3·7°C). The total effect of UTCI on fetal strain resulted in an odds ratio (OR) of 1·17 (95% CI 1·09–1·29; p&lt;0·0001), with an adjusted direct effect of OR of 1·12 (1·03–1·21; p=0·010) with each 1°C increase in UTCI. The adjusted OR of maternal heat strain on fetal strain was 1·20 (1·01–1·43; p=0·038), using the UTCI model, with each unit increase. Interpretation: Data from our study show that decreasing maternal exposure to heat stress and heat strain is likely to reduce fetal strain, with the potential to reduce adverse birth outcomes. Further work that explores the association between heat stress and pregnancy outcomes in a variety of settings and populations is urgently needed to develop effective interventions. Funding: The Wellcome Trust.&quot;,&quot;publisher&quot;:&quot;Elsevier B.V.&quot;,&quot;issue&quot;:&quot;12&quot;,&quot;volume&quot;:&quot;6&quot;},&quot;isTemporary&quot;:false},{&quot;id&quot;:&quot;d3f2e1c4-1c13-3a09-915c-476b45ee9a02&quot;,&quot;itemData&quot;:{&quot;type&quot;:&quot;article-journal&quot;,&quot;id&quot;:&quot;d3f2e1c4-1c13-3a09-915c-476b45ee9a02&quot;,&quot;title&quot;:&quot;Integrating observational and modelled data to advance the understanding of heat stress effects on pregnant subsistence farmers in the gambia&quot;,&quot;author&quot;:[{&quot;family&quot;:&quot;Bouverat&quot;,&quot;given&quot;:&quot;Carole&quot;,&quot;parse-names&quot;:false,&quot;dropping-particle&quot;:&quot;&quot;,&quot;non-dropping-particle&quot;:&quot;&quot;},{&quot;family&quot;:&quot;Badjie&quot;,&quot;given&quot;:&quot;Jainaba&quot;,&quot;parse-names&quot;:false,&quot;dropping-particle&quot;:&quot;&quot;,&quot;non-dropping-particle&quot;:&quot;&quot;},{&quot;family&quot;:&quot;Samateh&quot;,&quot;given&quot;:&quot;Tida&quot;,&quot;parse-names&quot;:false,&quot;dropping-particle&quot;:&quot;&quot;,&quot;non-dropping-particle&quot;:&quot;&quot;},{&quot;family&quot;:&quot;Saidy&quot;,&quot;given&quot;:&quot;Tida&quot;,&quot;parse-names&quot;:false,&quot;dropping-particle&quot;:&quot;&quot;,&quot;non-dropping-particle&quot;:&quot;&quot;},{&quot;family&quot;:&quot;Murray&quot;,&quot;given&quot;:&quot;Kris A.&quot;,&quot;parse-names&quot;:false,&quot;dropping-particle&quot;:&quot;&quot;,&quot;non-dropping-particle&quot;:&quot;&quot;},{&quot;family&quot;:&quot;Prentice&quot;,&quot;given&quot;:&quot;Andrew M.&quot;,&quot;parse-names&quot;:false,&quot;dropping-particle&quot;:&quot;&quot;,&quot;non-dropping-particle&quot;:&quot;&quot;},{&quot;family&quot;:&quot;Maxwell&quot;,&quot;given&quot;:&quot;Neil&quot;,&quot;parse-names&quot;:false,&quot;dropping-particle&quot;:&quot;&quot;,&quot;non-dropping-particle&quot;:&quot;&quot;},{&quot;family&quot;:&quot;Haines&quot;,&quot;given&quot;:&quot;Andy&quot;,&quot;parse-names&quot;:false,&quot;dropping-particle&quot;:&quot;&quot;,&quot;non-dropping-particle&quot;:&quot;&quot;},{&quot;family&quot;:&quot;Vicedo Cabrera&quot;,&quot;given&quot;:&quot;Ana Maria&quot;,&quot;parse-names&quot;:false,&quot;dropping-particle&quot;:&quot;&quot;,&quot;non-dropping-particle&quot;:&quot;&quot;},{&quot;family&quot;:&quot;Bonell&quot;,&quot;given&quot;:&quot;Ana&quot;,&quot;parse-names&quot;:false,&quot;dropping-particle&quot;:&quot;&quot;,&quot;non-dropping-particle&quot;:&quot;&quot;}],&quot;container-title&quot;:&quot;Scientific Reports&quot;,&quot;container-title-short&quot;:&quot;Sci Rep&quot;,&quot;DOI&quot;:&quot;10.1038/s41598-024-74614-y&quot;,&quot;ISSN&quot;:&quot;20452322&quot;,&quot;PMID&quot;:&quot;39443586&quot;,&quot;issued&quot;:{&quot;date-parts&quot;:[[2024,12,1]]},&quot;abstract&quot;:&quot;Studies on the effect of heat stress on pregnant women are scarce, particularly in highly vulnerable populations. To support the risk assessment of pregnant subsistence farmers in the West Kiang district, The Gambia we conducted a study on the pathophysiological effects of extreme heat stress and assessed the applicability of heat stress indices. From ERA5 climate reanalysis we added location-specific modelled solar radiation to datasets of a previous observational cohort study involving on-site measurements of 92 women working in the heat. Associations between physiological and environmental variables were assessed through Pearson correlation coefficient analysis, mixed effect linear models with random intercepts per participant and confirmatory composite analysis. We found Pearson correlations between r-values of 0 and 0.54, as well as independent effects of environmental variables on skin- and tympanic temperature, but not on heart rate, within a confidence interval of 98%. Pregnant women experienced stronger pathophysiological effects from heat stress in their third rather than in their second trimester. Environmental heat stress significantly altered maternal heat strain, particularly under humid conditions above a 50% relative humidity threshold, demonstrating interactive effects. Based on our results, we recommend including heat stress indices (e.g. UTCI or WBGT) in local heat-health warning systems.&quot;,&quot;publisher&quot;:&quot;Nature Research&quot;,&quot;issue&quot;:&quot;1&quot;,&quot;volume&quot;:&quot;14&quot;},&quot;isTemporary&quot;:false}]},{&quot;citationID&quot;:&quot;MENDELEY_CITATION_3abbbc82-9fa4-47f4-a158-3d329fa62194&quot;,&quot;properties&quot;:{&quot;noteIndex&quot;:0},&quot;isEdited&quot;:false,&quot;manualOverride&quot;:{&quot;isManuallyOverridden&quot;:false,&quot;citeprocText&quot;:&quot;(64)&quot;,&quot;manualOverrideText&quot;:&quot;&quot;},&quot;citationTag&quot;:&quot;MENDELEY_CITATION_v3_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&quot;,&quot;citationItems&quot;:[{&quot;id&quot;:&quot;4216cb38-3121-32c0-938b-354e31e6a761&quot;,&quot;itemData&quot;:{&quot;type&quot;:&quot;article-journal&quot;,&quot;id&quot;:&quot;4216cb38-3121-32c0-938b-354e31e6a761&quot;,&quot;title&quot;:&quot;Thermoregulation During Pregnancy: a Controlled Trial Investigating the Risk of Maternal Hyperthermia During Exercise in the Heat&quot;,&quot;author&quot;:[{&quot;family&quot;:&quot;Smallcombe&quot;,&quot;given&quot;:&quot;James W.&quot;,&quot;parse-names&quot;:false,&quot;dropping-particle&quot;:&quot;&quot;,&quot;non-dropping-particle&quot;:&quot;&quot;},{&quot;family&quot;:&quot;Puhenthirar&quot;,&quot;given&quot;:&quot;Agalyaa&quot;,&quot;parse-names&quot;:false,&quot;dropping-particle&quot;:&quot;&quot;,&quot;non-dropping-particle&quot;:&quot;&quot;},{&quot;family&quot;:&quot;Casasola&quot;,&quot;given&quot;:&quot;William&quot;,&quot;parse-names&quot;:false,&quot;dropping-particle&quot;:&quot;&quot;,&quot;non-dropping-particle&quot;:&quot;&quot;},{&quot;family&quot;:&quot;Inoue&quot;,&quot;given&quot;:&quot;Daniela S.&quot;,&quot;parse-names&quot;:false,&quot;dropping-particle&quot;:&quot;&quot;,&quot;non-dropping-particle&quot;:&quot;&quot;},{&quot;family&quot;:&quot;Chaseling&quot;,&quot;given&quot;:&quot;Georgia K.&quot;,&quot;parse-names&quot;:false,&quot;dropping-particle&quot;:&quot;&quot;,&quot;non-dropping-particle&quot;:&quot;&quot;},{&quot;family&quot;:&quot;Ravanelli&quot;,&quot;given&quot;:&quot;Nicholas&quot;,&quot;parse-names&quot;:false,&quot;dropping-particle&quot;:&quot;&quot;,&quot;non-dropping-particle&quot;:&quot;&quot;},{&quot;family&quot;:&quot;Edwards&quot;,&quot;given&quot;:&quot;Kate M.&quot;,&quot;parse-names&quot;:false,&quot;dropping-particle&quot;:&quot;&quot;,&quot;non-dropping-particle&quot;:&quot;&quot;},{&quot;family&quot;:&quot;Jay&quot;,&quot;given&quot;:&quot;Ollie&quot;,&quot;parse-names&quot;:false,&quot;dropping-particle&quot;:&quot;&quot;,&quot;non-dropping-particle&quot;:&quot;&quot;}],&quot;container-title&quot;:&quot;Sports Medicine&quot;,&quot;DOI&quot;:&quot;10.1007/s40279-021-01504-y&quot;,&quot;ISSN&quot;:&quot;11792035&quot;,&quot;PMID&quot;:&quot;34165763&quot;,&quot;issued&quot;:{&quot;date-parts&quot;:[[2021,12,1]]},&quot;page&quot;:&quot;2655-2664&quot;,&quot;abstract&quot;:&quot;Objectives: Despite the well-established benefits of exercise, pregnant women are discouraged from physical activity in hot/humid conditions to avoid hyperthermia (core temperature (Tcore) ≥ 39.0 °C). Recent epidemiological evidence also demonstrates greater risk of negative birth outcomes following heat exposure during pregnancy, possibly due to thermoregulatory impairments. We aimed to determine (1) the risk of pregnant women exceeding a Tcore of 39.0 °C during moderate-intensity exercise in the heat; and (2) if any thermoregulatory impairments are evident in pregnant (P) versus non-pregnant (NP) women. Methods: Thirty participants (15 pregnant in their second trimester or third trimester) completed two separate exercise-heat exposures in a climate chamber (32 °C, 45%RH). On separate occasions, each participant cycled on a semi-recumbent cycle ergometer for 45 min at a workload representative of a moderate-intensity (1) non-weight-bearing (NON-WB), or (2) weight-bearing (WB) activity. Thermoregulatory responses were monitored throughout. Results: The highest rectal temperature observed in a pregnant individual was 37.93 °C. Mean end-exercise rectal temperature did not differ between groups (P:37.53 ± 0.22 °C, NP:37.52 ± 0.34 °C, P = 0.954) in the WB trial, but was lower in the P group (P:37.48 ± 0.25 °C, vs NP:37.73 ± 0.38 °C, P = 0.041) in the NON-WB trial. Whole-body sweat loss was unaltered by pregnancy during WB (P:266 ± 62 g, NP:264 ± 77 g; P = 0.953) and NON-WB P:265 ± 51 g, NP:300 ± 75 g; P = 0.145) exercise. Pregnant participants reported higher ratings of thermal sensation (felt hotter) than their non-pregnant counterparts in the WB trial (P = 0.002) but not in the NON-WB trial, (P = 0.079). Conclusion: Pregnant women can perform 45 min of moderate-intensity exercise at 32 °C, 45%RH with very low apparent risk of excessive maternal hyperthermia. No thermoregulatory impairments with pregnancy were observed.&quot;,&quot;publisher&quot;:&quot;Springer Science and Business Media Deutschland GmbH&quot;,&quot;issue&quot;:&quot;12&quot;,&quot;volume&quot;:&quot;51&quot;,&quot;container-title-short&quot;:&quot;&quot;},&quot;isTemporary&quot;:false}]},{&quot;citationID&quot;:&quot;MENDELEY_CITATION_5f737f37-d520-49c4-a996-84dc94292b2c&quot;,&quot;properties&quot;:{&quot;noteIndex&quot;:0},&quot;isEdited&quot;:false,&quot;manualOverride&quot;:{&quot;isManuallyOverridden&quot;:false,&quot;citeprocText&quot;:&quot;(65)&quot;,&quot;manualOverrideText&quot;:&quot;&quot;},&quot;citationTag&quot;:&quot;MENDELEY_CITATION_v3_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&quot;,&quot;citationItems&quot;:[{&quot;id&quot;:&quot;0984dec1-5053-3df1-ad9c-1b192f6c2c90&quot;,&quot;itemData&quot;:{&quot;type&quot;:&quot;article-journal&quot;,&quot;id&quot;:&quot;0984dec1-5053-3df1-ad9c-1b192f6c2c90&quot;,&quot;title&quot;:&quot;Climate change, women’s health, and the role of obstetricians and gynecologists in leadership&quot;,&quot;author&quot;:[{&quot;family&quot;:&quot;Giudice&quot;,&quot;given&quot;:&quot;Linda C.&quot;,&quot;parse-names&quot;:false,&quot;dropping-particle&quot;:&quot;&quot;,&quot;non-dropping-particle&quot;:&quot;&quot;},{&quot;family&quot;:&quot;Llamas-Clark&quot;,&quot;given&quot;:&quot;Erlidia F.&quot;,&quot;parse-names&quot;:false,&quot;dropping-particle&quot;:&quot;&quot;,&quot;non-dropping-particle&quot;:&quot;&quot;},{&quot;family&quot;:&quot;DeNicola&quot;,&quot;given&quot;:&quot;Nathaniel&quot;,&quot;parse-names&quot;:false,&quot;dropping-particle&quot;:&quot;&quot;,&quot;non-dropping-particle&quot;:&quot;&quot;},{&quot;family&quot;:&quot;Pandipati&quot;,&quot;given&quot;:&quot;Santosh&quot;,&quot;parse-names&quot;:false,&quot;dropping-particle&quot;:&quot;&quot;,&quot;non-dropping-particle&quot;:&quot;&quot;},{&quot;family&quot;:&quot;Zlatnik&quot;,&quot;given&quot;:&quot;Marya G.&quot;,&quot;parse-names&quot;:false,&quot;dropping-particle&quot;:&quot;&quot;,&quot;non-dropping-particle&quot;:&quot;&quot;},{&quot;family&quot;:&quot;Decena&quot;,&quot;given&quot;:&quot;Ditas Cristina D.&quot;,&quot;parse-names&quot;:false,&quot;dropping-particle&quot;:&quot;&quot;,&quot;non-dropping-particle&quot;:&quot;&quot;},{&quot;family&quot;:&quot;Woodruff&quot;,&quot;given&quot;:&quot;Tracey J.&quot;,&quot;parse-names&quot;:false,&quot;dropping-particle&quot;:&quot;&quot;,&quot;non-dropping-particle&quot;:&quot;&quot;},{&quot;family&quot;:&quot;Conry&quot;,&quot;given&quot;:&quot;Jeanne A.&quot;,&quot;parse-names&quot;:false,&quot;dropping-particle&quot;:&quot;&quot;,&quot;non-dropping-particle&quot;:&quot;&quot;}],&quot;container-title&quot;:&quot;International Journal of Gynecology and Obstetrics&quot;,&quot;DOI&quot;:&quot;10.1002/ijgo.13958&quot;,&quot;ISSN&quot;:&quot;18793479&quot;,&quot;PMID&quot;:&quot;34694628&quot;,&quot;issued&quot;:{&quot;date-parts&quot;:[[2021,12,1]]},&quot;page&quot;:&quot;345-356&quot;,&quot;abstract&quot;:&quot;Climate change is one of the major global health threats to the world's population. It is brought on by global warming due in large part to increasing levels of greenhouse gases resulting from human activity, including burning fossil fuels (carbon dioxide), animal husbandry (methane from manure), industry emissions (ozone, nitrogen oxides, sulfur dioxide), vehicle/factory exhaust, and chlorofluorocarbon aerosols that trap extra heat in the earth's atmosphere. Resulting extremes of weather give rise to wildfires, air pollution, changes in ecology, and floods. These in turn result in displacement of populations, family disruption, violence, and major impacts on water quality and availability, food security, public health and economic infrastructures, and limited abilities for civil society to maintain citizen safety. Climate change also has direct impacts on human health and well-being. Particularly vulnerable populations are affected, including women, pregnant women, children, the disabled, and the elderly, who comprise the majority of the poor globally. Additionally, the effects of climate change disproportionally affect disadvantaged communities, including low income and communities of color, and lower-income countries that are at highest risk of adverse impacts when disasters occur due to inequitable distribution of resources and their socioeconomic status. The climate crisis is tilting the risk balance unfavorably for women's sexual and reproductive health and rights as well as newborn and child health. Obstetrician/gynecologists have the unique opportunity to raise awareness, educate, and advocate for mitigation strategies to reverse climate change affecting our patients and their families. This article puts climate change in the context of women's reproductive health as a public health issue, a social justice issue, a human rights issue, an economic issue, a political issue, and a gender issue that needs our attention now for the health and well-being of this and future generations. FIGO joins a broad coalition of international researchers and the medical community in stating that the current climate crisis presents an imminent health risk to pregnant people, developing fetuses, and reproductive health, and recognizing that we need society-wide solutions, government policies, and global cooperation to address and reduce contributors, including fossil fuel production, to climate change.&quot;,&quot;publisher&quot;:&quot;John Wiley and Sons Ltd&quot;,&quot;issue&quot;:&quot;3&quot;,&quot;volume&quot;:&quot;155&quot;,&quot;container-title-short&quot;:&quot;&quot;},&quot;isTemporary&quot;:false}]},{&quot;citationID&quot;:&quot;MENDELEY_CITATION_6450768a-3c50-4132-8135-8d7d5b1775e4&quot;,&quot;properties&quot;:{&quot;noteIndex&quot;:0},&quot;isEdited&quot;:false,&quot;manualOverride&quot;:{&quot;isManuallyOverridden&quot;:false,&quot;citeprocText&quot;:&quot;(23,32,49)&quot;,&quot;manualOverrideText&quot;:&quot;&quot;},&quot;citationItems&quot;:[{&quot;id&quot;:&quot;0c8d7f59-e685-375b-8bfc-5a365738d41d&quot;,&quot;itemData&quot;:{&quot;type&quot;:&quot;article&quot;,&quot;id&quot;:&quot;0c8d7f59-e685-375b-8bfc-5a365738d41d&quot;,&quot;title&quot;:&quot;Short-term ambient heat exposure and low APGAR score in newborns: A time-stratified case-crossover analysis in São Paulo state, Brazil (2013-2019)&quot;,&quot;author&quot;:[{&quot;family&quot;:&quot;Carretto&quot;,&quot;given&quot;:&quot;Michelle&quot;,&quot;parse-names&quot;:false,&quot;dropping-particle&quot;:&quot;&quot;,&quot;non-dropping-particle&quot;:&quot;Del&quot;},{&quot;family&quot;:&quot;Godin&quot;,&quot;given&quot;:&quot;Audrey&quot;,&quot;parse-names&quot;:false,&quot;dropping-particle&quot;:&quot;&quot;,&quot;non-dropping-particle&quot;:&quot;&quot;},{&quot;family&quot;:&quot;Neves&quot;,&quot;given&quot;:&quot;Danielson&quot;,&quot;parse-names&quot;:false,&quot;dropping-particle&quot;:&quot;&quot;,&quot;non-dropping-particle&quot;:&quot;&quot;},{&quot;family&quot;:&quot;Paixao&quot;,&quot;given&quot;:&quot;Enny S.&quot;,&quot;parse-names&quot;:false,&quot;dropping-particle&quot;:&quot;&quot;,&quot;non-dropping-particle&quot;:&quot;&quot;},{&quot;family&quot;:&quot;Wan&quot;,&quot;given&quot;:&quot;Kai&quot;,&quot;parse-names&quot;:false,&quot;dropping-particle&quot;:&quot;&quot;,&quot;non-dropping-particle&quot;:&quot;&quot;},{&quot;family&quot;:&quot;Pescarini&quot;,&quot;given&quot;:&quot;Julia&quot;,&quot;parse-names&quot;:false,&quot;dropping-particle&quot;:&quot;&quot;,&quot;non-dropping-particle&quot;:&quot;&quot;},{&quot;family&quot;:&quot;Ferreira&quot;,&quot;given&quot;:&quot;Andrêa&quot;,&quot;parse-names&quot;:false,&quot;dropping-particle&quot;:&quot;&quot;,&quot;non-dropping-particle&quot;:&quot;&quot;},{&quot;family&quot;:&quot;Cortes&quot;,&quot;given&quot;:&quot;Taisa R.&quot;,&quot;parse-names&quot;:false,&quot;dropping-particle&quot;:&quot;&quot;,&quot;non-dropping-particle&quot;:&quot;&quot;},{&quot;family&quot;:&quot;Smeeth&quot;,&quot;given&quot;:&quot;Liam&quot;,&quot;parse-names&quot;:false,&quot;dropping-particle&quot;:&quot;&quot;,&quot;non-dropping-particle&quot;:&quot;&quot;},{&quot;family&quot;:&quot;Barreto&quot;,&quot;given&quot;:&quot;Mauricio L.&quot;,&quot;parse-names&quot;:false,&quot;dropping-particle&quot;:&quot;&quot;,&quot;non-dropping-particle&quot;:&quot;&quot;},{&quot;family&quot;:&quot;Brickley&quot;,&quot;given&quot;:&quot;Elizabeth B.&quot;,&quot;parse-names&quot;:false,&quot;dropping-particle&quot;:&quot;&quot;,&quot;non-dropping-particle&quot;:&quot;&quot;},{&quot;family&quot;:&quot;Part&quot;,&quot;given&quot;:&quot;Chérie&quot;,&quot;parse-names&quot;:false,&quot;dropping-particle&quot;:&quot;&quot;,&quot;non-dropping-particle&quot;:&quot;&quot;}],&quot;DOI&quot;:&quot;10.1101/2025.04.08.25325468&quot;,&quot;URL&quot;:&quot;http://medrxiv.org/lookup/doi/10.1101/2025.04.08.25325468&quot;,&quot;issued&quot;:{&quot;date-parts&quot;:[[2025,4,10]]},&quot;abstract&quot;:&quot;&lt;p&gt; Exposure to high ambient temperatures near the time of delivery has been associated with adverse birth outcomes, but studies examining the impact on immediate newborn health remain limited. We used a time-stratified case-crossover design combined with a distributed lag nonlinear model to evaluate the short-term effects of ambient heat (0-1 day lag) on low 5-minute APGAR score (≤7; sub-categories: 6-7, 3-5, 0-2). Cases of low APGAR score among low-risk births ( &lt;italic&gt;n&lt;/italic&gt; =34,980) in São Paulo state (274 municipalities), 2013-2019, were extracted from Brazil’s Live Birth Information System ( &lt;italic&gt;Sistema de Informações Sobre Nascidos Vivos&lt;/italic&gt; ). Municipality-level daily mean temperatures were constructed from ERA5-Land reanalysis data and linked with case and control days by date and municipality of delivery. Models were adjusted for relative humidity and stratified by maternal age, race/ethnicity, education, parity, timing of prenatal care initiation, infant sex, municipality-level deprivation, and Köppen climate zone. Overall, exposure to high (95 &lt;sup&gt;th&lt;/sup&gt; percentile: 26.1°C) versus moderate (50 &lt;sup&gt;th&lt;/sup&gt; percentile: 20.9°C) temperature 0-1 days before delivery was associated with 8% higher odds (OR: 1.08, 95% CI: 1.02-1.14) of low APGAR score (≤7). In stratified analyses, heat-associated risks were elevated among infants born to women with &amp;lt;12 years of schooling (1.10, 1.03-1.17) and/or self-identifying as Brown/ &lt;italic&gt;Parda&lt;/italic&gt; (1.10, 1.01-1.20). Associations were primarily driven by same-day (lag 0) exposure and were only observed in newborns with moderately low APGAR scores (6-7). Acute exposure to ambient heat may adversely impact newborns’ immediate health in low-risk live-births, highlighting the need for heat mitigation measures near the time of delivery. &lt;/p&gt;&quot;,&quot;container-title-short&quot;:&quot;&quot;},&quot;isTemporary&quot;:false},{&quot;id&quot;:&quot;d2e071cf-bb3a-3795-930a-a99e1d3fafb0&quot;,&quot;itemData&quot;:{&quot;type&quot;:&quot;article-journal&quot;,&quot;id&quot;:&quot;d2e071cf-bb3a-3795-930a-a99e1d3fafb0&quot;,&quot;title&quot;:&quot;The Association between Extreme Temperatures and Birth Weight in South Korea&quot;,&quot;author&quot;:[{&quot;family&quot;:&quot;Jung&quot;,&quot;given&quot;:&quot;Dawoon&quot;,&quot;parse-names&quot;:false,&quot;dropping-particle&quot;:&quot;&quot;,&quot;non-dropping-particle&quot;:&quot;&quot;}],&quot;container-title&quot;:&quot;Weather, Climate, and Society&quot;,&quot;DOI&quot;:&quot;10.1175/WCAS-D-24-0020.1&quot;,&quot;ISSN&quot;:&quot;19488335&quot;,&quot;issued&quot;:{&quot;date-parts&quot;:[[2025,4,1]]},&quot;page&quot;:&quot;177-191&quot;,&quot;abstract&quot;:&quot;This study examined the effect of ambient temperatures in utero on newborn children’s birth weight in South Korea and showed that exposure to high temperatures (over 308C/858F) is associated with negative birth outcomes. The impact was observed primarily in the second trimester. Per estimates, one extra day in the second trimester, exposing to more than 308C, lowers birth weight by 0.8%. The results further indicated a heterogeneous effect of ambient temperature on birth outcomes by household income. The negative effect of hot-temperature exposure was more apparent in the lower 25% household income group than in the upper 75% household income group.&quot;,&quot;publisher&quot;:&quot;American Meteorological Society&quot;,&quot;issue&quot;:&quot;2&quot;,&quot;volume&quot;:&quot;17&quot;,&quot;container-title-short&quot;:&quot;&quot;},&quot;isTemporary&quot;:false},{&quot;id&quot;:&quot;2840df40-6adc-3019-9d3e-3d0a32267a58&quot;,&quot;itemData&quot;:{&quot;type&quot;:&quot;article-journal&quot;,&quot;id&quot;:&quot;2840df40-6adc-3019-9d3e-3d0a32267a58&quot;,&quot;title&quot;:&quot;Associations between heat wave during pregnancy and term birth weight outcomes: The PARIS birth cohort&quot;,&quot;author&quot;:[{&quot;family&quot;:&quot;Rancière&quot;,&quot;given&quot;:&quot;Fanny&quot;,&quot;parse-names&quot;:false,&quot;dropping-particle&quot;:&quot;&quot;,&quot;non-dropping-particle&quot;:&quot;&quot;},{&quot;family&quot;:&quot;Wafo&quot;,&quot;given&quot;:&quot;Octave&quot;,&quot;parse-names&quot;:false,&quot;dropping-particle&quot;:&quot;&quot;,&quot;non-dropping-particle&quot;:&quot;&quot;},{&quot;family&quot;:&quot;Perrot&quot;,&quot;given&quot;:&quot;Xavier&quot;,&quot;parse-names&quot;:false,&quot;dropping-particle&quot;:&quot;&quot;,&quot;non-dropping-particle&quot;:&quot;&quot;},{&quot;family&quot;:&quot;Momas&quot;,&quot;given&quot;:&quot;Isabelle&quot;,&quot;parse-names&quot;:false,&quot;dropping-particle&quot;:&quot;&quot;,&quot;non-dropping-particle&quot;:&quot;&quot;}],&quot;container-title&quot;:&quot;Environment International&quot;,&quot;container-title-short&quot;:&quot;Environ Int&quot;,&quot;DOI&quot;:&quot;10.1016/j.envint.2024.108730&quot;,&quot;ISSN&quot;:&quot;18736750&quot;,&quot;PMID&quot;:&quot;38776654&quot;,&quot;issued&quot;:{&quot;date-parts&quot;:[[2024,6,1]]},&quot;abstract&quot;:&quot;Background: Climate change will make extreme weather events more frequent in the 21st century. Extreme ambient temperatures during the prenatal period have been associated with adverse pregnancy outcomes such as preterm birth. It is unclear, however, whether heat waves during pregnancy impact fetal growth in apparently healthy term newborns. Objectives: We aimed to investigate associations between heat wave during pregnancy and birth weight outcomes in term newborns from the PARIS birth cohort, and to explore meteorological conditions and air pollution as possible intermediate factors. Methods: We examined data on 3,359 newborns born between 37 and 42 weeks in Paris, France, between 2003 and 2006. Associations of maternal exposure to heat wave (during whole pregnancy and each trimester) with birth weight and small for gestational age (SGA) at term were studied using linear and logistic regression models adjusted for potential confounders. Maternal characteristics were investigated as possible modifiers. We explored the mediating role of ambient temperature, relative humidity, and air pollution levels in the relationship between heat wave during the first trimester and term SGA. Results: Mothers who were pregnant during the 2003 French heat wave (n = 506, 15 %) were more likely to have a term SGA baby (aOR = 2.70; 95 % CI: 1.38, 5.28) compared to mothers who did not experience heat wave during pregnancy. The association was stronger when heat wave occurred during the first trimester (aOR = 4.18; 95 % CI: 1.69, 10.35). Primiparous women were identified as more vulnerable than multiparous women. Average ambient temperature and air quality index explained about 36 % and 56 % of the association between heat wave during the first trimester and term SGA, respectively. Conclusions: This study suggests prenatal exposure to heat wave, especially during the first trimester, may adversely affect fetal growth of term newborns, which could be explained by both increasing ambient temperatures and worsening air quality.&quot;,&quot;publisher&quot;:&quot;Elsevier Ltd&quot;,&quot;volume&quot;:&quot;188&quot;},&quot;isTemporary&quot;:false}],&quot;citationTag&quot;:&quot;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&quot;},{&quot;citationID&quot;:&quot;MENDELEY_CITATION_c473a7be-4a28-49f9-a1db-41a23c831b9a&quot;,&quot;properties&quot;:{&quot;noteIndex&quot;:0},&quot;isEdited&quot;:false,&quot;manualOverride&quot;:{&quot;isManuallyOverridden&quot;:false,&quot;citeprocText&quot;:&quot;(66)&quot;,&quot;manualOverrideText&quot;:&quot;&quot;},&quot;citationTag&quot;:&quot;MENDELEY_CITATION_v3_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&quot;,&quot;citationItems&quot;:[{&quot;id&quot;:&quot;1598f31a-1fdf-36aa-b077-2096db6ef188&quot;,&quot;itemData&quot;:{&quot;type&quot;:&quot;article-journal&quot;,&quot;id&quot;:&quot;1598f31a-1fdf-36aa-b077-2096db6ef188&quot;,&quot;title&quot;:&quot;Electric Fan Use With Dehydration in Extreme Heat and Humidity A Randomized Crossover Trial&quot;,&quot;author&quot;:[{&quot;family&quot;:&quot;Graham&quot;,&quot;given&quot;:&quot;Connor&quot;,&quot;parse-names&quot;:false,&quot;dropping-particle&quot;:&quot;&quot;,&quot;non-dropping-particle&quot;:&quot;&quot;},{&quot;family&quot;:&quot;Hospers&quot;,&quot;given&quot;:&quot;Lily&quot;,&quot;parse-names&quot;:false,&quot;dropping-particle&quot;:&quot;&quot;,&quot;non-dropping-particle&quot;:&quot;&quot;},{&quot;family&quot;:&quot;Jay&quot;,&quot;given&quot;:&quot;Ollie&quot;,&quot;parse-names&quot;:false,&quot;dropping-particle&quot;:&quot;&quot;,&quot;non-dropping-particle&quot;:&quot;&quot;}],&quot;container-title&quot;:&quot;JAMA Network Open&quot;,&quot;container-title-short&quot;:&quot;JAMA Netw Open&quot;,&quot;DOI&quot;:&quot;10.1001/jamanetworkopen.2025.26701&quot;,&quot;ISSN&quot;:&quot;25743805&quot;,&quot;PMID&quot;:&quot;40802188&quot;,&quot;issued&quot;:{&quot;date-parts&quot;:[[2025,8,1]]},&quot;publisher&quot;:&quot;American Medical Association&quot;,&quot;issue&quot;:&quot;8&quot;,&quot;volume&quot;:&quot;8&quot;},&quot;isTemporary&quot;:false}]},{&quot;citationID&quot;:&quot;MENDELEY_CITATION_e15b8a18-bb3a-4ada-b09b-47b361ff1739&quot;,&quot;properties&quot;:{&quot;noteIndex&quot;:0},&quot;isEdited&quot;:false,&quot;manualOverride&quot;:{&quot;isManuallyOverridden&quot;:false,&quot;citeprocText&quot;:&quot;(67,68)&quot;,&quot;manualOverrideText&quot;:&quot;&quot;},&quot;citationTag&quot;:&quot;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&quot;,&quot;citationItems&quot;:[{&quot;id&quot;:&quot;ca6d797e-1bc8-34e1-bd5b-424c1c4dd1e2&quot;,&quot;itemData&quot;:{&quot;type&quot;:&quot;article&quot;,&quot;id&quot;:&quot;ca6d797e-1bc8-34e1-bd5b-424c1c4dd1e2&quot;,&quot;title&quot;:&quot;Regular physical activity across the lifespan to build resilience against rising global temperatures&quot;,&quot;author&quot;:[{&quot;family&quot;:&quot;Deshayes&quot;,&quot;given&quot;:&quot;Thomas A.&quot;,&quot;parse-names&quot;:false,&quot;dropping-particle&quot;:&quot;&quot;,&quot;non-dropping-particle&quot;:&quot;&quot;},{&quot;family&quot;:&quot;Périard&quot;,&quot;given&quot;:&quot;Julien D.&quot;,&quot;parse-names&quot;:false,&quot;dropping-particle&quot;:&quot;&quot;,&quot;non-dropping-particle&quot;:&quot;&quot;}],&quot;container-title&quot;:&quot;eBioMedicine&quot;,&quot;container-title-short&quot;:&quot;EBioMedicine&quot;,&quot;DOI&quot;:&quot;10.1016/j.ebiom.2023.104793&quot;,&quot;ISSN&quot;:&quot;23523964&quot;,&quot;PMID&quot;:&quot;37689024&quot;,&quot;issued&quot;:{&quot;date-parts&quot;:[[2023,10,1]]},&quot;abstract&quot;:&quot;Population aging, high prevalence of non-communicable diseases, physical inactivity, and rising global temperatures are some of the most pressing issues in public health of the current century. Such trends suggest that individuals increasingly less equipped to tolerate heat will be increasingly exposed to it, which from a public health perspective is alarming. Nonetheless, future impacts of extreme heat events will depend not only on the magnitude of climate change, but on our ability to adapt by becoming less sensitive and vulnerable. Although physical activity's role in mitigating climate change has received attention, its potential contribution to climate change adaptation and resilience remains largely unaddressed. Accordingly, in this viewpoint, we discuss how regular physical activity throughout life could have an important contribution to adapting to rising global temperatures, allowing to be better equipped to cope with heat-related health hazards and increasing individual and community resilience. This viewpoint constitutes a call for more research into the contribution that physical activity can have in adapting to rising global temperatures and, more broadly, to climate change.&quot;,&quot;publisher&quot;:&quot;Elsevier B.V.&quot;,&quot;volume&quot;:&quot;96&quot;},&quot;isTemporary&quot;:false},{&quot;id&quot;:&quot;9f8ed88b-2f6f-3dcc-8f7d-2072866880e7&quot;,&quot;itemData&quot;:{&quot;type&quot;:&quot;article&quot;,&quot;id&quot;:&quot;9f8ed88b-2f6f-3dcc-8f7d-2072866880e7&quot;,&quot;title&quot;:&quot;Influence of Exercise Heat Acclimation Protocol Characteristics on Adaptation Kinetics: A Quantitative Review With Bayesian Meta-Regressions&quot;,&quot;author&quot;:[{&quot;family&quot;:&quot;McDonald&quot;,&quot;given&quot;:&quot;Peter&quot;,&quot;parse-names&quot;:false,&quot;dropping-particle&quot;:&quot;&quot;,&quot;non-dropping-particle&quot;:&quot;&quot;},{&quot;family&quot;:&quot;Brown&quot;,&quot;given&quot;:&quot;Harry A.&quot;,&quot;parse-names&quot;:false,&quot;dropping-particle&quot;:&quot;&quot;,&quot;non-dropping-particle&quot;:&quot;&quot;},{&quot;family&quot;:&quot;Topham&quot;,&quot;given&quot;:&quot;Thomas H.&quot;,&quot;parse-names&quot;:false,&quot;dropping-particle&quot;:&quot;&quot;,&quot;non-dropping-particle&quot;:&quot;&quot;},{&quot;family&quot;:&quot;Kelly&quot;,&quot;given&quot;:&quot;Monica K.&quot;,&quot;parse-names&quot;:false,&quot;dropping-particle&quot;:&quot;&quot;,&quot;non-dropping-particle&quot;:&quot;&quot;},{&quot;family&quot;:&quot;Jardine&quot;,&quot;given&quot;:&quot;William T.&quot;,&quot;parse-names&quot;:false,&quot;dropping-particle&quot;:&quot;&quot;,&quot;non-dropping-particle&quot;:&quot;&quot;},{&quot;family&quot;:&quot;Carr&quot;,&quot;given&quot;:&quot;Amelia&quot;,&quot;parse-names&quot;:false,&quot;dropping-particle&quot;:&quot;&quot;,&quot;non-dropping-particle&quot;:&quot;&quot;},{&quot;family&quot;:&quot;Sawka&quot;,&quot;given&quot;:&quot;Michael N.&quot;,&quot;parse-names&quot;:false,&quot;dropping-particle&quot;:&quot;&quot;,&quot;non-dropping-particle&quot;:&quot;&quot;},{&quot;family&quot;:&quot;Woodward&quot;,&quot;given&quot;:&quot;Andrew P.&quot;,&quot;parse-names&quot;:false,&quot;dropping-particle&quot;:&quot;&quot;,&quot;non-dropping-particle&quot;:&quot;&quot;},{&quot;family&quot;:&quot;Clark&quot;,&quot;given&quot;:&quot;Brad&quot;,&quot;parse-names&quot;:false,&quot;dropping-particle&quot;:&quot;&quot;,&quot;non-dropping-particle&quot;:&quot;&quot;},{&quot;family&quot;:&quot;Périard&quot;,&quot;given&quot;:&quot;Julien D.&quot;,&quot;parse-names&quot;:false,&quot;dropping-particle&quot;:&quot;&quot;,&quot;non-dropping-particle&quot;:&quot;&quot;}],&quot;container-title&quot;:&quot;Comprehensive Physiology&quot;,&quot;container-title-short&quot;:&quot;Compr Physiol&quot;,&quot;DOI&quot;:&quot;10.1002/cph4.70017&quot;,&quot;ISSN&quot;:&quot;20404603&quot;,&quot;PMID&quot;:&quot;40442924&quot;,&quot;issued&quot;:{&quot;date-parts&quot;:[[2025,6,1]]},&quot;abstract&quot;:&quot;The integrative influence of heat acclimation (HA) protocol characteristics and approach on adaptation kinetics and exercise capacity/performance in the heat remains unclear. Bayesian multilevel regression models were used to estimate adaptations with the number of exposures, exposure duration, ambient temperature, water vapor pressure, and HA approach (e.g., constant workrate) as predictors. Data from 211 papers were included in meta-analyses with results presented as posterior means and 90% credible intervals. Mean protocol characteristics were as follows: 8 ± 4 exposures, 90 ± 36 min/exposure, 39.1°C ± 4.8°C, and 2.78 ± 0.83 kPa. HA decreased resting (−5 beats·min−1 [−7, −3]) and end-exercise heart rate (−17 beats·min−1 [−19, −14]), resting (−0.19°C [−0.23, −0.14]) and end-exercise core temperature (−0.43°C [−0.48, −0.36]), and expanded plasma volume (5.6% [3.8, 7.0]). HA also lowered exercise metabolic rate (−87 mL·min−1 [−126, −49]), increased whole-body sweat rate (WBSR) (163 mL·h−1 [94, 226]), time to exhaustion (49% [35, 61]) and incremental exercise time (14% [7, 24]), and improved time trial performance (3.1% [1.8, 4.5]). An additional HA exposure increased hemoglobin mass (1.9 g [0.6, 3.2]) and WBSR (9 mL·h−1 [1, 17]), and an additional 15 min/exposure further lowered end-exercise core temperature (−0.04°C [−0.05, −0.03]) and expanded plasma volume (0.4% [0.1, 0.7]). A 5°C increase in ambient temperature further lowered end-exercise HR (−2 beats·min−1 [−3, −1]) and a 1 kPa increase enhanced WBSR (37 mL·h−1 [4, 72]). End-exercise heart rate and core temperature decreased similarly following controlled hyperthermia (−16 beats·min−1 [−18, −14]; −0.43°C [−0.48, −0.36]) and constant workrate HA (−17 beats·min−1 [−18, −16]; −0.45°C [−0.49, −0.42]). HA protocol characteristics influence the adaptive response and may be manipulated to optimize adaptations. A predictor for estimating HA adaptations based on protocol characteristics is available at: https://www.canberra. edu.au/research/centres/uc-rise/research/environmental-physiology/exercise-heat-acclimation-predictor.&quot;,&quot;publisher&quot;:&quot;John Wiley and Sons Inc&quot;,&quot;issue&quot;:&quot;3&quot;,&quot;volume&quot;:&quot;15&quot;},&quot;isTemporary&quot;:false}]},{&quot;citationID&quot;:&quot;MENDELEY_CITATION_7998a81c-4baa-4e9d-8d4c-d30f3932c97e&quot;,&quot;properties&quot;:{&quot;noteIndex&quot;:0},&quot;isEdited&quot;:false,&quot;manualOverride&quot;:{&quot;isManuallyOverridden&quot;:false,&quot;citeprocText&quot;:&quot;(69)&quot;,&quot;manualOverrideText&quot;:&quot;&quot;},&quot;citationTag&quot;:&quot;MENDELEY_CITATION_v3_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&quot;,&quot;citationItems&quot;:[{&quot;id&quot;:&quot;99204679-ea0f-3329-a56f-65d70408bbbc&quot;,&quot;itemData&quot;:{&quot;type&quot;:&quot;article-journal&quot;,&quot;id&quot;:&quot;99204679-ea0f-3329-a56f-65d70408bbbc&quot;,&quot;title&quot;:&quot;Plateau in Core Temperature during Shorter but Not Longer Work/Rest Cycles in Heat&quot;,&quot;author&quot;:[{&quot;family&quot;:&quot;Bachraty&quot;,&quot;given&quot;:&quot;Joseph P.&quot;,&quot;parse-names&quot;:false,&quot;dropping-particle&quot;:&quot;&quot;,&quot;non-dropping-particle&quot;:&quot;&quot;},{&quot;family&quot;:&quot;Qiao&quot;,&quot;given&quot;:&quot;Jian Bo&quot;,&quot;parse-names&quot;:false,&quot;dropping-particle&quot;:&quot;&quot;,&quot;non-dropping-particle&quot;:&quot;&quot;},{&quot;family&quot;:&quot;Powers&quot;,&quot;given&quot;:&quot;Elizabeth S.&quot;,&quot;parse-names&quot;:false,&quot;dropping-particle&quot;:&quot;&quot;,&quot;non-dropping-particle&quot;:&quot;&quot;},{&quot;family&quot;:&quot;Vandermark&quot;,&quot;given&quot;:&quot;Lesley W.&quot;,&quot;parse-names&quot;:false,&quot;dropping-particle&quot;:&quot;&quot;,&quot;non-dropping-particle&quot;:&quot;&quot;},{&quot;family&quot;:&quot;Pryor&quot;,&quot;given&quot;:&quot;J. Luke&quot;,&quot;parse-names&quot;:false,&quot;dropping-particle&quot;:&quot;&quot;,&quot;non-dropping-particle&quot;:&quot;&quot;},{&quot;family&quot;:&quot;Pryor&quot;,&quot;given&quot;:&quot;Riana R.&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1030371&quot;,&quot;ISSN&quot;:&quot;16604601&quot;,&quot;PMID&quot;:&quot;38541370&quot;,&quot;issued&quot;:{&quot;date-parts&quot;:[[2024,3,1]]},&quot;abstract&quot;:&quot;This study compared physiological responses to two work/rest cycles of a 2:1 work-to-rest ratio in a hot environment. In a randomized crossover design, fourteen participants completed 120 min of walking and rest in the heat (36.3 ± 0.6 °C, 30.2 ± 4.0% relative humidity). Work/rest cycles were (1) 40 min work/20 min rest [40/20], or (2) 20 min work/10 min rest [20/10], both completing identical work. Core temperature (Tc), skin temperature (Tsk), heart rate (HR), nude body mass, and perception of work were collected. Comparisons were made between trials at equal durations of work using three-way mixed model ANOVA. Tc plateaued in [20/10] during the second hour of work (p = 0.93), while Tc increased in [40/20] (p &lt; 0.01). There was no difference in maximum Tc ([40/20]: 38.08 ± 0.35 °C, [20/10]: 37.99 ± 0.27 °C, p = 0.22) or end-of-work Tsk ([40/20]: 36.1 ± 0.8 °C, [20/10]: 36.0 ± 0.7 °C, p = 0.45). End-of-work HR was greater in [40/20] (145 ± 25 b·min−1) compared to [20/10] (141 ± 27 b·min−1, p = 0.04). Shorter work/rest cycles caused a plateau in Tc while longer work/rest cycles resulted in a continued increase in Tc throughout the work, indicating that either work structure could be used during shorter work tasks, while work greater than 2 h in duration may benefit from shorter work/rest cycles to mitigate hyperthermia.&quot;,&quot;publisher&quot;:&quot;Multidisciplinary Digital Publishing Institute (MDPI)&quot;,&quot;issue&quot;:&quot;3&quot;,&quot;volume&quot;:&quot;21&quot;},&quot;isTemporary&quot;:false}]},{&quot;citationID&quot;:&quot;MENDELEY_CITATION_d41adac7-a045-473c-b6ea-8870436dc773&quot;,&quot;properties&quot;:{&quot;noteIndex&quot;:0},&quot;isEdited&quot;:false,&quot;manualOverride&quot;:{&quot;isManuallyOverridden&quot;:false,&quot;citeprocText&quot;:&quot;(70–72)&quot;,&quot;manualOverrideText&quot;:&quot;&quot;},&quot;citationTag&quot;:&quot;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&quot;,&quot;citationItems&quot;:[{&quot;id&quot;:&quot;b3cf39f8-fb91-3168-bc37-7de436e552af&quot;,&quot;itemData&quot;:{&quot;type&quot;:&quot;article-journal&quot;,&quot;id&quot;:&quot;b3cf39f8-fb91-3168-bc37-7de436e552af&quot;,&quot;title&quot;:&quot;Extreme heat, pregnancy and women’s well-being in Burkina Faso: an ethnographical study&quot;,&quot;author&quot;:[{&quot;family&quot;:&quot;Kadio&quot;,&quot;given&quot;:&quot;Kadidiatou&quot;,&quot;parse-names&quot;:false,&quot;dropping-particle&quot;:&quot;&quot;,&quot;non-dropping-particle&quot;:&quot;&quot;},{&quot;family&quot;:&quot;Filippi&quot;,&quot;given&quot;:&quot;Veronique&quot;,&quot;parse-names&quot;:false,&quot;dropping-particle&quot;:&quot;&quot;,&quot;non-dropping-particle&quot;:&quot;&quot;},{&quot;family&quot;:&quot;Congo&quot;,&quot;given&quot;:&quot;Mariam&quot;,&quot;parse-names&quot;:false,&quot;dropping-particle&quot;:&quot;&quot;,&quot;non-dropping-particle&quot;:&quot;&quot;},{&quot;family&quot;:&quot;Scorgie&quot;,&quot;given&quot;:&quot;Fiona&quot;,&quot;parse-names&quot;:false,&quot;dropping-particle&quot;:&quot;&quot;,&quot;non-dropping-particle&quot;:&quot;&quot;},{&quot;family&quot;:&quot;Roos&quot;,&quot;given&quot;:&quot;Nathalie&quot;,&quot;parse-names&quot;:false,&quot;dropping-particle&quot;:&quot;&quot;,&quot;non-dropping-particle&quot;:&quot;&quot;},{&quot;family&quot;:&quot;Lusambili&quot;,&quot;given&quot;:&quot;Adélaïde&quot;,&quot;parse-names&quot;:false,&quot;dropping-particle&quot;:&quot;&quot;,&quot;non-dropping-particle&quot;:&quot;&quot;},{&quot;family&quot;:&quot;Nakstad&quot;,&quot;given&quot;:&quot;Britt&quot;,&quot;parse-names&quot;:false,&quot;dropping-particle&quot;:&quot;&quot;,&quot;non-dropping-particle&quot;:&quot;&quot;},{&quot;family&quot;:&quot;Kovats&quot;,&quot;given&quot;:&quot;Sari&quot;,&quot;parse-names&quot;:false,&quot;dropping-particle&quot;:&quot;&quot;,&quot;non-dropping-particle&quot;:&quot;&quot;},{&quot;family&quot;:&quot;Kouanda&quot;,&quot;given&quot;:&quot;Seni&quot;,&quot;parse-names&quot;:false,&quot;dropping-particle&quot;:&quot;&quot;,&quot;non-dropping-particle&quot;:&quot;&quot;}],&quot;container-title&quot;:&quot;BMJ Global Health&quot;,&quot;container-title-short&quot;:&quot;BMJ Glob Health&quot;,&quot;DOI&quot;:&quot;10.1136/bmjgh-2023-014230&quot;,&quot;ISSN&quot;:&quot;20597908&quot;,&quot;issued&quot;:{&quot;date-parts&quot;:[[2024,2,21]]},&quot;abstract&quot;:&quot;Climate change is an increasing threat to the health of populations in Africa, with a shift in seasonal temperatures towards more extreme heat exposures. In Burkina Faso, like other countries in the Sahel, many women have little protection against exposure to high temperatures, either outside or inside the home or place of work. This paper investigates how women perceive the impacts of heat on their physical and mental health, in addition to their social relationships and economic activities. Qualitative methods (in-depth interviews and focus group discussions) were conducted with women, community representatives and healthcare professionals in two regions in Burkina Faso. A thematic analysis was used to explore the realities of participants’ experiences and contextual perspectives in relation to heat. Our research shows extreme temperatures have a multifaceted impact on pregnant women, mothers and newborns. Extreme heat affects women’s functionality and well-being. Heat undermines a woman’s ability to care for themselves and their child and interferes negatively with breast feeding. Heat negatively affects their ability to work and to maintain harmonious relationships with their partners and families. Cultural practices such as a taboo on taking the baby outside before the 40th day may exacerbate some of the negative consequences of heat. Most women do not recognise heat stress symptoms and lack awareness of heat risks to health. There is a need to develop public health messages to reduce the impacts of heat on health in Burkina Faso. Programmes and policies are needed to strengthen the ability of health professionals to communicate with women about best practices in heat risk management.&quot;,&quot;publisher&quot;:&quot;BMJ Publishing Group&quot;,&quot;issue&quot;:&quot;Suppl 3&quot;,&quot;volume&quot;:&quot;8&quot;},&quot;isTemporary&quot;:false},{&quot;id&quot;:&quot;ef7d00cb-af7d-3f9f-aca0-8d6fbaa19b5a&quot;,&quot;itemData&quot;:{&quot;type&quot;:&quot;article-journal&quot;,&quot;id&quot;:&quot;ef7d00cb-af7d-3f9f-aca0-8d6fbaa19b5a&quot;,&quot;title&quot;:&quot;Ambient temperature as a trigger of preterm delivery in a temperate climate&quot;,&quot;author&quot;:[{&quot;family&quot;:&quot;Cox&quot;,&quot;given&quot;:&quot;Bianca&quot;,&quot;parse-names&quot;:false,&quot;dropping-particle&quot;:&quot;&quot;,&quot;non-dropping-particle&quot;:&quot;&quot;},{&quot;family&quot;:&quot;Vicedo-Cabrera&quot;,&quot;given&quot;:&quot;Ana M.&quot;,&quot;parse-names&quot;:false,&quot;dropping-particle&quot;:&quot;&quot;,&quot;non-dropping-particle&quot;:&quot;&quot;},{&quot;family&quot;:&quot;Gasparrini&quot;,&quot;given&quot;:&quot;Antonio&quot;,&quot;parse-names&quot;:false,&quot;dropping-particle&quot;:&quot;&quot;,&quot;non-dropping-particle&quot;:&quot;&quot;},{&quot;family&quot;:&quot;Roels&quot;,&quot;given&quot;:&quot;Harry A.&quot;,&quot;parse-names&quot;:false,&quot;dropping-particle&quot;:&quot;&quot;,&quot;non-dropping-particle&quot;:&quot;&quot;},{&quot;family&quot;:&quot;Martens&quot;,&quot;given&quot;:&quot;Evelyne&quot;,&quot;parse-names&quot;:false,&quot;dropping-particle&quot;:&quot;&quot;,&quot;non-dropping-particle&quot;:&quot;&quot;},{&quot;family&quot;:&quot;Vangronsveld&quot;,&quot;given&quot;:&quot;Jaco&quot;,&quot;parse-names&quot;:false,&quot;dropping-particle&quot;:&quot;&quot;,&quot;non-dropping-particle&quot;:&quot;&quot;},{&quot;family&quot;:&quot;Forsberg&quot;,&quot;given&quot;:&quot;Bertil&quot;,&quot;parse-names&quot;:false,&quot;dropping-particle&quot;:&quot;&quot;,&quot;non-dropping-particle&quot;:&quot;&quot;},{&quot;family&quot;:&quot;Nawrot&quot;,&quot;given&quot;:&quot;Tim S.&quot;,&quot;parse-names&quot;:false,&quot;dropping-particle&quot;:&quot;&quot;,&quot;non-dropping-particle&quot;:&quot;&quot;}],&quot;container-title&quot;:&quot;Journal of Epidemiology and Community Health&quot;,&quot;container-title-short&quot;:&quot;J Epidemiol Community Health (1978)&quot;,&quot;DOI&quot;:&quot;10.1136/jech-2015-206384&quot;,&quot;ISSN&quot;:&quot;14702738&quot;,&quot;PMID&quot;:&quot;27261529&quot;,&quot;issued&quot;:{&quot;date-parts&quot;:[[2016,12,1]]},&quot;page&quot;:&quot;1191-1199&quot;,&quot;abstract&quot;:&quot;Background Recent evidence suggests that elevated ambient temperatures may trigger preterm delivery. Since results from studies in temperate climates are inconclusive, we investigated the association between temperature and the risk of preterm birth in Flanders (Belgium). Methods We used data on 807 835 singleton deliveries ( January 1998-July 2011). We combined a quasi-Poisson model with distributed lag non-linear models to allow for delayed and non-linear temperature effects, accounting for the daily pregnancies at risk and their gestational age distribution. Results For moderate heat (95th vs 50th centile) up to 1 day before delivery (lag 0-1), the risk of preterm birth increased by 8.5% (95% CI 2.4% to 15.0%) when minimum temperature increased from 8.3°C to 16.3°C and by 9.6% (95% CI 1.1% to 18.7%) when maximum temperature increased from 14.7°C to 26.5°C. Corresponding estimates for extreme heat (99th vs 50th centile) were 15.6% (95% CI 4.8% to 27.6%) for minimum temperature (19.0°C vs 8.3°C) and 14.5% (95% CI 0.5% to 30.6%) for maximum temperature (30.7°C vs 14.7°C). Despite the increased risk of preterm birth associated with cold at lag 2 (and lag 1 for minimum temperature), cumulative cold effects were small. The per cent change in preterm birth associated with moderate cold (5th vs 50th centile) up to 3 days before delivery (lag 0-3) was 2.1% (95% CI -4.1% to 8.7%) for minimum temperature (-2.0°C vs 8.3°C) and 0.6% (95% CI -7.3% to 9.2%) for maximum temperature (2.5°C vs 14.7°C). Conclusions Even in a temperate climate, ambient temperature may trigger preterm delivery, suggesting that pregnant women should avoid temperature extremes.&quot;,&quot;publisher&quot;:&quot;BMJ Publishing Group&quot;,&quot;issue&quot;:&quot;12&quot;,&quot;volume&quot;:&quot;70&quot;},&quot;isTemporary&quot;:false},{&quot;id&quot;:&quot;786004f0-135a-3125-bf28-6cfd67697e8d&quot;,&quot;itemData&quot;:{&quot;type&quot;:&quot;article&quot;,&quot;id&quot;:&quot;786004f0-135a-3125-bf28-6cfd67697e8d&quot;,&quot;title&quot;:&quot;Preventing heat-related deaths: The urgent need for a global early warning system for heat&quot;,&quot;author&quot;:[{&quot;family&quot;:&quot;Brimicombe&quot;,&quot;given&quot;:&quot;Chloe&quot;,&quot;parse-names&quot;:false,&quot;dropping-particle&quot;:&quot;&quot;,&quot;non-dropping-particle&quot;:&quot;&quot;},{&quot;family&quot;:&quot;Runkle&quot;,&quot;given&quot;:&quot;Jennifer D.&quot;,&quot;parse-names&quot;:false,&quot;dropping-particle&quot;:&quot;&quot;,&quot;non-dropping-particle&quot;:&quot;&quot;},{&quot;family&quot;:&quot;Tuholske&quot;,&quot;given&quot;:&quot;Cascade&quot;,&quot;parse-names&quot;:false,&quot;dropping-particle&quot;:&quot;&quot;,&quot;non-dropping-particle&quot;:&quot;&quot;},{&quot;family&quot;:&quot;Domeisen&quot;,&quot;given&quot;:&quot;Daniela I.V.&quot;,&quot;parse-names&quot;:false,&quot;dropping-particle&quot;:&quot;&quot;,&quot;non-dropping-particle&quot;:&quot;&quot;},{&quot;family&quot;:&quot;Gao&quot;,&quot;given&quot;:&quot;Chuansi&quot;,&quot;parse-names&quot;:false,&quot;dropping-particle&quot;:&quot;&quot;,&quot;non-dropping-particle&quot;:&quot;&quot;},{&quot;family&quot;:&quot;Toftum&quot;,&quot;given&quot;:&quot;Jørn&quot;,&quot;parse-names&quot;:false,&quot;dropping-particle&quot;:&quot;&quot;,&quot;non-dropping-particle&quot;:&quot;&quot;},{&quot;family&quot;:&quot;Otto&quot;,&quot;given&quot;:&quot;Ilona M.&quot;,&quot;parse-names&quot;:false,&quot;dropping-particle&quot;:&quot;&quot;,&quot;non-dropping-particle&quot;:&quot;&quot;}],&quot;container-title&quot;:&quot;PLOS Climate&quot;,&quot;DOI&quot;:&quot;10.1371/journal.pclm.0000437&quot;,&quot;ISSN&quot;:&quot;27673200&quot;,&quot;issued&quot;:{&quot;date-parts&quot;:[[2024,7,1]]},&quot;abstract&quot;:&quot;Heatwaves are the deadliest weather hazard and people and societies across the world continue to suffer from heat-related impacts. Future climate projections show a troubling increase in cross-sectoral impacts including health and economic risk presented by heatwaves. Many weather hazards such as floods and droughts already have a type of Early Warning System (EWS) or Global Alert System, but a global heat early warning system currently does not exist. An accurate heat EWS can save lives and can promote heat adaptation across society. Here, we (1) explore the history of Early Warning Systems as framed using the Disaster Risk Reduction paradigms and (2) identify potential barriers to an integrated Global Heat Early Warning system. Finally, we discuss what we have learned from history and the identified current barriers and outline a vision of a Global Heat Early Warning system around four key themes, incorporating systems for low-, middle-, and high-income countries and requiring cross-sectoral, cross-government, and interdisciplinary collaboration.&quot;,&quot;publisher&quot;:&quot;Public Library of Science&quot;,&quot;issue&quot;:&quot;7&quot;,&quot;volume&quot;:&quot;3&quot;,&quot;container-title-short&quot;:&quot;&quot;},&quot;isTemporary&quot;:false}]},{&quot;citationID&quot;:&quot;MENDELEY_CITATION_368e437e-1eb7-4a27-b34d-541fe041946d&quot;,&quot;properties&quot;:{&quot;noteIndex&quot;:0},&quot;isEdited&quot;:false,&quot;manualOverride&quot;:{&quot;isManuallyOverridden&quot;:false,&quot;citeprocText&quot;:&quot;(73)&quot;,&quot;manualOverrideText&quot;:&quot;&quot;},&quot;citationTag&quot;:&quot;MENDELEY_CITATION_v3_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&quot;,&quot;citationItems&quot;:[{&quot;id&quot;:&quot;91f2d209-335f-39c8-a366-5e3b2e85d77e&quot;,&quot;itemData&quot;:{&quot;type&quot;:&quot;article-journal&quot;,&quot;id&quot;:&quot;91f2d209-335f-39c8-a366-5e3b2e85d77e&quot;,&quot;title&quot;:&quot;Temperature and preeclampsia: Epidemiological evidence that perturbation in maternal heat homeostasis affects pregnancy outcome&quot;,&quot;author&quot;:[{&quot;family&quot;:&quot;Shashar&quot;,&quot;given&quot;:&quot;Sagi&quot;,&quot;parse-names&quot;:false,&quot;dropping-particle&quot;:&quot;&quot;,&quot;non-dropping-particle&quot;:&quot;&quot;},{&quot;family&quot;:&quot;Kloog&quot;,&quot;given&quot;:&quot;Itai&quot;,&quot;parse-names&quot;:false,&quot;dropping-particle&quot;:&quot;&quot;,&quot;non-dropping-particle&quot;:&quot;&quot;},{&quot;family&quot;:&quot;Erez&quot;,&quot;given&quot;:&quot;Offer&quot;,&quot;parse-names&quot;:false,&quot;dropping-particle&quot;:&quot;&quot;,&quot;non-dropping-particle&quot;:&quot;&quot;},{&quot;family&quot;:&quot;Shtein&quot;,&quot;given&quot;:&quot;Alexandra&quot;,&quot;parse-names&quot;:false,&quot;dropping-particle&quot;:&quot;&quot;,&quot;non-dropping-particle&quot;:&quot;&quot;},{&quot;family&quot;:&quot;Yitshak-Sade&quot;,&quot;given&quot;:&quot;Maayan&quot;,&quot;parse-names&quot;:false,&quot;dropping-particle&quot;:&quot;&quot;,&quot;non-dropping-particle&quot;:&quot;&quot;},{&quot;family&quot;:&quot;Sarov&quot;,&quot;given&quot;:&quot;Batia&quot;,&quot;parse-names&quot;:false,&quot;dropping-particle&quot;:&quot;&quot;,&quot;non-dropping-particle&quot;:&quot;&quot;},{&quot;family&quot;:&quot;Novack&quot;,&quot;given&quot;:&quot;Lena&quot;,&quot;parse-names&quot;:false,&quot;dropping-particle&quot;:&quot;&quot;,&quot;non-dropping-particle&quot;:&quot;&quot;}],&quot;container-title&quot;:&quot;PLoS ONE&quot;,&quot;container-title-short&quot;:&quot;PLoS One&quot;,&quot;DOI&quot;:&quot;10.1371/journal.pone.0232877&quot;,&quot;ISSN&quot;:&quot;19326203&quot;,&quot;PMID&quot;:&quot;32421729&quot;,&quot;issued&quot;:{&quot;date-parts&quot;:[[2020,5,1]]},&quot;abstract&quot;:&quot;Introduction This study aims to determine the association between temperature and preeclampsia and whether it is affected by seasonality and rural/urban lifestyle. Methods This cohort study included women who delivered at our medical center from 2004 to 2013 (31,101 women, 64,566 deliveries). Temperature values were obtained from a spatiotemporally resolved estimation model performing predictions at a 1×1km spatial resolution. In \&quot;Warm\&quot; pregnancies &gt;50% of gestation occurred during the spring-summer period. In cold pregnancies &gt;50% of gestation occurred during the fall and winter. Generalized estimating equation multivariable models were used to estimate the association between temperature and incidence of preeclampsia. Results 1) The incidence of preeclampsia in at least one pregnancy was 7% (2173/64,566); 2) during \&quot;warm\&quot; pregnancies, an elevation of one IQR of the average temperature in the 1st or the 3rd trimesters was associated with an increased risk to develop preeclampsia [patients with Jewish ethnicity: 1st trimester: relative risk (RR) of 2.38(95%CI 1.50; 3.80), 3rd trimester 1.94(95%CI 1.34;2.81); Bedouins: 1st trimester: RR = 2.91(95%CI 1.98;4.28), 3rd trimester: RR = 2.37(95%CI 1.75;3.20)]; 3) In \&quot;cold\&quot; pregnancies, an elevation of one IQR of average temperature was associated with a lower risk to develop preeclampsia among patients with Bedouin-Arab ethnicity RR = 0.68 (95% CI 0.49-0.94) for 1st trimester and RR = 0.62 (95% CI 0.44-0.87) for 3rd trimester. Conclusions 1) Elevated averaged temperature during the 1st or 3rd trimesters in \&quot;warm\&quot; pregnancies confer an increased risk for the development of preeclampsia, especially in nomadic patients; 2) Of interest, during cold pregnancies, elevated averaged temperature was associated with a lower risk to develop preeclampsia for nomadic patients. 3) These findings suggest temperature might be associated with perturbations in maternal heat homeostasis resulting in reallocation of energy resources and their availability to the fetus that may increase the risk for preeclampsia. This observation is especially relevant in the context of global warming and its effects on maternal/fetal reproductive health.&quot;,&quot;publisher&quot;:&quot;Public Library of Science&quot;,&quot;issue&quot;:&quot;5&quot;,&quot;volume&quot;:&quot;15&quot;},&quot;isTemporary&quot;:false}]},{&quot;citationID&quot;:&quot;MENDELEY_CITATION_b05630f5-3aa5-4160-8888-845e3e2f46fb&quot;,&quot;properties&quot;:{&quot;noteIndex&quot;:0},&quot;isEdited&quot;:false,&quot;manualOverride&quot;:{&quot;isManuallyOverridden&quot;:false,&quot;citeprocText&quot;:&quot;(1,74)&quot;,&quot;manualOverrideText&quot;:&quot;&quot;},&quot;citationTag&quot;:&quot;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&quot;,&quot;citationItems&quot;:[{&quot;id&quot;:&quot;fb8127a5-0ff1-329e-8692-a5cc33077bf1&quot;,&quot;itemData&quot;:{&quot;type&quot;:&quot;article-journal&quot;,&quot;id&quot;:&quot;fb8127a5-0ff1-329e-8692-a5cc33077bf1&quot;,&quot;title&quot;:&quot;A systematic review and meta-analysis of heat exposure impacts on maternal, fetal and neonatal health.&quot;,&quot;author&quot;:[{&quot;family&quot;:&quot;Lakhoo&quot;,&quot;given&quot;:&quot;Darshnika P&quot;,&quot;parse-names&quot;:false,&quot;dropping-particle&quot;:&quot;&quot;,&quot;non-dropping-particle&quot;:&quot;&quot;},{&quot;family&quot;:&quot;Brink&quot;,&quot;given&quot;:&quot;Nicholas&quot;,&quot;parse-names&quot;:false,&quot;dropping-particle&quot;:&quot;&quot;,&quot;non-dropping-particle&quot;:&quot;&quot;},{&quot;family&quot;:&quot;Radebe&quot;,&quot;given&quot;:&quot;Lebohang&quot;,&quot;parse-names&quot;:false,&quot;dropping-particle&quot;:&quot;&quot;,&quot;non-dropping-particle&quot;:&quot;&quot;},{&quot;family&quot;:&quot;Craig&quot;,&quot;given&quot;:&quot;Marlies H&quot;,&quot;parse-names&quot;:false,&quot;dropping-particle&quot;:&quot;&quot;,&quot;non-dropping-particle&quot;:&quot;&quot;},{&quot;family&quot;:&quot;Pham&quot;,&quot;given&quot;:&quot;Minh Duc&quot;,&quot;parse-names&quot;:false,&quot;dropping-particle&quot;:&quot;&quot;,&quot;non-dropping-particle&quot;:&quot;&quot;},{&quot;family&quot;:&quot;Haghighi&quot;,&quot;given&quot;:&quot;Marjan M&quot;,&quot;parse-names&quot;:false,&quot;dropping-particle&quot;:&quot;&quot;,&quot;non-dropping-particle&quot;:&quot;&quot;},{&quot;family&quot;:&quot;Wise&quot;,&quot;given&quot;:&quot;Amy&quot;,&quot;parse-names&quot;:false,&quot;dropping-particle&quot;:&quot;&quot;,&quot;non-dropping-particle&quot;:&quot;&quot;},{&quot;family&quot;:&quot;Solarin&quot;,&quot;given&quot;:&quot;Ijeoma&quot;,&quot;parse-names&quot;:false,&quot;dropping-particle&quot;:&quot;&quot;,&quot;non-dropping-particle&quot;:&quot;&quot;},{&quot;family&quot;:&quot;Luchters&quot;,&quot;given&quot;:&quot;Stanley&quot;,&quot;parse-names&quot;:false,&quot;dropping-particle&quot;:&quot;&quot;,&quot;non-dropping-particle&quot;:&quot;&quot;},{&quot;family&quot;:&quot;Maimela&quot;,&quot;given&quot;:&quot;Gloria&quot;,&quot;parse-names&quot;:false,&quot;dropping-particle&quot;:&quot;&quot;,&quot;non-dropping-particle&quot;:&quot;&quot;},{&quot;family&quot;:&quot;Chersich&quot;,&quot;given&quot;:&quot;Matthew F&quot;,&quot;parse-names&quot;:false,&quot;dropping-particle&quot;:&quot;&quot;,&quot;non-dropping-particle&quot;:&quot;&quot;},{&quot;family&quot;:&quot;Heat-Health Study Group&quot;,&quot;given&quot;:&quot;&quot;,&quot;parse-names&quot;:false,&quot;dropping-particle&quot;:&quot;&quot;,&quot;non-dropping-particle&quot;:&quot;&quot;},{&quot;family&quot;:&quot;HIGH Horizons Study Group&quot;,&quot;given&quot;:&quot;&quot;,&quot;parse-names&quot;:false,&quot;dropping-particle&quot;:&quot;&quot;,&quot;non-dropping-particle&quot;:&quot;&quot;}],&quot;container-title&quot;:&quot;Nature medicine&quot;,&quot;container-title-short&quot;:&quot;Nat Med&quot;,&quot;DOI&quot;:&quot;10.1038/s41591-024-03395-8&quot;,&quot;ISSN&quot;:&quot;1546-170X&quot;,&quot;PMID&quot;:&quot;39500369&quot;,&quot;URL&quot;:&quot;http://www.ncbi.nlm.nih.gov/pubmed/39500369&quot;,&quot;issued&quot;:{&quot;date-parts&quot;:[[2024,11,5]]},&quot;abstract&quot;:&quot;Climate Change has severe and wide-ranging health impacts, especially for vulnerable groups. Despite growing evidence of heat-associated adverse maternal and neonatal health outcomes, there remains a lack of synthesis quantifying associations and identifying specific risk periods. We systematically reviewed the literature on heat impacts on maternal, fetal, and neonatal health, and quantified impacts through meta-analyses. We found 198 studies across66 countries, predominantly high income (63.3%) and temperature climate zones (40.1%), and 23 outcomes. Results showed increased odds of preterm birth of 1.04 (95%CI = 1.03, 1.06; n = 12) per 1°C increase in heat exposure and 1.26 (95%CI = 1.08, 1.47; n = 10) during heatwaves. Similarly high heat exposure increased the risk for stillbirths (OR = 1.13 (95%CI=0.95, 1.34; n = 9)), congenital anomalies (OR=1.48 (95%CI = 1.16, 1.88; n = 6)), and gestational diabetes mellitus (OR = 1.28 (95%CI = 1.05, 1.74; n = 4)). The odds of any obstetric complication increased by 1.25 (95%CI = 1.09, 1.42; n = 11) during heatwaves. Patterns in susceptibility windows varied by condition. The findings were limited by heterogeneity in exposure metrics and study designs. The systematic review demonstrated that escalating heat exposure poses a major threat to maternal and neonatal health, highlighting research priorities, guiding the selection and monitoring of heat-health indicators, and emphasising the need to prioritise maternal and neonatal health in national climate-health programmes.&quot;},&quot;isTemporary&quot;:false},{&quot;id&quot;:&quot;158a4a95-8663-3e4e-929e-de71d06e284d&quot;,&quot;itemData&quot;:{&quot;type&quot;:&quot;article&quot;,&quot;id&quot;:&quot;158a4a95-8663-3e4e-929e-de71d06e284d&quot;,&quot;title&quot;:&quot;An expert review of environmental heat exposure and stillbirth in the face of climate change: Clinical implications and priority issues&quot;,&quot;author&quot;:[{&quot;family&quot;:&quot;Bonell&quot;,&quot;given&quot;:&quot;Ana&quot;,&quot;parse-names&quot;:false,&quot;dropping-particle&quot;:&quot;&quot;,&quot;non-dropping-particle&quot;:&quot;&quot;},{&quot;family&quot;:&quot;Part&quot;,&quot;given&quot;:&quot;Cherie&quot;,&quot;parse-names&quot;:false,&quot;dropping-particle&quot;:&quot;&quot;,&quot;non-dropping-particle&quot;:&quot;&quot;},{&quot;family&quot;:&quot;Okomo&quot;,&quot;given&quot;:&quot;Uduak&quot;,&quot;parse-names&quot;:false,&quot;dropping-particle&quot;:&quot;&quot;,&quot;non-dropping-particle&quot;:&quot;&quot;},{&quot;family&quot;:&quot;Cole&quot;,&quot;given&quot;:&quot;Rebecca&quot;,&quot;parse-names&quot;:false,&quot;dropping-particle&quot;:&quot;&quot;,&quot;non-dropping-particle&quot;:&quot;&quot;},{&quot;family&quot;:&quot;Hajat&quot;,&quot;given&quot;:&quot;Shakoor&quot;,&quot;parse-names&quot;:false,&quot;dropping-particle&quot;:&quot;&quot;,&quot;non-dropping-particle&quot;:&quot;&quot;},{&quot;family&quot;:&quot;Kovats&quot;,&quot;given&quot;:&quot;Sari&quot;,&quot;parse-names&quot;:false,&quot;dropping-particle&quot;:&quot;&quot;,&quot;non-dropping-particle&quot;:&quot;&quot;},{&quot;family&quot;:&quot;Sferruzzi-Perri&quot;,&quot;given&quot;:&quot;Amanda N.&quot;,&quot;parse-names&quot;:false,&quot;dropping-particle&quot;:&quot;&quot;,&quot;non-dropping-particle&quot;:&quot;&quot;},{&quot;family&quot;:&quot;Hirst&quot;,&quot;given&quot;:&quot;Jane E.&quot;,&quot;parse-names&quot;:false,&quot;dropping-particle&quot;:&quot;&quot;,&quot;non-dropping-particle&quot;:&quot;&quot;}],&quot;container-title&quot;:&quot;BJOG: An International Journal of Obstetrics and Gynaecology&quot;,&quot;container-title-short&quot;:&quot;BJOG&quot;,&quot;DOI&quot;:&quot;10.1111/1471-0528.17622&quot;,&quot;ISSN&quot;:&quot;14710528&quot;,&quot;PMID&quot;:&quot;37501633&quot;,&quot;issued&quot;:{&quot;date-parts&quot;:[[2024,4,1]]},&quot;page&quot;:&quot;623-631&quot;,&quot;abstract&quot;:&quot;Exposure to extreme heat in pregnancy increases the risk of stillbirth. Progress in reducing stillbirth rates has stalled, and populations are increasingly exposed to high temperatures and climate events that may further undermine health strategies. This narrative review summarises the current clinical and epidemiological evidence of the impact of maternal heat exposure on stillbirth risk. Out of 20 studies, 19 found an association between heat and stillbirth risk. Recent studies based in low- to middle-income countries and tropical settings add to the existing literature to demonstrate that all populations are at risk. Additionally, both short-term heat exposure and whole-pregnancy heat exposure increase the risk of stillbirth. A definitive threshold of effect has not been identified, as most studies define exposure as above the 90th centile of the usual temperature for that population. Therefore, the association between heat and stillbirth has been found with exposures from as low as &gt;12.64°C up to &gt;46.4°C. The pathophysiological pathways by which maternal heat exposure may lead to stillbirth, based on human and animal studies, include both placental and embryonic or fetal impacts. Although evidence gaps remain and further research is needed to characterise these mechanistic pathways in more detail, preliminary evidence suggests epigenetic changes, alteration in imprinted genes, congenital abnormalities, reduction in placental blood flow, size and function all play a part. Finally, we explore this topic from a public health perspective; we discuss and evaluate the current public health guidance on minimising the risk of extreme heat in the community. There is limited pregnancy-specific guidance within heatwave planning, and no evidence-based interventions have been established to prevent poor pregnancy outcomes. We highlight priority research questions to move forward in the field and specifically note the urgent need for evidence-based interventions that are sustainable.&quot;,&quot;publisher&quot;:&quot;John Wiley and Sons Inc&quot;,&quot;issue&quot;:&quot;5&quot;,&quot;volume&quot;:&quot;131&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6E46FA692C8B409123027A545F02C9" ma:contentTypeVersion="17" ma:contentTypeDescription="Create a new document." ma:contentTypeScope="" ma:versionID="7afe33701ef1e77ea18cdbc559d81a66">
  <xsd:schema xmlns:xsd="http://www.w3.org/2001/XMLSchema" xmlns:xs="http://www.w3.org/2001/XMLSchema" xmlns:p="http://schemas.microsoft.com/office/2006/metadata/properties" xmlns:ns2="2ab767f7-b55e-4db4-8ff2-0c331604798b" xmlns:ns3="a9607767-fe22-4d91-967b-424446a95422" targetNamespace="http://schemas.microsoft.com/office/2006/metadata/properties" ma:root="true" ma:fieldsID="7a2db5c07bb84e4f221e4c1604359984" ns2:_="" ns3:_="">
    <xsd:import namespace="2ab767f7-b55e-4db4-8ff2-0c331604798b"/>
    <xsd:import namespace="a9607767-fe22-4d91-967b-424446a9542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767f7-b55e-4db4-8ff2-0c3316047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9bb814-139f-4039-9463-697760f06a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607767-fe22-4d91-967b-424446a9542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52591e3-a34a-4dc5-b0dc-d076a7dffb5f}" ma:internalName="TaxCatchAll" ma:showField="CatchAllData" ma:web="a9607767-fe22-4d91-967b-424446a9542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b767f7-b55e-4db4-8ff2-0c331604798b">
      <Terms xmlns="http://schemas.microsoft.com/office/infopath/2007/PartnerControls"/>
    </lcf76f155ced4ddcb4097134ff3c332f>
    <TaxCatchAll xmlns="a9607767-fe22-4d91-967b-424446a954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58582-B2D5-7B40-9142-E8B557A43ADD}">
  <ds:schemaRefs>
    <ds:schemaRef ds:uri="http://schemas.openxmlformats.org/officeDocument/2006/bibliography"/>
  </ds:schemaRefs>
</ds:datastoreItem>
</file>

<file path=customXml/itemProps2.xml><?xml version="1.0" encoding="utf-8"?>
<ds:datastoreItem xmlns:ds="http://schemas.openxmlformats.org/officeDocument/2006/customXml" ds:itemID="{D2594409-5C0B-476F-AF5C-CCF23F182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767f7-b55e-4db4-8ff2-0c331604798b"/>
    <ds:schemaRef ds:uri="a9607767-fe22-4d91-967b-424446a95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3A3DF-9954-46BB-8C64-9BB04A0DEC08}">
  <ds:schemaRefs>
    <ds:schemaRef ds:uri="http://schemas.microsoft.com/office/2006/metadata/properties"/>
    <ds:schemaRef ds:uri="http://schemas.microsoft.com/office/infopath/2007/PartnerControls"/>
    <ds:schemaRef ds:uri="2ab767f7-b55e-4db4-8ff2-0c331604798b"/>
    <ds:schemaRef ds:uri="a9607767-fe22-4d91-967b-424446a95422"/>
  </ds:schemaRefs>
</ds:datastoreItem>
</file>

<file path=customXml/itemProps4.xml><?xml version="1.0" encoding="utf-8"?>
<ds:datastoreItem xmlns:ds="http://schemas.openxmlformats.org/officeDocument/2006/customXml" ds:itemID="{2CAD7D19-177A-457D-A9F4-4AA3D77295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12031</Words>
  <Characters>68580</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Holvoet</dc:creator>
  <cp:keywords/>
  <dc:description/>
  <cp:lastModifiedBy>Eline Holvoet</cp:lastModifiedBy>
  <cp:revision>3</cp:revision>
  <cp:lastPrinted>2025-12-08T11:50:00Z</cp:lastPrinted>
  <dcterms:created xsi:type="dcterms:W3CDTF">2025-12-15T15:02:00Z</dcterms:created>
  <dcterms:modified xsi:type="dcterms:W3CDTF">2025-12-15T15:03:00Z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0x010100906E46FA692C8B409123027A545F02C9</vt:lpwstr>
  </property>
  <property fmtid="{D5CDD505-2E9C-101B-9397-08002B2CF9AE}" pid="3" name="MediaServiceImageTags">
    <vt:lpwstr/>
  </property>
</Properties>
</file>