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BC0" w:rsidRPr="00E631E1" w:rsidRDefault="00E4279B">
      <w:pPr>
        <w:rPr>
          <w:rFonts w:ascii="Arial" w:hAnsi="Arial" w:cs="Arial"/>
          <w:b/>
        </w:rPr>
      </w:pPr>
      <w:r w:rsidRPr="00E631E1">
        <w:rPr>
          <w:rFonts w:ascii="Arial" w:hAnsi="Arial" w:cs="Arial"/>
          <w:b/>
        </w:rPr>
        <w:t>Digitaler Anhang</w:t>
      </w:r>
    </w:p>
    <w:p w:rsidR="00E4279B" w:rsidRPr="00E631E1" w:rsidRDefault="00E631E1">
      <w:pPr>
        <w:rPr>
          <w:rFonts w:ascii="Arial" w:hAnsi="Arial" w:cs="Arial"/>
          <w:b/>
        </w:rPr>
      </w:pPr>
      <w:r w:rsidRPr="00E631E1">
        <w:rPr>
          <w:rFonts w:ascii="Arial" w:hAnsi="Arial" w:cs="Arial"/>
          <w:b/>
        </w:rPr>
        <w:t>Detaillierte Übersicht zur Forschungslage im Bereich Interessensförderung</w:t>
      </w:r>
      <w:r w:rsidR="00E4279B" w:rsidRPr="00E631E1">
        <w:rPr>
          <w:rFonts w:ascii="Arial" w:hAnsi="Arial" w:cs="Arial"/>
          <w:b/>
        </w:rPr>
        <w:t xml:space="preserve"> </w:t>
      </w:r>
    </w:p>
    <w:p w:rsidR="00E4279B" w:rsidRPr="00E4279B" w:rsidRDefault="00E4279B" w:rsidP="00E631E1">
      <w:pPr>
        <w:pStyle w:val="Beschriftung"/>
        <w:jc w:val="both"/>
      </w:pPr>
      <w:r w:rsidRPr="00E4279B">
        <w:t xml:space="preserve">Tab. </w:t>
      </w:r>
      <w:r w:rsidR="00C16A34">
        <w:rPr>
          <w:noProof/>
        </w:rPr>
        <w:fldChar w:fldCharType="begin"/>
      </w:r>
      <w:r w:rsidR="00C16A34">
        <w:rPr>
          <w:noProof/>
        </w:rPr>
        <w:instrText xml:space="preserve"> SEQ Tab. \* ARABIC </w:instrText>
      </w:r>
      <w:r w:rsidR="00C16A34">
        <w:rPr>
          <w:noProof/>
        </w:rPr>
        <w:fldChar w:fldCharType="separate"/>
      </w:r>
      <w:r w:rsidR="00022A02">
        <w:rPr>
          <w:noProof/>
        </w:rPr>
        <w:t>1</w:t>
      </w:r>
      <w:r w:rsidR="00C16A34">
        <w:rPr>
          <w:noProof/>
        </w:rPr>
        <w:fldChar w:fldCharType="end"/>
      </w:r>
      <w:r w:rsidRPr="00E4279B">
        <w:t xml:space="preserve">: Zusammenfassung der Forschungslage zu Interessenstriggern; alle Studien beziehen sich auf </w:t>
      </w:r>
      <w:r w:rsidR="00E631E1" w:rsidRPr="00E4279B">
        <w:t>naturwissenschaftlichen</w:t>
      </w:r>
      <w:r w:rsidRPr="00E4279B">
        <w:t xml:space="preserve"> Unterricht; </w:t>
      </w:r>
      <w:r>
        <w:t>[A]</w:t>
      </w:r>
      <w:r w:rsidRPr="00E4279B">
        <w:t xml:space="preserve">  = post-hoc Analyse von Unterricht, </w:t>
      </w:r>
      <w:r>
        <w:t>[B]</w:t>
      </w:r>
      <w:r w:rsidRPr="00E4279B">
        <w:t xml:space="preserve"> = Review oder </w:t>
      </w:r>
      <w:proofErr w:type="spellStart"/>
      <w:r w:rsidRPr="00E4279B">
        <w:t>Scoping</w:t>
      </w:r>
      <w:proofErr w:type="spellEnd"/>
      <w:r w:rsidRPr="00E4279B">
        <w:t xml:space="preserve"> Study, [</w:t>
      </w:r>
      <w:r>
        <w:t>C</w:t>
      </w:r>
      <w:r w:rsidRPr="00E4279B">
        <w:t>] = Interventionsstudie</w:t>
      </w:r>
      <w:r>
        <w:t xml:space="preserve">; [1] = Unterrichtsgestaltung, [2] = Lehrmaterialgestaltung, [3] = Beziehung zwischen Lehrkraft und Lernenden bzw. der Lernenden untereinander, [4] = Charakteristika der Lehrkraft, [5] </w:t>
      </w:r>
      <w:r w:rsidR="00F32F47">
        <w:t>= Erfüllung der Grundbedürfnissen nach der Selbstbestimmungstheorie</w:t>
      </w:r>
      <w:r w:rsidR="004752AD">
        <w:t>; die Literaturverweise sind am Ende des digitalen Anhangs zu finden.</w:t>
      </w:r>
      <w:r w:rsidR="00F32F47">
        <w:t xml:space="preserve"> </w:t>
      </w:r>
    </w:p>
    <w:tbl>
      <w:tblPr>
        <w:tblStyle w:val="Tabellenraster5"/>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694"/>
        <w:gridCol w:w="1984"/>
        <w:gridCol w:w="4106"/>
      </w:tblGrid>
      <w:tr w:rsidR="00E4279B" w:rsidRPr="000E319A" w:rsidTr="00E631E1">
        <w:trPr>
          <w:trHeight w:val="279"/>
        </w:trPr>
        <w:tc>
          <w:tcPr>
            <w:tcW w:w="1134" w:type="dxa"/>
            <w:tcBorders>
              <w:top w:val="single" w:sz="4" w:space="0" w:color="auto"/>
              <w:bottom w:val="single" w:sz="4" w:space="0" w:color="auto"/>
            </w:tcBorders>
          </w:tcPr>
          <w:p w:rsidR="00E4279B" w:rsidRPr="00DE6810" w:rsidRDefault="00E4279B" w:rsidP="00E4279B">
            <w:pPr>
              <w:rPr>
                <w:rFonts w:ascii="Arial" w:eastAsiaTheme="minorEastAsia" w:hAnsi="Arial" w:cs="Arial"/>
                <w:b/>
                <w:sz w:val="20"/>
                <w:szCs w:val="20"/>
              </w:rPr>
            </w:pPr>
            <w:r w:rsidRPr="00DE6810">
              <w:rPr>
                <w:rFonts w:ascii="Arial" w:eastAsiaTheme="minorEastAsia" w:hAnsi="Arial" w:cs="Arial"/>
                <w:b/>
                <w:sz w:val="20"/>
                <w:szCs w:val="20"/>
              </w:rPr>
              <w:t>Bereich</w:t>
            </w:r>
          </w:p>
        </w:tc>
        <w:tc>
          <w:tcPr>
            <w:tcW w:w="4678" w:type="dxa"/>
            <w:gridSpan w:val="2"/>
            <w:tcBorders>
              <w:top w:val="single" w:sz="4" w:space="0" w:color="auto"/>
              <w:bottom w:val="single" w:sz="4" w:space="0" w:color="auto"/>
            </w:tcBorders>
          </w:tcPr>
          <w:p w:rsidR="00E4279B" w:rsidRPr="00DE6810" w:rsidRDefault="00E4279B" w:rsidP="00E4279B">
            <w:pPr>
              <w:jc w:val="both"/>
              <w:rPr>
                <w:rFonts w:ascii="Arial" w:eastAsiaTheme="minorEastAsia" w:hAnsi="Arial" w:cs="Arial"/>
                <w:b/>
                <w:sz w:val="20"/>
                <w:szCs w:val="20"/>
              </w:rPr>
            </w:pPr>
            <w:r w:rsidRPr="00DE6810">
              <w:rPr>
                <w:rFonts w:ascii="Arial" w:eastAsiaTheme="minorEastAsia" w:hAnsi="Arial" w:cs="Arial"/>
                <w:b/>
                <w:sz w:val="20"/>
                <w:szCs w:val="20"/>
              </w:rPr>
              <w:t>Trigger</w:t>
            </w:r>
          </w:p>
        </w:tc>
        <w:tc>
          <w:tcPr>
            <w:tcW w:w="4106" w:type="dxa"/>
            <w:tcBorders>
              <w:top w:val="single" w:sz="4" w:space="0" w:color="auto"/>
              <w:bottom w:val="single" w:sz="4" w:space="0" w:color="auto"/>
            </w:tcBorders>
          </w:tcPr>
          <w:p w:rsidR="00E4279B" w:rsidRPr="00DE6810" w:rsidRDefault="00E4279B" w:rsidP="00E4279B">
            <w:pPr>
              <w:jc w:val="both"/>
              <w:rPr>
                <w:rFonts w:ascii="Arial" w:eastAsiaTheme="minorEastAsia" w:hAnsi="Arial" w:cs="Arial"/>
                <w:b/>
                <w:sz w:val="20"/>
                <w:szCs w:val="20"/>
              </w:rPr>
            </w:pPr>
            <w:r w:rsidRPr="00DE6810">
              <w:rPr>
                <w:rFonts w:ascii="Arial" w:eastAsiaTheme="minorEastAsia" w:hAnsi="Arial" w:cs="Arial"/>
                <w:b/>
                <w:sz w:val="20"/>
                <w:szCs w:val="20"/>
              </w:rPr>
              <w:t>Autoren (beispielhafte Nennung)</w:t>
            </w:r>
          </w:p>
        </w:tc>
      </w:tr>
      <w:tr w:rsidR="00E4279B" w:rsidRPr="000E319A" w:rsidTr="00E631E1">
        <w:trPr>
          <w:trHeight w:val="262"/>
        </w:trPr>
        <w:tc>
          <w:tcPr>
            <w:tcW w:w="1134" w:type="dxa"/>
            <w:vMerge w:val="restart"/>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[1]</w:t>
            </w:r>
          </w:p>
        </w:tc>
        <w:tc>
          <w:tcPr>
            <w:tcW w:w="4678" w:type="dxa"/>
            <w:gridSpan w:val="2"/>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Visuelle Stimuli</w:t>
            </w:r>
          </w:p>
        </w:tc>
        <w:tc>
          <w:tcPr>
            <w:tcW w:w="4106" w:type="dxa"/>
            <w:tcBorders>
              <w:top w:val="single" w:sz="4" w:space="0" w:color="auto"/>
            </w:tcBorders>
          </w:tcPr>
          <w:p w:rsidR="00E4279B" w:rsidRPr="00DE6810" w:rsidRDefault="00E631E1" w:rsidP="00B6571F">
            <w:pPr>
              <w:jc w:val="both"/>
              <w:rPr>
                <w:rFonts w:ascii="Arial" w:eastAsiaTheme="minorEastAsia" w:hAnsi="Arial" w:cs="Arial"/>
                <w:sz w:val="20"/>
                <w:szCs w:val="20"/>
              </w:rPr>
            </w:pPr>
            <w:proofErr w:type="spellStart"/>
            <w:r w:rsidRPr="00DE6810">
              <w:rPr>
                <w:rFonts w:ascii="Arial" w:eastAsiaTheme="minorEastAsia" w:hAnsi="Arial" w:cs="Arial"/>
                <w:sz w:val="20"/>
                <w:szCs w:val="20"/>
              </w:rPr>
              <w:t>Hulleman</w:t>
            </w:r>
            <w:proofErr w:type="spellEnd"/>
            <w:r w:rsidRPr="00DE6810">
              <w:rPr>
                <w:rFonts w:ascii="Arial" w:eastAsiaTheme="minorEastAsia" w:hAnsi="Arial" w:cs="Arial"/>
                <w:sz w:val="20"/>
                <w:szCs w:val="20"/>
              </w:rPr>
              <w:t xml:space="preserve"> und Harackiewicz 2009 </w:t>
            </w:r>
            <w:r w:rsidR="00E4279B" w:rsidRPr="00DE6810">
              <w:rPr>
                <w:rFonts w:ascii="Arial" w:eastAsiaTheme="minorEastAsia" w:hAnsi="Arial" w:cs="Arial"/>
                <w:sz w:val="20"/>
                <w:szCs w:val="20"/>
              </w:rPr>
              <w:t>[B]</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Borders>
              <w:bottom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 xml:space="preserve">Einfache Gestaltung von naturwissenschaftlichen Texten </w:t>
            </w:r>
          </w:p>
        </w:tc>
        <w:tc>
          <w:tcPr>
            <w:tcW w:w="4106" w:type="dxa"/>
            <w:tcBorders>
              <w:bottom w:val="single" w:sz="4" w:space="0" w:color="auto"/>
            </w:tcBorders>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Hong und Lin-Siegler 2011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Klare Instruktionen</w:t>
            </w:r>
          </w:p>
        </w:tc>
        <w:tc>
          <w:tcPr>
            <w:tcW w:w="4106" w:type="dxa"/>
            <w:tcBorders>
              <w:top w:val="single" w:sz="4" w:space="0" w:color="auto"/>
            </w:tcBorders>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Renninger und </w:t>
            </w:r>
            <w:proofErr w:type="spellStart"/>
            <w:r w:rsidRPr="00DE6810">
              <w:rPr>
                <w:rFonts w:ascii="Arial" w:eastAsiaTheme="minorEastAsia" w:hAnsi="Arial" w:cs="Arial"/>
                <w:sz w:val="20"/>
                <w:szCs w:val="20"/>
              </w:rPr>
              <w:t>Bachrach</w:t>
            </w:r>
            <w:proofErr w:type="spellEnd"/>
            <w:r w:rsidRPr="00DE6810">
              <w:rPr>
                <w:rFonts w:ascii="Arial" w:eastAsiaTheme="minorEastAsia" w:hAnsi="Arial" w:cs="Arial"/>
                <w:sz w:val="20"/>
                <w:szCs w:val="20"/>
              </w:rPr>
              <w:t xml:space="preserve"> 2015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angemessenes Unterrichtstempo</w:t>
            </w:r>
          </w:p>
        </w:tc>
        <w:tc>
          <w:tcPr>
            <w:tcW w:w="4106" w:type="dxa"/>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Logan und </w:t>
            </w:r>
            <w:proofErr w:type="spellStart"/>
            <w:r w:rsidRPr="00DE6810">
              <w:rPr>
                <w:rFonts w:ascii="Arial" w:eastAsiaTheme="minorEastAsia" w:hAnsi="Arial" w:cs="Arial"/>
                <w:sz w:val="20"/>
                <w:szCs w:val="20"/>
              </w:rPr>
              <w:t>Skamp</w:t>
            </w:r>
            <w:proofErr w:type="spellEnd"/>
            <w:r w:rsidRPr="00DE6810">
              <w:rPr>
                <w:rFonts w:ascii="Arial" w:eastAsiaTheme="minorEastAsia" w:hAnsi="Arial" w:cs="Arial"/>
                <w:sz w:val="20"/>
                <w:szCs w:val="20"/>
              </w:rPr>
              <w:t xml:space="preserve"> 2013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Abschreiben minimieren</w:t>
            </w:r>
          </w:p>
        </w:tc>
        <w:tc>
          <w:tcPr>
            <w:tcW w:w="4106" w:type="dxa"/>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Logan und </w:t>
            </w:r>
            <w:proofErr w:type="spellStart"/>
            <w:r w:rsidRPr="00DE6810">
              <w:rPr>
                <w:rFonts w:ascii="Arial" w:eastAsiaTheme="minorEastAsia" w:hAnsi="Arial" w:cs="Arial"/>
                <w:sz w:val="20"/>
                <w:szCs w:val="20"/>
              </w:rPr>
              <w:t>Skamp</w:t>
            </w:r>
            <w:proofErr w:type="spellEnd"/>
            <w:r w:rsidRPr="00DE6810">
              <w:rPr>
                <w:rFonts w:ascii="Arial" w:eastAsiaTheme="minorEastAsia" w:hAnsi="Arial" w:cs="Arial"/>
                <w:sz w:val="20"/>
                <w:szCs w:val="20"/>
              </w:rPr>
              <w:t xml:space="preserve"> 2013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Borders>
              <w:bottom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angemessenes Anforderungsniveau</w:t>
            </w:r>
          </w:p>
        </w:tc>
        <w:tc>
          <w:tcPr>
            <w:tcW w:w="4106" w:type="dxa"/>
            <w:tcBorders>
              <w:bottom w:val="single" w:sz="4" w:space="0" w:color="auto"/>
            </w:tcBorders>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Renninger und </w:t>
            </w:r>
            <w:proofErr w:type="spellStart"/>
            <w:r w:rsidRPr="00DE6810">
              <w:rPr>
                <w:rFonts w:ascii="Arial" w:eastAsiaTheme="minorEastAsia" w:hAnsi="Arial" w:cs="Arial"/>
                <w:sz w:val="20"/>
                <w:szCs w:val="20"/>
              </w:rPr>
              <w:t>Bachrach</w:t>
            </w:r>
            <w:proofErr w:type="spellEnd"/>
            <w:r w:rsidRPr="00DE6810">
              <w:rPr>
                <w:rFonts w:ascii="Arial" w:eastAsiaTheme="minorEastAsia" w:hAnsi="Arial" w:cs="Arial"/>
                <w:sz w:val="20"/>
                <w:szCs w:val="20"/>
              </w:rPr>
              <w:t xml:space="preserve"> 2015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Problembasierte Unterrichtsansätze</w:t>
            </w:r>
          </w:p>
        </w:tc>
        <w:tc>
          <w:tcPr>
            <w:tcW w:w="4106" w:type="dxa"/>
            <w:tcBorders>
              <w:top w:val="single" w:sz="4" w:space="0" w:color="auto"/>
            </w:tcBorders>
          </w:tcPr>
          <w:p w:rsidR="00E4279B" w:rsidRPr="00DE6810" w:rsidRDefault="005B5A33" w:rsidP="00675ECD">
            <w:pPr>
              <w:jc w:val="both"/>
              <w:rPr>
                <w:rFonts w:ascii="Arial" w:eastAsiaTheme="minorEastAsia" w:hAnsi="Arial" w:cs="Arial"/>
                <w:sz w:val="20"/>
                <w:szCs w:val="20"/>
              </w:rPr>
            </w:pPr>
            <w:r w:rsidRPr="00DE6810">
              <w:rPr>
                <w:rFonts w:ascii="Arial" w:eastAsiaTheme="minorEastAsia" w:hAnsi="Arial" w:cs="Arial"/>
                <w:sz w:val="20"/>
                <w:szCs w:val="20"/>
              </w:rPr>
              <w:t>Knogler et al. 2015</w:t>
            </w:r>
            <w:r w:rsidR="00E4279B" w:rsidRPr="00DE6810">
              <w:rPr>
                <w:rFonts w:ascii="Arial" w:eastAsiaTheme="minorEastAsia" w:hAnsi="Arial" w:cs="Arial"/>
                <w:sz w:val="20"/>
                <w:szCs w:val="20"/>
              </w:rPr>
              <w:t xml:space="preserve"> [</w:t>
            </w:r>
            <w:r w:rsidR="00675ECD" w:rsidRPr="00DE6810">
              <w:rPr>
                <w:rFonts w:ascii="Arial" w:eastAsiaTheme="minorEastAsia" w:hAnsi="Arial" w:cs="Arial"/>
                <w:sz w:val="20"/>
                <w:szCs w:val="20"/>
              </w:rPr>
              <w:t>C</w:t>
            </w:r>
            <w:r w:rsidR="00E4279B" w:rsidRPr="00DE6810">
              <w:rPr>
                <w:rFonts w:ascii="Arial" w:eastAsiaTheme="minorEastAsia" w:hAnsi="Arial" w:cs="Arial"/>
                <w:sz w:val="20"/>
                <w:szCs w:val="20"/>
              </w:rPr>
              <w:t>]</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Forschendes Lernen</w:t>
            </w:r>
          </w:p>
        </w:tc>
        <w:tc>
          <w:tcPr>
            <w:tcW w:w="4106" w:type="dxa"/>
          </w:tcPr>
          <w:p w:rsidR="00E4279B" w:rsidRPr="00DE6810" w:rsidRDefault="00E4279B" w:rsidP="00E4279B">
            <w:pPr>
              <w:jc w:val="both"/>
              <w:rPr>
                <w:rFonts w:ascii="Arial" w:eastAsiaTheme="minorEastAsia" w:hAnsi="Arial" w:cs="Arial"/>
                <w:sz w:val="20"/>
                <w:szCs w:val="20"/>
              </w:rPr>
            </w:pPr>
            <w:proofErr w:type="spellStart"/>
            <w:r w:rsidRPr="00DE6810">
              <w:rPr>
                <w:rFonts w:ascii="Arial" w:eastAsiaTheme="minorEastAsia" w:hAnsi="Arial" w:cs="Arial"/>
                <w:sz w:val="20"/>
                <w:szCs w:val="20"/>
              </w:rPr>
              <w:t>Swarat</w:t>
            </w:r>
            <w:proofErr w:type="spellEnd"/>
            <w:r w:rsidRPr="00DE6810">
              <w:rPr>
                <w:rFonts w:ascii="Arial" w:eastAsiaTheme="minorEastAsia" w:hAnsi="Arial" w:cs="Arial"/>
                <w:sz w:val="20"/>
                <w:szCs w:val="20"/>
              </w:rPr>
              <w:t xml:space="preserve"> et al. 2012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Projektarbeit</w:t>
            </w:r>
          </w:p>
        </w:tc>
        <w:tc>
          <w:tcPr>
            <w:tcW w:w="4106" w:type="dxa"/>
          </w:tcPr>
          <w:p w:rsidR="00E4279B" w:rsidRPr="00DE6810" w:rsidRDefault="00E4279B" w:rsidP="00E4279B">
            <w:pPr>
              <w:jc w:val="both"/>
              <w:rPr>
                <w:rFonts w:ascii="Arial" w:eastAsiaTheme="minorEastAsia" w:hAnsi="Arial" w:cs="Arial"/>
                <w:sz w:val="20"/>
                <w:szCs w:val="20"/>
              </w:rPr>
            </w:pPr>
            <w:proofErr w:type="spellStart"/>
            <w:r w:rsidRPr="00DE6810">
              <w:rPr>
                <w:rFonts w:ascii="Arial" w:eastAsiaTheme="minorEastAsia" w:hAnsi="Arial" w:cs="Arial"/>
                <w:sz w:val="20"/>
                <w:szCs w:val="20"/>
              </w:rPr>
              <w:t>Hulleman</w:t>
            </w:r>
            <w:proofErr w:type="spellEnd"/>
            <w:r w:rsidRPr="00DE6810">
              <w:rPr>
                <w:rFonts w:ascii="Arial" w:eastAsiaTheme="minorEastAsia" w:hAnsi="Arial" w:cs="Arial"/>
                <w:sz w:val="20"/>
                <w:szCs w:val="20"/>
              </w:rPr>
              <w:t xml:space="preserve"> und Harackiewicz 2009 [B]</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Borders>
              <w:bottom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Gruppenarbeit</w:t>
            </w:r>
          </w:p>
        </w:tc>
        <w:tc>
          <w:tcPr>
            <w:tcW w:w="4106" w:type="dxa"/>
            <w:tcBorders>
              <w:bottom w:val="single" w:sz="4" w:space="0" w:color="auto"/>
            </w:tcBorders>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Renninger und </w:t>
            </w:r>
            <w:proofErr w:type="spellStart"/>
            <w:r w:rsidRPr="00DE6810">
              <w:rPr>
                <w:rFonts w:ascii="Arial" w:eastAsiaTheme="minorEastAsia" w:hAnsi="Arial" w:cs="Arial"/>
                <w:sz w:val="20"/>
                <w:szCs w:val="20"/>
              </w:rPr>
              <w:t>Bachrach</w:t>
            </w:r>
            <w:proofErr w:type="spellEnd"/>
            <w:r w:rsidRPr="00DE6810">
              <w:rPr>
                <w:rFonts w:ascii="Arial" w:eastAsiaTheme="minorEastAsia" w:hAnsi="Arial" w:cs="Arial"/>
                <w:sz w:val="20"/>
                <w:szCs w:val="20"/>
              </w:rPr>
              <w:t xml:space="preserve"> 2015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Einsatz moderner Technologien</w:t>
            </w:r>
          </w:p>
        </w:tc>
        <w:tc>
          <w:tcPr>
            <w:tcW w:w="4106" w:type="dxa"/>
            <w:tcBorders>
              <w:top w:val="single" w:sz="4" w:space="0" w:color="auto"/>
            </w:tcBorders>
          </w:tcPr>
          <w:p w:rsidR="00E4279B" w:rsidRPr="00DE6810" w:rsidRDefault="00E4279B" w:rsidP="00E4279B">
            <w:pPr>
              <w:jc w:val="both"/>
              <w:rPr>
                <w:rFonts w:ascii="Arial" w:eastAsiaTheme="minorEastAsia" w:hAnsi="Arial" w:cs="Arial"/>
                <w:sz w:val="20"/>
                <w:szCs w:val="20"/>
              </w:rPr>
            </w:pPr>
            <w:proofErr w:type="spellStart"/>
            <w:r w:rsidRPr="00DE6810">
              <w:rPr>
                <w:rFonts w:ascii="Arial" w:eastAsiaTheme="minorEastAsia" w:hAnsi="Arial" w:cs="Arial"/>
                <w:sz w:val="20"/>
                <w:szCs w:val="20"/>
              </w:rPr>
              <w:t>Swarat</w:t>
            </w:r>
            <w:proofErr w:type="spellEnd"/>
            <w:r w:rsidRPr="00DE6810">
              <w:rPr>
                <w:rFonts w:ascii="Arial" w:eastAsiaTheme="minorEastAsia" w:hAnsi="Arial" w:cs="Arial"/>
                <w:sz w:val="20"/>
                <w:szCs w:val="20"/>
              </w:rPr>
              <w:t xml:space="preserve"> et al. 2012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Variabilität bei der Wahl von Informationsquellen</w:t>
            </w:r>
          </w:p>
        </w:tc>
        <w:tc>
          <w:tcPr>
            <w:tcW w:w="4106" w:type="dxa"/>
          </w:tcPr>
          <w:p w:rsidR="00E4279B" w:rsidRPr="00DE6810" w:rsidRDefault="00E4279B" w:rsidP="00E4279B">
            <w:pPr>
              <w:jc w:val="both"/>
              <w:rPr>
                <w:rFonts w:ascii="Arial" w:eastAsiaTheme="minorEastAsia" w:hAnsi="Arial" w:cs="Arial"/>
                <w:sz w:val="20"/>
                <w:szCs w:val="20"/>
              </w:rPr>
            </w:pPr>
            <w:proofErr w:type="spellStart"/>
            <w:r w:rsidRPr="00DE6810">
              <w:rPr>
                <w:rFonts w:ascii="Arial" w:eastAsiaTheme="minorEastAsia" w:hAnsi="Arial" w:cs="Arial"/>
                <w:sz w:val="20"/>
                <w:szCs w:val="20"/>
              </w:rPr>
              <w:t>Swarat</w:t>
            </w:r>
            <w:proofErr w:type="spellEnd"/>
            <w:r w:rsidRPr="00DE6810">
              <w:rPr>
                <w:rFonts w:ascii="Arial" w:eastAsiaTheme="minorEastAsia" w:hAnsi="Arial" w:cs="Arial"/>
                <w:sz w:val="20"/>
                <w:szCs w:val="20"/>
              </w:rPr>
              <w:t xml:space="preserve"> et al. 2012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Einsatz von Rätseln, Wettbewerben und Spielen</w:t>
            </w:r>
          </w:p>
        </w:tc>
        <w:tc>
          <w:tcPr>
            <w:tcW w:w="4106" w:type="dxa"/>
          </w:tcPr>
          <w:p w:rsidR="00E4279B" w:rsidRPr="00DE6810" w:rsidRDefault="00E631E1" w:rsidP="00B6571F">
            <w:pPr>
              <w:jc w:val="both"/>
              <w:rPr>
                <w:rFonts w:ascii="Arial" w:eastAsiaTheme="minorEastAsia" w:hAnsi="Arial" w:cs="Arial"/>
                <w:sz w:val="20"/>
                <w:szCs w:val="20"/>
              </w:rPr>
            </w:pPr>
            <w:r w:rsidRPr="00DE6810">
              <w:rPr>
                <w:rFonts w:ascii="Arial" w:eastAsiaTheme="minorEastAsia" w:hAnsi="Arial" w:cs="Arial"/>
                <w:sz w:val="20"/>
                <w:szCs w:val="20"/>
              </w:rPr>
              <w:t>Cheung 2017</w:t>
            </w:r>
            <w:r w:rsidR="00E4279B" w:rsidRPr="00DE6810">
              <w:rPr>
                <w:rFonts w:ascii="Arial" w:eastAsiaTheme="minorEastAsia" w:hAnsi="Arial" w:cs="Arial"/>
                <w:sz w:val="20"/>
                <w:szCs w:val="20"/>
              </w:rPr>
              <w:t xml:space="preserve">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investigative Aufgaben</w:t>
            </w:r>
          </w:p>
        </w:tc>
        <w:tc>
          <w:tcPr>
            <w:tcW w:w="4106" w:type="dxa"/>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Logan und </w:t>
            </w:r>
            <w:proofErr w:type="spellStart"/>
            <w:r w:rsidRPr="00DE6810">
              <w:rPr>
                <w:rFonts w:ascii="Arial" w:eastAsiaTheme="minorEastAsia" w:hAnsi="Arial" w:cs="Arial"/>
                <w:sz w:val="20"/>
                <w:szCs w:val="20"/>
              </w:rPr>
              <w:t>Skamp</w:t>
            </w:r>
            <w:proofErr w:type="spellEnd"/>
            <w:r w:rsidRPr="00DE6810">
              <w:rPr>
                <w:rFonts w:ascii="Arial" w:eastAsiaTheme="minorEastAsia" w:hAnsi="Arial" w:cs="Arial"/>
                <w:sz w:val="20"/>
                <w:szCs w:val="20"/>
              </w:rPr>
              <w:t xml:space="preserve"> 2013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Borders>
              <w:bottom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 xml:space="preserve">„Hands-on“-Aktivitäten </w:t>
            </w:r>
          </w:p>
        </w:tc>
        <w:tc>
          <w:tcPr>
            <w:tcW w:w="4106" w:type="dxa"/>
            <w:tcBorders>
              <w:bottom w:val="single" w:sz="4" w:space="0" w:color="auto"/>
            </w:tcBorders>
          </w:tcPr>
          <w:p w:rsidR="00E4279B" w:rsidRPr="00DE6810" w:rsidRDefault="00B6571F" w:rsidP="00B6571F">
            <w:pPr>
              <w:jc w:val="both"/>
              <w:rPr>
                <w:rFonts w:ascii="Arial" w:eastAsiaTheme="minorEastAsia" w:hAnsi="Arial" w:cs="Arial"/>
                <w:sz w:val="20"/>
                <w:szCs w:val="20"/>
              </w:rPr>
            </w:pPr>
            <w:proofErr w:type="spellStart"/>
            <w:r w:rsidRPr="00DE6810">
              <w:rPr>
                <w:rFonts w:ascii="Arial" w:eastAsiaTheme="minorEastAsia" w:hAnsi="Arial" w:cs="Arial"/>
                <w:sz w:val="20"/>
                <w:szCs w:val="20"/>
              </w:rPr>
              <w:t>Shirazi</w:t>
            </w:r>
            <w:proofErr w:type="spellEnd"/>
            <w:r w:rsidRPr="00DE6810">
              <w:rPr>
                <w:rFonts w:ascii="Arial" w:eastAsiaTheme="minorEastAsia" w:hAnsi="Arial" w:cs="Arial"/>
                <w:sz w:val="20"/>
                <w:szCs w:val="20"/>
              </w:rPr>
              <w:t xml:space="preserve"> 2017</w:t>
            </w:r>
            <w:r w:rsidR="00E4279B" w:rsidRPr="00DE6810">
              <w:rPr>
                <w:rFonts w:ascii="Arial" w:eastAsiaTheme="minorEastAsia" w:hAnsi="Arial" w:cs="Arial"/>
                <w:sz w:val="20"/>
                <w:szCs w:val="20"/>
              </w:rPr>
              <w:t xml:space="preserve"> [A]</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 xml:space="preserve">persönliche oder gesellschaftliche Relevanz </w:t>
            </w:r>
          </w:p>
        </w:tc>
        <w:tc>
          <w:tcPr>
            <w:tcW w:w="4106" w:type="dxa"/>
            <w:tcBorders>
              <w:top w:val="single" w:sz="4" w:space="0" w:color="auto"/>
            </w:tcBorders>
          </w:tcPr>
          <w:p w:rsidR="00E4279B" w:rsidRPr="00DE6810" w:rsidRDefault="00E631E1" w:rsidP="00B6571F">
            <w:pPr>
              <w:jc w:val="both"/>
              <w:rPr>
                <w:rFonts w:ascii="Arial" w:eastAsiaTheme="minorEastAsia" w:hAnsi="Arial" w:cs="Arial"/>
                <w:sz w:val="20"/>
                <w:szCs w:val="20"/>
              </w:rPr>
            </w:pPr>
            <w:proofErr w:type="spellStart"/>
            <w:r w:rsidRPr="00DE6810">
              <w:rPr>
                <w:rFonts w:ascii="Arial" w:eastAsiaTheme="minorEastAsia" w:hAnsi="Arial" w:cs="Arial"/>
                <w:sz w:val="20"/>
                <w:szCs w:val="20"/>
              </w:rPr>
              <w:t>Ainley</w:t>
            </w:r>
            <w:proofErr w:type="spellEnd"/>
            <w:r w:rsidRPr="00DE6810">
              <w:rPr>
                <w:rFonts w:ascii="Arial" w:eastAsiaTheme="minorEastAsia" w:hAnsi="Arial" w:cs="Arial"/>
                <w:sz w:val="20"/>
                <w:szCs w:val="20"/>
              </w:rPr>
              <w:t xml:space="preserve"> und </w:t>
            </w:r>
            <w:proofErr w:type="spellStart"/>
            <w:r w:rsidRPr="00DE6810">
              <w:rPr>
                <w:rFonts w:ascii="Arial" w:eastAsiaTheme="minorEastAsia" w:hAnsi="Arial" w:cs="Arial"/>
                <w:sz w:val="20"/>
                <w:szCs w:val="20"/>
              </w:rPr>
              <w:t>Ainley</w:t>
            </w:r>
            <w:proofErr w:type="spellEnd"/>
            <w:r w:rsidRPr="00DE6810">
              <w:rPr>
                <w:rFonts w:ascii="Arial" w:eastAsiaTheme="minorEastAsia" w:hAnsi="Arial" w:cs="Arial"/>
                <w:sz w:val="20"/>
                <w:szCs w:val="20"/>
              </w:rPr>
              <w:t xml:space="preserve"> 2011 </w:t>
            </w:r>
            <w:r w:rsidR="00E4279B" w:rsidRPr="00DE6810">
              <w:rPr>
                <w:rFonts w:ascii="Arial" w:eastAsiaTheme="minorEastAsia" w:hAnsi="Arial" w:cs="Arial"/>
                <w:sz w:val="20"/>
                <w:szCs w:val="20"/>
              </w:rPr>
              <w:t xml:space="preserve"> [A]</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authentische Kontexte</w:t>
            </w:r>
          </w:p>
        </w:tc>
        <w:tc>
          <w:tcPr>
            <w:tcW w:w="4106" w:type="dxa"/>
          </w:tcPr>
          <w:p w:rsidR="00E4279B" w:rsidRPr="00DE6810" w:rsidRDefault="00E631E1" w:rsidP="00B6571F">
            <w:pPr>
              <w:jc w:val="both"/>
              <w:rPr>
                <w:rFonts w:ascii="Arial" w:eastAsiaTheme="minorEastAsia" w:hAnsi="Arial" w:cs="Arial"/>
                <w:sz w:val="20"/>
                <w:szCs w:val="20"/>
              </w:rPr>
            </w:pPr>
            <w:proofErr w:type="spellStart"/>
            <w:r w:rsidRPr="00DE6810">
              <w:rPr>
                <w:rFonts w:ascii="Arial" w:eastAsiaTheme="minorEastAsia" w:hAnsi="Arial" w:cs="Arial"/>
                <w:sz w:val="20"/>
                <w:szCs w:val="20"/>
              </w:rPr>
              <w:t>Sheldrake</w:t>
            </w:r>
            <w:proofErr w:type="spellEnd"/>
            <w:r w:rsidRPr="00DE6810">
              <w:rPr>
                <w:rFonts w:ascii="Arial" w:eastAsiaTheme="minorEastAsia" w:hAnsi="Arial" w:cs="Arial"/>
                <w:sz w:val="20"/>
                <w:szCs w:val="20"/>
              </w:rPr>
              <w:t xml:space="preserve"> et al. 2017</w:t>
            </w:r>
            <w:r w:rsidR="00E4279B" w:rsidRPr="00DE6810">
              <w:rPr>
                <w:rFonts w:ascii="Arial" w:eastAsiaTheme="minorEastAsia" w:hAnsi="Arial" w:cs="Arial"/>
                <w:sz w:val="20"/>
                <w:szCs w:val="20"/>
              </w:rPr>
              <w:t xml:space="preserve"> [A]</w:t>
            </w:r>
          </w:p>
        </w:tc>
      </w:tr>
      <w:tr w:rsidR="00E4279B" w:rsidRPr="000E319A" w:rsidTr="00E631E1">
        <w:trPr>
          <w:trHeight w:val="262"/>
        </w:trPr>
        <w:tc>
          <w:tcPr>
            <w:tcW w:w="1134" w:type="dxa"/>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 xml:space="preserve">Auswahl der Themen </w:t>
            </w:r>
          </w:p>
        </w:tc>
        <w:tc>
          <w:tcPr>
            <w:tcW w:w="4106" w:type="dxa"/>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Wyss et al. 2012 [C]</w:t>
            </w:r>
          </w:p>
        </w:tc>
      </w:tr>
      <w:tr w:rsidR="00E4279B" w:rsidRPr="000E319A" w:rsidTr="00DE6810">
        <w:trPr>
          <w:trHeight w:val="262"/>
        </w:trPr>
        <w:tc>
          <w:tcPr>
            <w:tcW w:w="1134" w:type="dxa"/>
            <w:vMerge w:val="restart"/>
            <w:tcBorders>
              <w:top w:val="single" w:sz="4" w:space="0" w:color="auto"/>
            </w:tcBorders>
          </w:tcPr>
          <w:p w:rsidR="00E4279B" w:rsidRPr="00DE6810" w:rsidRDefault="00E4279B" w:rsidP="00E4279B">
            <w:pPr>
              <w:tabs>
                <w:tab w:val="left" w:pos="780"/>
              </w:tabs>
              <w:rPr>
                <w:rFonts w:ascii="Arial" w:eastAsiaTheme="minorEastAsia" w:hAnsi="Arial" w:cs="Arial"/>
                <w:sz w:val="20"/>
                <w:szCs w:val="20"/>
              </w:rPr>
            </w:pPr>
            <w:r w:rsidRPr="00DE6810">
              <w:rPr>
                <w:rFonts w:ascii="Arial" w:eastAsiaTheme="minorEastAsia" w:hAnsi="Arial" w:cs="Arial"/>
                <w:sz w:val="20"/>
                <w:szCs w:val="20"/>
              </w:rPr>
              <w:t>[2]</w:t>
            </w:r>
            <w:r w:rsidRPr="00DE6810">
              <w:rPr>
                <w:rFonts w:ascii="Arial" w:eastAsiaTheme="minorEastAsia" w:hAnsi="Arial" w:cs="Arial"/>
                <w:sz w:val="20"/>
                <w:szCs w:val="20"/>
              </w:rPr>
              <w:tab/>
            </w:r>
          </w:p>
        </w:tc>
        <w:tc>
          <w:tcPr>
            <w:tcW w:w="2694" w:type="dxa"/>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noProof/>
                <w:sz w:val="20"/>
                <w:szCs w:val="20"/>
                <w:lang w:eastAsia="de-DE"/>
              </w:rPr>
              <mc:AlternateContent>
                <mc:Choice Requires="wps">
                  <w:drawing>
                    <wp:anchor distT="0" distB="0" distL="114300" distR="114300" simplePos="0" relativeHeight="251659264" behindDoc="0" locked="0" layoutInCell="1" allowOverlap="1" wp14:anchorId="4631307A" wp14:editId="681D923B">
                      <wp:simplePos x="0" y="0"/>
                      <wp:positionH relativeFrom="column">
                        <wp:posOffset>1505585</wp:posOffset>
                      </wp:positionH>
                      <wp:positionV relativeFrom="paragraph">
                        <wp:posOffset>10160</wp:posOffset>
                      </wp:positionV>
                      <wp:extent cx="146050" cy="793750"/>
                      <wp:effectExtent l="0" t="0" r="44450" b="25400"/>
                      <wp:wrapNone/>
                      <wp:docPr id="3" name="Geschweifte Klammer rechts 3"/>
                      <wp:cNvGraphicFramePr/>
                      <a:graphic xmlns:a="http://schemas.openxmlformats.org/drawingml/2006/main">
                        <a:graphicData uri="http://schemas.microsoft.com/office/word/2010/wordprocessingShape">
                          <wps:wsp>
                            <wps:cNvSpPr/>
                            <wps:spPr>
                              <a:xfrm>
                                <a:off x="0" y="0"/>
                                <a:ext cx="146050" cy="793750"/>
                              </a:xfrm>
                              <a:prstGeom prst="righ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22B30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3" o:spid="_x0000_s1026" type="#_x0000_t88" style="position:absolute;margin-left:118.55pt;margin-top:.8pt;width:11.5pt;height: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" adj="331" strokecolor="windowText" strokeweight=".5pt">
                      <v:stroke joinstyle="miter"/>
                    </v:shape>
                  </w:pict>
                </mc:Fallback>
              </mc:AlternateContent>
            </w:r>
            <w:r w:rsidRPr="00DE6810">
              <w:rPr>
                <w:rFonts w:ascii="Arial" w:eastAsiaTheme="minorEastAsia" w:hAnsi="Arial" w:cs="Arial"/>
                <w:sz w:val="20"/>
                <w:szCs w:val="20"/>
              </w:rPr>
              <w:t xml:space="preserve">Neuheit </w:t>
            </w:r>
          </w:p>
        </w:tc>
        <w:tc>
          <w:tcPr>
            <w:tcW w:w="1984" w:type="dxa"/>
            <w:vMerge w:val="restart"/>
            <w:tcBorders>
              <w:top w:val="single" w:sz="4" w:space="0" w:color="auto"/>
            </w:tcBorders>
          </w:tcPr>
          <w:p w:rsidR="00E4279B" w:rsidRPr="00DE6810" w:rsidRDefault="00E4279B" w:rsidP="00E4279B">
            <w:pPr>
              <w:rPr>
                <w:rFonts w:ascii="Arial" w:eastAsiaTheme="minorEastAsia" w:hAnsi="Arial" w:cs="Arial"/>
                <w:sz w:val="20"/>
                <w:szCs w:val="20"/>
              </w:rPr>
            </w:pPr>
          </w:p>
          <w:p w:rsidR="00E4279B" w:rsidRPr="00DE6810" w:rsidRDefault="00E4279B" w:rsidP="00E4279B">
            <w:pPr>
              <w:rPr>
                <w:rFonts w:ascii="Arial" w:eastAsiaTheme="minorEastAsia" w:hAnsi="Arial" w:cs="Arial"/>
                <w:sz w:val="20"/>
                <w:szCs w:val="20"/>
              </w:rPr>
            </w:pPr>
          </w:p>
          <w:p w:rsidR="00E4279B" w:rsidRPr="00DE6810" w:rsidRDefault="00E4279B" w:rsidP="00E4279B">
            <w:pPr>
              <w:rPr>
                <w:rFonts w:ascii="Arial" w:eastAsiaTheme="minorEastAsia" w:hAnsi="Arial" w:cs="Arial"/>
                <w:i/>
                <w:sz w:val="20"/>
                <w:szCs w:val="20"/>
              </w:rPr>
            </w:pPr>
            <w:r w:rsidRPr="00DE6810">
              <w:rPr>
                <w:rFonts w:ascii="Arial" w:eastAsiaTheme="minorEastAsia" w:hAnsi="Arial" w:cs="Arial"/>
                <w:sz w:val="20"/>
                <w:szCs w:val="20"/>
              </w:rPr>
              <w:t xml:space="preserve"> </w:t>
            </w:r>
            <w:r w:rsidRPr="00DE6810">
              <w:rPr>
                <w:rFonts w:ascii="Arial" w:eastAsiaTheme="minorEastAsia" w:hAnsi="Arial" w:cs="Arial"/>
                <w:i/>
                <w:sz w:val="20"/>
                <w:szCs w:val="20"/>
              </w:rPr>
              <w:t>„</w:t>
            </w:r>
            <w:proofErr w:type="spellStart"/>
            <w:r w:rsidRPr="00DE6810">
              <w:rPr>
                <w:rFonts w:ascii="Arial" w:eastAsiaTheme="minorEastAsia" w:hAnsi="Arial" w:cs="Arial"/>
                <w:i/>
                <w:sz w:val="20"/>
                <w:szCs w:val="20"/>
              </w:rPr>
              <w:t>Collative</w:t>
            </w:r>
            <w:proofErr w:type="spellEnd"/>
            <w:r w:rsidRPr="00DE6810">
              <w:rPr>
                <w:rFonts w:ascii="Arial" w:eastAsiaTheme="minorEastAsia" w:hAnsi="Arial" w:cs="Arial"/>
                <w:i/>
                <w:sz w:val="20"/>
                <w:szCs w:val="20"/>
              </w:rPr>
              <w:t xml:space="preserve"> Variables“</w:t>
            </w:r>
          </w:p>
          <w:p w:rsidR="00E4279B" w:rsidRPr="00DE6810" w:rsidRDefault="00E4279B" w:rsidP="00E4279B">
            <w:pPr>
              <w:rPr>
                <w:rFonts w:ascii="Arial" w:eastAsiaTheme="minorEastAsia" w:hAnsi="Arial" w:cs="Arial"/>
                <w:sz w:val="20"/>
                <w:szCs w:val="20"/>
              </w:rPr>
            </w:pPr>
          </w:p>
        </w:tc>
        <w:tc>
          <w:tcPr>
            <w:tcW w:w="4106" w:type="dxa"/>
            <w:tcBorders>
              <w:top w:val="single" w:sz="4" w:space="0" w:color="auto"/>
            </w:tcBorders>
          </w:tcPr>
          <w:p w:rsidR="00E4279B" w:rsidRPr="00DE6810" w:rsidRDefault="00675ECD" w:rsidP="00675ECD">
            <w:pPr>
              <w:jc w:val="both"/>
              <w:rPr>
                <w:rFonts w:ascii="Arial" w:eastAsiaTheme="minorEastAsia" w:hAnsi="Arial" w:cs="Arial"/>
                <w:sz w:val="20"/>
                <w:szCs w:val="20"/>
              </w:rPr>
            </w:pPr>
            <w:r w:rsidRPr="00DE6810">
              <w:rPr>
                <w:rFonts w:ascii="Arial" w:eastAsiaTheme="minorEastAsia" w:hAnsi="Arial" w:cs="Arial"/>
                <w:sz w:val="20"/>
                <w:szCs w:val="20"/>
              </w:rPr>
              <w:t>Palmer 2009</w:t>
            </w:r>
            <w:r w:rsidR="00E4279B" w:rsidRPr="00DE6810">
              <w:rPr>
                <w:rFonts w:ascii="Arial" w:eastAsiaTheme="minorEastAsia" w:hAnsi="Arial" w:cs="Arial"/>
                <w:sz w:val="20"/>
                <w:szCs w:val="20"/>
              </w:rPr>
              <w:t xml:space="preserve"> [</w:t>
            </w:r>
            <w:r w:rsidRPr="00DE6810">
              <w:rPr>
                <w:rFonts w:ascii="Arial" w:eastAsiaTheme="minorEastAsia" w:hAnsi="Arial" w:cs="Arial"/>
                <w:sz w:val="20"/>
                <w:szCs w:val="20"/>
              </w:rPr>
              <w:t>C</w:t>
            </w:r>
            <w:r w:rsidR="00E4279B" w:rsidRPr="00DE6810">
              <w:rPr>
                <w:rFonts w:ascii="Arial" w:eastAsiaTheme="minorEastAsia" w:hAnsi="Arial" w:cs="Arial"/>
                <w:sz w:val="20"/>
                <w:szCs w:val="20"/>
              </w:rPr>
              <w:t>]</w:t>
            </w:r>
          </w:p>
        </w:tc>
      </w:tr>
      <w:tr w:rsidR="00E4279B" w:rsidRPr="000E319A" w:rsidTr="00DE6810">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2694" w:type="dxa"/>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Überraschender Inhalt</w:t>
            </w:r>
          </w:p>
        </w:tc>
        <w:tc>
          <w:tcPr>
            <w:tcW w:w="1984" w:type="dxa"/>
            <w:vMerge/>
          </w:tcPr>
          <w:p w:rsidR="00E4279B" w:rsidRPr="00DE6810" w:rsidRDefault="00E4279B" w:rsidP="00E4279B">
            <w:pPr>
              <w:rPr>
                <w:rFonts w:ascii="Arial" w:eastAsiaTheme="minorEastAsia" w:hAnsi="Arial" w:cs="Arial"/>
                <w:sz w:val="20"/>
                <w:szCs w:val="20"/>
              </w:rPr>
            </w:pPr>
          </w:p>
        </w:tc>
        <w:tc>
          <w:tcPr>
            <w:tcW w:w="4106" w:type="dxa"/>
          </w:tcPr>
          <w:p w:rsidR="00E4279B" w:rsidRPr="00DE6810" w:rsidRDefault="00E631E1" w:rsidP="00B6571F">
            <w:pPr>
              <w:jc w:val="both"/>
              <w:rPr>
                <w:rFonts w:ascii="Arial" w:eastAsiaTheme="minorEastAsia" w:hAnsi="Arial" w:cs="Arial"/>
                <w:sz w:val="20"/>
                <w:szCs w:val="20"/>
              </w:rPr>
            </w:pPr>
            <w:r w:rsidRPr="00DE6810">
              <w:rPr>
                <w:rFonts w:ascii="Arial" w:eastAsiaTheme="minorEastAsia" w:hAnsi="Arial" w:cs="Arial"/>
                <w:sz w:val="20"/>
                <w:szCs w:val="20"/>
              </w:rPr>
              <w:t>Palmer 2009</w:t>
            </w:r>
            <w:r w:rsidR="00E4279B" w:rsidRPr="00DE6810">
              <w:rPr>
                <w:rFonts w:ascii="Arial" w:eastAsiaTheme="minorEastAsia" w:hAnsi="Arial" w:cs="Arial"/>
                <w:sz w:val="20"/>
                <w:szCs w:val="20"/>
              </w:rPr>
              <w:t xml:space="preserve"> [C]</w:t>
            </w:r>
          </w:p>
        </w:tc>
      </w:tr>
      <w:tr w:rsidR="00E4279B" w:rsidRPr="000E319A" w:rsidTr="00DE6810">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2694" w:type="dxa"/>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Komplexität</w:t>
            </w:r>
          </w:p>
        </w:tc>
        <w:tc>
          <w:tcPr>
            <w:tcW w:w="1984" w:type="dxa"/>
            <w:vMerge/>
          </w:tcPr>
          <w:p w:rsidR="00E4279B" w:rsidRPr="00DE6810" w:rsidRDefault="00E4279B" w:rsidP="00E4279B">
            <w:pPr>
              <w:rPr>
                <w:rFonts w:ascii="Arial" w:eastAsiaTheme="minorEastAsia" w:hAnsi="Arial" w:cs="Arial"/>
                <w:sz w:val="20"/>
                <w:szCs w:val="20"/>
              </w:rPr>
            </w:pPr>
          </w:p>
        </w:tc>
        <w:tc>
          <w:tcPr>
            <w:tcW w:w="4106" w:type="dxa"/>
          </w:tcPr>
          <w:p w:rsidR="00E4279B" w:rsidRPr="00DE6810" w:rsidRDefault="00E4279B" w:rsidP="00E4279B">
            <w:pPr>
              <w:jc w:val="both"/>
              <w:rPr>
                <w:rFonts w:ascii="Arial" w:eastAsiaTheme="minorEastAsia" w:hAnsi="Arial" w:cs="Arial"/>
                <w:sz w:val="20"/>
                <w:szCs w:val="20"/>
              </w:rPr>
            </w:pPr>
            <w:proofErr w:type="spellStart"/>
            <w:r w:rsidRPr="00DE6810">
              <w:rPr>
                <w:rFonts w:ascii="Arial" w:eastAsiaTheme="minorEastAsia" w:hAnsi="Arial" w:cs="Arial"/>
                <w:sz w:val="20"/>
                <w:szCs w:val="20"/>
              </w:rPr>
              <w:t>Loukomies</w:t>
            </w:r>
            <w:proofErr w:type="spellEnd"/>
            <w:r w:rsidRPr="00DE6810">
              <w:rPr>
                <w:rFonts w:ascii="Arial" w:eastAsiaTheme="minorEastAsia" w:hAnsi="Arial" w:cs="Arial"/>
                <w:sz w:val="20"/>
                <w:szCs w:val="20"/>
              </w:rPr>
              <w:t xml:space="preserve"> et al. 2013 [C]</w:t>
            </w:r>
          </w:p>
        </w:tc>
      </w:tr>
      <w:tr w:rsidR="00E4279B" w:rsidRPr="000E319A" w:rsidTr="00DE6810">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2694" w:type="dxa"/>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Spannung</w:t>
            </w:r>
          </w:p>
        </w:tc>
        <w:tc>
          <w:tcPr>
            <w:tcW w:w="1984" w:type="dxa"/>
            <w:vMerge/>
          </w:tcPr>
          <w:p w:rsidR="00E4279B" w:rsidRPr="00DE6810" w:rsidRDefault="00E4279B" w:rsidP="00E4279B">
            <w:pPr>
              <w:rPr>
                <w:rFonts w:ascii="Arial" w:eastAsiaTheme="minorEastAsia" w:hAnsi="Arial" w:cs="Arial"/>
                <w:sz w:val="20"/>
                <w:szCs w:val="20"/>
              </w:rPr>
            </w:pPr>
          </w:p>
        </w:tc>
        <w:tc>
          <w:tcPr>
            <w:tcW w:w="4106" w:type="dxa"/>
          </w:tcPr>
          <w:p w:rsidR="00E4279B" w:rsidRPr="00DE6810" w:rsidRDefault="00675ECD" w:rsidP="00E4279B">
            <w:pPr>
              <w:jc w:val="both"/>
              <w:rPr>
                <w:rFonts w:ascii="Arial" w:eastAsiaTheme="minorEastAsia" w:hAnsi="Arial" w:cs="Arial"/>
                <w:sz w:val="20"/>
                <w:szCs w:val="20"/>
              </w:rPr>
            </w:pPr>
            <w:r w:rsidRPr="00DE6810">
              <w:rPr>
                <w:rFonts w:ascii="Arial" w:eastAsiaTheme="minorEastAsia" w:hAnsi="Arial" w:cs="Arial"/>
                <w:sz w:val="20"/>
                <w:szCs w:val="20"/>
              </w:rPr>
              <w:t>Palmer</w:t>
            </w:r>
            <w:r w:rsidR="00E4279B" w:rsidRPr="00DE6810">
              <w:rPr>
                <w:rFonts w:ascii="Arial" w:eastAsiaTheme="minorEastAsia" w:hAnsi="Arial" w:cs="Arial"/>
                <w:sz w:val="20"/>
                <w:szCs w:val="20"/>
              </w:rPr>
              <w:t xml:space="preserve"> [</w:t>
            </w:r>
            <w:r w:rsidRPr="00DE6810">
              <w:rPr>
                <w:rFonts w:ascii="Arial" w:eastAsiaTheme="minorEastAsia" w:hAnsi="Arial" w:cs="Arial"/>
                <w:sz w:val="20"/>
                <w:szCs w:val="20"/>
              </w:rPr>
              <w:t>C</w:t>
            </w:r>
            <w:r w:rsidR="00E4279B" w:rsidRPr="00DE6810">
              <w:rPr>
                <w:rFonts w:ascii="Arial" w:eastAsiaTheme="minorEastAsia" w:hAnsi="Arial" w:cs="Arial"/>
                <w:sz w:val="20"/>
                <w:szCs w:val="20"/>
              </w:rPr>
              <w:t>]</w:t>
            </w:r>
          </w:p>
        </w:tc>
      </w:tr>
      <w:tr w:rsidR="00E4279B" w:rsidRPr="000E319A" w:rsidTr="00DE6810">
        <w:trPr>
          <w:trHeight w:val="262"/>
        </w:trPr>
        <w:tc>
          <w:tcPr>
            <w:tcW w:w="1134" w:type="dxa"/>
            <w:vMerge/>
            <w:tcBorders>
              <w:bottom w:val="single" w:sz="4" w:space="0" w:color="auto"/>
            </w:tcBorders>
          </w:tcPr>
          <w:p w:rsidR="00E4279B" w:rsidRPr="00DE6810" w:rsidRDefault="00E4279B" w:rsidP="00E4279B">
            <w:pPr>
              <w:rPr>
                <w:rFonts w:ascii="Arial" w:eastAsiaTheme="minorEastAsia" w:hAnsi="Arial" w:cs="Arial"/>
                <w:sz w:val="20"/>
                <w:szCs w:val="20"/>
              </w:rPr>
            </w:pPr>
          </w:p>
        </w:tc>
        <w:tc>
          <w:tcPr>
            <w:tcW w:w="2694" w:type="dxa"/>
            <w:tcBorders>
              <w:bottom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Inkongruenz</w:t>
            </w:r>
          </w:p>
        </w:tc>
        <w:tc>
          <w:tcPr>
            <w:tcW w:w="1984" w:type="dxa"/>
            <w:vMerge/>
            <w:tcBorders>
              <w:bottom w:val="single" w:sz="4" w:space="0" w:color="auto"/>
            </w:tcBorders>
          </w:tcPr>
          <w:p w:rsidR="00E4279B" w:rsidRPr="00DE6810" w:rsidRDefault="00E4279B" w:rsidP="00E4279B">
            <w:pPr>
              <w:rPr>
                <w:rFonts w:ascii="Arial" w:eastAsiaTheme="minorEastAsia" w:hAnsi="Arial" w:cs="Arial"/>
                <w:sz w:val="20"/>
                <w:szCs w:val="20"/>
              </w:rPr>
            </w:pPr>
          </w:p>
        </w:tc>
        <w:tc>
          <w:tcPr>
            <w:tcW w:w="4106" w:type="dxa"/>
            <w:tcBorders>
              <w:bottom w:val="single" w:sz="4" w:space="0" w:color="auto"/>
            </w:tcBorders>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Renninger und </w:t>
            </w:r>
            <w:proofErr w:type="spellStart"/>
            <w:r w:rsidRPr="00DE6810">
              <w:rPr>
                <w:rFonts w:ascii="Arial" w:eastAsiaTheme="minorEastAsia" w:hAnsi="Arial" w:cs="Arial"/>
                <w:sz w:val="20"/>
                <w:szCs w:val="20"/>
              </w:rPr>
              <w:t>Bachrach</w:t>
            </w:r>
            <w:proofErr w:type="spellEnd"/>
            <w:r w:rsidRPr="00DE6810">
              <w:rPr>
                <w:rFonts w:ascii="Arial" w:eastAsiaTheme="minorEastAsia" w:hAnsi="Arial" w:cs="Arial"/>
                <w:sz w:val="20"/>
                <w:szCs w:val="20"/>
              </w:rPr>
              <w:t xml:space="preserve"> 2015 [C]</w:t>
            </w:r>
          </w:p>
        </w:tc>
      </w:tr>
      <w:tr w:rsidR="00E4279B" w:rsidRPr="000E319A" w:rsidTr="00E631E1">
        <w:trPr>
          <w:trHeight w:val="262"/>
        </w:trPr>
        <w:tc>
          <w:tcPr>
            <w:tcW w:w="1134" w:type="dxa"/>
            <w:vMerge w:val="restart"/>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[3]</w:t>
            </w:r>
          </w:p>
        </w:tc>
        <w:tc>
          <w:tcPr>
            <w:tcW w:w="4678" w:type="dxa"/>
            <w:gridSpan w:val="2"/>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Unterstützung durch die Lehrkraft</w:t>
            </w:r>
          </w:p>
        </w:tc>
        <w:tc>
          <w:tcPr>
            <w:tcW w:w="4106" w:type="dxa"/>
            <w:tcBorders>
              <w:top w:val="single" w:sz="4" w:space="0" w:color="auto"/>
            </w:tcBorders>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Logan und </w:t>
            </w:r>
            <w:proofErr w:type="spellStart"/>
            <w:r w:rsidRPr="00DE6810">
              <w:rPr>
                <w:rFonts w:ascii="Arial" w:eastAsiaTheme="minorEastAsia" w:hAnsi="Arial" w:cs="Arial"/>
                <w:sz w:val="20"/>
                <w:szCs w:val="20"/>
              </w:rPr>
              <w:t>Skamp</w:t>
            </w:r>
            <w:proofErr w:type="spellEnd"/>
            <w:r w:rsidRPr="00DE6810">
              <w:rPr>
                <w:rFonts w:ascii="Arial" w:eastAsiaTheme="minorEastAsia" w:hAnsi="Arial" w:cs="Arial"/>
                <w:sz w:val="20"/>
                <w:szCs w:val="20"/>
              </w:rPr>
              <w:t xml:space="preserve"> 2013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 xml:space="preserve">Feedback durch die Lehrkraft </w:t>
            </w:r>
          </w:p>
        </w:tc>
        <w:tc>
          <w:tcPr>
            <w:tcW w:w="4106" w:type="dxa"/>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Matthews 2004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positive Beziehung</w:t>
            </w:r>
          </w:p>
        </w:tc>
        <w:tc>
          <w:tcPr>
            <w:tcW w:w="4106" w:type="dxa"/>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Hong und Lin-Siegler 2011 [C]</w:t>
            </w:r>
          </w:p>
        </w:tc>
      </w:tr>
      <w:tr w:rsidR="00E4279B" w:rsidRPr="000E319A" w:rsidTr="00E631E1">
        <w:trPr>
          <w:trHeight w:val="262"/>
        </w:trPr>
        <w:tc>
          <w:tcPr>
            <w:tcW w:w="1134" w:type="dxa"/>
            <w:vMerge/>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Vertrauen der Lernenden in die Lehrkraft</w:t>
            </w:r>
          </w:p>
        </w:tc>
        <w:tc>
          <w:tcPr>
            <w:tcW w:w="4106" w:type="dxa"/>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Jack und Lin 2017 [B]</w:t>
            </w:r>
          </w:p>
        </w:tc>
      </w:tr>
      <w:tr w:rsidR="00E4279B" w:rsidRPr="000E319A" w:rsidTr="00E631E1">
        <w:trPr>
          <w:trHeight w:val="262"/>
        </w:trPr>
        <w:tc>
          <w:tcPr>
            <w:tcW w:w="1134" w:type="dxa"/>
            <w:vMerge/>
            <w:tcBorders>
              <w:bottom w:val="single" w:sz="4" w:space="0" w:color="auto"/>
            </w:tcBorders>
          </w:tcPr>
          <w:p w:rsidR="00E4279B" w:rsidRPr="00DE6810" w:rsidRDefault="00E4279B" w:rsidP="00E4279B">
            <w:pPr>
              <w:rPr>
                <w:rFonts w:ascii="Arial" w:eastAsiaTheme="minorEastAsia" w:hAnsi="Arial" w:cs="Arial"/>
                <w:sz w:val="20"/>
                <w:szCs w:val="20"/>
              </w:rPr>
            </w:pPr>
          </w:p>
        </w:tc>
        <w:tc>
          <w:tcPr>
            <w:tcW w:w="4678" w:type="dxa"/>
            <w:gridSpan w:val="2"/>
            <w:tcBorders>
              <w:bottom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 xml:space="preserve">entspannte Unterrichtsatmosphäre </w:t>
            </w:r>
          </w:p>
        </w:tc>
        <w:tc>
          <w:tcPr>
            <w:tcW w:w="4106" w:type="dxa"/>
            <w:tcBorders>
              <w:bottom w:val="single" w:sz="4" w:space="0" w:color="auto"/>
            </w:tcBorders>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Logan und </w:t>
            </w:r>
            <w:proofErr w:type="spellStart"/>
            <w:r w:rsidRPr="00DE6810">
              <w:rPr>
                <w:rFonts w:ascii="Arial" w:eastAsiaTheme="minorEastAsia" w:hAnsi="Arial" w:cs="Arial"/>
                <w:sz w:val="20"/>
                <w:szCs w:val="20"/>
              </w:rPr>
              <w:t>Skamp</w:t>
            </w:r>
            <w:proofErr w:type="spellEnd"/>
            <w:r w:rsidRPr="00DE6810">
              <w:rPr>
                <w:rFonts w:ascii="Arial" w:eastAsiaTheme="minorEastAsia" w:hAnsi="Arial" w:cs="Arial"/>
                <w:sz w:val="20"/>
                <w:szCs w:val="20"/>
              </w:rPr>
              <w:t xml:space="preserve"> 2013 [C]</w:t>
            </w:r>
          </w:p>
        </w:tc>
      </w:tr>
      <w:tr w:rsidR="00E4279B" w:rsidRPr="000E319A" w:rsidTr="00E631E1">
        <w:trPr>
          <w:trHeight w:val="262"/>
        </w:trPr>
        <w:tc>
          <w:tcPr>
            <w:tcW w:w="1134" w:type="dxa"/>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[4]</w:t>
            </w:r>
          </w:p>
        </w:tc>
        <w:tc>
          <w:tcPr>
            <w:tcW w:w="4678" w:type="dxa"/>
            <w:gridSpan w:val="2"/>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Humor</w:t>
            </w:r>
          </w:p>
        </w:tc>
        <w:tc>
          <w:tcPr>
            <w:tcW w:w="4106" w:type="dxa"/>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Logan und </w:t>
            </w:r>
            <w:proofErr w:type="spellStart"/>
            <w:r w:rsidRPr="00DE6810">
              <w:rPr>
                <w:rFonts w:ascii="Arial" w:eastAsiaTheme="minorEastAsia" w:hAnsi="Arial" w:cs="Arial"/>
                <w:sz w:val="20"/>
                <w:szCs w:val="20"/>
              </w:rPr>
              <w:t>Skamp</w:t>
            </w:r>
            <w:proofErr w:type="spellEnd"/>
            <w:r w:rsidRPr="00DE6810">
              <w:rPr>
                <w:rFonts w:ascii="Arial" w:eastAsiaTheme="minorEastAsia" w:hAnsi="Arial" w:cs="Arial"/>
                <w:sz w:val="20"/>
                <w:szCs w:val="20"/>
              </w:rPr>
              <w:t xml:space="preserve"> 2013 [C]</w:t>
            </w:r>
          </w:p>
        </w:tc>
      </w:tr>
      <w:tr w:rsidR="00E4279B" w:rsidRPr="000E319A" w:rsidTr="00E631E1">
        <w:trPr>
          <w:trHeight w:val="262"/>
        </w:trPr>
        <w:tc>
          <w:tcPr>
            <w:tcW w:w="1134" w:type="dxa"/>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Phantasie</w:t>
            </w:r>
          </w:p>
        </w:tc>
        <w:tc>
          <w:tcPr>
            <w:tcW w:w="4106" w:type="dxa"/>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 xml:space="preserve">Renninger und </w:t>
            </w:r>
            <w:proofErr w:type="spellStart"/>
            <w:r w:rsidRPr="00DE6810">
              <w:rPr>
                <w:rFonts w:ascii="Arial" w:eastAsiaTheme="minorEastAsia" w:hAnsi="Arial" w:cs="Arial"/>
                <w:sz w:val="20"/>
                <w:szCs w:val="20"/>
              </w:rPr>
              <w:t>Bachrach</w:t>
            </w:r>
            <w:proofErr w:type="spellEnd"/>
            <w:r w:rsidRPr="00DE6810">
              <w:rPr>
                <w:rFonts w:ascii="Arial" w:eastAsiaTheme="minorEastAsia" w:hAnsi="Arial" w:cs="Arial"/>
                <w:sz w:val="20"/>
                <w:szCs w:val="20"/>
              </w:rPr>
              <w:t xml:space="preserve"> 2015 [C]</w:t>
            </w:r>
          </w:p>
        </w:tc>
      </w:tr>
      <w:tr w:rsidR="00E4279B" w:rsidRPr="000E319A" w:rsidTr="00E631E1">
        <w:trPr>
          <w:trHeight w:val="262"/>
        </w:trPr>
        <w:tc>
          <w:tcPr>
            <w:tcW w:w="1134" w:type="dxa"/>
            <w:tcBorders>
              <w:bottom w:val="single" w:sz="4" w:space="0" w:color="auto"/>
            </w:tcBorders>
          </w:tcPr>
          <w:p w:rsidR="00E4279B" w:rsidRPr="00DE6810" w:rsidRDefault="00E4279B" w:rsidP="00E4279B">
            <w:pPr>
              <w:rPr>
                <w:rFonts w:ascii="Arial" w:eastAsiaTheme="minorEastAsia" w:hAnsi="Arial" w:cs="Arial"/>
                <w:sz w:val="20"/>
                <w:szCs w:val="20"/>
              </w:rPr>
            </w:pPr>
          </w:p>
        </w:tc>
        <w:tc>
          <w:tcPr>
            <w:tcW w:w="4678" w:type="dxa"/>
            <w:gridSpan w:val="2"/>
            <w:tcBorders>
              <w:bottom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Einbau von persönlichen Anekdoten</w:t>
            </w:r>
          </w:p>
        </w:tc>
        <w:tc>
          <w:tcPr>
            <w:tcW w:w="4106" w:type="dxa"/>
            <w:tcBorders>
              <w:bottom w:val="single" w:sz="4" w:space="0" w:color="auto"/>
            </w:tcBorders>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Jack und Lin 2014 [B]</w:t>
            </w:r>
          </w:p>
        </w:tc>
      </w:tr>
      <w:tr w:rsidR="00E4279B" w:rsidRPr="000E319A" w:rsidTr="00E631E1">
        <w:trPr>
          <w:trHeight w:val="262"/>
        </w:trPr>
        <w:tc>
          <w:tcPr>
            <w:tcW w:w="1134" w:type="dxa"/>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[5]</w:t>
            </w:r>
          </w:p>
        </w:tc>
        <w:tc>
          <w:tcPr>
            <w:tcW w:w="4678" w:type="dxa"/>
            <w:gridSpan w:val="2"/>
            <w:tcBorders>
              <w:top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Kompetenzerleben</w:t>
            </w:r>
          </w:p>
        </w:tc>
        <w:tc>
          <w:tcPr>
            <w:tcW w:w="4106" w:type="dxa"/>
            <w:tcBorders>
              <w:top w:val="single" w:sz="4" w:space="0" w:color="auto"/>
            </w:tcBorders>
          </w:tcPr>
          <w:p w:rsidR="00E4279B" w:rsidRPr="00DE6810" w:rsidRDefault="00E4279B" w:rsidP="00E4279B">
            <w:pPr>
              <w:jc w:val="both"/>
              <w:rPr>
                <w:rFonts w:ascii="Arial" w:eastAsiaTheme="minorEastAsia" w:hAnsi="Arial" w:cs="Arial"/>
                <w:sz w:val="20"/>
                <w:szCs w:val="20"/>
              </w:rPr>
            </w:pPr>
            <w:proofErr w:type="spellStart"/>
            <w:r w:rsidRPr="00DE6810">
              <w:rPr>
                <w:rFonts w:ascii="Arial" w:eastAsiaTheme="minorEastAsia" w:hAnsi="Arial" w:cs="Arial"/>
                <w:sz w:val="20"/>
                <w:szCs w:val="20"/>
              </w:rPr>
              <w:t>Loukomies</w:t>
            </w:r>
            <w:proofErr w:type="spellEnd"/>
            <w:r w:rsidRPr="00DE6810">
              <w:rPr>
                <w:rFonts w:ascii="Arial" w:eastAsiaTheme="minorEastAsia" w:hAnsi="Arial" w:cs="Arial"/>
                <w:sz w:val="20"/>
                <w:szCs w:val="20"/>
              </w:rPr>
              <w:t xml:space="preserve"> et al. 2013 [C]</w:t>
            </w:r>
          </w:p>
        </w:tc>
      </w:tr>
      <w:tr w:rsidR="00E4279B" w:rsidRPr="000E319A" w:rsidTr="00E631E1">
        <w:trPr>
          <w:trHeight w:val="262"/>
        </w:trPr>
        <w:tc>
          <w:tcPr>
            <w:tcW w:w="1134" w:type="dxa"/>
          </w:tcPr>
          <w:p w:rsidR="00E4279B" w:rsidRPr="00DE6810" w:rsidRDefault="00E4279B" w:rsidP="00E4279B">
            <w:pPr>
              <w:rPr>
                <w:rFonts w:ascii="Arial" w:eastAsiaTheme="minorEastAsia" w:hAnsi="Arial" w:cs="Arial"/>
                <w:sz w:val="20"/>
                <w:szCs w:val="20"/>
              </w:rPr>
            </w:pPr>
          </w:p>
        </w:tc>
        <w:tc>
          <w:tcPr>
            <w:tcW w:w="4678" w:type="dxa"/>
            <w:gridSpan w:val="2"/>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Soziale Eingebundenheit</w:t>
            </w:r>
          </w:p>
        </w:tc>
        <w:tc>
          <w:tcPr>
            <w:tcW w:w="4106" w:type="dxa"/>
          </w:tcPr>
          <w:p w:rsidR="00E4279B" w:rsidRPr="00DE6810" w:rsidRDefault="00E4279B" w:rsidP="00E4279B">
            <w:pPr>
              <w:jc w:val="both"/>
              <w:rPr>
                <w:rFonts w:ascii="Arial" w:eastAsiaTheme="minorEastAsia" w:hAnsi="Arial" w:cs="Arial"/>
                <w:sz w:val="20"/>
                <w:szCs w:val="20"/>
              </w:rPr>
            </w:pPr>
            <w:proofErr w:type="spellStart"/>
            <w:r w:rsidRPr="00DE6810">
              <w:rPr>
                <w:rFonts w:ascii="Arial" w:eastAsiaTheme="minorEastAsia" w:hAnsi="Arial" w:cs="Arial"/>
                <w:sz w:val="20"/>
                <w:szCs w:val="20"/>
              </w:rPr>
              <w:t>Swarat</w:t>
            </w:r>
            <w:proofErr w:type="spellEnd"/>
            <w:r w:rsidRPr="00DE6810">
              <w:rPr>
                <w:rFonts w:ascii="Arial" w:eastAsiaTheme="minorEastAsia" w:hAnsi="Arial" w:cs="Arial"/>
                <w:sz w:val="20"/>
                <w:szCs w:val="20"/>
              </w:rPr>
              <w:t xml:space="preserve"> et al. 2012 [C]</w:t>
            </w:r>
          </w:p>
        </w:tc>
      </w:tr>
      <w:tr w:rsidR="00E4279B" w:rsidRPr="000E319A" w:rsidTr="00E631E1">
        <w:trPr>
          <w:trHeight w:val="262"/>
        </w:trPr>
        <w:tc>
          <w:tcPr>
            <w:tcW w:w="1134" w:type="dxa"/>
            <w:tcBorders>
              <w:bottom w:val="single" w:sz="4" w:space="0" w:color="auto"/>
            </w:tcBorders>
          </w:tcPr>
          <w:p w:rsidR="00E4279B" w:rsidRPr="00DE6810" w:rsidRDefault="00E4279B" w:rsidP="00E4279B">
            <w:pPr>
              <w:rPr>
                <w:rFonts w:ascii="Arial" w:eastAsiaTheme="minorEastAsia" w:hAnsi="Arial" w:cs="Arial"/>
                <w:sz w:val="20"/>
                <w:szCs w:val="20"/>
              </w:rPr>
            </w:pPr>
          </w:p>
        </w:tc>
        <w:tc>
          <w:tcPr>
            <w:tcW w:w="4678" w:type="dxa"/>
            <w:gridSpan w:val="2"/>
            <w:tcBorders>
              <w:bottom w:val="single" w:sz="4" w:space="0" w:color="auto"/>
            </w:tcBorders>
          </w:tcPr>
          <w:p w:rsidR="00E4279B" w:rsidRPr="00DE6810" w:rsidRDefault="00E4279B" w:rsidP="00E4279B">
            <w:pPr>
              <w:rPr>
                <w:rFonts w:ascii="Arial" w:eastAsiaTheme="minorEastAsia" w:hAnsi="Arial" w:cs="Arial"/>
                <w:sz w:val="20"/>
                <w:szCs w:val="20"/>
              </w:rPr>
            </w:pPr>
            <w:r w:rsidRPr="00DE6810">
              <w:rPr>
                <w:rFonts w:ascii="Arial" w:eastAsiaTheme="minorEastAsia" w:hAnsi="Arial" w:cs="Arial"/>
                <w:sz w:val="20"/>
                <w:szCs w:val="20"/>
              </w:rPr>
              <w:t xml:space="preserve">Autonomieerleben </w:t>
            </w:r>
          </w:p>
        </w:tc>
        <w:tc>
          <w:tcPr>
            <w:tcW w:w="4106" w:type="dxa"/>
            <w:tcBorders>
              <w:bottom w:val="single" w:sz="4" w:space="0" w:color="auto"/>
            </w:tcBorders>
          </w:tcPr>
          <w:p w:rsidR="00E4279B" w:rsidRPr="00DE6810" w:rsidRDefault="00E4279B" w:rsidP="00E4279B">
            <w:pPr>
              <w:jc w:val="both"/>
              <w:rPr>
                <w:rFonts w:ascii="Arial" w:eastAsiaTheme="minorEastAsia" w:hAnsi="Arial" w:cs="Arial"/>
                <w:sz w:val="20"/>
                <w:szCs w:val="20"/>
              </w:rPr>
            </w:pPr>
            <w:r w:rsidRPr="00DE6810">
              <w:rPr>
                <w:rFonts w:ascii="Arial" w:eastAsiaTheme="minorEastAsia" w:hAnsi="Arial" w:cs="Arial"/>
                <w:sz w:val="20"/>
                <w:szCs w:val="20"/>
              </w:rPr>
              <w:t>Jack und Lin 2017 [B]</w:t>
            </w:r>
          </w:p>
        </w:tc>
      </w:tr>
    </w:tbl>
    <w:p w:rsidR="00E4279B" w:rsidRDefault="00E4279B">
      <w:pPr>
        <w:rPr>
          <w:rFonts w:ascii="Arial" w:hAnsi="Arial" w:cs="Arial"/>
        </w:rPr>
      </w:pPr>
    </w:p>
    <w:p w:rsidR="00452AB0" w:rsidRDefault="00452AB0">
      <w:pPr>
        <w:rPr>
          <w:rFonts w:ascii="Arial" w:hAnsi="Arial" w:cs="Arial"/>
        </w:rPr>
      </w:pPr>
    </w:p>
    <w:p w:rsidR="00452AB0" w:rsidRDefault="00452AB0">
      <w:pPr>
        <w:rPr>
          <w:rFonts w:ascii="Arial" w:hAnsi="Arial" w:cs="Arial"/>
        </w:rPr>
      </w:pPr>
    </w:p>
    <w:p w:rsidR="00452AB0" w:rsidRDefault="00452AB0">
      <w:pPr>
        <w:rPr>
          <w:rFonts w:ascii="Arial" w:hAnsi="Arial" w:cs="Arial"/>
        </w:rPr>
      </w:pPr>
    </w:p>
    <w:p w:rsidR="00452AB0" w:rsidRDefault="00452AB0">
      <w:pPr>
        <w:rPr>
          <w:rFonts w:ascii="Arial" w:hAnsi="Arial" w:cs="Arial"/>
        </w:rPr>
      </w:pPr>
    </w:p>
    <w:p w:rsidR="000E319A" w:rsidRDefault="00022A02">
      <w:pPr>
        <w:rPr>
          <w:rFonts w:ascii="Arial" w:hAnsi="Arial" w:cs="Arial"/>
          <w:b/>
        </w:rPr>
      </w:pPr>
      <w:r>
        <w:rPr>
          <w:rFonts w:ascii="Arial" w:hAnsi="Arial" w:cs="Arial"/>
          <w:b/>
        </w:rPr>
        <w:lastRenderedPageBreak/>
        <w:t>Codierung der Unterrichtsphasen</w:t>
      </w:r>
    </w:p>
    <w:p w:rsidR="00022A02" w:rsidRDefault="00022A02" w:rsidP="00022A02">
      <w:pPr>
        <w:pStyle w:val="Beschriftung"/>
        <w:keepNext/>
      </w:pPr>
      <w:r>
        <w:t xml:space="preserve">Tab. </w:t>
      </w:r>
      <w:r w:rsidR="00AD3E19">
        <w:rPr>
          <w:noProof/>
        </w:rPr>
        <w:fldChar w:fldCharType="begin"/>
      </w:r>
      <w:r w:rsidR="00AD3E19">
        <w:rPr>
          <w:noProof/>
        </w:rPr>
        <w:instrText xml:space="preserve"> SEQ Tab. \* ARABIC </w:instrText>
      </w:r>
      <w:r w:rsidR="00AD3E19">
        <w:rPr>
          <w:noProof/>
        </w:rPr>
        <w:fldChar w:fldCharType="separate"/>
      </w:r>
      <w:r>
        <w:rPr>
          <w:noProof/>
        </w:rPr>
        <w:t>2</w:t>
      </w:r>
      <w:r w:rsidR="00AD3E19">
        <w:rPr>
          <w:noProof/>
        </w:rPr>
        <w:fldChar w:fldCharType="end"/>
      </w:r>
      <w:r>
        <w:t xml:space="preserve">: </w:t>
      </w:r>
      <w:proofErr w:type="spellStart"/>
      <w:r>
        <w:t>Codiermanual</w:t>
      </w:r>
      <w:proofErr w:type="spellEnd"/>
      <w:r>
        <w:t xml:space="preserve"> zur Abgrenzung der Unterrichtsphasen (für den Chemieunterricht adaptiert nach Petersen et al. (2011))</w:t>
      </w:r>
    </w:p>
    <w:tbl>
      <w:tblPr>
        <w:tblStyle w:val="Tabellenraster"/>
        <w:tblW w:w="9918" w:type="dxa"/>
        <w:tblLook w:val="04A0" w:firstRow="1" w:lastRow="0" w:firstColumn="1" w:lastColumn="0" w:noHBand="0" w:noVBand="1"/>
      </w:tblPr>
      <w:tblGrid>
        <w:gridCol w:w="2405"/>
        <w:gridCol w:w="7513"/>
      </w:tblGrid>
      <w:tr w:rsidR="00022A02" w:rsidRPr="00022A02" w:rsidTr="00CA48F7">
        <w:trPr>
          <w:trHeight w:val="347"/>
        </w:trPr>
        <w:tc>
          <w:tcPr>
            <w:tcW w:w="2405" w:type="dxa"/>
          </w:tcPr>
          <w:p w:rsidR="00022A02" w:rsidRPr="00DE6810" w:rsidRDefault="00022A02" w:rsidP="00022A02">
            <w:pPr>
              <w:spacing w:after="160" w:line="259" w:lineRule="auto"/>
              <w:rPr>
                <w:rFonts w:ascii="Arial" w:hAnsi="Arial" w:cs="Arial"/>
                <w:b/>
                <w:sz w:val="20"/>
                <w:szCs w:val="20"/>
              </w:rPr>
            </w:pPr>
            <w:r w:rsidRPr="00DE6810">
              <w:rPr>
                <w:rFonts w:ascii="Arial" w:hAnsi="Arial" w:cs="Arial"/>
                <w:b/>
                <w:sz w:val="20"/>
                <w:szCs w:val="20"/>
              </w:rPr>
              <w:t xml:space="preserve">Phase </w:t>
            </w:r>
          </w:p>
        </w:tc>
        <w:tc>
          <w:tcPr>
            <w:tcW w:w="7513" w:type="dxa"/>
          </w:tcPr>
          <w:p w:rsidR="00022A02" w:rsidRPr="00DE6810" w:rsidRDefault="00022A02" w:rsidP="00022A02">
            <w:pPr>
              <w:spacing w:after="160" w:line="259" w:lineRule="auto"/>
              <w:rPr>
                <w:rFonts w:ascii="Arial" w:hAnsi="Arial" w:cs="Arial"/>
                <w:b/>
                <w:sz w:val="20"/>
                <w:szCs w:val="20"/>
              </w:rPr>
            </w:pPr>
            <w:r w:rsidRPr="00DE6810">
              <w:rPr>
                <w:rFonts w:ascii="Arial" w:hAnsi="Arial" w:cs="Arial"/>
                <w:b/>
                <w:sz w:val="20"/>
                <w:szCs w:val="20"/>
              </w:rPr>
              <w:t>Beschreibung und Abgrenzung der Phase</w:t>
            </w:r>
          </w:p>
        </w:tc>
      </w:tr>
      <w:tr w:rsidR="00022A02" w:rsidRPr="00022A02" w:rsidTr="00CA48F7">
        <w:trPr>
          <w:trHeight w:val="567"/>
        </w:trPr>
        <w:tc>
          <w:tcPr>
            <w:tcW w:w="2405"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Einstieg</w:t>
            </w:r>
          </w:p>
        </w:tc>
        <w:tc>
          <w:tcPr>
            <w:tcW w:w="7513"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 xml:space="preserve">Einstiege sind Phasen, die als </w:t>
            </w:r>
            <w:proofErr w:type="spellStart"/>
            <w:r w:rsidRPr="00DE6810">
              <w:rPr>
                <w:rFonts w:ascii="Arial" w:hAnsi="Arial" w:cs="Arial"/>
                <w:sz w:val="20"/>
                <w:szCs w:val="20"/>
              </w:rPr>
              <w:t>Hinleitung</w:t>
            </w:r>
            <w:proofErr w:type="spellEnd"/>
            <w:r w:rsidRPr="00DE6810">
              <w:rPr>
                <w:rFonts w:ascii="Arial" w:hAnsi="Arial" w:cs="Arial"/>
                <w:sz w:val="20"/>
                <w:szCs w:val="20"/>
              </w:rPr>
              <w:t xml:space="preserve"> zu einem neuen Themengebiet dienen. Sie sind von einem geringen fachlichen Fokus geprägt. Außerdem wird in diesen Phasen kein (oder wenig) neues Wissen generiert, ggf. Vorwissen aktiviert und/oder Fragestellungen aufgeworfen. Einstiegsphasen können auch als inhaltliche Wiederholung der letzten Unterrichtsstunde gestaltet sein. Einstiege können demnach auch Aspekte von anderen Phasen (meistens Sicherungs- oder Wiederholungsphasen) haben.</w:t>
            </w:r>
          </w:p>
        </w:tc>
      </w:tr>
      <w:tr w:rsidR="00022A02" w:rsidRPr="00022A02" w:rsidTr="00CA48F7">
        <w:trPr>
          <w:trHeight w:val="567"/>
        </w:trPr>
        <w:tc>
          <w:tcPr>
            <w:tcW w:w="2405"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Problematisierung</w:t>
            </w:r>
          </w:p>
        </w:tc>
        <w:tc>
          <w:tcPr>
            <w:tcW w:w="7513"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In diesen Phasen werden Fragestellungen oder Probleme durch die Lehrkraft oder die Lernenden selbst aufgeworfen. Diese können allerdings noch nicht durch das Vorwissen der Lernenden aufgeklärt werden.</w:t>
            </w:r>
          </w:p>
        </w:tc>
      </w:tr>
      <w:tr w:rsidR="00022A02" w:rsidRPr="00022A02" w:rsidTr="00CA48F7">
        <w:trPr>
          <w:trHeight w:val="567"/>
        </w:trPr>
        <w:tc>
          <w:tcPr>
            <w:tcW w:w="2405"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Erarbeitung (theoretisch)</w:t>
            </w:r>
          </w:p>
        </w:tc>
        <w:tc>
          <w:tcPr>
            <w:tcW w:w="7513"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 xml:space="preserve">In diesen Phasen werden Lerninhalte theoretisch (bspw. über Arbeitsblätter) erarbeitet. Auch Auswertungsphasen nach Experimenten, in denen die Auswertung nicht auf einer phänomenologischen oder deskriptiven Ebene stattfinden, werden als theoretische E. codiert.  </w:t>
            </w:r>
          </w:p>
        </w:tc>
      </w:tr>
      <w:tr w:rsidR="00022A02" w:rsidRPr="00022A02" w:rsidTr="00CA48F7">
        <w:trPr>
          <w:trHeight w:val="567"/>
        </w:trPr>
        <w:tc>
          <w:tcPr>
            <w:tcW w:w="2405"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Erarbeitung (praktisch)</w:t>
            </w:r>
          </w:p>
        </w:tc>
        <w:tc>
          <w:tcPr>
            <w:tcW w:w="7513"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 xml:space="preserve">In dieser Phase finden hauptsächlich Experimentierphasen statt. Dazu zählen auch Demonstrationsversuche, welche von der Lehrkraft oder nur einer Schüler(gruppe) durchgeführt werden und Modellversuche. Teilweise wird in diesen Phasen auch schon mit der Auswertung begonnen. Ist diese jedoch aufwändiger (s. theoretische Erarbeitungsphase), wird sie eigenständig kategorisiert (Sicherung oder Erarbeitung theoretisch).  </w:t>
            </w:r>
          </w:p>
        </w:tc>
      </w:tr>
      <w:tr w:rsidR="00022A02" w:rsidRPr="00022A02" w:rsidTr="00CA48F7">
        <w:trPr>
          <w:trHeight w:val="567"/>
        </w:trPr>
        <w:tc>
          <w:tcPr>
            <w:tcW w:w="2405"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Sicherung</w:t>
            </w:r>
          </w:p>
        </w:tc>
        <w:tc>
          <w:tcPr>
            <w:tcW w:w="7513"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 xml:space="preserve">In Sicherungsphasen werden Ergebnisse, die in den vorherigen Phasen (oder Unterrichtsstunden) erarbeitet wurden, zusammengefasst und nochmal für alle Lernende dargestellt. </w:t>
            </w:r>
          </w:p>
        </w:tc>
      </w:tr>
      <w:tr w:rsidR="00022A02" w:rsidRPr="00022A02" w:rsidTr="00CA48F7">
        <w:trPr>
          <w:trHeight w:val="567"/>
        </w:trPr>
        <w:tc>
          <w:tcPr>
            <w:tcW w:w="2405"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Transfer/Vertiefung</w:t>
            </w:r>
          </w:p>
        </w:tc>
        <w:tc>
          <w:tcPr>
            <w:tcW w:w="7513"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 xml:space="preserve">In diesen Phasen wird ein zuvor behandelter Inhalt (selbstständig) durch die Lernenden auf ein anderes Phänomen etc. übertragen oder vertiefend behandelt. </w:t>
            </w:r>
          </w:p>
        </w:tc>
      </w:tr>
      <w:tr w:rsidR="00022A02" w:rsidRPr="00022A02" w:rsidTr="00CA48F7">
        <w:trPr>
          <w:trHeight w:val="567"/>
        </w:trPr>
        <w:tc>
          <w:tcPr>
            <w:tcW w:w="2405"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 xml:space="preserve">Wiederholung </w:t>
            </w:r>
          </w:p>
        </w:tc>
        <w:tc>
          <w:tcPr>
            <w:tcW w:w="7513" w:type="dxa"/>
          </w:tcPr>
          <w:p w:rsidR="00022A02" w:rsidRPr="00DE6810" w:rsidRDefault="00022A02" w:rsidP="00022A02">
            <w:pPr>
              <w:spacing w:after="160" w:line="259" w:lineRule="auto"/>
              <w:rPr>
                <w:rFonts w:ascii="Arial" w:hAnsi="Arial" w:cs="Arial"/>
                <w:sz w:val="20"/>
                <w:szCs w:val="20"/>
              </w:rPr>
            </w:pPr>
            <w:r w:rsidRPr="00DE6810">
              <w:rPr>
                <w:rFonts w:ascii="Arial" w:hAnsi="Arial" w:cs="Arial"/>
                <w:sz w:val="20"/>
                <w:szCs w:val="20"/>
              </w:rPr>
              <w:t xml:space="preserve">In diesen Phasen werden Lerninhalte, die bereits behandelt wurden, wiederholt. Allerdings werden die Phasen, die als Einstieg in die neue Stunde dienen und ausschließlich die Inhalte der letzten Stunde wiederholen, als Einstieg codiert. Die ersten Phasen einer Unterrichtsstunde, in denen mehr als nur der Inhalt der letzten Unterrichtsstunde wiederholt wird, werden als Wiederholungsphasen codiert. </w:t>
            </w:r>
          </w:p>
        </w:tc>
      </w:tr>
    </w:tbl>
    <w:p w:rsidR="00022A02" w:rsidRPr="00022A02" w:rsidRDefault="00022A02">
      <w:pPr>
        <w:rPr>
          <w:rFonts w:ascii="Arial" w:hAnsi="Arial" w:cs="Arial"/>
        </w:rPr>
      </w:pPr>
    </w:p>
    <w:p w:rsidR="00022A02" w:rsidRDefault="00022A02">
      <w:pPr>
        <w:rPr>
          <w:rFonts w:ascii="Arial" w:hAnsi="Arial" w:cs="Arial"/>
          <w:b/>
        </w:rPr>
      </w:pPr>
    </w:p>
    <w:p w:rsidR="00022A02" w:rsidRDefault="00022A02">
      <w:pPr>
        <w:rPr>
          <w:rFonts w:ascii="Arial" w:hAnsi="Arial" w:cs="Arial"/>
          <w:b/>
        </w:rPr>
      </w:pPr>
    </w:p>
    <w:p w:rsidR="00022A02" w:rsidRDefault="00022A02">
      <w:pPr>
        <w:rPr>
          <w:rFonts w:ascii="Arial" w:hAnsi="Arial" w:cs="Arial"/>
          <w:b/>
        </w:rPr>
      </w:pPr>
    </w:p>
    <w:p w:rsidR="00022A02" w:rsidRDefault="00022A02">
      <w:pPr>
        <w:rPr>
          <w:rFonts w:ascii="Arial" w:hAnsi="Arial" w:cs="Arial"/>
          <w:b/>
        </w:rPr>
      </w:pPr>
    </w:p>
    <w:p w:rsidR="00DE6810" w:rsidRDefault="00DE6810">
      <w:pPr>
        <w:rPr>
          <w:rFonts w:ascii="Arial" w:hAnsi="Arial" w:cs="Arial"/>
          <w:b/>
        </w:rPr>
      </w:pPr>
    </w:p>
    <w:p w:rsidR="00DE6810" w:rsidRDefault="00DE6810">
      <w:pPr>
        <w:rPr>
          <w:rFonts w:ascii="Arial" w:hAnsi="Arial" w:cs="Arial"/>
          <w:b/>
        </w:rPr>
      </w:pPr>
    </w:p>
    <w:p w:rsidR="00DE6810" w:rsidRDefault="00DE6810">
      <w:pPr>
        <w:rPr>
          <w:rFonts w:ascii="Arial" w:hAnsi="Arial" w:cs="Arial"/>
          <w:b/>
        </w:rPr>
      </w:pPr>
    </w:p>
    <w:p w:rsidR="00DE6810" w:rsidRDefault="00DE6810">
      <w:pPr>
        <w:rPr>
          <w:rFonts w:ascii="Arial" w:hAnsi="Arial" w:cs="Arial"/>
          <w:b/>
        </w:rPr>
      </w:pPr>
      <w:bookmarkStart w:id="0" w:name="_GoBack"/>
      <w:bookmarkEnd w:id="0"/>
    </w:p>
    <w:p w:rsidR="00E4279B" w:rsidRDefault="00E4279B">
      <w:pPr>
        <w:rPr>
          <w:rFonts w:ascii="Arial" w:hAnsi="Arial" w:cs="Arial"/>
          <w:b/>
        </w:rPr>
      </w:pPr>
      <w:r w:rsidRPr="005627A4">
        <w:rPr>
          <w:rFonts w:ascii="Arial" w:hAnsi="Arial" w:cs="Arial"/>
          <w:b/>
        </w:rPr>
        <w:lastRenderedPageBreak/>
        <w:t>Phasenbeschreibung</w:t>
      </w:r>
      <w:r w:rsidR="005627A4">
        <w:rPr>
          <w:rFonts w:ascii="Arial" w:hAnsi="Arial" w:cs="Arial"/>
          <w:b/>
        </w:rPr>
        <w:t>en</w:t>
      </w:r>
    </w:p>
    <w:p w:rsidR="00452AB0" w:rsidRDefault="00452AB0">
      <w:pPr>
        <w:rPr>
          <w:rFonts w:ascii="Arial" w:hAnsi="Arial" w:cs="Arial"/>
          <w:b/>
        </w:rPr>
      </w:pPr>
      <w:r>
        <w:rPr>
          <w:rFonts w:ascii="Arial" w:hAnsi="Arial" w:cs="Arial"/>
          <w:b/>
        </w:rPr>
        <w:t>Interessenmaxima</w:t>
      </w:r>
    </w:p>
    <w:p w:rsidR="00485D72" w:rsidRPr="00485D72" w:rsidRDefault="00485D72" w:rsidP="00485D72">
      <w:pPr>
        <w:pStyle w:val="Beschriftung"/>
        <w:keepNext/>
        <w:rPr>
          <w:u w:val="single"/>
        </w:rPr>
      </w:pPr>
      <w:r>
        <w:t xml:space="preserve">Tab. </w:t>
      </w:r>
      <w:r w:rsidR="00C16A34">
        <w:rPr>
          <w:noProof/>
        </w:rPr>
        <w:fldChar w:fldCharType="begin"/>
      </w:r>
      <w:r w:rsidR="00C16A34">
        <w:rPr>
          <w:noProof/>
        </w:rPr>
        <w:instrText xml:space="preserve"> SEQ Tab. \* ARABIC </w:instrText>
      </w:r>
      <w:r w:rsidR="00C16A34">
        <w:rPr>
          <w:noProof/>
        </w:rPr>
        <w:fldChar w:fldCharType="separate"/>
      </w:r>
      <w:r w:rsidR="00022A02">
        <w:rPr>
          <w:noProof/>
        </w:rPr>
        <w:t>3</w:t>
      </w:r>
      <w:r w:rsidR="00C16A34">
        <w:rPr>
          <w:noProof/>
        </w:rPr>
        <w:fldChar w:fldCharType="end"/>
      </w:r>
      <w:r>
        <w:t>: Beschreibung der Phasen, die jeweils ein Interessenmaximum bilden; in der Spalte „Phase“ wird jeweils die Klasse (z.B. A1</w:t>
      </w:r>
      <w:r w:rsidR="00296A5D">
        <w:t>; der Buchstabe gibt die Schule an</w:t>
      </w:r>
      <w:r>
        <w:t xml:space="preserve">), der Termin, die Phase sowie die Gesamtzahl der Phasen an dem betreffenden Termin (z.B. 3/3 ist die dritte von drei Phasen) und die Einordnung in die Kategorisierung der Unterrichtsphasen (E. steht für Erarbeitung) </w:t>
      </w:r>
      <w:r w:rsidR="00296A5D">
        <w:t>wiedergegeben; weitere Abkürzungen: GA = Gruppenarbeit, PA = Partnerarbeit, SuS = Schülerinnen und Schüler</w:t>
      </w:r>
    </w:p>
    <w:tbl>
      <w:tblPr>
        <w:tblStyle w:val="Tabellenraster1"/>
        <w:tblW w:w="9776" w:type="dxa"/>
        <w:tblLook w:val="04A0" w:firstRow="1" w:lastRow="0" w:firstColumn="1" w:lastColumn="0" w:noHBand="0" w:noVBand="1"/>
      </w:tblPr>
      <w:tblGrid>
        <w:gridCol w:w="1254"/>
        <w:gridCol w:w="8522"/>
      </w:tblGrid>
      <w:tr w:rsidR="00452AB0" w:rsidRPr="00452AB0" w:rsidTr="00485D72">
        <w:trPr>
          <w:trHeight w:val="268"/>
        </w:trPr>
        <w:tc>
          <w:tcPr>
            <w:tcW w:w="1254" w:type="dxa"/>
          </w:tcPr>
          <w:p w:rsidR="00452AB0" w:rsidRPr="00452AB0" w:rsidRDefault="00452AB0" w:rsidP="00452AB0">
            <w:pPr>
              <w:rPr>
                <w:rFonts w:ascii="Arial" w:hAnsi="Arial" w:cs="Arial"/>
                <w:b/>
                <w:sz w:val="20"/>
              </w:rPr>
            </w:pPr>
            <w:r w:rsidRPr="00452AB0">
              <w:rPr>
                <w:rFonts w:ascii="Arial" w:hAnsi="Arial" w:cs="Arial"/>
                <w:b/>
                <w:sz w:val="20"/>
              </w:rPr>
              <w:t>Phase</w:t>
            </w:r>
          </w:p>
        </w:tc>
        <w:tc>
          <w:tcPr>
            <w:tcW w:w="8522" w:type="dxa"/>
          </w:tcPr>
          <w:p w:rsidR="00452AB0" w:rsidRPr="00452AB0" w:rsidRDefault="00452AB0" w:rsidP="00452AB0">
            <w:pPr>
              <w:rPr>
                <w:rFonts w:ascii="Arial" w:hAnsi="Arial" w:cs="Arial"/>
                <w:b/>
                <w:sz w:val="20"/>
              </w:rPr>
            </w:pPr>
            <w:r w:rsidRPr="00452AB0">
              <w:rPr>
                <w:rFonts w:ascii="Arial" w:hAnsi="Arial" w:cs="Arial"/>
                <w:b/>
                <w:sz w:val="20"/>
              </w:rPr>
              <w:t>Inhalt</w:t>
            </w:r>
          </w:p>
        </w:tc>
      </w:tr>
      <w:tr w:rsidR="00452AB0" w:rsidRPr="00452AB0" w:rsidTr="00485D72">
        <w:trPr>
          <w:trHeight w:val="1391"/>
        </w:trPr>
        <w:tc>
          <w:tcPr>
            <w:tcW w:w="1254" w:type="dxa"/>
          </w:tcPr>
          <w:p w:rsidR="00452AB0" w:rsidRPr="00452AB0" w:rsidRDefault="00485D72" w:rsidP="00452AB0">
            <w:pPr>
              <w:rPr>
                <w:rFonts w:ascii="Arial" w:hAnsi="Arial" w:cs="Arial"/>
                <w:sz w:val="20"/>
              </w:rPr>
            </w:pPr>
            <w:r>
              <w:rPr>
                <w:rFonts w:ascii="Arial" w:hAnsi="Arial" w:cs="Arial"/>
                <w:sz w:val="20"/>
              </w:rPr>
              <w:t>A1</w:t>
            </w:r>
            <w:r w:rsidR="00452AB0" w:rsidRPr="00452AB0">
              <w:rPr>
                <w:rFonts w:ascii="Arial" w:hAnsi="Arial" w:cs="Arial"/>
                <w:sz w:val="20"/>
              </w:rPr>
              <w:t>, 1, 3/3, Sicherung</w:t>
            </w:r>
          </w:p>
        </w:tc>
        <w:tc>
          <w:tcPr>
            <w:tcW w:w="8522" w:type="dxa"/>
          </w:tcPr>
          <w:p w:rsidR="00452AB0" w:rsidRPr="00452AB0" w:rsidRDefault="00452AB0" w:rsidP="00452AB0">
            <w:pPr>
              <w:rPr>
                <w:rFonts w:ascii="Arial" w:hAnsi="Arial" w:cs="Arial"/>
                <w:sz w:val="20"/>
              </w:rPr>
            </w:pPr>
            <w:r w:rsidRPr="00452AB0">
              <w:rPr>
                <w:rFonts w:ascii="Arial" w:hAnsi="Arial" w:cs="Arial"/>
                <w:sz w:val="20"/>
              </w:rPr>
              <w:t>Thema der Stunde: Salze/Aufbau</w:t>
            </w:r>
          </w:p>
          <w:p w:rsidR="00452AB0" w:rsidRPr="00452AB0" w:rsidRDefault="00452AB0" w:rsidP="00452AB0">
            <w:pPr>
              <w:rPr>
                <w:rFonts w:ascii="Arial" w:hAnsi="Arial" w:cs="Arial"/>
                <w:sz w:val="20"/>
              </w:rPr>
            </w:pPr>
            <w:r w:rsidRPr="00452AB0">
              <w:rPr>
                <w:rFonts w:ascii="Arial" w:hAnsi="Arial" w:cs="Arial"/>
                <w:sz w:val="20"/>
              </w:rPr>
              <w:t>In den vorherigen Unterrichtsphasen wurde in Stationsarbeit/GA der Aufbau von Salzen aus Ionen erarbeitet. In dieser Phase wurden die Ergebnisse spielerisch im Plenum gesichert: Die Lehrkraft gibt ein Element vor und durch Meldungen sollen die SuS anzeigen, ob sich ein Kation oder ein Anion bildet (rechte Hand) und wie viele Elektronen abgegeben bzw. aufgenommen werden (linke Hand). Alle SuS haben sich dabei zeitgleich gemeldet.</w:t>
            </w:r>
          </w:p>
        </w:tc>
      </w:tr>
      <w:tr w:rsidR="00452AB0" w:rsidRPr="00452AB0" w:rsidTr="00485D72">
        <w:trPr>
          <w:trHeight w:val="1693"/>
        </w:trPr>
        <w:tc>
          <w:tcPr>
            <w:tcW w:w="1254" w:type="dxa"/>
          </w:tcPr>
          <w:p w:rsidR="00452AB0" w:rsidRPr="00452AB0" w:rsidRDefault="00485D72" w:rsidP="00452AB0">
            <w:pPr>
              <w:rPr>
                <w:rFonts w:ascii="Arial" w:hAnsi="Arial" w:cs="Arial"/>
                <w:sz w:val="20"/>
              </w:rPr>
            </w:pPr>
            <w:r>
              <w:rPr>
                <w:rFonts w:ascii="Arial" w:hAnsi="Arial" w:cs="Arial"/>
                <w:sz w:val="20"/>
              </w:rPr>
              <w:t>C3</w:t>
            </w:r>
            <w:r w:rsidR="00452AB0" w:rsidRPr="00452AB0">
              <w:rPr>
                <w:rFonts w:ascii="Arial" w:hAnsi="Arial" w:cs="Arial"/>
                <w:sz w:val="20"/>
              </w:rPr>
              <w:t>, 1, ½, Einstieg</w:t>
            </w:r>
          </w:p>
        </w:tc>
        <w:tc>
          <w:tcPr>
            <w:tcW w:w="8522" w:type="dxa"/>
          </w:tcPr>
          <w:p w:rsidR="00452AB0" w:rsidRPr="00452AB0" w:rsidRDefault="00452AB0" w:rsidP="00452AB0">
            <w:pPr>
              <w:rPr>
                <w:rFonts w:ascii="Arial" w:hAnsi="Arial" w:cs="Arial"/>
                <w:sz w:val="20"/>
              </w:rPr>
            </w:pPr>
            <w:r w:rsidRPr="00452AB0">
              <w:rPr>
                <w:rFonts w:ascii="Arial" w:hAnsi="Arial" w:cs="Arial"/>
                <w:sz w:val="20"/>
              </w:rPr>
              <w:t>Thema der Stunde: Atombau/</w:t>
            </w:r>
            <w:r w:rsidR="00485D72">
              <w:rPr>
                <w:rFonts w:ascii="Arial" w:hAnsi="Arial" w:cs="Arial"/>
                <w:sz w:val="20"/>
              </w:rPr>
              <w:t>Bindungstypen (Salz, Metall, Elektronenpaarbindung</w:t>
            </w:r>
            <w:r w:rsidRPr="00452AB0">
              <w:rPr>
                <w:rFonts w:ascii="Arial" w:hAnsi="Arial" w:cs="Arial"/>
                <w:sz w:val="20"/>
              </w:rPr>
              <w:t>)</w:t>
            </w:r>
          </w:p>
          <w:p w:rsidR="00452AB0" w:rsidRPr="00452AB0" w:rsidRDefault="00452AB0" w:rsidP="00452AB0">
            <w:pPr>
              <w:rPr>
                <w:rFonts w:ascii="Arial" w:hAnsi="Arial" w:cs="Arial"/>
                <w:sz w:val="20"/>
              </w:rPr>
            </w:pPr>
            <w:r w:rsidRPr="00452AB0">
              <w:rPr>
                <w:rFonts w:ascii="Arial" w:hAnsi="Arial" w:cs="Arial"/>
                <w:sz w:val="20"/>
              </w:rPr>
              <w:t xml:space="preserve">Die Lehrkraft fordert die SuS auf, in PA an einem </w:t>
            </w:r>
            <w:proofErr w:type="spellStart"/>
            <w:r w:rsidRPr="00452AB0">
              <w:rPr>
                <w:rFonts w:ascii="Arial" w:hAnsi="Arial" w:cs="Arial"/>
                <w:sz w:val="20"/>
              </w:rPr>
              <w:t>Kahoot</w:t>
            </w:r>
            <w:proofErr w:type="spellEnd"/>
            <w:r w:rsidRPr="00452AB0">
              <w:rPr>
                <w:rFonts w:ascii="Arial" w:hAnsi="Arial" w:cs="Arial"/>
                <w:sz w:val="20"/>
              </w:rPr>
              <w:t xml:space="preserve">-Quiz teilzunehmen. Das Thema ist „Atombau und PSE“, welches zuvor bereits im Unterricht behandelt wurde. Den SuS ist die Methode vertraut und sie nehmen routiniert an dem Quiz teil. Die SuS melden sich mit einem Pseudonym an, sodass die Lehrkraft die Antworten nicht auf einzelne SuS zurückführen kann. Die Lehrkraft fragt nach der Durchführung, ob bei den SuS nicht Unklarheiten bestehen und stellt fest, dass die meisten Fragen richtig beantwortet wurden. </w:t>
            </w:r>
          </w:p>
        </w:tc>
      </w:tr>
      <w:tr w:rsidR="00452AB0" w:rsidRPr="00452AB0" w:rsidTr="00485D72">
        <w:trPr>
          <w:trHeight w:val="1837"/>
        </w:trPr>
        <w:tc>
          <w:tcPr>
            <w:tcW w:w="1254" w:type="dxa"/>
          </w:tcPr>
          <w:p w:rsidR="00452AB0" w:rsidRPr="00452AB0" w:rsidRDefault="00485D72" w:rsidP="00452AB0">
            <w:pPr>
              <w:rPr>
                <w:rFonts w:ascii="Arial" w:hAnsi="Arial" w:cs="Arial"/>
                <w:sz w:val="20"/>
              </w:rPr>
            </w:pPr>
            <w:r>
              <w:rPr>
                <w:rFonts w:ascii="Arial" w:hAnsi="Arial" w:cs="Arial"/>
                <w:sz w:val="20"/>
              </w:rPr>
              <w:t>C3</w:t>
            </w:r>
            <w:r w:rsidR="00452AB0" w:rsidRPr="00452AB0">
              <w:rPr>
                <w:rFonts w:ascii="Arial" w:hAnsi="Arial" w:cs="Arial"/>
                <w:sz w:val="20"/>
              </w:rPr>
              <w:t>, 2, 4/4, Sicherung</w:t>
            </w:r>
          </w:p>
        </w:tc>
        <w:tc>
          <w:tcPr>
            <w:tcW w:w="8522" w:type="dxa"/>
          </w:tcPr>
          <w:p w:rsidR="00452AB0" w:rsidRPr="00452AB0" w:rsidRDefault="00452AB0" w:rsidP="00452AB0">
            <w:pPr>
              <w:rPr>
                <w:rFonts w:ascii="Arial" w:hAnsi="Arial" w:cs="Arial"/>
                <w:sz w:val="20"/>
              </w:rPr>
            </w:pPr>
            <w:r w:rsidRPr="00452AB0">
              <w:rPr>
                <w:rFonts w:ascii="Arial" w:hAnsi="Arial" w:cs="Arial"/>
                <w:sz w:val="20"/>
              </w:rPr>
              <w:t xml:space="preserve">Thema der Stunde: Bindungstypen (Salz, Metall, </w:t>
            </w:r>
            <w:r w:rsidR="00485D72">
              <w:rPr>
                <w:rFonts w:ascii="Arial" w:hAnsi="Arial" w:cs="Arial"/>
                <w:sz w:val="20"/>
              </w:rPr>
              <w:t>Elektronenpaarbindung</w:t>
            </w:r>
            <w:r w:rsidRPr="00452AB0">
              <w:rPr>
                <w:rFonts w:ascii="Arial" w:hAnsi="Arial" w:cs="Arial"/>
                <w:sz w:val="20"/>
              </w:rPr>
              <w:t>)</w:t>
            </w:r>
            <w:r w:rsidRPr="00452AB0">
              <w:rPr>
                <w:rFonts w:ascii="Arial" w:hAnsi="Arial" w:cs="Arial"/>
                <w:sz w:val="20"/>
              </w:rPr>
              <w:br/>
              <w:t>Zuvor haben die SuS ein Gruppenpuzzle durchgeführt, welches die verschiedenen Bindungstypen beinhaltete. Nach der Sicherung gibt die Lehrkraft den SuS vorbereitete „Dominospiele“, welches aus Sechsecken besteht und auf dessen Seiten Fachinhalte zum Thema „Bindungen“ sowie bisherige Fachinhalte näher beschrieben sind. Diese müssen die SuS in PA ordnen und erstellen in diesem Zusammenhang ein Wirkungsgefüge, in das sie die neu gewonnenen Erkenntnisse einbauen können. Die Lehrkraft unterstützt während dieser Phase bei Bedarf die einzelnen Gruppen.</w:t>
            </w:r>
          </w:p>
        </w:tc>
      </w:tr>
    </w:tbl>
    <w:p w:rsidR="005627A4" w:rsidRDefault="005627A4">
      <w:pPr>
        <w:rPr>
          <w:rFonts w:ascii="Arial" w:hAnsi="Arial" w:cs="Arial"/>
          <w:b/>
        </w:rPr>
      </w:pPr>
    </w:p>
    <w:p w:rsidR="00452AB0" w:rsidRDefault="00452AB0">
      <w:pPr>
        <w:rPr>
          <w:rFonts w:ascii="Arial" w:hAnsi="Arial" w:cs="Arial"/>
          <w:b/>
        </w:rPr>
      </w:pPr>
      <w:r>
        <w:rPr>
          <w:rFonts w:ascii="Arial" w:hAnsi="Arial" w:cs="Arial"/>
          <w:b/>
        </w:rPr>
        <w:t>Interessenminima</w:t>
      </w:r>
    </w:p>
    <w:p w:rsidR="00296A5D" w:rsidRDefault="00296A5D" w:rsidP="00296A5D">
      <w:pPr>
        <w:pStyle w:val="Beschriftung"/>
        <w:keepNext/>
      </w:pPr>
      <w:r>
        <w:t xml:space="preserve">Tab. </w:t>
      </w:r>
      <w:r w:rsidR="00C16A34">
        <w:rPr>
          <w:noProof/>
        </w:rPr>
        <w:fldChar w:fldCharType="begin"/>
      </w:r>
      <w:r w:rsidR="00C16A34">
        <w:rPr>
          <w:noProof/>
        </w:rPr>
        <w:instrText xml:space="preserve"> SEQ Tab. \* ARABIC </w:instrText>
      </w:r>
      <w:r w:rsidR="00C16A34">
        <w:rPr>
          <w:noProof/>
        </w:rPr>
        <w:fldChar w:fldCharType="separate"/>
      </w:r>
      <w:r w:rsidR="00022A02">
        <w:rPr>
          <w:noProof/>
        </w:rPr>
        <w:t>4</w:t>
      </w:r>
      <w:r w:rsidR="00C16A34">
        <w:rPr>
          <w:noProof/>
        </w:rPr>
        <w:fldChar w:fldCharType="end"/>
      </w:r>
      <w:r>
        <w:t>: Beschreibung der Phasen, die jeweils ein Interessenminimum bilden; in der Spalte „Phase“ wird jeweils die Klasse (z.B. A1; der Buchstabe gibt die Schule an), der Termin, die Phase sowie die Gesamtzahl der Phasen an dem betreffenden Termin (z.B. 3/3 ist die dritte von drei Phasen) und die Einordnung in die Kategorisierung der Unterrichtsphasen (E. steht für Erarbeitung) wiedergegeben; weitere Abkürzungen: GA = Gruppenarbeit, PA = Partnerarbeit, SuS = Schülerinnen und Schüler, HA = Hausaufgabe, EA = Einzelarbeit, AB = Arbeitsblatt</w:t>
      </w:r>
    </w:p>
    <w:tbl>
      <w:tblPr>
        <w:tblStyle w:val="Tabellenraster11"/>
        <w:tblW w:w="9776" w:type="dxa"/>
        <w:tblLayout w:type="fixed"/>
        <w:tblLook w:val="04A0" w:firstRow="1" w:lastRow="0" w:firstColumn="1" w:lastColumn="0" w:noHBand="0" w:noVBand="1"/>
      </w:tblPr>
      <w:tblGrid>
        <w:gridCol w:w="1579"/>
        <w:gridCol w:w="8197"/>
      </w:tblGrid>
      <w:tr w:rsidR="00452AB0" w:rsidRPr="00452AB0" w:rsidTr="00296A5D">
        <w:trPr>
          <w:trHeight w:val="268"/>
        </w:trPr>
        <w:tc>
          <w:tcPr>
            <w:tcW w:w="1579" w:type="dxa"/>
          </w:tcPr>
          <w:p w:rsidR="00452AB0" w:rsidRPr="00452AB0" w:rsidRDefault="00452AB0" w:rsidP="00452AB0">
            <w:pPr>
              <w:rPr>
                <w:rFonts w:ascii="Arial" w:hAnsi="Arial" w:cs="Arial"/>
                <w:b/>
                <w:sz w:val="20"/>
              </w:rPr>
            </w:pPr>
            <w:r w:rsidRPr="00452AB0">
              <w:rPr>
                <w:rFonts w:ascii="Arial" w:hAnsi="Arial" w:cs="Arial"/>
                <w:b/>
                <w:sz w:val="20"/>
              </w:rPr>
              <w:t>Phase</w:t>
            </w:r>
          </w:p>
        </w:tc>
        <w:tc>
          <w:tcPr>
            <w:tcW w:w="8197" w:type="dxa"/>
          </w:tcPr>
          <w:p w:rsidR="00452AB0" w:rsidRPr="00452AB0" w:rsidRDefault="00452AB0" w:rsidP="00452AB0">
            <w:pPr>
              <w:rPr>
                <w:rFonts w:ascii="Arial" w:hAnsi="Arial" w:cs="Arial"/>
                <w:b/>
                <w:sz w:val="20"/>
              </w:rPr>
            </w:pPr>
            <w:r w:rsidRPr="00452AB0">
              <w:rPr>
                <w:rFonts w:ascii="Arial" w:hAnsi="Arial" w:cs="Arial"/>
                <w:b/>
                <w:sz w:val="20"/>
              </w:rPr>
              <w:t>Inhalt</w:t>
            </w:r>
          </w:p>
        </w:tc>
      </w:tr>
      <w:tr w:rsidR="00452AB0" w:rsidRPr="00452AB0" w:rsidTr="00296A5D">
        <w:trPr>
          <w:trHeight w:val="985"/>
        </w:trPr>
        <w:tc>
          <w:tcPr>
            <w:tcW w:w="1579" w:type="dxa"/>
          </w:tcPr>
          <w:p w:rsidR="00452AB0" w:rsidRPr="00452AB0" w:rsidRDefault="00485D72" w:rsidP="00452AB0">
            <w:pPr>
              <w:rPr>
                <w:rFonts w:ascii="Arial" w:hAnsi="Arial" w:cs="Arial"/>
                <w:sz w:val="20"/>
              </w:rPr>
            </w:pPr>
            <w:r>
              <w:rPr>
                <w:rFonts w:ascii="Arial" w:hAnsi="Arial" w:cs="Arial"/>
                <w:sz w:val="20"/>
              </w:rPr>
              <w:t>A1</w:t>
            </w:r>
            <w:r w:rsidR="00452AB0" w:rsidRPr="00452AB0">
              <w:rPr>
                <w:rFonts w:ascii="Arial" w:hAnsi="Arial" w:cs="Arial"/>
                <w:sz w:val="20"/>
              </w:rPr>
              <w:t>, 1, 1/3, Einstieg</w:t>
            </w:r>
          </w:p>
        </w:tc>
        <w:tc>
          <w:tcPr>
            <w:tcW w:w="8197" w:type="dxa"/>
          </w:tcPr>
          <w:p w:rsidR="00452AB0" w:rsidRPr="00452AB0" w:rsidRDefault="00452AB0" w:rsidP="00452AB0">
            <w:pPr>
              <w:rPr>
                <w:rFonts w:ascii="Arial" w:hAnsi="Arial" w:cs="Arial"/>
                <w:sz w:val="20"/>
              </w:rPr>
            </w:pPr>
            <w:r w:rsidRPr="00452AB0">
              <w:rPr>
                <w:rFonts w:ascii="Arial" w:hAnsi="Arial" w:cs="Arial"/>
                <w:sz w:val="20"/>
              </w:rPr>
              <w:t>Thema der Stunde: Salze/Aufbau</w:t>
            </w:r>
          </w:p>
          <w:p w:rsidR="00452AB0" w:rsidRPr="00452AB0" w:rsidRDefault="00452AB0" w:rsidP="00452AB0">
            <w:pPr>
              <w:rPr>
                <w:rFonts w:ascii="Arial" w:hAnsi="Arial" w:cs="Arial"/>
                <w:sz w:val="20"/>
              </w:rPr>
            </w:pPr>
            <w:r w:rsidRPr="00452AB0">
              <w:rPr>
                <w:rFonts w:ascii="Arial" w:hAnsi="Arial" w:cs="Arial"/>
                <w:sz w:val="20"/>
              </w:rPr>
              <w:t>Die Lehrkraft beginnt die Unterrichtsstunde mit einer Wiederholung der bisherigen Fachinhalte/Stunde. Die SuS dürfen dafür in ihren Unterlagen nachschauen und nennen die wichtigsten Punkte („Was sind Salze? Wie sind Salze aufgebaut?“)</w:t>
            </w:r>
          </w:p>
        </w:tc>
      </w:tr>
      <w:tr w:rsidR="00452AB0" w:rsidRPr="00452AB0" w:rsidTr="00296A5D">
        <w:trPr>
          <w:trHeight w:val="1581"/>
        </w:trPr>
        <w:tc>
          <w:tcPr>
            <w:tcW w:w="1579" w:type="dxa"/>
          </w:tcPr>
          <w:p w:rsidR="00452AB0" w:rsidRPr="00452AB0" w:rsidRDefault="00485D72" w:rsidP="00452AB0">
            <w:pPr>
              <w:rPr>
                <w:rFonts w:ascii="Arial" w:hAnsi="Arial" w:cs="Arial"/>
                <w:sz w:val="20"/>
              </w:rPr>
            </w:pPr>
            <w:r>
              <w:rPr>
                <w:rFonts w:ascii="Arial" w:hAnsi="Arial" w:cs="Arial"/>
                <w:sz w:val="20"/>
              </w:rPr>
              <w:t>J1</w:t>
            </w:r>
            <w:r w:rsidR="00452AB0" w:rsidRPr="00452AB0">
              <w:rPr>
                <w:rFonts w:ascii="Arial" w:hAnsi="Arial" w:cs="Arial"/>
                <w:sz w:val="20"/>
              </w:rPr>
              <w:t>, 3, 1/4, Einstieg</w:t>
            </w:r>
          </w:p>
        </w:tc>
        <w:tc>
          <w:tcPr>
            <w:tcW w:w="8197" w:type="dxa"/>
          </w:tcPr>
          <w:p w:rsidR="00452AB0" w:rsidRPr="00452AB0" w:rsidRDefault="00452AB0" w:rsidP="00452AB0">
            <w:pPr>
              <w:rPr>
                <w:rFonts w:ascii="Arial" w:hAnsi="Arial" w:cs="Arial"/>
                <w:sz w:val="20"/>
              </w:rPr>
            </w:pPr>
            <w:r w:rsidRPr="00452AB0">
              <w:rPr>
                <w:rFonts w:ascii="Arial" w:hAnsi="Arial" w:cs="Arial"/>
                <w:sz w:val="20"/>
              </w:rPr>
              <w:t>Thema der Stunde: Salze/Aufbau (makroskopisch)</w:t>
            </w:r>
          </w:p>
          <w:p w:rsidR="00452AB0" w:rsidRPr="00452AB0" w:rsidRDefault="00452AB0" w:rsidP="00452AB0">
            <w:pPr>
              <w:rPr>
                <w:rFonts w:ascii="Arial" w:hAnsi="Arial" w:cs="Arial"/>
                <w:sz w:val="20"/>
              </w:rPr>
            </w:pPr>
            <w:r w:rsidRPr="00452AB0">
              <w:rPr>
                <w:rFonts w:ascii="Arial" w:hAnsi="Arial" w:cs="Arial"/>
                <w:sz w:val="20"/>
              </w:rPr>
              <w:t xml:space="preserve">Die Lehrkraft fordert die SuS, ihre Hausaufgabe (einen selbstverfassten Artikel zur Natriumchlorid-Synthese) vorzulesen (viele SuS haben die HA nicht erledigt und können dementsprechend nicht an dieser Phase teilnehmen). Anschließend fragt die Lehrkraft die SuS, welche verschiedenen Kochsalzarten die SuS bereits kennen. Nach den Antworten der SuS (Fleur de </w:t>
            </w:r>
            <w:proofErr w:type="spellStart"/>
            <w:r w:rsidRPr="00452AB0">
              <w:rPr>
                <w:rFonts w:ascii="Arial" w:hAnsi="Arial" w:cs="Arial"/>
                <w:sz w:val="20"/>
              </w:rPr>
              <w:t>Sel</w:t>
            </w:r>
            <w:proofErr w:type="spellEnd"/>
            <w:r w:rsidRPr="00452AB0">
              <w:rPr>
                <w:rFonts w:ascii="Arial" w:hAnsi="Arial" w:cs="Arial"/>
                <w:sz w:val="20"/>
              </w:rPr>
              <w:t>, Meersalz etc.) zeigt die Lehrkraft verschiedene mitgebrachte Salzsorten und kündigt an, dass diese im Folgenden weiter untersucht werden sollen.</w:t>
            </w:r>
          </w:p>
        </w:tc>
      </w:tr>
      <w:tr w:rsidR="00452AB0" w:rsidRPr="00452AB0" w:rsidTr="00296A5D">
        <w:trPr>
          <w:trHeight w:val="1286"/>
        </w:trPr>
        <w:tc>
          <w:tcPr>
            <w:tcW w:w="1579" w:type="dxa"/>
          </w:tcPr>
          <w:p w:rsidR="00452AB0" w:rsidRPr="00452AB0" w:rsidRDefault="00485D72" w:rsidP="00452AB0">
            <w:pPr>
              <w:rPr>
                <w:rFonts w:ascii="Arial" w:hAnsi="Arial" w:cs="Arial"/>
                <w:sz w:val="20"/>
              </w:rPr>
            </w:pPr>
            <w:r>
              <w:rPr>
                <w:rFonts w:ascii="Arial" w:hAnsi="Arial" w:cs="Arial"/>
                <w:sz w:val="20"/>
              </w:rPr>
              <w:t>J2</w:t>
            </w:r>
            <w:r w:rsidR="00452AB0" w:rsidRPr="00452AB0">
              <w:rPr>
                <w:rFonts w:ascii="Arial" w:hAnsi="Arial" w:cs="Arial"/>
                <w:sz w:val="20"/>
              </w:rPr>
              <w:t xml:space="preserve">, 2, 1/2, Einstieg + </w:t>
            </w:r>
            <w:proofErr w:type="spellStart"/>
            <w:r w:rsidR="00452AB0" w:rsidRPr="00452AB0">
              <w:rPr>
                <w:rFonts w:ascii="Arial" w:hAnsi="Arial" w:cs="Arial"/>
                <w:sz w:val="20"/>
              </w:rPr>
              <w:t>Problemati-sierung</w:t>
            </w:r>
            <w:proofErr w:type="spellEnd"/>
          </w:p>
        </w:tc>
        <w:tc>
          <w:tcPr>
            <w:tcW w:w="8197" w:type="dxa"/>
          </w:tcPr>
          <w:p w:rsidR="00452AB0" w:rsidRPr="00452AB0" w:rsidRDefault="00452AB0" w:rsidP="00452AB0">
            <w:pPr>
              <w:rPr>
                <w:rFonts w:ascii="Arial" w:hAnsi="Arial" w:cs="Arial"/>
                <w:sz w:val="20"/>
              </w:rPr>
            </w:pPr>
            <w:r w:rsidRPr="00452AB0">
              <w:rPr>
                <w:rFonts w:ascii="Arial" w:hAnsi="Arial" w:cs="Arial"/>
                <w:sz w:val="20"/>
              </w:rPr>
              <w:t>Thema der Stunde: Salze/Erdalkalimetalle</w:t>
            </w:r>
          </w:p>
          <w:p w:rsidR="00452AB0" w:rsidRPr="00452AB0" w:rsidRDefault="00452AB0" w:rsidP="00452AB0">
            <w:pPr>
              <w:rPr>
                <w:rFonts w:ascii="Arial" w:hAnsi="Arial" w:cs="Arial"/>
                <w:sz w:val="20"/>
              </w:rPr>
            </w:pPr>
            <w:r w:rsidRPr="00452AB0">
              <w:rPr>
                <w:rFonts w:ascii="Arial" w:hAnsi="Arial" w:cs="Arial"/>
                <w:sz w:val="20"/>
              </w:rPr>
              <w:t xml:space="preserve">Die Lehrkraft startet die Stunde mit einer Wiederholung der vorher behandelten Fachinhalte/Stunde (Eigenschaften von Erdalkalimetallen </w:t>
            </w:r>
            <w:r w:rsidRPr="00452AB0">
              <w:rPr>
                <w:rFonts w:ascii="Arial" w:hAnsi="Arial" w:cs="Arial"/>
                <w:sz w:val="20"/>
              </w:rPr>
              <w:sym w:font="Wingdings" w:char="F0E0"/>
            </w:r>
            <w:r w:rsidRPr="00452AB0">
              <w:rPr>
                <w:rFonts w:ascii="Arial" w:hAnsi="Arial" w:cs="Arial"/>
                <w:sz w:val="20"/>
              </w:rPr>
              <w:t xml:space="preserve"> Härte, Lagerung, Reaktion mit Wasser/allgemein). Anschließend fragt sie nach einer Zusammenfassung des Textes, welche die SuS als HA lesen sollten (Spektralanalyse). Nachdem diese durch die SuS erfolgte, erklärt die Lehrkraft ein Experiment zur Flammfärbung, welches im Anschluss durchgeführt werden soll und beantwortet Fragen. </w:t>
            </w:r>
          </w:p>
        </w:tc>
      </w:tr>
      <w:tr w:rsidR="00452AB0" w:rsidRPr="00452AB0" w:rsidTr="00296A5D">
        <w:trPr>
          <w:trHeight w:val="537"/>
        </w:trPr>
        <w:tc>
          <w:tcPr>
            <w:tcW w:w="1579" w:type="dxa"/>
          </w:tcPr>
          <w:p w:rsidR="00452AB0" w:rsidRPr="00452AB0" w:rsidRDefault="00485D72" w:rsidP="00452AB0">
            <w:pPr>
              <w:rPr>
                <w:rFonts w:ascii="Arial" w:hAnsi="Arial" w:cs="Arial"/>
                <w:sz w:val="20"/>
              </w:rPr>
            </w:pPr>
            <w:r>
              <w:rPr>
                <w:rFonts w:ascii="Arial" w:hAnsi="Arial" w:cs="Arial"/>
                <w:sz w:val="20"/>
              </w:rPr>
              <w:lastRenderedPageBreak/>
              <w:t>J2</w:t>
            </w:r>
            <w:r w:rsidR="00452AB0" w:rsidRPr="00452AB0">
              <w:rPr>
                <w:rFonts w:ascii="Arial" w:hAnsi="Arial" w:cs="Arial"/>
                <w:sz w:val="20"/>
              </w:rPr>
              <w:t>, 3, 1/3, Einstieg</w:t>
            </w:r>
          </w:p>
        </w:tc>
        <w:tc>
          <w:tcPr>
            <w:tcW w:w="8197" w:type="dxa"/>
          </w:tcPr>
          <w:p w:rsidR="00452AB0" w:rsidRPr="00452AB0" w:rsidRDefault="00452AB0" w:rsidP="00452AB0">
            <w:pPr>
              <w:rPr>
                <w:rFonts w:ascii="Arial" w:hAnsi="Arial" w:cs="Arial"/>
                <w:sz w:val="20"/>
              </w:rPr>
            </w:pPr>
            <w:r w:rsidRPr="00452AB0">
              <w:rPr>
                <w:rFonts w:ascii="Arial" w:hAnsi="Arial" w:cs="Arial"/>
                <w:sz w:val="20"/>
              </w:rPr>
              <w:t>Thema der Stunde: Salze/Eigenschaften</w:t>
            </w:r>
            <w:r w:rsidRPr="00452AB0">
              <w:rPr>
                <w:rFonts w:ascii="Arial" w:hAnsi="Arial" w:cs="Arial"/>
                <w:sz w:val="20"/>
              </w:rPr>
              <w:br/>
              <w:t>Die Lehrkraft fragt nach einer Wiederholung der letzten Stunde. Die SuS beschreiben den Versuch zur Flammfärbung, den sie letzte Stunde durchgeführt haben sowie den Aufbau von Salzen (werden u.a. von (Erd-) A</w:t>
            </w:r>
            <w:r w:rsidR="00296A5D">
              <w:rPr>
                <w:rFonts w:ascii="Arial" w:hAnsi="Arial" w:cs="Arial"/>
                <w:sz w:val="20"/>
              </w:rPr>
              <w:t>lkalimetallen aus der 1. &amp; 2. Hauptgruppe</w:t>
            </w:r>
            <w:r w:rsidRPr="00452AB0">
              <w:rPr>
                <w:rFonts w:ascii="Arial" w:hAnsi="Arial" w:cs="Arial"/>
                <w:sz w:val="20"/>
              </w:rPr>
              <w:t xml:space="preserve"> gebildet)</w:t>
            </w:r>
          </w:p>
        </w:tc>
      </w:tr>
      <w:tr w:rsidR="00452AB0" w:rsidRPr="00452AB0" w:rsidTr="00296A5D">
        <w:trPr>
          <w:trHeight w:val="143"/>
        </w:trPr>
        <w:tc>
          <w:tcPr>
            <w:tcW w:w="1579" w:type="dxa"/>
          </w:tcPr>
          <w:p w:rsidR="00452AB0" w:rsidRPr="00452AB0" w:rsidRDefault="00485D72" w:rsidP="00452AB0">
            <w:pPr>
              <w:rPr>
                <w:rFonts w:ascii="Arial" w:hAnsi="Arial" w:cs="Arial"/>
                <w:sz w:val="20"/>
              </w:rPr>
            </w:pPr>
            <w:r>
              <w:rPr>
                <w:rFonts w:ascii="Arial" w:hAnsi="Arial" w:cs="Arial"/>
                <w:sz w:val="20"/>
              </w:rPr>
              <w:t>A2</w:t>
            </w:r>
            <w:r w:rsidR="00452AB0" w:rsidRPr="00452AB0">
              <w:rPr>
                <w:rFonts w:ascii="Arial" w:hAnsi="Arial" w:cs="Arial"/>
                <w:sz w:val="20"/>
              </w:rPr>
              <w:t xml:space="preserve"> 2, 2/4, theoretische E.</w:t>
            </w:r>
          </w:p>
        </w:tc>
        <w:tc>
          <w:tcPr>
            <w:tcW w:w="8197" w:type="dxa"/>
          </w:tcPr>
          <w:p w:rsidR="00452AB0" w:rsidRPr="00452AB0" w:rsidRDefault="00452AB0" w:rsidP="00452AB0">
            <w:pPr>
              <w:rPr>
                <w:rFonts w:ascii="Arial" w:hAnsi="Arial" w:cs="Arial"/>
                <w:sz w:val="20"/>
              </w:rPr>
            </w:pPr>
            <w:r w:rsidRPr="00452AB0">
              <w:rPr>
                <w:rFonts w:ascii="Arial" w:hAnsi="Arial" w:cs="Arial"/>
                <w:sz w:val="20"/>
              </w:rPr>
              <w:t>Thema der Stunde: Salze/Eigenschaften</w:t>
            </w:r>
          </w:p>
          <w:p w:rsidR="00452AB0" w:rsidRPr="00452AB0" w:rsidRDefault="00452AB0" w:rsidP="00452AB0">
            <w:pPr>
              <w:rPr>
                <w:rFonts w:ascii="Arial" w:hAnsi="Arial" w:cs="Arial"/>
                <w:sz w:val="20"/>
              </w:rPr>
            </w:pPr>
            <w:r w:rsidRPr="00452AB0">
              <w:rPr>
                <w:rFonts w:ascii="Arial" w:hAnsi="Arial" w:cs="Arial"/>
                <w:sz w:val="20"/>
              </w:rPr>
              <w:t xml:space="preserve">Die SuS haben in der vorherigen Unterrichtsstunde in einer Stationsarbeit verschiedene Eigenschaften von Salzen erarbeitet. Nach einer kurzen Wiederholungsphase sollen die SuS die Eigenschaften, die sie erkannt haben, nennen und in ein </w:t>
            </w:r>
            <w:proofErr w:type="spellStart"/>
            <w:r w:rsidRPr="00452AB0">
              <w:rPr>
                <w:rFonts w:ascii="Arial" w:hAnsi="Arial" w:cs="Arial"/>
                <w:sz w:val="20"/>
              </w:rPr>
              <w:t>Mind</w:t>
            </w:r>
            <w:proofErr w:type="spellEnd"/>
            <w:r w:rsidRPr="00452AB0">
              <w:rPr>
                <w:rFonts w:ascii="Arial" w:hAnsi="Arial" w:cs="Arial"/>
                <w:sz w:val="20"/>
              </w:rPr>
              <w:t xml:space="preserve"> </w:t>
            </w:r>
            <w:proofErr w:type="spellStart"/>
            <w:r w:rsidRPr="00452AB0">
              <w:rPr>
                <w:rFonts w:ascii="Arial" w:hAnsi="Arial" w:cs="Arial"/>
                <w:sz w:val="20"/>
              </w:rPr>
              <w:t>Map</w:t>
            </w:r>
            <w:proofErr w:type="spellEnd"/>
            <w:r w:rsidRPr="00452AB0">
              <w:rPr>
                <w:rFonts w:ascii="Arial" w:hAnsi="Arial" w:cs="Arial"/>
                <w:sz w:val="20"/>
              </w:rPr>
              <w:t xml:space="preserve">, welches bereits zuvor angelegt wurde, einordnen. Die SuS, die einige Stationen nicht geschafft haben, bekommen Zeit, um die Ergebnisse zu notieren. Die SuS übernehmen die ergänzte Version des </w:t>
            </w:r>
            <w:proofErr w:type="spellStart"/>
            <w:r w:rsidRPr="00452AB0">
              <w:rPr>
                <w:rFonts w:ascii="Arial" w:hAnsi="Arial" w:cs="Arial"/>
                <w:sz w:val="20"/>
              </w:rPr>
              <w:t>Mind</w:t>
            </w:r>
            <w:proofErr w:type="spellEnd"/>
            <w:r w:rsidRPr="00452AB0">
              <w:rPr>
                <w:rFonts w:ascii="Arial" w:hAnsi="Arial" w:cs="Arial"/>
                <w:sz w:val="20"/>
              </w:rPr>
              <w:t xml:space="preserve"> </w:t>
            </w:r>
            <w:proofErr w:type="spellStart"/>
            <w:r w:rsidRPr="00452AB0">
              <w:rPr>
                <w:rFonts w:ascii="Arial" w:hAnsi="Arial" w:cs="Arial"/>
                <w:sz w:val="20"/>
              </w:rPr>
              <w:t>Maps</w:t>
            </w:r>
            <w:proofErr w:type="spellEnd"/>
            <w:r w:rsidRPr="00452AB0">
              <w:rPr>
                <w:rFonts w:ascii="Arial" w:hAnsi="Arial" w:cs="Arial"/>
                <w:sz w:val="20"/>
              </w:rPr>
              <w:t xml:space="preserve">. </w:t>
            </w:r>
          </w:p>
        </w:tc>
      </w:tr>
      <w:tr w:rsidR="00452AB0" w:rsidRPr="00452AB0" w:rsidTr="00296A5D">
        <w:trPr>
          <w:trHeight w:val="143"/>
        </w:trPr>
        <w:tc>
          <w:tcPr>
            <w:tcW w:w="1579" w:type="dxa"/>
          </w:tcPr>
          <w:p w:rsidR="00452AB0" w:rsidRPr="00452AB0" w:rsidRDefault="00485D72" w:rsidP="00452AB0">
            <w:pPr>
              <w:rPr>
                <w:rFonts w:ascii="Arial" w:hAnsi="Arial" w:cs="Arial"/>
                <w:sz w:val="20"/>
              </w:rPr>
            </w:pPr>
            <w:r>
              <w:rPr>
                <w:rFonts w:ascii="Arial" w:hAnsi="Arial" w:cs="Arial"/>
                <w:sz w:val="20"/>
              </w:rPr>
              <w:t>C1</w:t>
            </w:r>
            <w:r w:rsidR="00452AB0" w:rsidRPr="00452AB0">
              <w:rPr>
                <w:rFonts w:ascii="Arial" w:hAnsi="Arial" w:cs="Arial"/>
                <w:sz w:val="20"/>
              </w:rPr>
              <w:t xml:space="preserve"> 1, 6/6, theoretische E. + Sicherung</w:t>
            </w:r>
          </w:p>
        </w:tc>
        <w:tc>
          <w:tcPr>
            <w:tcW w:w="8197" w:type="dxa"/>
          </w:tcPr>
          <w:p w:rsidR="00452AB0" w:rsidRPr="00452AB0" w:rsidRDefault="00452AB0" w:rsidP="00452AB0">
            <w:pPr>
              <w:rPr>
                <w:rFonts w:ascii="Arial" w:hAnsi="Arial" w:cs="Arial"/>
                <w:sz w:val="20"/>
              </w:rPr>
            </w:pPr>
            <w:r w:rsidRPr="00452AB0">
              <w:rPr>
                <w:rFonts w:ascii="Arial" w:hAnsi="Arial" w:cs="Arial"/>
                <w:sz w:val="20"/>
              </w:rPr>
              <w:t>Thema der Stunde: Metalle/Redoxreaktionen</w:t>
            </w:r>
          </w:p>
          <w:p w:rsidR="00452AB0" w:rsidRPr="00452AB0" w:rsidRDefault="00452AB0" w:rsidP="00452AB0">
            <w:pPr>
              <w:rPr>
                <w:rFonts w:ascii="Arial" w:hAnsi="Arial" w:cs="Arial"/>
                <w:sz w:val="20"/>
              </w:rPr>
            </w:pPr>
            <w:r w:rsidRPr="00452AB0">
              <w:rPr>
                <w:rFonts w:ascii="Arial" w:hAnsi="Arial" w:cs="Arial"/>
                <w:sz w:val="20"/>
              </w:rPr>
              <w:t>Die SuS sollen in dieser Phase in EA einen Text verfassen, in dem sie die Merkmale einer Redoxreaktion zusammenfassen. Inhaltlich wurde die Redoxreaktion in der Stunde erarbe</w:t>
            </w:r>
            <w:r w:rsidR="00296A5D">
              <w:rPr>
                <w:rFonts w:ascii="Arial" w:hAnsi="Arial" w:cs="Arial"/>
                <w:sz w:val="20"/>
              </w:rPr>
              <w:t>itet. Im Anschluss stellt ein Schüler</w:t>
            </w:r>
            <w:r w:rsidRPr="00452AB0">
              <w:rPr>
                <w:rFonts w:ascii="Arial" w:hAnsi="Arial" w:cs="Arial"/>
                <w:sz w:val="20"/>
              </w:rPr>
              <w:t xml:space="preserve"> seinen Text über eine Dokumentenkamera vor. Andere SuS lesen ihren Text ergänzend vor.</w:t>
            </w:r>
          </w:p>
        </w:tc>
      </w:tr>
      <w:tr w:rsidR="00452AB0" w:rsidRPr="00452AB0" w:rsidTr="00296A5D">
        <w:trPr>
          <w:trHeight w:val="143"/>
        </w:trPr>
        <w:tc>
          <w:tcPr>
            <w:tcW w:w="1579" w:type="dxa"/>
          </w:tcPr>
          <w:p w:rsidR="00452AB0" w:rsidRPr="00452AB0" w:rsidRDefault="00485D72" w:rsidP="00452AB0">
            <w:pPr>
              <w:rPr>
                <w:rFonts w:ascii="Arial" w:hAnsi="Arial" w:cs="Arial"/>
                <w:sz w:val="20"/>
              </w:rPr>
            </w:pPr>
            <w:r>
              <w:rPr>
                <w:rFonts w:ascii="Arial" w:hAnsi="Arial" w:cs="Arial"/>
                <w:sz w:val="20"/>
              </w:rPr>
              <w:t>C3</w:t>
            </w:r>
            <w:r w:rsidR="00452AB0" w:rsidRPr="00452AB0">
              <w:rPr>
                <w:rFonts w:ascii="Arial" w:hAnsi="Arial" w:cs="Arial"/>
                <w:sz w:val="20"/>
              </w:rPr>
              <w:t xml:space="preserve"> 1, 2/2, praktische E.</w:t>
            </w:r>
          </w:p>
        </w:tc>
        <w:tc>
          <w:tcPr>
            <w:tcW w:w="8197" w:type="dxa"/>
          </w:tcPr>
          <w:p w:rsidR="00452AB0" w:rsidRPr="00452AB0" w:rsidRDefault="00452AB0" w:rsidP="00452AB0">
            <w:pPr>
              <w:rPr>
                <w:rFonts w:ascii="Arial" w:hAnsi="Arial" w:cs="Arial"/>
                <w:sz w:val="20"/>
              </w:rPr>
            </w:pPr>
            <w:r w:rsidRPr="00452AB0">
              <w:rPr>
                <w:rFonts w:ascii="Arial" w:hAnsi="Arial" w:cs="Arial"/>
                <w:sz w:val="20"/>
              </w:rPr>
              <w:t xml:space="preserve">Thema der Stunde: Atombau/Bindungstypen (Salz, Metall, </w:t>
            </w:r>
            <w:r w:rsidR="00296A5D">
              <w:rPr>
                <w:rFonts w:ascii="Arial" w:hAnsi="Arial" w:cs="Arial"/>
                <w:sz w:val="20"/>
              </w:rPr>
              <w:t>Elektronenpaarbindung</w:t>
            </w:r>
            <w:r w:rsidRPr="00452AB0">
              <w:rPr>
                <w:rFonts w:ascii="Arial" w:hAnsi="Arial" w:cs="Arial"/>
                <w:sz w:val="20"/>
              </w:rPr>
              <w:t>)</w:t>
            </w:r>
          </w:p>
          <w:p w:rsidR="00452AB0" w:rsidRPr="00452AB0" w:rsidRDefault="00452AB0" w:rsidP="00452AB0">
            <w:pPr>
              <w:rPr>
                <w:rFonts w:ascii="Arial" w:hAnsi="Arial" w:cs="Arial"/>
                <w:sz w:val="20"/>
              </w:rPr>
            </w:pPr>
            <w:r w:rsidRPr="00452AB0">
              <w:rPr>
                <w:rFonts w:ascii="Arial" w:hAnsi="Arial" w:cs="Arial"/>
                <w:sz w:val="20"/>
              </w:rPr>
              <w:t>In dieser Phase wird ein Gruppenpuzzle gestartet, in dem die verschiedenen Bindungstypen in drei Stammgruppen erarbeitet werden sollen. Dafür führt jede Gruppe ein Versuch zur Leitfähigkeit durch. Der Versuch dafür ist bereits aufgebaut und die Instruktionen genau vorgegeben.</w:t>
            </w:r>
          </w:p>
        </w:tc>
      </w:tr>
      <w:tr w:rsidR="00452AB0" w:rsidRPr="00452AB0" w:rsidTr="00296A5D">
        <w:trPr>
          <w:trHeight w:val="143"/>
        </w:trPr>
        <w:tc>
          <w:tcPr>
            <w:tcW w:w="1579" w:type="dxa"/>
          </w:tcPr>
          <w:p w:rsidR="00452AB0" w:rsidRPr="00452AB0" w:rsidRDefault="00485D72" w:rsidP="00452AB0">
            <w:pPr>
              <w:rPr>
                <w:rFonts w:ascii="Arial" w:hAnsi="Arial" w:cs="Arial"/>
                <w:sz w:val="20"/>
              </w:rPr>
            </w:pPr>
            <w:r>
              <w:rPr>
                <w:rFonts w:ascii="Arial" w:hAnsi="Arial" w:cs="Arial"/>
                <w:sz w:val="20"/>
              </w:rPr>
              <w:t>J1</w:t>
            </w:r>
            <w:r w:rsidR="00452AB0" w:rsidRPr="00452AB0">
              <w:rPr>
                <w:rFonts w:ascii="Arial" w:hAnsi="Arial" w:cs="Arial"/>
                <w:sz w:val="20"/>
              </w:rPr>
              <w:t xml:space="preserve"> 1, 5/5, Transfer/ Vertiefung</w:t>
            </w:r>
          </w:p>
        </w:tc>
        <w:tc>
          <w:tcPr>
            <w:tcW w:w="8197" w:type="dxa"/>
          </w:tcPr>
          <w:p w:rsidR="00452AB0" w:rsidRPr="00452AB0" w:rsidRDefault="00452AB0" w:rsidP="00452AB0">
            <w:pPr>
              <w:rPr>
                <w:rFonts w:ascii="Arial" w:hAnsi="Arial" w:cs="Arial"/>
                <w:sz w:val="20"/>
              </w:rPr>
            </w:pPr>
            <w:r w:rsidRPr="00452AB0">
              <w:rPr>
                <w:rFonts w:ascii="Arial" w:hAnsi="Arial" w:cs="Arial"/>
                <w:sz w:val="20"/>
              </w:rPr>
              <w:t>Thema der Stunde: Salze/Flammfärbung</w:t>
            </w:r>
          </w:p>
          <w:p w:rsidR="00452AB0" w:rsidRPr="00452AB0" w:rsidRDefault="00452AB0" w:rsidP="00452AB0">
            <w:pPr>
              <w:rPr>
                <w:rFonts w:ascii="Arial" w:hAnsi="Arial" w:cs="Arial"/>
                <w:sz w:val="20"/>
              </w:rPr>
            </w:pPr>
            <w:r w:rsidRPr="00452AB0">
              <w:rPr>
                <w:rFonts w:ascii="Arial" w:hAnsi="Arial" w:cs="Arial"/>
                <w:sz w:val="20"/>
              </w:rPr>
              <w:t>Nachdem die SuS Versuche zur Flammfärbung von Realien durchgeführt haben, sollen sie ihr bisheriges Wissen (auch aus anderen Unterrichtsstunden) in eine tabellarische Übersicht eintragen. Die Eigenschaften sind dabei vorgegeben (s. AB II). Außerdem sollen die SuS ein Experiment zur Untersuchung des freiwerdenden Gases bei der Reaktion zwischen Alkalimetall und Wasser planen (die gängigen Nachweisreaktionen für Gase sind bekannt).</w:t>
            </w:r>
          </w:p>
        </w:tc>
      </w:tr>
      <w:tr w:rsidR="00452AB0" w:rsidRPr="00452AB0" w:rsidTr="00296A5D">
        <w:trPr>
          <w:trHeight w:val="143"/>
        </w:trPr>
        <w:tc>
          <w:tcPr>
            <w:tcW w:w="1579" w:type="dxa"/>
          </w:tcPr>
          <w:p w:rsidR="00452AB0" w:rsidRPr="00452AB0" w:rsidRDefault="00485D72" w:rsidP="00452AB0">
            <w:pPr>
              <w:rPr>
                <w:rFonts w:ascii="Arial" w:hAnsi="Arial" w:cs="Arial"/>
                <w:sz w:val="20"/>
              </w:rPr>
            </w:pPr>
            <w:r>
              <w:rPr>
                <w:rFonts w:ascii="Arial" w:hAnsi="Arial" w:cs="Arial"/>
                <w:sz w:val="20"/>
              </w:rPr>
              <w:t>J2</w:t>
            </w:r>
            <w:r w:rsidR="00452AB0" w:rsidRPr="00452AB0">
              <w:rPr>
                <w:rFonts w:ascii="Arial" w:hAnsi="Arial" w:cs="Arial"/>
                <w:sz w:val="20"/>
              </w:rPr>
              <w:t xml:space="preserve"> 1, 3/3, Problematisierung</w:t>
            </w:r>
          </w:p>
        </w:tc>
        <w:tc>
          <w:tcPr>
            <w:tcW w:w="8197" w:type="dxa"/>
          </w:tcPr>
          <w:p w:rsidR="00452AB0" w:rsidRPr="00452AB0" w:rsidRDefault="00452AB0" w:rsidP="00452AB0">
            <w:pPr>
              <w:rPr>
                <w:rFonts w:ascii="Arial" w:hAnsi="Arial" w:cs="Arial"/>
                <w:sz w:val="20"/>
              </w:rPr>
            </w:pPr>
            <w:r w:rsidRPr="00452AB0">
              <w:rPr>
                <w:rFonts w:ascii="Arial" w:hAnsi="Arial" w:cs="Arial"/>
                <w:sz w:val="20"/>
              </w:rPr>
              <w:t>Thema der Stunde: Salze/Alkali- und Erdalkalimetalle</w:t>
            </w:r>
          </w:p>
          <w:p w:rsidR="00452AB0" w:rsidRPr="00452AB0" w:rsidRDefault="00452AB0" w:rsidP="00452AB0">
            <w:pPr>
              <w:rPr>
                <w:rFonts w:ascii="Arial" w:hAnsi="Arial" w:cs="Arial"/>
                <w:sz w:val="20"/>
              </w:rPr>
            </w:pPr>
            <w:r w:rsidRPr="00452AB0">
              <w:rPr>
                <w:rFonts w:ascii="Arial" w:hAnsi="Arial" w:cs="Arial"/>
                <w:sz w:val="20"/>
              </w:rPr>
              <w:t xml:space="preserve">Nachdem in dieser Stunde generelle Eigenschaften von Alkali- bzw. Erdalkalimetallen (in der u.a. das Vorkommen in Wasser thematisiert wurde) behandelt wurden, wirft die Lehrkraft die Frage auf, was denn nun in den Wasserflaschen wirklich drin ist. Die SuS benennen das Salz und grenzen dieses vom elementaren Natrium ab. Um die Fragestellung weiter bearbeiten zu können, teilt die Lehrkraft ein AB aus, welches die SuS zuhause selbstständig lesen und bearbeiten sollen. </w:t>
            </w:r>
          </w:p>
        </w:tc>
      </w:tr>
      <w:tr w:rsidR="00452AB0" w:rsidRPr="00452AB0" w:rsidTr="00296A5D">
        <w:trPr>
          <w:trHeight w:val="2189"/>
        </w:trPr>
        <w:tc>
          <w:tcPr>
            <w:tcW w:w="1579" w:type="dxa"/>
          </w:tcPr>
          <w:p w:rsidR="00452AB0" w:rsidRPr="00452AB0" w:rsidRDefault="00485D72" w:rsidP="00452AB0">
            <w:pPr>
              <w:rPr>
                <w:rFonts w:ascii="Arial" w:hAnsi="Arial" w:cs="Arial"/>
                <w:sz w:val="20"/>
              </w:rPr>
            </w:pPr>
            <w:r>
              <w:rPr>
                <w:rFonts w:ascii="Arial" w:hAnsi="Arial" w:cs="Arial"/>
                <w:sz w:val="20"/>
              </w:rPr>
              <w:t>K1</w:t>
            </w:r>
            <w:r w:rsidR="00452AB0" w:rsidRPr="00452AB0">
              <w:rPr>
                <w:rFonts w:ascii="Arial" w:hAnsi="Arial" w:cs="Arial"/>
                <w:sz w:val="20"/>
              </w:rPr>
              <w:t xml:space="preserve"> 2, 1/4, Sicherung</w:t>
            </w:r>
          </w:p>
        </w:tc>
        <w:tc>
          <w:tcPr>
            <w:tcW w:w="8197" w:type="dxa"/>
          </w:tcPr>
          <w:p w:rsidR="00452AB0" w:rsidRPr="00452AB0" w:rsidRDefault="00452AB0" w:rsidP="00452AB0">
            <w:pPr>
              <w:rPr>
                <w:rFonts w:ascii="Arial" w:hAnsi="Arial" w:cs="Arial"/>
                <w:sz w:val="20"/>
              </w:rPr>
            </w:pPr>
            <w:r w:rsidRPr="00452AB0">
              <w:rPr>
                <w:rFonts w:ascii="Arial" w:hAnsi="Arial" w:cs="Arial"/>
                <w:sz w:val="20"/>
              </w:rPr>
              <w:t>Thema der Stunde: Salze/Siedepunktveränderung</w:t>
            </w:r>
          </w:p>
          <w:p w:rsidR="00452AB0" w:rsidRPr="00452AB0" w:rsidRDefault="00452AB0" w:rsidP="00452AB0">
            <w:pPr>
              <w:rPr>
                <w:rFonts w:ascii="Arial" w:hAnsi="Arial" w:cs="Arial"/>
                <w:sz w:val="20"/>
              </w:rPr>
            </w:pPr>
            <w:r w:rsidRPr="00452AB0">
              <w:rPr>
                <w:rFonts w:ascii="Arial" w:hAnsi="Arial" w:cs="Arial"/>
                <w:sz w:val="20"/>
              </w:rPr>
              <w:t>In dieser Phase wird das Experiment der letzten Stunde zur Temperaturänderung von Kältemischungen bei Hinzufügen von Natriumchlorid durch die Lehrkraft wiederholt. Die Lehrkraft fragt, aus welchem Grund die Kältemischung mit NaCl kälter wird als die ohne. Die SuS verknüpfen die Versuchsergebnisse mit dem Video, das in der letzten Stunde zum Thema „Eigenschaften von Salzen“ geschaut wurde und dem dazugehörigen Lückentext. Sie stellen auf dessen Grundlage Vermutungen an. Die Lehrkraft fertigt an der Tafel mithilfe der SuS-Äußerungen eine Skizze an und fordert die SuS auf, selbstständig einen Merksatz zu formulieren.</w:t>
            </w:r>
          </w:p>
        </w:tc>
      </w:tr>
    </w:tbl>
    <w:p w:rsidR="00452AB0" w:rsidRDefault="00452AB0">
      <w:pPr>
        <w:rPr>
          <w:rFonts w:ascii="Arial" w:hAnsi="Arial" w:cs="Arial"/>
          <w:b/>
        </w:rPr>
      </w:pPr>
    </w:p>
    <w:p w:rsidR="00452AB0" w:rsidRDefault="00452AB0">
      <w:pPr>
        <w:rPr>
          <w:rFonts w:ascii="Arial" w:hAnsi="Arial" w:cs="Arial"/>
          <w:b/>
        </w:rPr>
      </w:pPr>
      <w:r>
        <w:rPr>
          <w:rFonts w:ascii="Arial" w:hAnsi="Arial" w:cs="Arial"/>
          <w:b/>
        </w:rPr>
        <w:t>Divergierende Interessenentwicklung</w:t>
      </w:r>
    </w:p>
    <w:p w:rsidR="00296A5D" w:rsidRDefault="00296A5D" w:rsidP="00296A5D">
      <w:pPr>
        <w:pStyle w:val="Beschriftung"/>
        <w:keepNext/>
      </w:pPr>
      <w:r>
        <w:t xml:space="preserve">Tab. </w:t>
      </w:r>
      <w:r w:rsidR="00C16A34">
        <w:rPr>
          <w:noProof/>
        </w:rPr>
        <w:fldChar w:fldCharType="begin"/>
      </w:r>
      <w:r w:rsidR="00C16A34">
        <w:rPr>
          <w:noProof/>
        </w:rPr>
        <w:instrText xml:space="preserve"> SEQ Tab. \* ARABIC </w:instrText>
      </w:r>
      <w:r w:rsidR="00C16A34">
        <w:rPr>
          <w:noProof/>
        </w:rPr>
        <w:fldChar w:fldCharType="separate"/>
      </w:r>
      <w:r w:rsidR="00022A02">
        <w:rPr>
          <w:noProof/>
        </w:rPr>
        <w:t>5</w:t>
      </w:r>
      <w:r w:rsidR="00C16A34">
        <w:rPr>
          <w:noProof/>
        </w:rPr>
        <w:fldChar w:fldCharType="end"/>
      </w:r>
      <w:r>
        <w:t>: Beschreibung der Phasen, zu einer divergierenden Entwicklung des situationalen Interesses führten; in der Spalte „Phase“ wird jeweils die Klasse (z.B. A1; der Buchstabe gibt die Schule an), der Termin, die Phase sowie die Gesamtzahl der Phasen an dem betreffenden Termin (z.B. 3/3 ist die dritte von drei Phasen) und die Einordnung in die Kategorisierung der Unterrichtsphasen (E. steht für Erarbeitung) wiedergegeben; weitere Abkürzungen: GA = Gruppenarbeit, PA = Partnerarbeit, SuS = Schülerinnen und Schüler, HA = Hausaufgabe, EA = Einzelarbeit, AB = Arbeitsblatt</w:t>
      </w:r>
    </w:p>
    <w:tbl>
      <w:tblPr>
        <w:tblStyle w:val="Tabellenraster2"/>
        <w:tblpPr w:leftFromText="284" w:rightFromText="142" w:vertAnchor="text" w:tblpY="1"/>
        <w:tblOverlap w:val="never"/>
        <w:tblW w:w="9776" w:type="dxa"/>
        <w:tblLayout w:type="fixed"/>
        <w:tblLook w:val="04A0" w:firstRow="1" w:lastRow="0" w:firstColumn="1" w:lastColumn="0" w:noHBand="0" w:noVBand="1"/>
      </w:tblPr>
      <w:tblGrid>
        <w:gridCol w:w="1555"/>
        <w:gridCol w:w="8221"/>
      </w:tblGrid>
      <w:tr w:rsidR="00452AB0" w:rsidRPr="00452AB0" w:rsidTr="000E319A">
        <w:trPr>
          <w:trHeight w:val="558"/>
        </w:trPr>
        <w:tc>
          <w:tcPr>
            <w:tcW w:w="1555" w:type="dxa"/>
          </w:tcPr>
          <w:p w:rsidR="00452AB0" w:rsidRPr="00452AB0" w:rsidRDefault="00452AB0" w:rsidP="000E319A">
            <w:pPr>
              <w:spacing w:after="160" w:line="259" w:lineRule="auto"/>
              <w:rPr>
                <w:rFonts w:ascii="Arial" w:hAnsi="Arial" w:cs="Arial"/>
                <w:b/>
                <w:sz w:val="20"/>
              </w:rPr>
            </w:pPr>
            <w:r w:rsidRPr="00452AB0">
              <w:rPr>
                <w:rFonts w:ascii="Arial" w:hAnsi="Arial" w:cs="Arial"/>
                <w:b/>
                <w:sz w:val="20"/>
              </w:rPr>
              <w:t>Phase</w:t>
            </w:r>
          </w:p>
        </w:tc>
        <w:tc>
          <w:tcPr>
            <w:tcW w:w="8221" w:type="dxa"/>
          </w:tcPr>
          <w:p w:rsidR="00452AB0" w:rsidRPr="00452AB0" w:rsidRDefault="00452AB0" w:rsidP="000E319A">
            <w:pPr>
              <w:spacing w:after="160" w:line="259" w:lineRule="auto"/>
              <w:rPr>
                <w:rFonts w:ascii="Arial" w:hAnsi="Arial" w:cs="Arial"/>
                <w:b/>
                <w:sz w:val="20"/>
              </w:rPr>
            </w:pPr>
            <w:r w:rsidRPr="00452AB0">
              <w:rPr>
                <w:rFonts w:ascii="Arial" w:hAnsi="Arial" w:cs="Arial"/>
                <w:b/>
                <w:sz w:val="20"/>
              </w:rPr>
              <w:t>Inhalt</w:t>
            </w:r>
          </w:p>
        </w:tc>
      </w:tr>
      <w:tr w:rsidR="00452AB0" w:rsidRPr="00452AB0" w:rsidTr="000E319A">
        <w:trPr>
          <w:trHeight w:val="1142"/>
        </w:trPr>
        <w:tc>
          <w:tcPr>
            <w:tcW w:w="1555" w:type="dxa"/>
          </w:tcPr>
          <w:p w:rsidR="00452AB0" w:rsidRPr="00452AB0" w:rsidRDefault="00485D72" w:rsidP="000E319A">
            <w:pPr>
              <w:spacing w:after="160" w:line="259" w:lineRule="auto"/>
              <w:rPr>
                <w:rFonts w:ascii="Arial" w:hAnsi="Arial" w:cs="Arial"/>
                <w:sz w:val="20"/>
              </w:rPr>
            </w:pPr>
            <w:r>
              <w:rPr>
                <w:rFonts w:ascii="Arial" w:hAnsi="Arial" w:cs="Arial"/>
                <w:sz w:val="20"/>
              </w:rPr>
              <w:lastRenderedPageBreak/>
              <w:t>B1</w:t>
            </w:r>
            <w:r w:rsidR="00452AB0" w:rsidRPr="00452AB0">
              <w:rPr>
                <w:rFonts w:ascii="Arial" w:hAnsi="Arial" w:cs="Arial"/>
                <w:sz w:val="20"/>
              </w:rPr>
              <w:t xml:space="preserve"> 3, 1/4,  </w:t>
            </w:r>
            <w:proofErr w:type="spellStart"/>
            <w:r w:rsidR="00452AB0" w:rsidRPr="00452AB0">
              <w:rPr>
                <w:rFonts w:ascii="Arial" w:hAnsi="Arial" w:cs="Arial"/>
                <w:sz w:val="20"/>
              </w:rPr>
              <w:t>Problemati-sierung</w:t>
            </w:r>
            <w:proofErr w:type="spellEnd"/>
          </w:p>
        </w:tc>
        <w:tc>
          <w:tcPr>
            <w:tcW w:w="8221" w:type="dxa"/>
          </w:tcPr>
          <w:p w:rsidR="00452AB0" w:rsidRPr="00452AB0" w:rsidRDefault="00452AB0" w:rsidP="000E319A">
            <w:pPr>
              <w:spacing w:after="160" w:line="259" w:lineRule="auto"/>
              <w:rPr>
                <w:rFonts w:ascii="Arial" w:hAnsi="Arial" w:cs="Arial"/>
                <w:sz w:val="20"/>
              </w:rPr>
            </w:pPr>
            <w:r w:rsidRPr="00452AB0">
              <w:rPr>
                <w:rFonts w:ascii="Arial" w:hAnsi="Arial" w:cs="Arial"/>
                <w:sz w:val="20"/>
              </w:rPr>
              <w:t>Thema der Stunde: Salze/Lösen von Salzen, Hydrations- u. Gitterenergie</w:t>
            </w:r>
            <w:r>
              <w:rPr>
                <w:rFonts w:ascii="Arial" w:hAnsi="Arial" w:cs="Arial"/>
                <w:sz w:val="20"/>
              </w:rPr>
              <w:br/>
            </w:r>
            <w:r w:rsidRPr="00452AB0">
              <w:rPr>
                <w:rFonts w:ascii="Arial" w:hAnsi="Arial" w:cs="Arial"/>
                <w:b/>
                <w:sz w:val="20"/>
              </w:rPr>
              <w:t>Achtung:</w:t>
            </w:r>
            <w:r w:rsidRPr="00452AB0">
              <w:rPr>
                <w:rFonts w:ascii="Arial" w:hAnsi="Arial" w:cs="Arial"/>
                <w:sz w:val="20"/>
              </w:rPr>
              <w:t xml:space="preserve"> Bevor der offizielle Teil des Unterrichts begann, haben die SuS noch einen Test geschrieben. </w:t>
            </w:r>
            <w:r>
              <w:rPr>
                <w:rFonts w:ascii="Arial" w:hAnsi="Arial" w:cs="Arial"/>
                <w:sz w:val="20"/>
              </w:rPr>
              <w:br/>
            </w:r>
            <w:r w:rsidRPr="00452AB0">
              <w:rPr>
                <w:rFonts w:ascii="Arial" w:hAnsi="Arial" w:cs="Arial"/>
                <w:sz w:val="20"/>
              </w:rPr>
              <w:t xml:space="preserve">Lehrkraft zeigt mittels einer </w:t>
            </w:r>
            <w:proofErr w:type="spellStart"/>
            <w:r w:rsidRPr="00452AB0">
              <w:rPr>
                <w:rFonts w:ascii="Arial" w:hAnsi="Arial" w:cs="Arial"/>
                <w:sz w:val="20"/>
              </w:rPr>
              <w:t>ppt</w:t>
            </w:r>
            <w:proofErr w:type="spellEnd"/>
            <w:r w:rsidRPr="00452AB0">
              <w:rPr>
                <w:rFonts w:ascii="Arial" w:hAnsi="Arial" w:cs="Arial"/>
                <w:sz w:val="20"/>
              </w:rPr>
              <w:t xml:space="preserve">-Folie das Bild eines Kühlpacks und lässt die SuS beschreiben, was sie sehen. Die Lehrkraft fordert die SuS Fragen zu Kühlpacks zu stellen, die sie erforschen möchten. Frage: Wie funktionieren Wärmekissen sowie Kühlpacks? </w:t>
            </w:r>
          </w:p>
        </w:tc>
      </w:tr>
      <w:tr w:rsidR="00452AB0" w:rsidRPr="00452AB0" w:rsidTr="000E319A">
        <w:trPr>
          <w:trHeight w:val="936"/>
        </w:trPr>
        <w:tc>
          <w:tcPr>
            <w:tcW w:w="1555" w:type="dxa"/>
          </w:tcPr>
          <w:p w:rsidR="00452AB0" w:rsidRPr="00452AB0" w:rsidRDefault="00485D72" w:rsidP="000E319A">
            <w:pPr>
              <w:spacing w:after="160" w:line="259" w:lineRule="auto"/>
              <w:rPr>
                <w:rFonts w:ascii="Arial" w:hAnsi="Arial" w:cs="Arial"/>
                <w:sz w:val="20"/>
              </w:rPr>
            </w:pPr>
            <w:r>
              <w:rPr>
                <w:rFonts w:ascii="Arial" w:hAnsi="Arial" w:cs="Arial"/>
                <w:sz w:val="20"/>
              </w:rPr>
              <w:t>B1</w:t>
            </w:r>
            <w:r w:rsidR="00452AB0" w:rsidRPr="00452AB0">
              <w:rPr>
                <w:rFonts w:ascii="Arial" w:hAnsi="Arial" w:cs="Arial"/>
                <w:sz w:val="20"/>
              </w:rPr>
              <w:t xml:space="preserve"> 3, 2/4,  praktische E.</w:t>
            </w:r>
          </w:p>
        </w:tc>
        <w:tc>
          <w:tcPr>
            <w:tcW w:w="8221" w:type="dxa"/>
          </w:tcPr>
          <w:p w:rsidR="00452AB0" w:rsidRPr="00452AB0" w:rsidRDefault="00452AB0" w:rsidP="000E319A">
            <w:pPr>
              <w:spacing w:after="160" w:line="259" w:lineRule="auto"/>
              <w:rPr>
                <w:rFonts w:ascii="Arial" w:hAnsi="Arial" w:cs="Arial"/>
                <w:sz w:val="20"/>
              </w:rPr>
            </w:pPr>
            <w:r w:rsidRPr="00452AB0">
              <w:rPr>
                <w:rFonts w:ascii="Arial" w:hAnsi="Arial" w:cs="Arial"/>
                <w:sz w:val="20"/>
              </w:rPr>
              <w:t>Thema der Stunde: Salze/Lösen von Salzen, Hydrations- u. Gitterenergie</w:t>
            </w:r>
            <w:r>
              <w:rPr>
                <w:rFonts w:ascii="Arial" w:hAnsi="Arial" w:cs="Arial"/>
                <w:sz w:val="20"/>
              </w:rPr>
              <w:br/>
            </w:r>
            <w:r w:rsidRPr="00452AB0">
              <w:rPr>
                <w:rFonts w:ascii="Arial" w:hAnsi="Arial" w:cs="Arial"/>
                <w:b/>
                <w:sz w:val="20"/>
              </w:rPr>
              <w:t>Achtung:</w:t>
            </w:r>
            <w:r w:rsidRPr="00452AB0">
              <w:rPr>
                <w:rFonts w:ascii="Arial" w:hAnsi="Arial" w:cs="Arial"/>
                <w:sz w:val="20"/>
              </w:rPr>
              <w:t xml:space="preserve"> Bevor der offizielle Teil des Unterrichts begann, haben die SuS noch einen Test geschrieben. </w:t>
            </w:r>
            <w:r>
              <w:rPr>
                <w:rFonts w:ascii="Arial" w:hAnsi="Arial" w:cs="Arial"/>
                <w:sz w:val="20"/>
              </w:rPr>
              <w:br/>
            </w:r>
            <w:r w:rsidRPr="00452AB0">
              <w:rPr>
                <w:rFonts w:ascii="Arial" w:hAnsi="Arial" w:cs="Arial"/>
                <w:sz w:val="20"/>
              </w:rPr>
              <w:t>Die SuS stellen Hypothesen zur Funktionsweise von Wärmekissen u. Kühlpacks auf. Aus Zeitgründen erfolgt die Experimentplanung zur Überprüfung der Hypothesen gemeinsam. Die SuS führen das Experiment in GA durch (Temperaturänderungen beim Lösen der Salze CaCl</w:t>
            </w:r>
            <w:r w:rsidRPr="00452AB0">
              <w:rPr>
                <w:rFonts w:ascii="Arial" w:hAnsi="Arial" w:cs="Arial"/>
                <w:sz w:val="20"/>
                <w:vertAlign w:val="subscript"/>
              </w:rPr>
              <w:t>2</w:t>
            </w:r>
            <w:r w:rsidRPr="00452AB0">
              <w:rPr>
                <w:rFonts w:ascii="Arial" w:hAnsi="Arial" w:cs="Arial"/>
                <w:sz w:val="20"/>
              </w:rPr>
              <w:t>, KNO</w:t>
            </w:r>
            <w:r w:rsidRPr="00452AB0">
              <w:rPr>
                <w:rFonts w:ascii="Arial" w:hAnsi="Arial" w:cs="Arial"/>
                <w:sz w:val="20"/>
                <w:vertAlign w:val="subscript"/>
              </w:rPr>
              <w:t>3</w:t>
            </w:r>
            <w:r w:rsidRPr="00452AB0">
              <w:rPr>
                <w:rFonts w:ascii="Arial" w:hAnsi="Arial" w:cs="Arial"/>
                <w:sz w:val="20"/>
              </w:rPr>
              <w:t xml:space="preserve"> und NH</w:t>
            </w:r>
            <w:r w:rsidRPr="00452AB0">
              <w:rPr>
                <w:rFonts w:ascii="Arial" w:hAnsi="Arial" w:cs="Arial"/>
                <w:sz w:val="20"/>
                <w:vertAlign w:val="subscript"/>
              </w:rPr>
              <w:t>4</w:t>
            </w:r>
            <w:r w:rsidRPr="00452AB0">
              <w:rPr>
                <w:rFonts w:ascii="Arial" w:hAnsi="Arial" w:cs="Arial"/>
                <w:sz w:val="20"/>
              </w:rPr>
              <w:t xml:space="preserve">Cl) und werten es anschließend mithilfe ihres ABs aus. </w:t>
            </w:r>
          </w:p>
        </w:tc>
      </w:tr>
      <w:tr w:rsidR="00452AB0" w:rsidRPr="00452AB0" w:rsidTr="000E319A">
        <w:trPr>
          <w:trHeight w:val="70"/>
        </w:trPr>
        <w:tc>
          <w:tcPr>
            <w:tcW w:w="1555" w:type="dxa"/>
          </w:tcPr>
          <w:p w:rsidR="00452AB0" w:rsidRPr="00452AB0" w:rsidRDefault="00485D72" w:rsidP="000E319A">
            <w:pPr>
              <w:spacing w:after="160" w:line="259" w:lineRule="auto"/>
              <w:rPr>
                <w:rFonts w:ascii="Arial" w:hAnsi="Arial" w:cs="Arial"/>
                <w:sz w:val="20"/>
              </w:rPr>
            </w:pPr>
            <w:r>
              <w:rPr>
                <w:rFonts w:ascii="Arial" w:hAnsi="Arial" w:cs="Arial"/>
                <w:sz w:val="20"/>
              </w:rPr>
              <w:t>J2</w:t>
            </w:r>
            <w:r w:rsidR="00452AB0" w:rsidRPr="00452AB0">
              <w:rPr>
                <w:rFonts w:ascii="Arial" w:hAnsi="Arial" w:cs="Arial"/>
                <w:sz w:val="20"/>
              </w:rPr>
              <w:t xml:space="preserve"> 2, 1/2,  Einstieg + </w:t>
            </w:r>
            <w:proofErr w:type="spellStart"/>
            <w:r w:rsidR="00452AB0" w:rsidRPr="00452AB0">
              <w:rPr>
                <w:rFonts w:ascii="Arial" w:hAnsi="Arial" w:cs="Arial"/>
                <w:sz w:val="20"/>
              </w:rPr>
              <w:t>Problemati-sierung</w:t>
            </w:r>
            <w:proofErr w:type="spellEnd"/>
          </w:p>
        </w:tc>
        <w:tc>
          <w:tcPr>
            <w:tcW w:w="8221" w:type="dxa"/>
          </w:tcPr>
          <w:p w:rsidR="00452AB0" w:rsidRPr="00452AB0" w:rsidRDefault="00452AB0" w:rsidP="000E319A">
            <w:pPr>
              <w:spacing w:after="160" w:line="259" w:lineRule="auto"/>
              <w:rPr>
                <w:rFonts w:ascii="Arial" w:hAnsi="Arial" w:cs="Arial"/>
                <w:sz w:val="20"/>
              </w:rPr>
            </w:pPr>
            <w:r w:rsidRPr="00452AB0">
              <w:rPr>
                <w:rFonts w:ascii="Arial" w:hAnsi="Arial" w:cs="Arial"/>
                <w:sz w:val="20"/>
              </w:rPr>
              <w:t>Thema der Stunde: Salze/Erdalkalimetalle</w:t>
            </w:r>
            <w:r>
              <w:rPr>
                <w:rFonts w:ascii="Arial" w:hAnsi="Arial" w:cs="Arial"/>
                <w:sz w:val="20"/>
              </w:rPr>
              <w:br/>
            </w:r>
            <w:r w:rsidRPr="00452AB0">
              <w:rPr>
                <w:rFonts w:ascii="Arial" w:hAnsi="Arial" w:cs="Arial"/>
                <w:sz w:val="20"/>
              </w:rPr>
              <w:t xml:space="preserve">Die Lehrkraft startet die Stunde mit einer Wiederholung der vorher behandelten Fachinhalte (Eigenschaften von Erdalkalimetallen </w:t>
            </w:r>
            <w:r w:rsidRPr="00452AB0">
              <w:rPr>
                <w:rFonts w:ascii="Arial" w:hAnsi="Arial" w:cs="Arial"/>
                <w:sz w:val="20"/>
              </w:rPr>
              <w:sym w:font="Wingdings" w:char="F0E0"/>
            </w:r>
            <w:r w:rsidRPr="00452AB0">
              <w:rPr>
                <w:rFonts w:ascii="Arial" w:hAnsi="Arial" w:cs="Arial"/>
                <w:sz w:val="20"/>
              </w:rPr>
              <w:t xml:space="preserve"> Härte, Lagerung, Reaktion mit Wasser/allgemein). Anschließend fragt sie nach einer Zusammenfassung des Textes, welche die SuS als HA lesen sollten (Spektralanalyse). Nachdem diese durch die SuS erfolgte, erklärt die Lehrkraft ein Experiment zur Flammfärbung, welches im Anschluss durchgeführt werden soll und beantwortet Fragen.</w:t>
            </w:r>
          </w:p>
        </w:tc>
      </w:tr>
      <w:tr w:rsidR="00452AB0" w:rsidRPr="00452AB0" w:rsidTr="000E319A">
        <w:trPr>
          <w:trHeight w:val="1055"/>
        </w:trPr>
        <w:tc>
          <w:tcPr>
            <w:tcW w:w="1555" w:type="dxa"/>
          </w:tcPr>
          <w:p w:rsidR="00452AB0" w:rsidRPr="00452AB0" w:rsidRDefault="00485D72" w:rsidP="000E319A">
            <w:pPr>
              <w:spacing w:after="160" w:line="259" w:lineRule="auto"/>
              <w:rPr>
                <w:rFonts w:ascii="Arial" w:hAnsi="Arial" w:cs="Arial"/>
                <w:sz w:val="20"/>
              </w:rPr>
            </w:pPr>
            <w:r>
              <w:rPr>
                <w:rFonts w:ascii="Arial" w:hAnsi="Arial" w:cs="Arial"/>
                <w:sz w:val="20"/>
              </w:rPr>
              <w:t>J2</w:t>
            </w:r>
            <w:r w:rsidR="00452AB0" w:rsidRPr="00452AB0">
              <w:rPr>
                <w:rFonts w:ascii="Arial" w:hAnsi="Arial" w:cs="Arial"/>
                <w:sz w:val="20"/>
              </w:rPr>
              <w:t>, 3, 2/3,  theoretische E. + Sicherung</w:t>
            </w:r>
          </w:p>
        </w:tc>
        <w:tc>
          <w:tcPr>
            <w:tcW w:w="8221" w:type="dxa"/>
          </w:tcPr>
          <w:p w:rsidR="00452AB0" w:rsidRPr="00452AB0" w:rsidRDefault="00452AB0" w:rsidP="000E319A">
            <w:pPr>
              <w:spacing w:after="160" w:line="259" w:lineRule="auto"/>
              <w:rPr>
                <w:rFonts w:ascii="Arial" w:hAnsi="Arial" w:cs="Arial"/>
                <w:sz w:val="20"/>
              </w:rPr>
            </w:pPr>
            <w:r w:rsidRPr="00452AB0">
              <w:rPr>
                <w:rFonts w:ascii="Arial" w:hAnsi="Arial" w:cs="Arial"/>
                <w:sz w:val="20"/>
              </w:rPr>
              <w:t>Thema der Stunde: Salze/Eigenschaften</w:t>
            </w:r>
            <w:r>
              <w:rPr>
                <w:rFonts w:ascii="Arial" w:hAnsi="Arial" w:cs="Arial"/>
                <w:sz w:val="20"/>
              </w:rPr>
              <w:br/>
            </w:r>
            <w:r w:rsidRPr="00452AB0">
              <w:rPr>
                <w:rFonts w:ascii="Arial" w:hAnsi="Arial" w:cs="Arial"/>
                <w:sz w:val="20"/>
              </w:rPr>
              <w:t xml:space="preserve">In der vorherigen Stunde haben die SuS in einem Versuch die Flammfärbung verschiedener Salze beobachtet. </w:t>
            </w:r>
            <w:r>
              <w:rPr>
                <w:rFonts w:ascii="Arial" w:hAnsi="Arial" w:cs="Arial"/>
                <w:sz w:val="20"/>
              </w:rPr>
              <w:br/>
            </w:r>
            <w:r w:rsidRPr="00452AB0">
              <w:rPr>
                <w:rFonts w:ascii="Arial" w:hAnsi="Arial" w:cs="Arial"/>
                <w:sz w:val="20"/>
              </w:rPr>
              <w:t xml:space="preserve">In dieser Phase sollten die SuS zunächst den Versuch in EA mithilfe eines ABs auswerten und anschließend im UG ihre Auswertungen präsentieren und vergleichen. Da die SuS in ihrer Auswertung zeigen, dass sie die Flammfärbung nicht so gut nachvollziehen können, erklärt die Lehrkraft im Anschluss selber die Färbung anhand von </w:t>
            </w:r>
            <w:proofErr w:type="spellStart"/>
            <w:r w:rsidRPr="00452AB0">
              <w:rPr>
                <w:rFonts w:ascii="Arial" w:hAnsi="Arial" w:cs="Arial"/>
                <w:sz w:val="20"/>
              </w:rPr>
              <w:t>Energieauf</w:t>
            </w:r>
            <w:proofErr w:type="spellEnd"/>
            <w:r w:rsidRPr="00452AB0">
              <w:rPr>
                <w:rFonts w:ascii="Arial" w:hAnsi="Arial" w:cs="Arial"/>
                <w:sz w:val="20"/>
              </w:rPr>
              <w:t xml:space="preserve">- und </w:t>
            </w:r>
            <w:proofErr w:type="spellStart"/>
            <w:r w:rsidRPr="00452AB0">
              <w:rPr>
                <w:rFonts w:ascii="Arial" w:hAnsi="Arial" w:cs="Arial"/>
                <w:sz w:val="20"/>
              </w:rPr>
              <w:t>abnahme</w:t>
            </w:r>
            <w:proofErr w:type="spellEnd"/>
            <w:r w:rsidRPr="00452AB0">
              <w:rPr>
                <w:rFonts w:ascii="Arial" w:hAnsi="Arial" w:cs="Arial"/>
                <w:sz w:val="20"/>
              </w:rPr>
              <w:t xml:space="preserve"> durch die Valenzelektronen. </w:t>
            </w:r>
          </w:p>
        </w:tc>
      </w:tr>
      <w:tr w:rsidR="00452AB0" w:rsidRPr="00452AB0" w:rsidTr="000E319A">
        <w:trPr>
          <w:trHeight w:val="602"/>
        </w:trPr>
        <w:tc>
          <w:tcPr>
            <w:tcW w:w="1555" w:type="dxa"/>
          </w:tcPr>
          <w:p w:rsidR="00452AB0" w:rsidRPr="00452AB0" w:rsidRDefault="00485D72" w:rsidP="000E319A">
            <w:pPr>
              <w:spacing w:after="160" w:line="259" w:lineRule="auto"/>
              <w:rPr>
                <w:rFonts w:ascii="Arial" w:hAnsi="Arial" w:cs="Arial"/>
                <w:sz w:val="20"/>
              </w:rPr>
            </w:pPr>
            <w:r>
              <w:rPr>
                <w:rFonts w:ascii="Arial" w:hAnsi="Arial" w:cs="Arial"/>
                <w:sz w:val="20"/>
              </w:rPr>
              <w:t>K1</w:t>
            </w:r>
            <w:r w:rsidR="00452AB0" w:rsidRPr="00452AB0">
              <w:rPr>
                <w:rFonts w:ascii="Arial" w:hAnsi="Arial" w:cs="Arial"/>
                <w:sz w:val="20"/>
              </w:rPr>
              <w:t xml:space="preserve"> 1, 4/7,  Sicherung</w:t>
            </w:r>
          </w:p>
        </w:tc>
        <w:tc>
          <w:tcPr>
            <w:tcW w:w="8221" w:type="dxa"/>
          </w:tcPr>
          <w:p w:rsidR="00452AB0" w:rsidRPr="00452AB0" w:rsidRDefault="00452AB0" w:rsidP="000E319A">
            <w:pPr>
              <w:spacing w:after="160" w:line="259" w:lineRule="auto"/>
              <w:rPr>
                <w:rFonts w:ascii="Arial" w:hAnsi="Arial" w:cs="Arial"/>
                <w:sz w:val="20"/>
              </w:rPr>
            </w:pPr>
            <w:r w:rsidRPr="00452AB0">
              <w:rPr>
                <w:rFonts w:ascii="Arial" w:hAnsi="Arial" w:cs="Arial"/>
                <w:sz w:val="20"/>
              </w:rPr>
              <w:t>Thema der Stunde: Salze/Einführungsstunde</w:t>
            </w:r>
            <w:r>
              <w:rPr>
                <w:rFonts w:ascii="Arial" w:hAnsi="Arial" w:cs="Arial"/>
                <w:sz w:val="20"/>
              </w:rPr>
              <w:br/>
            </w:r>
            <w:r w:rsidRPr="00452AB0">
              <w:rPr>
                <w:rFonts w:ascii="Arial" w:hAnsi="Arial" w:cs="Arial"/>
                <w:sz w:val="20"/>
              </w:rPr>
              <w:t xml:space="preserve">Die SuS haben in den beiden letzten Phasen einen Versuch zur Herstellung für eine Kältemischung durchgeführt (1) und ausgewertet (2). In dieser Phasen wurden die Ergebnisse durch die Lehrkraft im UG gesichert (sowohl die Beobachtungen als auch die Auswertung). </w:t>
            </w:r>
          </w:p>
        </w:tc>
      </w:tr>
    </w:tbl>
    <w:p w:rsidR="00452AB0" w:rsidRDefault="00452AB0">
      <w:pPr>
        <w:rPr>
          <w:rFonts w:ascii="Arial" w:hAnsi="Arial" w:cs="Arial"/>
          <w:b/>
        </w:rPr>
      </w:pPr>
    </w:p>
    <w:p w:rsidR="00452AB0" w:rsidRDefault="00452AB0">
      <w:pPr>
        <w:rPr>
          <w:rFonts w:ascii="Arial" w:hAnsi="Arial" w:cs="Arial"/>
          <w:b/>
        </w:rPr>
      </w:pPr>
      <w:r>
        <w:rPr>
          <w:rFonts w:ascii="Arial" w:hAnsi="Arial" w:cs="Arial"/>
          <w:b/>
        </w:rPr>
        <w:t>Konvergierende Interessenentwicklung</w:t>
      </w:r>
    </w:p>
    <w:p w:rsidR="00296A5D" w:rsidRDefault="00296A5D" w:rsidP="00296A5D">
      <w:pPr>
        <w:pStyle w:val="Beschriftung"/>
        <w:keepNext/>
      </w:pPr>
      <w:r>
        <w:t xml:space="preserve">Tab. </w:t>
      </w:r>
      <w:r w:rsidR="00C16A34">
        <w:rPr>
          <w:noProof/>
        </w:rPr>
        <w:fldChar w:fldCharType="begin"/>
      </w:r>
      <w:r w:rsidR="00C16A34">
        <w:rPr>
          <w:noProof/>
        </w:rPr>
        <w:instrText xml:space="preserve"> SEQ Tab. \* ARABIC </w:instrText>
      </w:r>
      <w:r w:rsidR="00C16A34">
        <w:rPr>
          <w:noProof/>
        </w:rPr>
        <w:fldChar w:fldCharType="separate"/>
      </w:r>
      <w:r w:rsidR="00022A02">
        <w:rPr>
          <w:noProof/>
        </w:rPr>
        <w:t>6</w:t>
      </w:r>
      <w:r w:rsidR="00C16A34">
        <w:rPr>
          <w:noProof/>
        </w:rPr>
        <w:fldChar w:fldCharType="end"/>
      </w:r>
      <w:r>
        <w:t>: Beschreibung der Phasen, zu einer divergierenden Entwicklung des situationalen Interesses führten; in der Spalte „Phase“ wird jeweils die Klasse (z.B. A1; der Buchstabe gibt die Schule an), der Termin, die Phase sowie die Gesamtzahl der Phasen an dem betreffenden Termin (z.B. 3/3 ist die dritte von drei Phasen) und die Einordnung in die Kategorisierung der Unterrichtsphasen (E. steht für Erarbeitung) wiedergegeben; weitere Abkürzungen: GA = Gruppenarbeit, PA = Partnerarbeit, SuS = Schülerinnen und Schüler, HA = Hausaufgabe, EA = Einzelarbeit, AB = Arbeitsblatt</w:t>
      </w:r>
    </w:p>
    <w:tbl>
      <w:tblPr>
        <w:tblStyle w:val="Tabellenraster3"/>
        <w:tblpPr w:leftFromText="284" w:rightFromText="142" w:vertAnchor="text" w:tblpY="1"/>
        <w:tblOverlap w:val="never"/>
        <w:tblW w:w="9776" w:type="dxa"/>
        <w:tblLayout w:type="fixed"/>
        <w:tblLook w:val="04A0" w:firstRow="1" w:lastRow="0" w:firstColumn="1" w:lastColumn="0" w:noHBand="0" w:noVBand="1"/>
      </w:tblPr>
      <w:tblGrid>
        <w:gridCol w:w="1555"/>
        <w:gridCol w:w="8221"/>
      </w:tblGrid>
      <w:tr w:rsidR="00452AB0" w:rsidRPr="00452AB0" w:rsidTr="000E319A">
        <w:trPr>
          <w:trHeight w:val="70"/>
        </w:trPr>
        <w:tc>
          <w:tcPr>
            <w:tcW w:w="1555" w:type="dxa"/>
          </w:tcPr>
          <w:p w:rsidR="00452AB0" w:rsidRPr="00452AB0" w:rsidRDefault="00452AB0" w:rsidP="000E319A">
            <w:pPr>
              <w:spacing w:after="160" w:line="259" w:lineRule="auto"/>
              <w:rPr>
                <w:rFonts w:ascii="Arial" w:hAnsi="Arial" w:cs="Arial"/>
                <w:b/>
                <w:sz w:val="20"/>
                <w:szCs w:val="20"/>
              </w:rPr>
            </w:pPr>
            <w:r w:rsidRPr="00452AB0">
              <w:rPr>
                <w:rFonts w:ascii="Arial" w:hAnsi="Arial" w:cs="Arial"/>
                <w:b/>
                <w:sz w:val="20"/>
                <w:szCs w:val="20"/>
              </w:rPr>
              <w:t>Phase</w:t>
            </w:r>
          </w:p>
        </w:tc>
        <w:tc>
          <w:tcPr>
            <w:tcW w:w="8221" w:type="dxa"/>
          </w:tcPr>
          <w:p w:rsidR="00452AB0" w:rsidRPr="00452AB0" w:rsidRDefault="00452AB0" w:rsidP="000E319A">
            <w:pPr>
              <w:spacing w:after="160" w:line="259" w:lineRule="auto"/>
              <w:rPr>
                <w:rFonts w:ascii="Arial" w:hAnsi="Arial" w:cs="Arial"/>
                <w:b/>
                <w:sz w:val="20"/>
                <w:szCs w:val="20"/>
              </w:rPr>
            </w:pPr>
            <w:r w:rsidRPr="00452AB0">
              <w:rPr>
                <w:rFonts w:ascii="Arial" w:hAnsi="Arial" w:cs="Arial"/>
                <w:b/>
                <w:sz w:val="20"/>
                <w:szCs w:val="20"/>
              </w:rPr>
              <w:t>Inhalt</w:t>
            </w:r>
          </w:p>
        </w:tc>
      </w:tr>
      <w:tr w:rsidR="00452AB0" w:rsidRPr="00452AB0" w:rsidTr="00C1108E">
        <w:trPr>
          <w:trHeight w:val="134"/>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A1</w:t>
            </w:r>
            <w:r w:rsidR="00452AB0" w:rsidRPr="00452AB0">
              <w:rPr>
                <w:rFonts w:ascii="Arial" w:hAnsi="Arial" w:cs="Arial"/>
                <w:sz w:val="20"/>
                <w:szCs w:val="20"/>
              </w:rPr>
              <w:t xml:space="preserve"> 2, 1/4,  praktische E. + Sicherung  </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Salze/Aufbau</w:t>
            </w:r>
            <w:r>
              <w:rPr>
                <w:rFonts w:ascii="Arial" w:hAnsi="Arial" w:cs="Arial"/>
                <w:sz w:val="20"/>
                <w:szCs w:val="20"/>
              </w:rPr>
              <w:br/>
            </w:r>
            <w:r w:rsidRPr="00452AB0">
              <w:rPr>
                <w:rFonts w:ascii="Arial" w:hAnsi="Arial" w:cs="Arial"/>
                <w:sz w:val="20"/>
                <w:szCs w:val="20"/>
              </w:rPr>
              <w:t xml:space="preserve">Die Lehrkraft teilt den SuS mit, was für die kommende Unterrichtsstunde geplant ist. Dann gibt sie den SuS Lupen und normales Kochsalz (NaCl) und fordert sie auf, die Kristalle genau zu betrachten. Die SuS kommen der Aufforderung nach. Da nicht genügend Lupen vorhanden sind, teilen sich die Tischgruppen eine. Die Lehrkraft fordert die SuS, dass jede/r das Salz betrachten soll. Im Anschluss sollen sich die SuS innerhalb der Tischgruppen über die Beobachtungen austauschen. Nach Beendigung der Diskussionen fordert die Lehrkraft auf, die Beobachtungen im Plenum mitzuteilen (Think-Pair-Share). Die SuS sagen, dass sie eine kristalline Struktur beobachten konnten und beschreiben </w:t>
            </w:r>
            <w:r w:rsidRPr="00452AB0">
              <w:rPr>
                <w:rFonts w:ascii="Arial" w:hAnsi="Arial" w:cs="Arial"/>
                <w:sz w:val="20"/>
                <w:szCs w:val="20"/>
              </w:rPr>
              <w:lastRenderedPageBreak/>
              <w:t>diese 3D-Struktur als „eckig“ und „kantig“. Außerdem geben sie an, dass jeder Kristall anders aussieht.</w:t>
            </w:r>
          </w:p>
        </w:tc>
      </w:tr>
      <w:tr w:rsidR="00452AB0" w:rsidRPr="00452AB0" w:rsidTr="000E319A">
        <w:trPr>
          <w:trHeight w:val="557"/>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lastRenderedPageBreak/>
              <w:t>A1</w:t>
            </w:r>
            <w:r w:rsidR="00452AB0" w:rsidRPr="00452AB0">
              <w:rPr>
                <w:rFonts w:ascii="Arial" w:hAnsi="Arial" w:cs="Arial"/>
                <w:sz w:val="20"/>
                <w:szCs w:val="20"/>
              </w:rPr>
              <w:t xml:space="preserve"> 2, 3/4,  theoretische E. + Sicherung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Salze/Aufbau</w:t>
            </w:r>
            <w:r>
              <w:rPr>
                <w:rFonts w:ascii="Arial" w:hAnsi="Arial" w:cs="Arial"/>
                <w:sz w:val="20"/>
                <w:szCs w:val="20"/>
              </w:rPr>
              <w:br/>
            </w:r>
            <w:r w:rsidRPr="00452AB0">
              <w:rPr>
                <w:rFonts w:ascii="Arial" w:hAnsi="Arial" w:cs="Arial"/>
                <w:sz w:val="20"/>
                <w:szCs w:val="20"/>
              </w:rPr>
              <w:t>Nachdem die Lehrkraft mit der Klasse im Plenum ein Beispiel besprochen hat (letzte Phase), gibt sie den SuS an der Tafel mehrere Kombinationen aus Elementen vor, die zusammen ein Salz bilden (z.B. Al + Cl). Sie fordert die SuS auf, die Verhältnisformel und die Ionenladungen anzugeben. Nachdem der Lehrkraft auffällt, dass einige SuS sehr schnell die Aufgabe bearbeitet haben, während andere große Probleme haben, fordert sie die SuS auf, sich in „Mentoring-Pärchen“ zusammenzufinden, in denen ein bereits fertiger S. einem anderem S. mit Problemen hilft. Im Anschluss lässt die Lehrkraft die Lösung von den SuS an die Tafel schreiben und gegenseitig kontrollieren.</w:t>
            </w:r>
          </w:p>
        </w:tc>
      </w:tr>
      <w:tr w:rsidR="00452AB0" w:rsidRPr="00452AB0" w:rsidTr="000E319A">
        <w:trPr>
          <w:trHeight w:val="696"/>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A2</w:t>
            </w:r>
            <w:r w:rsidR="00452AB0" w:rsidRPr="00452AB0">
              <w:rPr>
                <w:rFonts w:ascii="Arial" w:hAnsi="Arial" w:cs="Arial"/>
                <w:sz w:val="20"/>
                <w:szCs w:val="20"/>
              </w:rPr>
              <w:t xml:space="preserve"> 2, 1/4,  Einstieg und </w:t>
            </w:r>
            <w:proofErr w:type="spellStart"/>
            <w:r w:rsidR="00452AB0" w:rsidRPr="00452AB0">
              <w:rPr>
                <w:rFonts w:ascii="Arial" w:hAnsi="Arial" w:cs="Arial"/>
                <w:sz w:val="20"/>
                <w:szCs w:val="20"/>
              </w:rPr>
              <w:t>Problemati-sierung</w:t>
            </w:r>
            <w:proofErr w:type="spellEnd"/>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Salze/Eigenschaften</w:t>
            </w:r>
            <w:r>
              <w:rPr>
                <w:rFonts w:ascii="Arial" w:hAnsi="Arial" w:cs="Arial"/>
                <w:sz w:val="20"/>
                <w:szCs w:val="20"/>
              </w:rPr>
              <w:br/>
            </w:r>
            <w:r w:rsidRPr="00452AB0">
              <w:rPr>
                <w:rFonts w:ascii="Arial" w:hAnsi="Arial" w:cs="Arial"/>
                <w:sz w:val="20"/>
                <w:szCs w:val="20"/>
              </w:rPr>
              <w:t xml:space="preserve">Die SuS haben in der vorangegangenen Stunde eine Stationsarbeit zum Thema „Eigenschaften von Salzen“ durchgeführt. Als Einstieg forderte die Lehrkraft die SuS auf, die Ergebnisse der letzten Stunde per Think-Pair-Share nochmal durchzugehen und anschließend zu vergleichen (in PA und in GA). Anschließend wirft sie die Fragen, die die SuS zu Beginn der Einheit gestellt haben, wieder auf und fragt, welche davon bereits beantwortet werden können. </w:t>
            </w:r>
          </w:p>
        </w:tc>
      </w:tr>
      <w:tr w:rsidR="00452AB0" w:rsidRPr="00452AB0" w:rsidTr="000E319A">
        <w:trPr>
          <w:trHeight w:val="1350"/>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A2</w:t>
            </w:r>
            <w:r w:rsidR="00452AB0" w:rsidRPr="00452AB0">
              <w:rPr>
                <w:rFonts w:ascii="Arial" w:hAnsi="Arial" w:cs="Arial"/>
                <w:sz w:val="20"/>
                <w:szCs w:val="20"/>
              </w:rPr>
              <w:t xml:space="preserve"> 2, 4/4,  Vertiefung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Salze/Eigenschaften</w:t>
            </w:r>
            <w:r>
              <w:rPr>
                <w:rFonts w:ascii="Arial" w:hAnsi="Arial" w:cs="Arial"/>
                <w:sz w:val="20"/>
                <w:szCs w:val="20"/>
              </w:rPr>
              <w:br/>
            </w:r>
            <w:r w:rsidRPr="00452AB0">
              <w:rPr>
                <w:rFonts w:ascii="Arial" w:hAnsi="Arial" w:cs="Arial"/>
                <w:sz w:val="20"/>
                <w:szCs w:val="20"/>
              </w:rPr>
              <w:t xml:space="preserve">Nachdem die Stationsarbeit zur Erarbeitung von Eigenschaften von Salzen abgeschlossen ist, teilt die Lehrkraft ein Arbeitsblatt aus, bei dem die SuS die typischen Eigenschaften von Salzen zu Bildern zuordnen sollen. Außerdem sollen sie die gesellschaftliche Bedeutung und Verwendung von Kochsalz sowie die Herstellung und Gewinnung mithilfe ihres Buches erarbeiten. </w:t>
            </w:r>
          </w:p>
        </w:tc>
      </w:tr>
      <w:tr w:rsidR="00452AB0" w:rsidRPr="00452AB0" w:rsidTr="000E319A">
        <w:trPr>
          <w:trHeight w:val="701"/>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B1</w:t>
            </w:r>
            <w:r w:rsidR="00452AB0" w:rsidRPr="00452AB0">
              <w:rPr>
                <w:rFonts w:ascii="Arial" w:hAnsi="Arial" w:cs="Arial"/>
                <w:sz w:val="20"/>
                <w:szCs w:val="20"/>
              </w:rPr>
              <w:t xml:space="preserve"> 2, 1/4,  Einstieg + </w:t>
            </w:r>
            <w:proofErr w:type="spellStart"/>
            <w:r w:rsidR="00452AB0" w:rsidRPr="00452AB0">
              <w:rPr>
                <w:rFonts w:ascii="Arial" w:hAnsi="Arial" w:cs="Arial"/>
                <w:sz w:val="20"/>
                <w:szCs w:val="20"/>
              </w:rPr>
              <w:t>Problemati-sierung</w:t>
            </w:r>
            <w:proofErr w:type="spellEnd"/>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 xml:space="preserve">Thema der Stunde: Salze/Ionenbindung </w:t>
            </w:r>
            <w:r>
              <w:rPr>
                <w:rFonts w:ascii="Arial" w:hAnsi="Arial" w:cs="Arial"/>
                <w:sz w:val="20"/>
                <w:szCs w:val="20"/>
              </w:rPr>
              <w:br/>
            </w:r>
            <w:r w:rsidRPr="00452AB0">
              <w:rPr>
                <w:rFonts w:ascii="Arial" w:hAnsi="Arial" w:cs="Arial"/>
                <w:sz w:val="20"/>
                <w:szCs w:val="20"/>
              </w:rPr>
              <w:t xml:space="preserve">Die Lehrkraft zeigt ein Cartoon mit Na und Cl als „sprechende Atome“, in denen der Prozess der Salzbildung durch Elektronenübertragung verdeutlicht wird. Die SuS beschreiben und deuten den Cartoon (nennen Aspekte wie das Erreichen der Edelgaskonfiguration und beschreiben die entstehenden Ladungen). Die Lehrkraft verweist im UG auf das PSE als Hilfsmittel und thematisiert das vorher bereits behandelte Kugelwolkenmodell. </w:t>
            </w:r>
          </w:p>
        </w:tc>
      </w:tr>
      <w:tr w:rsidR="00452AB0" w:rsidRPr="00452AB0" w:rsidTr="000E319A">
        <w:trPr>
          <w:trHeight w:val="701"/>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B1</w:t>
            </w:r>
            <w:r w:rsidR="00452AB0" w:rsidRPr="00452AB0">
              <w:rPr>
                <w:rFonts w:ascii="Arial" w:hAnsi="Arial" w:cs="Arial"/>
                <w:sz w:val="20"/>
                <w:szCs w:val="20"/>
              </w:rPr>
              <w:t xml:space="preserve"> 2, 2/4,  theoretische E. + Sicherung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Salze/Ionenbindung</w:t>
            </w:r>
            <w:r>
              <w:rPr>
                <w:rFonts w:ascii="Arial" w:hAnsi="Arial" w:cs="Arial"/>
                <w:sz w:val="20"/>
                <w:szCs w:val="20"/>
              </w:rPr>
              <w:br/>
            </w:r>
            <w:r w:rsidRPr="00452AB0">
              <w:rPr>
                <w:rFonts w:ascii="Arial" w:hAnsi="Arial" w:cs="Arial"/>
                <w:sz w:val="20"/>
                <w:szCs w:val="20"/>
              </w:rPr>
              <w:t xml:space="preserve">Die Lehrkraft teilt den SuS ein AB aus, welches u.a. das Cartoon beinhaltet. Sie fordert die SuS auf, die Aufgaben auf dem AB in PA oder GA zu bearbeiten (Übertragen des Cartoons in das Kugelwolkenmodell sowie Kontrastierung mit der Bindung des Sauerstoffs). Anschließend sollen die SuS die Lösung an die Tafel zeichnen.  </w:t>
            </w:r>
          </w:p>
        </w:tc>
      </w:tr>
      <w:tr w:rsidR="00452AB0" w:rsidRPr="00452AB0" w:rsidTr="000E319A">
        <w:trPr>
          <w:trHeight w:val="701"/>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B1</w:t>
            </w:r>
            <w:r w:rsidR="00452AB0" w:rsidRPr="00452AB0">
              <w:rPr>
                <w:rFonts w:ascii="Arial" w:hAnsi="Arial" w:cs="Arial"/>
                <w:sz w:val="20"/>
                <w:szCs w:val="20"/>
              </w:rPr>
              <w:t xml:space="preserve"> 2, 3/4,  praktische E. + Sicherung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Salze/Ionenbindung</w:t>
            </w:r>
            <w:r>
              <w:rPr>
                <w:rFonts w:ascii="Arial" w:hAnsi="Arial" w:cs="Arial"/>
                <w:sz w:val="20"/>
                <w:szCs w:val="20"/>
              </w:rPr>
              <w:br/>
            </w:r>
            <w:r w:rsidRPr="00452AB0">
              <w:rPr>
                <w:rFonts w:ascii="Arial" w:hAnsi="Arial" w:cs="Arial"/>
                <w:sz w:val="20"/>
                <w:szCs w:val="20"/>
              </w:rPr>
              <w:t xml:space="preserve">Die SuS schauen sich auf Anweisung der Lehrkraft die Rückseite des ABs an und lesen die Versuchsanweisungen. Nachdem Fragen dazu geklärt sind, führen die SuS den Modellversuch in 3er-Gruppen durch. Dafür reiben sie zwei Luftballons an einem Baumwolltuch und halten sie dann, an einer Schnur baumelnd, nebeneinander. Im zweiten Teil wird zwischen die beiden Ballons ein Blatt Papier gehalten (Symbolisierung des gelösten Zustands von Ionen). Während der Durchführung schreiben die SuS ihre Beobachtungen auf. Nachdem diese beendet ist, sichert die Lehrkraft mündlich und mithilfe einer Dokumentenkamera die Auswertung. </w:t>
            </w:r>
          </w:p>
        </w:tc>
      </w:tr>
      <w:tr w:rsidR="00452AB0" w:rsidRPr="00452AB0" w:rsidTr="000E319A">
        <w:trPr>
          <w:trHeight w:val="701"/>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B1</w:t>
            </w:r>
            <w:r w:rsidR="00452AB0" w:rsidRPr="00452AB0">
              <w:rPr>
                <w:rFonts w:ascii="Arial" w:hAnsi="Arial" w:cs="Arial"/>
                <w:sz w:val="20"/>
                <w:szCs w:val="20"/>
              </w:rPr>
              <w:t xml:space="preserve"> 3, 4/4,  Transfer</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Salze/Temperaturänderung beim Lösen</w:t>
            </w:r>
            <w:r>
              <w:rPr>
                <w:rFonts w:ascii="Arial" w:hAnsi="Arial" w:cs="Arial"/>
                <w:sz w:val="20"/>
                <w:szCs w:val="20"/>
              </w:rPr>
              <w:br/>
            </w:r>
            <w:r w:rsidRPr="00452AB0">
              <w:rPr>
                <w:rFonts w:ascii="Arial" w:hAnsi="Arial" w:cs="Arial"/>
                <w:sz w:val="20"/>
                <w:szCs w:val="20"/>
              </w:rPr>
              <w:t>In den vorherigen Phasen haben die SuS mittels eines Experiment untersucht, was in Wärme- oder Kältekissen passiert (Temperaturänderung beim Lösen von Salzen).</w:t>
            </w:r>
            <w:r>
              <w:rPr>
                <w:rFonts w:ascii="Arial" w:hAnsi="Arial" w:cs="Arial"/>
                <w:sz w:val="20"/>
                <w:szCs w:val="20"/>
              </w:rPr>
              <w:br/>
            </w:r>
            <w:r w:rsidRPr="00452AB0">
              <w:rPr>
                <w:rFonts w:ascii="Arial" w:hAnsi="Arial" w:cs="Arial"/>
                <w:sz w:val="20"/>
                <w:szCs w:val="20"/>
              </w:rPr>
              <w:t xml:space="preserve">Die Lehrkraft für die Auswertung ein zweites AB ausgeteilt, welches die SuS bearbeitet haben. Für SuS, die bereits fertig mit der Auswertung waren, gab es eine Zusatzaufgabe (Erklären des Nutzens von NaCl als Streusalz im Winter).  </w:t>
            </w:r>
          </w:p>
        </w:tc>
      </w:tr>
      <w:tr w:rsidR="00452AB0" w:rsidRPr="00452AB0" w:rsidTr="000E319A">
        <w:trPr>
          <w:trHeight w:val="701"/>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lastRenderedPageBreak/>
              <w:t>C1</w:t>
            </w:r>
            <w:r w:rsidR="00452AB0" w:rsidRPr="00452AB0">
              <w:rPr>
                <w:rFonts w:ascii="Arial" w:hAnsi="Arial" w:cs="Arial"/>
                <w:sz w:val="20"/>
                <w:szCs w:val="20"/>
              </w:rPr>
              <w:t xml:space="preserve"> 1, 5/6, Sicherung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Metalle/Redoxreaktionen</w:t>
            </w:r>
            <w:r>
              <w:rPr>
                <w:rFonts w:ascii="Arial" w:hAnsi="Arial" w:cs="Arial"/>
                <w:sz w:val="20"/>
                <w:szCs w:val="20"/>
              </w:rPr>
              <w:br/>
            </w:r>
            <w:r w:rsidRPr="00452AB0">
              <w:rPr>
                <w:rFonts w:ascii="Arial" w:hAnsi="Arial" w:cs="Arial"/>
                <w:sz w:val="20"/>
                <w:szCs w:val="20"/>
              </w:rPr>
              <w:t>In den vorherigen Phasen haben die SuS einen Versuch durchgeführt und ausgewertet, indem sie Kupferoxid mit Eisen gemischt und erhitzt haben. Der Arbeitsauftrag in der Auswertungsphase war, ein Reaktionsschema für die beobachtete Reaktion aufzustellen. In dieser Phase wurden die Ergebnisse an der Tafel gesichert. Dafür wurden alle Lösungsverschläge an der Tafel festgehalten. Anschließend forderte die Lehrkraft die SuS auf, die verschiedenen Lösungen zu diskutieren und festzulegen, was richtig ist. Die SuS einigen sich darauf, dass das rote Produkt „Eisenoxid“ ist, woraufhin die Lehrkraft stärker in das UG eingreift und die SuS auffordert, die Färbung des Produkts näher zu beschreiben. Die SuS nennen das Produkt „kupferfarben“, woraufhin die SuS in der Lage sind, die Produkte richtig zu identifizieren. Die Lehrkraft greift den Begriff der „Oxidation“, welcher zur Beginn der Unterrichtseinheit gefallen ist, wieder auf und führt diesen Begriff sowie „Reduktion“ und „Redoxreaktion“ ein. Dabei grenzen die SuS den Begriff der Oxidation nochmal deutlich von dem Vorhandensein von Luft bzw. O</w:t>
            </w:r>
            <w:r w:rsidRPr="00452AB0">
              <w:rPr>
                <w:rFonts w:ascii="Arial" w:hAnsi="Arial" w:cs="Arial"/>
                <w:sz w:val="20"/>
                <w:szCs w:val="20"/>
                <w:vertAlign w:val="subscript"/>
              </w:rPr>
              <w:t>2</w:t>
            </w:r>
            <w:r w:rsidRPr="00452AB0">
              <w:rPr>
                <w:rFonts w:ascii="Arial" w:hAnsi="Arial" w:cs="Arial"/>
                <w:sz w:val="20"/>
                <w:szCs w:val="20"/>
              </w:rPr>
              <w:t xml:space="preserve"> ab. </w:t>
            </w:r>
          </w:p>
        </w:tc>
      </w:tr>
      <w:tr w:rsidR="00452AB0" w:rsidRPr="00452AB0" w:rsidTr="000E319A">
        <w:trPr>
          <w:trHeight w:val="701"/>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C1</w:t>
            </w:r>
            <w:r w:rsidR="00452AB0" w:rsidRPr="00452AB0">
              <w:rPr>
                <w:rFonts w:ascii="Arial" w:hAnsi="Arial" w:cs="Arial"/>
                <w:sz w:val="20"/>
                <w:szCs w:val="20"/>
              </w:rPr>
              <w:t xml:space="preserve"> 2, 1/4,  Wiederholung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Edle und unedle Metalle</w:t>
            </w:r>
            <w:r>
              <w:rPr>
                <w:rFonts w:ascii="Arial" w:hAnsi="Arial" w:cs="Arial"/>
                <w:sz w:val="20"/>
                <w:szCs w:val="20"/>
              </w:rPr>
              <w:br/>
            </w:r>
            <w:r w:rsidRPr="00452AB0">
              <w:rPr>
                <w:rFonts w:ascii="Arial" w:hAnsi="Arial" w:cs="Arial"/>
                <w:sz w:val="20"/>
                <w:szCs w:val="20"/>
              </w:rPr>
              <w:t xml:space="preserve">Die Lehrkraft fordert die SuS auf, die Inhalte der letzten Stunde zu wiederholen. Dafür gibt er die Begriffe „Edelmetalle“, „Metallreihe“, und „Redoxreaktion“ vor. Die SuS erläutern die Begriffe im UG und nennen die Reaktion zwischen Eisen und Kupferoxid als Beispiel für eine Redoxreaktion. Diese wird von der Lehrkraft an die Tafel geschrieben und nochmal näher mit den SuS analysiert. Anhand der wiederholten Redoxreaktion sollen die SuS einen Versuch entwerfen, mit dem verschiedene Metalle in edel und unedel einordnen können. </w:t>
            </w:r>
          </w:p>
        </w:tc>
      </w:tr>
      <w:tr w:rsidR="00452AB0" w:rsidRPr="00452AB0" w:rsidTr="000E319A">
        <w:trPr>
          <w:trHeight w:val="701"/>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C3</w:t>
            </w:r>
            <w:r w:rsidR="00452AB0" w:rsidRPr="00452AB0">
              <w:rPr>
                <w:rFonts w:ascii="Arial" w:hAnsi="Arial" w:cs="Arial"/>
                <w:sz w:val="20"/>
                <w:szCs w:val="20"/>
              </w:rPr>
              <w:t xml:space="preserve"> 2, 1/4,  theoretische E. </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 xml:space="preserve">Thema der Stunde: </w:t>
            </w:r>
            <w:r>
              <w:rPr>
                <w:rFonts w:ascii="Arial" w:hAnsi="Arial" w:cs="Arial"/>
                <w:sz w:val="20"/>
                <w:szCs w:val="20"/>
              </w:rPr>
              <w:t xml:space="preserve">Bindungstypen (Salz, Metall, </w:t>
            </w:r>
            <w:r w:rsidR="00485D72">
              <w:rPr>
                <w:rFonts w:ascii="Arial" w:hAnsi="Arial" w:cs="Arial"/>
                <w:sz w:val="20"/>
                <w:szCs w:val="20"/>
              </w:rPr>
              <w:t>Elektronenpaarbindung</w:t>
            </w:r>
            <w:r w:rsidRPr="00452AB0">
              <w:rPr>
                <w:rFonts w:ascii="Arial" w:hAnsi="Arial" w:cs="Arial"/>
                <w:sz w:val="20"/>
                <w:szCs w:val="20"/>
              </w:rPr>
              <w:t>)</w:t>
            </w:r>
            <w:r>
              <w:rPr>
                <w:rFonts w:ascii="Arial" w:hAnsi="Arial" w:cs="Arial"/>
                <w:sz w:val="20"/>
                <w:szCs w:val="20"/>
              </w:rPr>
              <w:br/>
            </w:r>
            <w:r w:rsidRPr="00452AB0">
              <w:rPr>
                <w:rFonts w:ascii="Arial" w:hAnsi="Arial" w:cs="Arial"/>
                <w:sz w:val="20"/>
                <w:szCs w:val="20"/>
              </w:rPr>
              <w:t xml:space="preserve">Die SuS haben in der vorherigen Unterrichtsstunde ein Gruppenpuzzle angefangen, in denen sie die verschiedenen </w:t>
            </w:r>
            <w:r>
              <w:rPr>
                <w:rFonts w:ascii="Arial" w:hAnsi="Arial" w:cs="Arial"/>
                <w:sz w:val="20"/>
                <w:szCs w:val="20"/>
              </w:rPr>
              <w:t xml:space="preserve">Bindungstypen (Salz, Metall, </w:t>
            </w:r>
            <w:r w:rsidR="00485D72">
              <w:rPr>
                <w:rFonts w:ascii="Arial" w:hAnsi="Arial" w:cs="Arial"/>
                <w:sz w:val="20"/>
                <w:szCs w:val="20"/>
              </w:rPr>
              <w:t>Elektronenpaarbindung</w:t>
            </w:r>
            <w:r w:rsidRPr="00452AB0">
              <w:rPr>
                <w:rFonts w:ascii="Arial" w:hAnsi="Arial" w:cs="Arial"/>
                <w:sz w:val="20"/>
                <w:szCs w:val="20"/>
              </w:rPr>
              <w:t>) erarbeiten sollten. Das Gruppenpuzzle wird in den Stammgruppen fortgesetzt (einige SuS sind bereits fertig). Die Lehrkraft setzt den SuS ein Zeitlimit und beantwortet bei Bedarf fragen.</w:t>
            </w:r>
          </w:p>
        </w:tc>
      </w:tr>
      <w:tr w:rsidR="00452AB0" w:rsidRPr="00452AB0" w:rsidTr="000E319A">
        <w:trPr>
          <w:trHeight w:val="1142"/>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J1</w:t>
            </w:r>
            <w:r w:rsidR="00452AB0" w:rsidRPr="00452AB0">
              <w:rPr>
                <w:rFonts w:ascii="Arial" w:hAnsi="Arial" w:cs="Arial"/>
                <w:sz w:val="20"/>
                <w:szCs w:val="20"/>
              </w:rPr>
              <w:t xml:space="preserve"> 1, 4/5,  Sicherung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Salze/Flammfärbung</w:t>
            </w:r>
            <w:r>
              <w:rPr>
                <w:rFonts w:ascii="Arial" w:hAnsi="Arial" w:cs="Arial"/>
                <w:sz w:val="20"/>
                <w:szCs w:val="20"/>
              </w:rPr>
              <w:br/>
            </w:r>
            <w:r w:rsidRPr="00452AB0">
              <w:rPr>
                <w:rFonts w:ascii="Arial" w:hAnsi="Arial" w:cs="Arial"/>
                <w:sz w:val="20"/>
                <w:szCs w:val="20"/>
              </w:rPr>
              <w:t xml:space="preserve">Die SuS haben in der vorherigen Phase ein Versuch zur Flammfärbung durchgeführt, in dem sie verschiedene (vorgegebene) Realien auf ihren Salzgehalt bzw. Alkalimetallgehalt untersuchen sollten. In dieser Phase haben die SuS mündlich ihre Ergebnisse zusammengetragen und verglichen. Die SuS haben bereits in der vorherigen Stunde die Flammfärbung der verschiedenen Alkalimetalle sowie die chemischen Hintergründe erarbeitet. Den SuS fiel im Vergleich auf, dass besonders Na in vielen Realien enthalten ist. </w:t>
            </w:r>
          </w:p>
        </w:tc>
      </w:tr>
      <w:tr w:rsidR="00452AB0" w:rsidRPr="00452AB0" w:rsidTr="000E319A">
        <w:trPr>
          <w:trHeight w:val="1842"/>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J1</w:t>
            </w:r>
            <w:r w:rsidR="00452AB0" w:rsidRPr="00452AB0">
              <w:rPr>
                <w:rFonts w:ascii="Arial" w:hAnsi="Arial" w:cs="Arial"/>
                <w:sz w:val="20"/>
                <w:szCs w:val="20"/>
              </w:rPr>
              <w:t xml:space="preserve"> 2, 1/3,  Einstieg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 xml:space="preserve">Thema der Stunde: Einführung Salze/Nachweise </w:t>
            </w:r>
            <w:r>
              <w:rPr>
                <w:rFonts w:ascii="Arial" w:hAnsi="Arial" w:cs="Arial"/>
                <w:sz w:val="20"/>
                <w:szCs w:val="20"/>
              </w:rPr>
              <w:br/>
            </w:r>
            <w:r w:rsidRPr="00452AB0">
              <w:rPr>
                <w:rFonts w:ascii="Arial" w:hAnsi="Arial" w:cs="Arial"/>
                <w:sz w:val="20"/>
                <w:szCs w:val="20"/>
              </w:rPr>
              <w:t xml:space="preserve">Die Lehrkraft zeigt als Einstieg verschiedene Getränke bzw. fordert die SuS auf, sich die Zutatenliste ihrer eigenen Getränke anzuschauen und wirft die Frage auf, wie sich „normale“ Getränke von isotonischen Getränken unterscheiden. Die SuS untersuchen dafür die angegebenen Inhaltsstoffe und stellen fest, dass bei isotonischen Getränken mehr Mineralien angegeben sind. Die Lehrkraft stellt die Frage, welches Getränk für Sportler*innen empfehlenswerter ist. Diese Frage soll im Verlauf der Unterrichtsstunde geklärt werden. </w:t>
            </w:r>
          </w:p>
        </w:tc>
      </w:tr>
      <w:tr w:rsidR="00452AB0" w:rsidRPr="00452AB0" w:rsidTr="000E319A">
        <w:trPr>
          <w:trHeight w:val="1142"/>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J2</w:t>
            </w:r>
            <w:r w:rsidR="00452AB0" w:rsidRPr="00452AB0">
              <w:rPr>
                <w:rFonts w:ascii="Arial" w:hAnsi="Arial" w:cs="Arial"/>
                <w:sz w:val="20"/>
                <w:szCs w:val="20"/>
              </w:rPr>
              <w:t xml:space="preserve"> 1, 1/3,  Sicherung + Wiederholung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Salze/Alkali- und Erdalkalimetalle</w:t>
            </w:r>
            <w:r>
              <w:rPr>
                <w:rFonts w:ascii="Arial" w:hAnsi="Arial" w:cs="Arial"/>
                <w:sz w:val="20"/>
                <w:szCs w:val="20"/>
              </w:rPr>
              <w:br/>
            </w:r>
            <w:r w:rsidRPr="00452AB0">
              <w:rPr>
                <w:rFonts w:ascii="Arial" w:hAnsi="Arial" w:cs="Arial"/>
                <w:sz w:val="20"/>
                <w:szCs w:val="20"/>
              </w:rPr>
              <w:t xml:space="preserve">Die Lehrkraft wiederholt im UG den Aufbau von Atomen (Masse, Protonen-, Neutronen- und Elektronenanzahl sowie Verortung Schale/Kern) anhand verschiedener Beispiele (z.B. Aluminium und Sauerstoff) und anhand von Tendenzen in Hauptgruppen. Zum letzteren Teil sollen die SuS einen Merksatz formulieren. </w:t>
            </w:r>
          </w:p>
        </w:tc>
      </w:tr>
      <w:tr w:rsidR="00452AB0" w:rsidRPr="00452AB0" w:rsidTr="000E319A">
        <w:trPr>
          <w:trHeight w:val="1142"/>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lastRenderedPageBreak/>
              <w:t>K1</w:t>
            </w:r>
            <w:r w:rsidR="00452AB0" w:rsidRPr="00452AB0">
              <w:rPr>
                <w:rFonts w:ascii="Arial" w:hAnsi="Arial" w:cs="Arial"/>
                <w:sz w:val="20"/>
                <w:szCs w:val="20"/>
              </w:rPr>
              <w:t xml:space="preserve"> 1, 1/7,  Einstieg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Salze/Einführungsstunde</w:t>
            </w:r>
            <w:r>
              <w:rPr>
                <w:rFonts w:ascii="Arial" w:hAnsi="Arial" w:cs="Arial"/>
                <w:sz w:val="20"/>
                <w:szCs w:val="20"/>
              </w:rPr>
              <w:br/>
            </w:r>
            <w:r w:rsidRPr="00452AB0">
              <w:rPr>
                <w:rFonts w:ascii="Arial" w:hAnsi="Arial" w:cs="Arial"/>
                <w:sz w:val="20"/>
                <w:szCs w:val="20"/>
              </w:rPr>
              <w:t xml:space="preserve">Die Stunde fand an einem sehr warmen Sommertag statt. Die Lehrkraft hat im UG die Frage aufgeworfen, welche Probleme die hohen Temperaturen aufwerfen und welche Möglichkeiten es gibt, diese zu lindern. Antwort der SuS: mangelnde Konzentration/Schlappheit, Lösung: kaltes Trinken </w:t>
            </w:r>
            <w:r w:rsidRPr="00452AB0">
              <w:rPr>
                <w:rFonts w:ascii="Arial" w:hAnsi="Arial" w:cs="Arial"/>
                <w:sz w:val="20"/>
                <w:szCs w:val="20"/>
              </w:rPr>
              <w:sym w:font="Wingdings" w:char="F0E0"/>
            </w:r>
            <w:r w:rsidRPr="00452AB0">
              <w:rPr>
                <w:rFonts w:ascii="Arial" w:hAnsi="Arial" w:cs="Arial"/>
                <w:sz w:val="20"/>
                <w:szCs w:val="20"/>
              </w:rPr>
              <w:t xml:space="preserve"> Frage der Stunde: Wie kann man möglichst schnell und effizient ein Getränk kühlen?</w:t>
            </w:r>
          </w:p>
        </w:tc>
      </w:tr>
      <w:tr w:rsidR="00452AB0" w:rsidRPr="00452AB0" w:rsidTr="000E319A">
        <w:trPr>
          <w:trHeight w:val="1142"/>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K1</w:t>
            </w:r>
            <w:r w:rsidR="00452AB0" w:rsidRPr="00452AB0">
              <w:rPr>
                <w:rFonts w:ascii="Arial" w:hAnsi="Arial" w:cs="Arial"/>
                <w:sz w:val="20"/>
                <w:szCs w:val="20"/>
              </w:rPr>
              <w:t xml:space="preserve"> 1, 3/7,  theoretische E.</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 Einführungsstunde</w:t>
            </w:r>
            <w:r w:rsidR="000E319A">
              <w:rPr>
                <w:rFonts w:ascii="Arial" w:hAnsi="Arial" w:cs="Arial"/>
                <w:sz w:val="20"/>
                <w:szCs w:val="20"/>
              </w:rPr>
              <w:br/>
            </w:r>
            <w:r w:rsidRPr="00452AB0">
              <w:rPr>
                <w:rFonts w:ascii="Arial" w:hAnsi="Arial" w:cs="Arial"/>
                <w:sz w:val="20"/>
                <w:szCs w:val="20"/>
              </w:rPr>
              <w:t xml:space="preserve">Die SuS haben in der vorherigen Phase eine Kältemischung aus Eis, Wasser und Salz hergestellt (Kontext: s.o.) und den Unterschied zwischen einer Kältemischung mit und ohne Eis gemessen. In dieser Phase sollen die Ergebnisse in EA schriftlich zusammengefasst und eine Vermutung für die Ursache dieser aufgestellt werden. </w:t>
            </w:r>
          </w:p>
        </w:tc>
      </w:tr>
      <w:tr w:rsidR="00452AB0" w:rsidRPr="00452AB0" w:rsidTr="000E319A">
        <w:trPr>
          <w:trHeight w:val="1142"/>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K1</w:t>
            </w:r>
            <w:r w:rsidR="00452AB0" w:rsidRPr="00452AB0">
              <w:rPr>
                <w:rFonts w:ascii="Arial" w:hAnsi="Arial" w:cs="Arial"/>
                <w:sz w:val="20"/>
                <w:szCs w:val="20"/>
              </w:rPr>
              <w:t xml:space="preserve"> 1, 5/7,  theoretische E.</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 Einführungsstunde</w:t>
            </w:r>
            <w:r w:rsidR="000E319A">
              <w:rPr>
                <w:rFonts w:ascii="Arial" w:hAnsi="Arial" w:cs="Arial"/>
                <w:sz w:val="20"/>
                <w:szCs w:val="20"/>
              </w:rPr>
              <w:br/>
            </w:r>
            <w:r w:rsidRPr="00452AB0">
              <w:rPr>
                <w:rFonts w:ascii="Arial" w:hAnsi="Arial" w:cs="Arial"/>
                <w:sz w:val="20"/>
                <w:szCs w:val="20"/>
              </w:rPr>
              <w:t xml:space="preserve">Nachdem das Experiment durchgeführt, ausgewertet und gesichert wurde, fragt die Lehrkraft: „Was ist eigentlich ein Salz?“. Die SuS stellen Vermutungen an und notieren sie. Die Lehrkraft führt das neue Thema „Stoffklasse Salze“ ein. Zur Einführung zeigt die Lehrkraft ein Video, in dem Salze und ihre Eigenschaften beschrieben werden. Als Beobachtungsauftrag weist die Lehrkraft die SuS an, die genannten Eigenschaften stichpunktartig zu notieren und anschließend den ausgeteilten Lückentext auszufüllen (in EA). Dafür zeigt er das Video zwei Mal. Im Anschluss kriegen die SuS noch ca. 5 Min Zeit, um die Aufgaben zu Ende zu bearbeiten. </w:t>
            </w:r>
          </w:p>
        </w:tc>
      </w:tr>
      <w:tr w:rsidR="00452AB0" w:rsidRPr="00452AB0" w:rsidTr="000E319A">
        <w:trPr>
          <w:trHeight w:val="413"/>
        </w:trPr>
        <w:tc>
          <w:tcPr>
            <w:tcW w:w="1555" w:type="dxa"/>
          </w:tcPr>
          <w:p w:rsidR="00452AB0" w:rsidRPr="00452AB0" w:rsidRDefault="00485D72" w:rsidP="000E319A">
            <w:pPr>
              <w:spacing w:after="160" w:line="259" w:lineRule="auto"/>
              <w:rPr>
                <w:rFonts w:ascii="Arial" w:hAnsi="Arial" w:cs="Arial"/>
                <w:sz w:val="20"/>
                <w:szCs w:val="20"/>
              </w:rPr>
            </w:pPr>
            <w:r>
              <w:rPr>
                <w:rFonts w:ascii="Arial" w:hAnsi="Arial" w:cs="Arial"/>
                <w:sz w:val="20"/>
                <w:szCs w:val="20"/>
              </w:rPr>
              <w:t>K1</w:t>
            </w:r>
            <w:r w:rsidR="00452AB0" w:rsidRPr="00452AB0">
              <w:rPr>
                <w:rFonts w:ascii="Arial" w:hAnsi="Arial" w:cs="Arial"/>
                <w:sz w:val="20"/>
                <w:szCs w:val="20"/>
              </w:rPr>
              <w:t xml:space="preserve"> 2, 2/4,  Einstieg</w:t>
            </w:r>
          </w:p>
        </w:tc>
        <w:tc>
          <w:tcPr>
            <w:tcW w:w="8221" w:type="dxa"/>
          </w:tcPr>
          <w:p w:rsidR="00452AB0" w:rsidRPr="00452AB0" w:rsidRDefault="00452AB0" w:rsidP="000E319A">
            <w:pPr>
              <w:spacing w:after="160" w:line="259" w:lineRule="auto"/>
              <w:rPr>
                <w:rFonts w:ascii="Arial" w:hAnsi="Arial" w:cs="Arial"/>
                <w:sz w:val="20"/>
                <w:szCs w:val="20"/>
              </w:rPr>
            </w:pPr>
            <w:r w:rsidRPr="00452AB0">
              <w:rPr>
                <w:rFonts w:ascii="Arial" w:hAnsi="Arial" w:cs="Arial"/>
                <w:sz w:val="20"/>
                <w:szCs w:val="20"/>
              </w:rPr>
              <w:t>Thema der Stunde: Salze/Siedepunktveränderung</w:t>
            </w:r>
            <w:r w:rsidR="000E319A">
              <w:rPr>
                <w:rFonts w:ascii="Arial" w:hAnsi="Arial" w:cs="Arial"/>
                <w:sz w:val="20"/>
                <w:szCs w:val="20"/>
              </w:rPr>
              <w:br/>
            </w:r>
            <w:r w:rsidRPr="00452AB0">
              <w:rPr>
                <w:rFonts w:ascii="Arial" w:hAnsi="Arial" w:cs="Arial"/>
                <w:sz w:val="20"/>
                <w:szCs w:val="20"/>
              </w:rPr>
              <w:t xml:space="preserve">Die Lehrkraft  zeigt den SuS ein Bild, auf dem eine Portion Spaghetti Bolognese zu sehen ist. Er fragt die SuS, welche Zubereitungsschritte dahinterstecken. Die SuS nennen u.a. das Kochen der Spaghetti. In dem UG kommt die Frage auf, ob das Nudelwasser mit Salz versetzt werden sollte oder nicht. Die Lehrkraft schlägt vor, diese Frage experimentell zu lösen. </w:t>
            </w:r>
          </w:p>
        </w:tc>
      </w:tr>
    </w:tbl>
    <w:p w:rsidR="00452AB0" w:rsidRDefault="00452AB0">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sectPr w:rsidR="00296A5D">
          <w:footerReference w:type="default" r:id="rId7"/>
          <w:pgSz w:w="11906" w:h="16838"/>
          <w:pgMar w:top="1417" w:right="1417" w:bottom="1134" w:left="1417" w:header="708" w:footer="708" w:gutter="0"/>
          <w:cols w:space="708"/>
          <w:docGrid w:linePitch="360"/>
        </w:sectPr>
      </w:pPr>
    </w:p>
    <w:p w:rsidR="00296A5D" w:rsidRPr="005627A4" w:rsidRDefault="00296A5D" w:rsidP="00296A5D">
      <w:pPr>
        <w:rPr>
          <w:rFonts w:ascii="Arial" w:hAnsi="Arial" w:cs="Arial"/>
          <w:b/>
        </w:rPr>
      </w:pPr>
      <w:r w:rsidRPr="00296A5D">
        <w:rPr>
          <w:rFonts w:ascii="Arial" w:hAnsi="Arial" w:cs="Arial"/>
          <w:b/>
          <w:noProof/>
          <w:lang w:eastAsia="de-DE"/>
        </w:rPr>
        <w:lastRenderedPageBreak/>
        <mc:AlternateContent>
          <mc:Choice Requires="wps">
            <w:drawing>
              <wp:anchor distT="45720" distB="45720" distL="114300" distR="114300" simplePos="0" relativeHeight="251661312" behindDoc="0" locked="0" layoutInCell="1" allowOverlap="1">
                <wp:simplePos x="0" y="0"/>
                <wp:positionH relativeFrom="margin">
                  <wp:align>center</wp:align>
                </wp:positionH>
                <wp:positionV relativeFrom="paragraph">
                  <wp:posOffset>462280</wp:posOffset>
                </wp:positionV>
                <wp:extent cx="7953375" cy="5257800"/>
                <wp:effectExtent l="0" t="0" r="28575"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3375" cy="5257800"/>
                        </a:xfrm>
                        <a:prstGeom prst="rect">
                          <a:avLst/>
                        </a:prstGeom>
                        <a:solidFill>
                          <a:srgbClr val="FFFFFF"/>
                        </a:solidFill>
                        <a:ln w="9525">
                          <a:solidFill>
                            <a:schemeClr val="bg1"/>
                          </a:solidFill>
                          <a:miter lim="800000"/>
                          <a:headEnd/>
                          <a:tailEnd/>
                        </a:ln>
                      </wps:spPr>
                      <wps:txbx>
                        <w:txbxContent>
                          <w:p w:rsidR="00296A5D" w:rsidRDefault="00296A5D" w:rsidP="00296A5D">
                            <w:pPr>
                              <w:pStyle w:val="Beschriftung"/>
                              <w:keepNext/>
                            </w:pPr>
                            <w:r>
                              <w:t xml:space="preserve">Tab. </w:t>
                            </w:r>
                            <w:r w:rsidR="00C16A34">
                              <w:rPr>
                                <w:noProof/>
                              </w:rPr>
                              <w:fldChar w:fldCharType="begin"/>
                            </w:r>
                            <w:r w:rsidR="00C16A34">
                              <w:rPr>
                                <w:noProof/>
                              </w:rPr>
                              <w:instrText xml:space="preserve"> SEQ Tab. \* ARABIC </w:instrText>
                            </w:r>
                            <w:r w:rsidR="00C16A34">
                              <w:rPr>
                                <w:noProof/>
                              </w:rPr>
                              <w:fldChar w:fldCharType="separate"/>
                            </w:r>
                            <w:r w:rsidR="00022A02">
                              <w:rPr>
                                <w:noProof/>
                              </w:rPr>
                              <w:t>7</w:t>
                            </w:r>
                            <w:r w:rsidR="00C16A34">
                              <w:rPr>
                                <w:noProof/>
                              </w:rPr>
                              <w:fldChar w:fldCharType="end"/>
                            </w:r>
                            <w:r>
                              <w:t>: Beispiel für einen Verlaufsplan</w:t>
                            </w:r>
                          </w:p>
                          <w:p w:rsidR="00296A5D" w:rsidRDefault="004E7754" w:rsidP="00296A5D">
                            <w:r>
                              <w:rPr>
                                <w:noProof/>
                                <w:lang w:eastAsia="de-DE"/>
                              </w:rPr>
                              <w:drawing>
                                <wp:inline distT="0" distB="0" distL="0" distR="0" wp14:anchorId="3366DD5A" wp14:editId="1749294C">
                                  <wp:extent cx="7705725" cy="491490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727744" cy="492894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0;margin-top:36.4pt;width:626.25pt;height:414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" strokecolor="white [3212]">
                <v:textbox>
                  <w:txbxContent>
                    <w:p w:rsidR="00296A5D" w:rsidRDefault="00296A5D" w:rsidP="00296A5D">
                      <w:pPr>
                        <w:pStyle w:val="Beschriftung"/>
                        <w:keepNext/>
                      </w:pPr>
                      <w:r>
                        <w:t xml:space="preserve">Tab. </w:t>
                      </w:r>
                      <w:r w:rsidR="00C16A34">
                        <w:rPr>
                          <w:noProof/>
                        </w:rPr>
                        <w:fldChar w:fldCharType="begin"/>
                      </w:r>
                      <w:r w:rsidR="00C16A34">
                        <w:rPr>
                          <w:noProof/>
                        </w:rPr>
                        <w:instrText xml:space="preserve"> SEQ Tab. \* ARABIC </w:instrText>
                      </w:r>
                      <w:r w:rsidR="00C16A34">
                        <w:rPr>
                          <w:noProof/>
                        </w:rPr>
                        <w:fldChar w:fldCharType="separate"/>
                      </w:r>
                      <w:r w:rsidR="00022A02">
                        <w:rPr>
                          <w:noProof/>
                        </w:rPr>
                        <w:t>7</w:t>
                      </w:r>
                      <w:r w:rsidR="00C16A34">
                        <w:rPr>
                          <w:noProof/>
                        </w:rPr>
                        <w:fldChar w:fldCharType="end"/>
                      </w:r>
                      <w:r>
                        <w:t>: Beispiel für einen Verlaufsplan</w:t>
                      </w:r>
                    </w:p>
                    <w:p w:rsidR="00296A5D" w:rsidRDefault="004E7754" w:rsidP="00296A5D">
                      <w:r>
                        <w:rPr>
                          <w:noProof/>
                          <w:lang w:eastAsia="de-DE"/>
                        </w:rPr>
                        <w:drawing>
                          <wp:inline distT="0" distB="0" distL="0" distR="0" wp14:anchorId="3366DD5A" wp14:editId="1749294C">
                            <wp:extent cx="7705725" cy="491490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727744" cy="4928944"/>
                                    </a:xfrm>
                                    <a:prstGeom prst="rect">
                                      <a:avLst/>
                                    </a:prstGeom>
                                  </pic:spPr>
                                </pic:pic>
                              </a:graphicData>
                            </a:graphic>
                          </wp:inline>
                        </w:drawing>
                      </w:r>
                    </w:p>
                  </w:txbxContent>
                </v:textbox>
                <w10:wrap type="square" anchorx="margin"/>
              </v:shape>
            </w:pict>
          </mc:Fallback>
        </mc:AlternateContent>
      </w:r>
      <w:r>
        <w:rPr>
          <w:rFonts w:ascii="Arial" w:hAnsi="Arial" w:cs="Arial"/>
          <w:b/>
        </w:rPr>
        <w:t>Verlaufsplan</w:t>
      </w: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296A5D" w:rsidRDefault="00296A5D">
      <w:pPr>
        <w:rPr>
          <w:rFonts w:ascii="Arial" w:hAnsi="Arial" w:cs="Arial"/>
          <w:b/>
        </w:rPr>
      </w:pPr>
    </w:p>
    <w:p w:rsidR="00C1108E" w:rsidRDefault="00C1108E">
      <w:pPr>
        <w:rPr>
          <w:rFonts w:ascii="Arial" w:hAnsi="Arial" w:cs="Arial"/>
          <w:b/>
        </w:rPr>
      </w:pPr>
    </w:p>
    <w:p w:rsidR="00C1108E" w:rsidRDefault="00C1108E">
      <w:pPr>
        <w:rPr>
          <w:rFonts w:ascii="Arial" w:hAnsi="Arial" w:cs="Arial"/>
          <w:b/>
        </w:rPr>
      </w:pPr>
    </w:p>
    <w:p w:rsidR="00C1108E" w:rsidRDefault="00C1108E">
      <w:pPr>
        <w:rPr>
          <w:rFonts w:ascii="Arial" w:hAnsi="Arial" w:cs="Arial"/>
          <w:b/>
        </w:rPr>
      </w:pPr>
    </w:p>
    <w:p w:rsidR="00C1108E" w:rsidRDefault="00C1108E">
      <w:pPr>
        <w:rPr>
          <w:rFonts w:ascii="Arial" w:hAnsi="Arial" w:cs="Arial"/>
          <w:b/>
        </w:rPr>
      </w:pPr>
    </w:p>
    <w:p w:rsidR="00C1108E" w:rsidRDefault="00C1108E">
      <w:pPr>
        <w:rPr>
          <w:rFonts w:ascii="Arial" w:hAnsi="Arial" w:cs="Arial"/>
          <w:b/>
        </w:rPr>
      </w:pPr>
    </w:p>
    <w:p w:rsidR="00C1108E" w:rsidRDefault="00C1108E">
      <w:pPr>
        <w:rPr>
          <w:rFonts w:ascii="Arial" w:hAnsi="Arial" w:cs="Arial"/>
          <w:b/>
        </w:rPr>
      </w:pPr>
    </w:p>
    <w:p w:rsidR="00C1108E" w:rsidRDefault="00C1108E">
      <w:pPr>
        <w:rPr>
          <w:rFonts w:ascii="Arial" w:hAnsi="Arial" w:cs="Arial"/>
          <w:b/>
        </w:rPr>
      </w:pPr>
    </w:p>
    <w:p w:rsidR="00C1108E" w:rsidRDefault="00C1108E">
      <w:pPr>
        <w:rPr>
          <w:rFonts w:ascii="Arial" w:hAnsi="Arial" w:cs="Arial"/>
          <w:b/>
        </w:rPr>
      </w:pPr>
    </w:p>
    <w:p w:rsidR="00C1108E" w:rsidRDefault="00C1108E">
      <w:pPr>
        <w:rPr>
          <w:rFonts w:ascii="Arial" w:hAnsi="Arial" w:cs="Arial"/>
          <w:b/>
        </w:rPr>
      </w:pPr>
    </w:p>
    <w:p w:rsidR="00C1108E" w:rsidRDefault="00C1108E">
      <w:pPr>
        <w:rPr>
          <w:rFonts w:ascii="Arial" w:hAnsi="Arial" w:cs="Arial"/>
          <w:b/>
        </w:rPr>
      </w:pPr>
    </w:p>
    <w:p w:rsidR="00C1108E" w:rsidRDefault="00C1108E">
      <w:pPr>
        <w:rPr>
          <w:rFonts w:ascii="Arial" w:hAnsi="Arial" w:cs="Arial"/>
          <w:b/>
        </w:rPr>
        <w:sectPr w:rsidR="00C1108E" w:rsidSect="00296A5D">
          <w:pgSz w:w="16838" w:h="11906" w:orient="landscape"/>
          <w:pgMar w:top="1417" w:right="1417" w:bottom="1417" w:left="1134" w:header="708" w:footer="708" w:gutter="0"/>
          <w:cols w:space="708"/>
          <w:docGrid w:linePitch="360"/>
        </w:sectPr>
      </w:pPr>
    </w:p>
    <w:p w:rsidR="00E631E1" w:rsidRPr="00E631E1" w:rsidRDefault="00E631E1" w:rsidP="00E631E1">
      <w:pPr>
        <w:pStyle w:val="CitaviBibliographyHeading"/>
        <w:jc w:val="both"/>
        <w:rPr>
          <w:rFonts w:ascii="Arial" w:hAnsi="Arial" w:cs="Arial"/>
          <w:b/>
          <w:color w:val="auto"/>
          <w:sz w:val="22"/>
          <w:szCs w:val="22"/>
          <w:lang w:val="en-GB"/>
        </w:rPr>
      </w:pPr>
      <w:proofErr w:type="spellStart"/>
      <w:r w:rsidRPr="00E631E1">
        <w:rPr>
          <w:rFonts w:ascii="Arial" w:hAnsi="Arial" w:cs="Arial"/>
          <w:b/>
          <w:color w:val="auto"/>
          <w:sz w:val="22"/>
          <w:szCs w:val="22"/>
          <w:lang w:val="en-GB"/>
        </w:rPr>
        <w:lastRenderedPageBreak/>
        <w:t>Literaturverzeichnis</w:t>
      </w:r>
      <w:proofErr w:type="spellEnd"/>
    </w:p>
    <w:p w:rsidR="00E631E1" w:rsidRPr="00E631E1" w:rsidRDefault="00E631E1" w:rsidP="00E631E1">
      <w:pPr>
        <w:pStyle w:val="CitaviBibliographyEntry"/>
        <w:jc w:val="both"/>
        <w:rPr>
          <w:rFonts w:ascii="Arial" w:hAnsi="Arial" w:cs="Arial"/>
          <w:lang w:val="en-GB"/>
        </w:rPr>
      </w:pPr>
      <w:bookmarkStart w:id="1" w:name="_CTVL0016f2eadfc643045bc99f9455e8aeb13f4"/>
      <w:proofErr w:type="spellStart"/>
      <w:r w:rsidRPr="00E631E1">
        <w:rPr>
          <w:rFonts w:ascii="Arial" w:hAnsi="Arial" w:cs="Arial"/>
          <w:lang w:val="en-GB"/>
        </w:rPr>
        <w:t>Ainley</w:t>
      </w:r>
      <w:proofErr w:type="spellEnd"/>
      <w:r w:rsidRPr="00E631E1">
        <w:rPr>
          <w:rFonts w:ascii="Arial" w:hAnsi="Arial" w:cs="Arial"/>
          <w:lang w:val="en-GB"/>
        </w:rPr>
        <w:t xml:space="preserve">, M. &amp; </w:t>
      </w:r>
      <w:proofErr w:type="spellStart"/>
      <w:r w:rsidRPr="00E631E1">
        <w:rPr>
          <w:rFonts w:ascii="Arial" w:hAnsi="Arial" w:cs="Arial"/>
          <w:lang w:val="en-GB"/>
        </w:rPr>
        <w:t>Ainley</w:t>
      </w:r>
      <w:proofErr w:type="spellEnd"/>
      <w:r w:rsidRPr="00E631E1">
        <w:rPr>
          <w:rFonts w:ascii="Arial" w:hAnsi="Arial" w:cs="Arial"/>
          <w:lang w:val="en-GB"/>
        </w:rPr>
        <w:t xml:space="preserve">, J. (2011). Student engagement with science in early adolescence. The contribution of enjoyment to students’ continuing interest in learning about science. </w:t>
      </w:r>
      <w:bookmarkEnd w:id="1"/>
      <w:r w:rsidRPr="00E631E1">
        <w:rPr>
          <w:rFonts w:ascii="Arial" w:hAnsi="Arial" w:cs="Arial"/>
          <w:i/>
          <w:lang w:val="en-GB"/>
        </w:rPr>
        <w:t xml:space="preserve">Contemporary Educational Psychology 36 </w:t>
      </w:r>
      <w:r w:rsidRPr="00E631E1">
        <w:rPr>
          <w:rFonts w:ascii="Arial" w:hAnsi="Arial" w:cs="Arial"/>
          <w:lang w:val="en-GB"/>
        </w:rPr>
        <w:t>(1), 4–12. doi:10.1016/j.cedpsych.2010.08.001</w:t>
      </w:r>
    </w:p>
    <w:p w:rsidR="00E631E1" w:rsidRPr="00E631E1" w:rsidRDefault="00E631E1" w:rsidP="00E631E1">
      <w:pPr>
        <w:pStyle w:val="CitaviBibliographyEntry"/>
        <w:jc w:val="both"/>
        <w:rPr>
          <w:rFonts w:ascii="Arial" w:hAnsi="Arial" w:cs="Arial"/>
          <w:lang w:val="en-GB"/>
        </w:rPr>
      </w:pPr>
      <w:bookmarkStart w:id="2" w:name="_CTVL001e578033ea57c4c899a8bd46c2377b2fa"/>
      <w:r w:rsidRPr="00E631E1">
        <w:rPr>
          <w:rFonts w:ascii="Arial" w:hAnsi="Arial" w:cs="Arial"/>
          <w:lang w:val="en-GB"/>
        </w:rPr>
        <w:t xml:space="preserve">Cheung, D. (2017). The key factors affecting students’ individual interest in school science lessons. </w:t>
      </w:r>
      <w:bookmarkEnd w:id="2"/>
      <w:r w:rsidRPr="00E631E1">
        <w:rPr>
          <w:rFonts w:ascii="Arial" w:hAnsi="Arial" w:cs="Arial"/>
          <w:i/>
          <w:lang w:val="en-GB"/>
        </w:rPr>
        <w:t xml:space="preserve">International Journal of Science Education 30 </w:t>
      </w:r>
      <w:r w:rsidRPr="00E631E1">
        <w:rPr>
          <w:rFonts w:ascii="Arial" w:hAnsi="Arial" w:cs="Arial"/>
          <w:lang w:val="en-GB"/>
        </w:rPr>
        <w:t>(4), 1–23. doi:10.1080/09500693.2017.1362711</w:t>
      </w:r>
    </w:p>
    <w:p w:rsidR="00E631E1" w:rsidRPr="00E631E1" w:rsidRDefault="00E631E1" w:rsidP="00E631E1">
      <w:pPr>
        <w:pStyle w:val="CitaviBibliographyEntry"/>
        <w:jc w:val="both"/>
        <w:rPr>
          <w:rFonts w:ascii="Arial" w:hAnsi="Arial" w:cs="Arial"/>
          <w:lang w:val="en-GB"/>
        </w:rPr>
      </w:pPr>
      <w:bookmarkStart w:id="3" w:name="_CTVL00104340acb3ec14617a50700b9f8f87ece"/>
      <w:r w:rsidRPr="00E631E1">
        <w:rPr>
          <w:rFonts w:ascii="Arial" w:hAnsi="Arial" w:cs="Arial"/>
          <w:lang w:val="en-GB"/>
        </w:rPr>
        <w:t xml:space="preserve">Harackiewicz, J. M., Smith, J. L. &amp; </w:t>
      </w:r>
      <w:proofErr w:type="spellStart"/>
      <w:r w:rsidRPr="00E631E1">
        <w:rPr>
          <w:rFonts w:ascii="Arial" w:hAnsi="Arial" w:cs="Arial"/>
          <w:lang w:val="en-GB"/>
        </w:rPr>
        <w:t>Priniski</w:t>
      </w:r>
      <w:proofErr w:type="spellEnd"/>
      <w:r w:rsidRPr="00E631E1">
        <w:rPr>
          <w:rFonts w:ascii="Arial" w:hAnsi="Arial" w:cs="Arial"/>
          <w:lang w:val="en-GB"/>
        </w:rPr>
        <w:t xml:space="preserve">, S. J. (2016). Interest Matters. The Importance of Promoting Interest in Education. </w:t>
      </w:r>
      <w:bookmarkEnd w:id="3"/>
      <w:r w:rsidRPr="00E631E1">
        <w:rPr>
          <w:rFonts w:ascii="Arial" w:hAnsi="Arial" w:cs="Arial"/>
          <w:i/>
          <w:lang w:val="en-GB"/>
        </w:rPr>
        <w:t xml:space="preserve">Policy Insights from the </w:t>
      </w:r>
      <w:proofErr w:type="spellStart"/>
      <w:r w:rsidRPr="00E631E1">
        <w:rPr>
          <w:rFonts w:ascii="Arial" w:hAnsi="Arial" w:cs="Arial"/>
          <w:i/>
          <w:lang w:val="en-GB"/>
        </w:rPr>
        <w:t>Behavioral</w:t>
      </w:r>
      <w:proofErr w:type="spellEnd"/>
      <w:r w:rsidRPr="00E631E1">
        <w:rPr>
          <w:rFonts w:ascii="Arial" w:hAnsi="Arial" w:cs="Arial"/>
          <w:i/>
          <w:lang w:val="en-GB"/>
        </w:rPr>
        <w:t xml:space="preserve"> and Brain Sciences 3 </w:t>
      </w:r>
      <w:r w:rsidRPr="00E631E1">
        <w:rPr>
          <w:rFonts w:ascii="Arial" w:hAnsi="Arial" w:cs="Arial"/>
          <w:lang w:val="en-GB"/>
        </w:rPr>
        <w:t xml:space="preserve">(2), 220–227. </w:t>
      </w:r>
      <w:proofErr w:type="gramStart"/>
      <w:r w:rsidRPr="00E631E1">
        <w:rPr>
          <w:rFonts w:ascii="Arial" w:hAnsi="Arial" w:cs="Arial"/>
          <w:lang w:val="en-GB"/>
        </w:rPr>
        <w:t>doi:</w:t>
      </w:r>
      <w:proofErr w:type="gramEnd"/>
      <w:r w:rsidRPr="00E631E1">
        <w:rPr>
          <w:rFonts w:ascii="Arial" w:hAnsi="Arial" w:cs="Arial"/>
          <w:lang w:val="en-GB"/>
        </w:rPr>
        <w:t>10.1177/2372732216655542</w:t>
      </w:r>
    </w:p>
    <w:p w:rsidR="00E631E1" w:rsidRPr="00E631E1" w:rsidRDefault="00E631E1" w:rsidP="00E631E1">
      <w:pPr>
        <w:pStyle w:val="CitaviBibliographyEntry"/>
        <w:jc w:val="both"/>
        <w:rPr>
          <w:rFonts w:ascii="Arial" w:hAnsi="Arial" w:cs="Arial"/>
          <w:lang w:val="en-GB"/>
        </w:rPr>
      </w:pPr>
      <w:bookmarkStart w:id="4" w:name="_CTVL0012cee5b120cc24532b9bd513eb6ce877b"/>
      <w:r w:rsidRPr="00E631E1">
        <w:rPr>
          <w:rFonts w:ascii="Arial" w:hAnsi="Arial" w:cs="Arial"/>
          <w:lang w:val="en-GB"/>
        </w:rPr>
        <w:t>Hong, H.-Y. &amp; Lin-</w:t>
      </w:r>
      <w:proofErr w:type="spellStart"/>
      <w:r w:rsidRPr="00E631E1">
        <w:rPr>
          <w:rFonts w:ascii="Arial" w:hAnsi="Arial" w:cs="Arial"/>
          <w:lang w:val="en-GB"/>
        </w:rPr>
        <w:t>Siegler</w:t>
      </w:r>
      <w:proofErr w:type="spellEnd"/>
      <w:r w:rsidRPr="00E631E1">
        <w:rPr>
          <w:rFonts w:ascii="Arial" w:hAnsi="Arial" w:cs="Arial"/>
          <w:lang w:val="en-GB"/>
        </w:rPr>
        <w:t>, X. (2011). How learning about scientists</w:t>
      </w:r>
      <w:r w:rsidR="00981D5D">
        <w:rPr>
          <w:rFonts w:ascii="Arial" w:hAnsi="Arial" w:cs="Arial"/>
          <w:lang w:val="en-GB"/>
        </w:rPr>
        <w:t>’</w:t>
      </w:r>
      <w:r w:rsidRPr="00E631E1">
        <w:rPr>
          <w:rFonts w:ascii="Arial" w:hAnsi="Arial" w:cs="Arial"/>
          <w:lang w:val="en-GB"/>
        </w:rPr>
        <w:t xml:space="preserve"> struggles influences students</w:t>
      </w:r>
      <w:r w:rsidR="00981D5D">
        <w:rPr>
          <w:rFonts w:ascii="Arial" w:hAnsi="Arial" w:cs="Arial"/>
          <w:lang w:val="en-GB"/>
        </w:rPr>
        <w:t>’</w:t>
      </w:r>
      <w:r w:rsidRPr="00E631E1">
        <w:rPr>
          <w:rFonts w:ascii="Arial" w:hAnsi="Arial" w:cs="Arial"/>
          <w:lang w:val="en-GB"/>
        </w:rPr>
        <w:t xml:space="preserve"> interest and learning in physics. </w:t>
      </w:r>
      <w:bookmarkEnd w:id="4"/>
      <w:r w:rsidRPr="00E631E1">
        <w:rPr>
          <w:rFonts w:ascii="Arial" w:hAnsi="Arial" w:cs="Arial"/>
          <w:i/>
          <w:lang w:val="en-GB"/>
        </w:rPr>
        <w:t xml:space="preserve">Journal of Educational Psychology 104 </w:t>
      </w:r>
      <w:r w:rsidRPr="00E631E1">
        <w:rPr>
          <w:rFonts w:ascii="Arial" w:hAnsi="Arial" w:cs="Arial"/>
          <w:lang w:val="en-GB"/>
        </w:rPr>
        <w:t xml:space="preserve">(2), 469–484. </w:t>
      </w:r>
      <w:proofErr w:type="gramStart"/>
      <w:r w:rsidRPr="00E631E1">
        <w:rPr>
          <w:rFonts w:ascii="Arial" w:hAnsi="Arial" w:cs="Arial"/>
          <w:lang w:val="en-GB"/>
        </w:rPr>
        <w:t>doi:</w:t>
      </w:r>
      <w:proofErr w:type="gramEnd"/>
      <w:r w:rsidRPr="00E631E1">
        <w:rPr>
          <w:rFonts w:ascii="Arial" w:hAnsi="Arial" w:cs="Arial"/>
          <w:lang w:val="en-GB"/>
        </w:rPr>
        <w:t>10.1037/a0026224</w:t>
      </w:r>
    </w:p>
    <w:p w:rsidR="00E631E1" w:rsidRPr="00E631E1" w:rsidRDefault="00E631E1" w:rsidP="00E631E1">
      <w:pPr>
        <w:pStyle w:val="CitaviBibliographyEntry"/>
        <w:jc w:val="both"/>
        <w:rPr>
          <w:rFonts w:ascii="Arial" w:hAnsi="Arial" w:cs="Arial"/>
          <w:lang w:val="en-GB"/>
        </w:rPr>
      </w:pPr>
      <w:bookmarkStart w:id="5" w:name="_CTVL00184a3239ef7a943589b83a8a419a934a6"/>
      <w:proofErr w:type="spellStart"/>
      <w:r w:rsidRPr="00E631E1">
        <w:rPr>
          <w:rFonts w:ascii="Arial" w:hAnsi="Arial" w:cs="Arial"/>
          <w:lang w:val="en-GB"/>
        </w:rPr>
        <w:t>Hulleman</w:t>
      </w:r>
      <w:proofErr w:type="spellEnd"/>
      <w:r w:rsidRPr="00E631E1">
        <w:rPr>
          <w:rFonts w:ascii="Arial" w:hAnsi="Arial" w:cs="Arial"/>
          <w:lang w:val="en-GB"/>
        </w:rPr>
        <w:t xml:space="preserve">, C. S. &amp; Harackiewicz, J. M. (2009). Promoting Interest and Performance in High School Science Classes. </w:t>
      </w:r>
      <w:bookmarkEnd w:id="5"/>
      <w:r w:rsidRPr="00E631E1">
        <w:rPr>
          <w:rFonts w:ascii="Arial" w:hAnsi="Arial" w:cs="Arial"/>
          <w:i/>
          <w:lang w:val="en-GB"/>
        </w:rPr>
        <w:t xml:space="preserve">Science (New York, N.Y.) 326 </w:t>
      </w:r>
      <w:r w:rsidRPr="00E631E1">
        <w:rPr>
          <w:rFonts w:ascii="Arial" w:hAnsi="Arial" w:cs="Arial"/>
          <w:lang w:val="en-GB"/>
        </w:rPr>
        <w:t>(5958), 1410–1412. doi:10.1126/science.1178712</w:t>
      </w:r>
    </w:p>
    <w:p w:rsidR="00E631E1" w:rsidRPr="00E631E1" w:rsidRDefault="00E631E1" w:rsidP="00E631E1">
      <w:pPr>
        <w:pStyle w:val="CitaviBibliographyEntry"/>
        <w:jc w:val="both"/>
        <w:rPr>
          <w:rFonts w:ascii="Arial" w:hAnsi="Arial" w:cs="Arial"/>
          <w:lang w:val="en-GB"/>
        </w:rPr>
      </w:pPr>
      <w:bookmarkStart w:id="6" w:name="_CTVL00109fbe912140a424686d94cc6eec20b2f"/>
      <w:r w:rsidRPr="00E631E1">
        <w:rPr>
          <w:rFonts w:ascii="Arial" w:hAnsi="Arial" w:cs="Arial"/>
          <w:lang w:val="en-GB"/>
        </w:rPr>
        <w:t xml:space="preserve">Jack, B. M. &amp; Lin, H.-s. (2014). Igniting and Sustaining Interest Among Students Who Have Grown Cold Toward Science. </w:t>
      </w:r>
      <w:bookmarkEnd w:id="6"/>
      <w:r w:rsidRPr="00E631E1">
        <w:rPr>
          <w:rFonts w:ascii="Arial" w:hAnsi="Arial" w:cs="Arial"/>
          <w:i/>
          <w:lang w:val="en-GB"/>
        </w:rPr>
        <w:t xml:space="preserve">Science Education 98 </w:t>
      </w:r>
      <w:r w:rsidRPr="00E631E1">
        <w:rPr>
          <w:rFonts w:ascii="Arial" w:hAnsi="Arial" w:cs="Arial"/>
          <w:lang w:val="en-GB"/>
        </w:rPr>
        <w:t>(5), 792–814. doi:10.1002/sce.21119</w:t>
      </w:r>
    </w:p>
    <w:p w:rsidR="00E631E1" w:rsidRDefault="00E631E1" w:rsidP="00E631E1">
      <w:pPr>
        <w:pStyle w:val="CitaviBibliographyEntry"/>
        <w:jc w:val="both"/>
        <w:rPr>
          <w:rFonts w:ascii="Arial" w:hAnsi="Arial" w:cs="Arial"/>
          <w:lang w:val="en-GB"/>
        </w:rPr>
      </w:pPr>
      <w:bookmarkStart w:id="7" w:name="_CTVL001ba564cab29e9436c9530a0cbb1a7e0e9"/>
      <w:r w:rsidRPr="00E631E1">
        <w:rPr>
          <w:rFonts w:ascii="Arial" w:hAnsi="Arial" w:cs="Arial"/>
          <w:lang w:val="en-GB"/>
        </w:rPr>
        <w:t xml:space="preserve">Jack, B. M. &amp; Lin, H.-s. (2017). Making learning interesting and its application to the science classroom. </w:t>
      </w:r>
      <w:bookmarkEnd w:id="7"/>
      <w:r w:rsidRPr="00E631E1">
        <w:rPr>
          <w:rFonts w:ascii="Arial" w:hAnsi="Arial" w:cs="Arial"/>
          <w:i/>
          <w:lang w:val="en-GB"/>
        </w:rPr>
        <w:t xml:space="preserve">Studies in Science Education 23 </w:t>
      </w:r>
      <w:r w:rsidRPr="00E631E1">
        <w:rPr>
          <w:rFonts w:ascii="Arial" w:hAnsi="Arial" w:cs="Arial"/>
          <w:lang w:val="en-GB"/>
        </w:rPr>
        <w:t>(1), 1–28. doi:10.1080/03057267.2017.1305543</w:t>
      </w:r>
    </w:p>
    <w:p w:rsidR="00022A02" w:rsidRPr="00022A02" w:rsidRDefault="00022A02" w:rsidP="00022A02">
      <w:pPr>
        <w:pStyle w:val="CitaviBibliographyEntry"/>
        <w:jc w:val="both"/>
        <w:rPr>
          <w:rFonts w:ascii="Arial" w:hAnsi="Arial" w:cs="Arial"/>
          <w:lang w:val="en-GB"/>
        </w:rPr>
      </w:pPr>
      <w:r w:rsidRPr="005B5A33">
        <w:rPr>
          <w:rFonts w:ascii="Arial" w:hAnsi="Arial" w:cs="Arial"/>
          <w:lang w:val="en-GB"/>
        </w:rPr>
        <w:t xml:space="preserve">Knogler, M., Harackiewicz, J. M., </w:t>
      </w:r>
      <w:proofErr w:type="spellStart"/>
      <w:r w:rsidRPr="005B5A33">
        <w:rPr>
          <w:rFonts w:ascii="Arial" w:hAnsi="Arial" w:cs="Arial"/>
          <w:lang w:val="en-GB"/>
        </w:rPr>
        <w:t>Gegenfurtner</w:t>
      </w:r>
      <w:proofErr w:type="spellEnd"/>
      <w:r w:rsidRPr="005B5A33">
        <w:rPr>
          <w:rFonts w:ascii="Arial" w:hAnsi="Arial" w:cs="Arial"/>
          <w:lang w:val="en-GB"/>
        </w:rPr>
        <w:t xml:space="preserve">, A. &amp; </w:t>
      </w:r>
      <w:proofErr w:type="spellStart"/>
      <w:r w:rsidRPr="005B5A33">
        <w:rPr>
          <w:rFonts w:ascii="Arial" w:hAnsi="Arial" w:cs="Arial"/>
          <w:lang w:val="en-GB"/>
        </w:rPr>
        <w:t>Lewalter</w:t>
      </w:r>
      <w:proofErr w:type="spellEnd"/>
      <w:r w:rsidRPr="005B5A33">
        <w:rPr>
          <w:rFonts w:ascii="Arial" w:hAnsi="Arial" w:cs="Arial"/>
          <w:lang w:val="en-GB"/>
        </w:rPr>
        <w:t xml:space="preserve">, D. (2015). </w:t>
      </w:r>
      <w:r w:rsidRPr="00022A02">
        <w:rPr>
          <w:rFonts w:ascii="Arial" w:hAnsi="Arial" w:cs="Arial"/>
          <w:lang w:val="en-GB"/>
        </w:rPr>
        <w:t xml:space="preserve">How situational is situational interest? Investigating the longitudinal structure of situational interest. </w:t>
      </w:r>
      <w:r w:rsidRPr="00022A02">
        <w:rPr>
          <w:rFonts w:ascii="Arial" w:hAnsi="Arial" w:cs="Arial"/>
          <w:i/>
          <w:lang w:val="en-GB"/>
        </w:rPr>
        <w:t xml:space="preserve">Contemporary Educational Psychology 43, </w:t>
      </w:r>
      <w:r w:rsidRPr="00022A02">
        <w:rPr>
          <w:rFonts w:ascii="Arial" w:hAnsi="Arial" w:cs="Arial"/>
          <w:lang w:val="en-GB"/>
        </w:rPr>
        <w:t>39–50. doi:10.1016/j.cedpsych.2015.08.004</w:t>
      </w:r>
    </w:p>
    <w:p w:rsidR="00E631E1" w:rsidRPr="00E631E1" w:rsidRDefault="00E631E1" w:rsidP="00E631E1">
      <w:pPr>
        <w:pStyle w:val="CitaviBibliographyEntry"/>
        <w:jc w:val="both"/>
        <w:rPr>
          <w:rFonts w:ascii="Arial" w:hAnsi="Arial" w:cs="Arial"/>
          <w:lang w:val="en-GB"/>
        </w:rPr>
      </w:pPr>
      <w:bookmarkStart w:id="8" w:name="_CTVL0013409caf070c94d549351ca353dfad877"/>
      <w:r w:rsidRPr="005B5A33">
        <w:rPr>
          <w:rFonts w:ascii="Arial" w:hAnsi="Arial" w:cs="Arial"/>
        </w:rPr>
        <w:t xml:space="preserve">Logan, M. R. &amp; </w:t>
      </w:r>
      <w:proofErr w:type="spellStart"/>
      <w:r w:rsidRPr="005B5A33">
        <w:rPr>
          <w:rFonts w:ascii="Arial" w:hAnsi="Arial" w:cs="Arial"/>
        </w:rPr>
        <w:t>Skamp</w:t>
      </w:r>
      <w:proofErr w:type="spellEnd"/>
      <w:r w:rsidRPr="005B5A33">
        <w:rPr>
          <w:rFonts w:ascii="Arial" w:hAnsi="Arial" w:cs="Arial"/>
        </w:rPr>
        <w:t xml:space="preserve">, K. R. (2013). </w:t>
      </w:r>
      <w:r w:rsidRPr="00E631E1">
        <w:rPr>
          <w:rFonts w:ascii="Arial" w:hAnsi="Arial" w:cs="Arial"/>
          <w:lang w:val="en-GB"/>
        </w:rPr>
        <w:t xml:space="preserve">The Impact of Teachers and Their Science Teaching on Students’ ‘Science Interest’. A four-year study. </w:t>
      </w:r>
      <w:bookmarkEnd w:id="8"/>
      <w:r w:rsidRPr="00E631E1">
        <w:rPr>
          <w:rFonts w:ascii="Arial" w:hAnsi="Arial" w:cs="Arial"/>
          <w:i/>
          <w:lang w:val="en-GB"/>
        </w:rPr>
        <w:t xml:space="preserve">International Journal of Science Education 35 </w:t>
      </w:r>
      <w:r w:rsidRPr="00E631E1">
        <w:rPr>
          <w:rFonts w:ascii="Arial" w:hAnsi="Arial" w:cs="Arial"/>
          <w:lang w:val="en-GB"/>
        </w:rPr>
        <w:t>(17), 2879–2904. doi:10.1080/09500693.2012.667167</w:t>
      </w:r>
    </w:p>
    <w:p w:rsidR="00E631E1" w:rsidRPr="00E631E1" w:rsidRDefault="00E631E1" w:rsidP="00E631E1">
      <w:pPr>
        <w:pStyle w:val="CitaviBibliographyEntry"/>
        <w:jc w:val="both"/>
        <w:rPr>
          <w:rFonts w:ascii="Arial" w:hAnsi="Arial" w:cs="Arial"/>
          <w:lang w:val="en-GB"/>
        </w:rPr>
      </w:pPr>
      <w:bookmarkStart w:id="9" w:name="_CTVL0017244c5ccdd8940588c82f21fc5c911ca"/>
      <w:proofErr w:type="spellStart"/>
      <w:r w:rsidRPr="00E631E1">
        <w:rPr>
          <w:rFonts w:ascii="Arial" w:hAnsi="Arial" w:cs="Arial"/>
          <w:lang w:val="en-GB"/>
        </w:rPr>
        <w:t>Loukomies</w:t>
      </w:r>
      <w:proofErr w:type="spellEnd"/>
      <w:r w:rsidRPr="00E631E1">
        <w:rPr>
          <w:rFonts w:ascii="Arial" w:hAnsi="Arial" w:cs="Arial"/>
          <w:lang w:val="en-GB"/>
        </w:rPr>
        <w:t xml:space="preserve">, A., </w:t>
      </w:r>
      <w:proofErr w:type="spellStart"/>
      <w:r w:rsidRPr="00E631E1">
        <w:rPr>
          <w:rFonts w:ascii="Arial" w:hAnsi="Arial" w:cs="Arial"/>
          <w:lang w:val="en-GB"/>
        </w:rPr>
        <w:t>Pnevmatikos</w:t>
      </w:r>
      <w:proofErr w:type="spellEnd"/>
      <w:r w:rsidRPr="00E631E1">
        <w:rPr>
          <w:rFonts w:ascii="Arial" w:hAnsi="Arial" w:cs="Arial"/>
          <w:lang w:val="en-GB"/>
        </w:rPr>
        <w:t xml:space="preserve">, D., </w:t>
      </w:r>
      <w:proofErr w:type="spellStart"/>
      <w:r w:rsidRPr="00E631E1">
        <w:rPr>
          <w:rFonts w:ascii="Arial" w:hAnsi="Arial" w:cs="Arial"/>
          <w:lang w:val="en-GB"/>
        </w:rPr>
        <w:t>Lavonen</w:t>
      </w:r>
      <w:proofErr w:type="spellEnd"/>
      <w:r w:rsidRPr="00E631E1">
        <w:rPr>
          <w:rFonts w:ascii="Arial" w:hAnsi="Arial" w:cs="Arial"/>
          <w:lang w:val="en-GB"/>
        </w:rPr>
        <w:t xml:space="preserve">, J., </w:t>
      </w:r>
      <w:proofErr w:type="spellStart"/>
      <w:r w:rsidRPr="00E631E1">
        <w:rPr>
          <w:rFonts w:ascii="Arial" w:hAnsi="Arial" w:cs="Arial"/>
          <w:lang w:val="en-GB"/>
        </w:rPr>
        <w:t>Spyrtou</w:t>
      </w:r>
      <w:proofErr w:type="spellEnd"/>
      <w:r w:rsidRPr="00E631E1">
        <w:rPr>
          <w:rFonts w:ascii="Arial" w:hAnsi="Arial" w:cs="Arial"/>
          <w:lang w:val="en-GB"/>
        </w:rPr>
        <w:t xml:space="preserve">, A., </w:t>
      </w:r>
      <w:proofErr w:type="spellStart"/>
      <w:r w:rsidRPr="00E631E1">
        <w:rPr>
          <w:rFonts w:ascii="Arial" w:hAnsi="Arial" w:cs="Arial"/>
          <w:lang w:val="en-GB"/>
        </w:rPr>
        <w:t>Byman</w:t>
      </w:r>
      <w:proofErr w:type="spellEnd"/>
      <w:r w:rsidRPr="00E631E1">
        <w:rPr>
          <w:rFonts w:ascii="Arial" w:hAnsi="Arial" w:cs="Arial"/>
          <w:lang w:val="en-GB"/>
        </w:rPr>
        <w:t xml:space="preserve">, R., </w:t>
      </w:r>
      <w:proofErr w:type="spellStart"/>
      <w:r w:rsidRPr="00E631E1">
        <w:rPr>
          <w:rFonts w:ascii="Arial" w:hAnsi="Arial" w:cs="Arial"/>
          <w:lang w:val="en-GB"/>
        </w:rPr>
        <w:t>Kariotoglou</w:t>
      </w:r>
      <w:proofErr w:type="spellEnd"/>
      <w:r w:rsidRPr="00E631E1">
        <w:rPr>
          <w:rFonts w:ascii="Arial" w:hAnsi="Arial" w:cs="Arial"/>
          <w:lang w:val="en-GB"/>
        </w:rPr>
        <w:t xml:space="preserve">, P. &amp; </w:t>
      </w:r>
      <w:proofErr w:type="spellStart"/>
      <w:r w:rsidRPr="00E631E1">
        <w:rPr>
          <w:rFonts w:ascii="Arial" w:hAnsi="Arial" w:cs="Arial"/>
          <w:lang w:val="en-GB"/>
        </w:rPr>
        <w:t>Juuti</w:t>
      </w:r>
      <w:proofErr w:type="spellEnd"/>
      <w:r w:rsidRPr="00E631E1">
        <w:rPr>
          <w:rFonts w:ascii="Arial" w:hAnsi="Arial" w:cs="Arial"/>
          <w:lang w:val="en-GB"/>
        </w:rPr>
        <w:t xml:space="preserve">, K. (2013). Promoting Students’ Interest and Motivation </w:t>
      </w:r>
      <w:proofErr w:type="gramStart"/>
      <w:r w:rsidRPr="00E631E1">
        <w:rPr>
          <w:rFonts w:ascii="Arial" w:hAnsi="Arial" w:cs="Arial"/>
          <w:lang w:val="en-GB"/>
        </w:rPr>
        <w:t>Towards</w:t>
      </w:r>
      <w:proofErr w:type="gramEnd"/>
      <w:r w:rsidRPr="00E631E1">
        <w:rPr>
          <w:rFonts w:ascii="Arial" w:hAnsi="Arial" w:cs="Arial"/>
          <w:lang w:val="en-GB"/>
        </w:rPr>
        <w:t xml:space="preserve"> Science Learning. The Role of Personal Needs and Motivation Orientations. </w:t>
      </w:r>
      <w:bookmarkEnd w:id="9"/>
      <w:r w:rsidRPr="00E631E1">
        <w:rPr>
          <w:rFonts w:ascii="Arial" w:hAnsi="Arial" w:cs="Arial"/>
          <w:i/>
          <w:lang w:val="en-GB"/>
        </w:rPr>
        <w:t xml:space="preserve">Research in Science Education 43 </w:t>
      </w:r>
      <w:r w:rsidRPr="00E631E1">
        <w:rPr>
          <w:rFonts w:ascii="Arial" w:hAnsi="Arial" w:cs="Arial"/>
          <w:lang w:val="en-GB"/>
        </w:rPr>
        <w:t xml:space="preserve">(6), 2517–2539. </w:t>
      </w:r>
      <w:proofErr w:type="gramStart"/>
      <w:r w:rsidRPr="00E631E1">
        <w:rPr>
          <w:rFonts w:ascii="Arial" w:hAnsi="Arial" w:cs="Arial"/>
          <w:lang w:val="en-GB"/>
        </w:rPr>
        <w:t>doi:</w:t>
      </w:r>
      <w:proofErr w:type="gramEnd"/>
      <w:r w:rsidRPr="00E631E1">
        <w:rPr>
          <w:rFonts w:ascii="Arial" w:hAnsi="Arial" w:cs="Arial"/>
          <w:lang w:val="en-GB"/>
        </w:rPr>
        <w:t>10.1007/s11165-013-9370-1</w:t>
      </w:r>
    </w:p>
    <w:p w:rsidR="00E631E1" w:rsidRPr="00E631E1" w:rsidRDefault="00E631E1" w:rsidP="00E631E1">
      <w:pPr>
        <w:pStyle w:val="CitaviBibliographyEntry"/>
        <w:jc w:val="both"/>
        <w:rPr>
          <w:rFonts w:ascii="Arial" w:hAnsi="Arial" w:cs="Arial"/>
          <w:lang w:val="en-GB"/>
        </w:rPr>
      </w:pPr>
      <w:bookmarkStart w:id="10" w:name="_CTVL0016c08f1523f3b4f51af178f1f4bdf8015"/>
      <w:r w:rsidRPr="00E631E1">
        <w:rPr>
          <w:rFonts w:ascii="Arial" w:hAnsi="Arial" w:cs="Arial"/>
          <w:lang w:val="en-GB"/>
        </w:rPr>
        <w:t xml:space="preserve">Matthews, B. (2004). Promoting emotional literacy, equity and interest in science lessons for 11–14 year olds; the ‘Improving Science and Emotional Development’ project. </w:t>
      </w:r>
      <w:bookmarkEnd w:id="10"/>
      <w:r w:rsidRPr="00E631E1">
        <w:rPr>
          <w:rFonts w:ascii="Arial" w:hAnsi="Arial" w:cs="Arial"/>
          <w:i/>
          <w:lang w:val="en-GB"/>
        </w:rPr>
        <w:t xml:space="preserve">International Journal of Science Education 26 </w:t>
      </w:r>
      <w:r w:rsidRPr="00E631E1">
        <w:rPr>
          <w:rFonts w:ascii="Arial" w:hAnsi="Arial" w:cs="Arial"/>
          <w:lang w:val="en-GB"/>
        </w:rPr>
        <w:t xml:space="preserve">(3), 281–308. </w:t>
      </w:r>
      <w:proofErr w:type="gramStart"/>
      <w:r w:rsidRPr="00E631E1">
        <w:rPr>
          <w:rFonts w:ascii="Arial" w:hAnsi="Arial" w:cs="Arial"/>
          <w:lang w:val="en-GB"/>
        </w:rPr>
        <w:t>doi:</w:t>
      </w:r>
      <w:proofErr w:type="gramEnd"/>
      <w:r w:rsidRPr="00E631E1">
        <w:rPr>
          <w:rFonts w:ascii="Arial" w:hAnsi="Arial" w:cs="Arial"/>
          <w:lang w:val="en-GB"/>
        </w:rPr>
        <w:t>10.1080/0950069032000097406</w:t>
      </w:r>
    </w:p>
    <w:p w:rsidR="00E631E1" w:rsidRDefault="00E631E1" w:rsidP="00E631E1">
      <w:pPr>
        <w:pStyle w:val="CitaviBibliographyEntry"/>
        <w:jc w:val="both"/>
        <w:rPr>
          <w:rFonts w:ascii="Arial" w:hAnsi="Arial" w:cs="Arial"/>
          <w:lang w:val="en-GB"/>
        </w:rPr>
      </w:pPr>
      <w:bookmarkStart w:id="11" w:name="_CTVL0018fde5b7943a64a288bebf6c0e14adc26"/>
      <w:r w:rsidRPr="00E631E1">
        <w:rPr>
          <w:rFonts w:ascii="Arial" w:hAnsi="Arial" w:cs="Arial"/>
          <w:lang w:val="en-GB"/>
        </w:rPr>
        <w:t xml:space="preserve">Palmer, D. H. (2009). Student interest generated during an inquiry skills lesson. </w:t>
      </w:r>
      <w:bookmarkEnd w:id="11"/>
      <w:r w:rsidRPr="00E631E1">
        <w:rPr>
          <w:rFonts w:ascii="Arial" w:hAnsi="Arial" w:cs="Arial"/>
          <w:i/>
          <w:lang w:val="en-GB"/>
        </w:rPr>
        <w:t xml:space="preserve">Journal of Research in Science Teaching 46 </w:t>
      </w:r>
      <w:r w:rsidRPr="00E631E1">
        <w:rPr>
          <w:rFonts w:ascii="Arial" w:hAnsi="Arial" w:cs="Arial"/>
          <w:lang w:val="en-GB"/>
        </w:rPr>
        <w:t>(2), 147–165. doi:10.1002/tea.20263</w:t>
      </w:r>
    </w:p>
    <w:p w:rsidR="00022A02" w:rsidRPr="00022A02" w:rsidRDefault="00022A02" w:rsidP="00022A02">
      <w:pPr>
        <w:pStyle w:val="CitaviBibliographyEntry"/>
        <w:jc w:val="both"/>
        <w:rPr>
          <w:rFonts w:ascii="Arial" w:hAnsi="Arial" w:cs="Arial"/>
        </w:rPr>
      </w:pPr>
      <w:bookmarkStart w:id="12" w:name="_CTVL001e3f26838cb224dd7b7e57081f50bff06"/>
      <w:r w:rsidRPr="005B5A33">
        <w:rPr>
          <w:rFonts w:ascii="Arial" w:hAnsi="Arial" w:cs="Arial"/>
          <w:lang w:val="en-GB"/>
        </w:rPr>
        <w:t xml:space="preserve">Petersen, J., </w:t>
      </w:r>
      <w:proofErr w:type="spellStart"/>
      <w:r w:rsidRPr="005B5A33">
        <w:rPr>
          <w:rFonts w:ascii="Arial" w:hAnsi="Arial" w:cs="Arial"/>
          <w:lang w:val="en-GB"/>
        </w:rPr>
        <w:t>Reisas</w:t>
      </w:r>
      <w:proofErr w:type="spellEnd"/>
      <w:r w:rsidRPr="005B5A33">
        <w:rPr>
          <w:rFonts w:ascii="Arial" w:hAnsi="Arial" w:cs="Arial"/>
          <w:lang w:val="en-GB"/>
        </w:rPr>
        <w:t xml:space="preserve">, S. &amp; </w:t>
      </w:r>
      <w:proofErr w:type="spellStart"/>
      <w:r w:rsidRPr="005B5A33">
        <w:rPr>
          <w:rFonts w:ascii="Arial" w:hAnsi="Arial" w:cs="Arial"/>
          <w:lang w:val="en-GB"/>
        </w:rPr>
        <w:t>Tanski</w:t>
      </w:r>
      <w:proofErr w:type="spellEnd"/>
      <w:r w:rsidRPr="005B5A33">
        <w:rPr>
          <w:rFonts w:ascii="Arial" w:hAnsi="Arial" w:cs="Arial"/>
          <w:lang w:val="en-GB"/>
        </w:rPr>
        <w:t xml:space="preserve">, G. (2011). </w:t>
      </w:r>
      <w:bookmarkEnd w:id="12"/>
      <w:r w:rsidRPr="00022A02">
        <w:rPr>
          <w:rFonts w:ascii="Arial" w:hAnsi="Arial" w:cs="Arial"/>
          <w:i/>
        </w:rPr>
        <w:t xml:space="preserve">Unterricht vorbereiten und planen können. Ein Lehrbuch zur Unterrichtsvorbereitung und Stundenplanung ; mit interaktiver Lern-DVD </w:t>
      </w:r>
      <w:r w:rsidRPr="00022A02">
        <w:rPr>
          <w:rFonts w:ascii="Arial" w:hAnsi="Arial" w:cs="Arial"/>
        </w:rPr>
        <w:t>(Didaktische Welten Lehrkompetenzen, Teil 1, 3., verb. Aufl.). Augsburg: Brigg Pädagogik Verl.</w:t>
      </w:r>
    </w:p>
    <w:p w:rsidR="00E631E1" w:rsidRPr="00E631E1" w:rsidRDefault="00E631E1" w:rsidP="00E631E1">
      <w:pPr>
        <w:pStyle w:val="CitaviBibliographyEntry"/>
        <w:jc w:val="both"/>
        <w:rPr>
          <w:rFonts w:ascii="Arial" w:hAnsi="Arial" w:cs="Arial"/>
          <w:lang w:val="en-GB"/>
        </w:rPr>
      </w:pPr>
      <w:bookmarkStart w:id="13" w:name="_CTVL0017c90d6ba72d74f62a2de9975802ad45d"/>
      <w:r w:rsidRPr="00022A02">
        <w:rPr>
          <w:rFonts w:ascii="Arial" w:hAnsi="Arial" w:cs="Arial"/>
        </w:rPr>
        <w:t xml:space="preserve">Renninger, K. A. &amp; </w:t>
      </w:r>
      <w:proofErr w:type="spellStart"/>
      <w:r w:rsidRPr="00022A02">
        <w:rPr>
          <w:rFonts w:ascii="Arial" w:hAnsi="Arial" w:cs="Arial"/>
        </w:rPr>
        <w:t>Bachrach</w:t>
      </w:r>
      <w:proofErr w:type="spellEnd"/>
      <w:r w:rsidRPr="00022A02">
        <w:rPr>
          <w:rFonts w:ascii="Arial" w:hAnsi="Arial" w:cs="Arial"/>
        </w:rPr>
        <w:t xml:space="preserve">, J. E. (2015). </w:t>
      </w:r>
      <w:r w:rsidRPr="00E631E1">
        <w:rPr>
          <w:rFonts w:ascii="Arial" w:hAnsi="Arial" w:cs="Arial"/>
          <w:lang w:val="en-GB"/>
        </w:rPr>
        <w:t xml:space="preserve">Studying Triggers for Interest and Engagement Using Observational Methods. </w:t>
      </w:r>
      <w:bookmarkEnd w:id="13"/>
      <w:r w:rsidRPr="00E631E1">
        <w:rPr>
          <w:rFonts w:ascii="Arial" w:hAnsi="Arial" w:cs="Arial"/>
          <w:i/>
          <w:lang w:val="en-GB"/>
        </w:rPr>
        <w:t xml:space="preserve">Educational Psychologist 50 </w:t>
      </w:r>
      <w:r w:rsidRPr="00E631E1">
        <w:rPr>
          <w:rFonts w:ascii="Arial" w:hAnsi="Arial" w:cs="Arial"/>
          <w:lang w:val="en-GB"/>
        </w:rPr>
        <w:t>(1), 58–69. doi:10.1080/00461520.2014.999920</w:t>
      </w:r>
    </w:p>
    <w:p w:rsidR="00E631E1" w:rsidRPr="00E631E1" w:rsidRDefault="00E631E1" w:rsidP="00E631E1">
      <w:pPr>
        <w:pStyle w:val="CitaviBibliographyEntry"/>
        <w:jc w:val="both"/>
        <w:rPr>
          <w:rFonts w:ascii="Arial" w:hAnsi="Arial" w:cs="Arial"/>
          <w:lang w:val="en-GB"/>
        </w:rPr>
      </w:pPr>
      <w:bookmarkStart w:id="14" w:name="_CTVL001f425611f2b8542ae9b3f9f527fea22f4"/>
      <w:r w:rsidRPr="00E631E1">
        <w:rPr>
          <w:rFonts w:ascii="Arial" w:hAnsi="Arial" w:cs="Arial"/>
          <w:lang w:val="en-GB"/>
        </w:rPr>
        <w:lastRenderedPageBreak/>
        <w:t xml:space="preserve">Sheldrake, R., </w:t>
      </w:r>
      <w:proofErr w:type="spellStart"/>
      <w:r w:rsidRPr="00E631E1">
        <w:rPr>
          <w:rFonts w:ascii="Arial" w:hAnsi="Arial" w:cs="Arial"/>
          <w:lang w:val="en-GB"/>
        </w:rPr>
        <w:t>Mujtaba</w:t>
      </w:r>
      <w:proofErr w:type="spellEnd"/>
      <w:r w:rsidRPr="00E631E1">
        <w:rPr>
          <w:rFonts w:ascii="Arial" w:hAnsi="Arial" w:cs="Arial"/>
          <w:lang w:val="en-GB"/>
        </w:rPr>
        <w:t xml:space="preserve">, T. &amp; Reiss, M. J. (2017). Science teaching and students’ attitudes and aspirations. The importance of conveying the applications and relevance of science. </w:t>
      </w:r>
      <w:bookmarkEnd w:id="14"/>
      <w:r w:rsidRPr="00E631E1">
        <w:rPr>
          <w:rFonts w:ascii="Arial" w:hAnsi="Arial" w:cs="Arial"/>
          <w:i/>
          <w:lang w:val="en-GB"/>
        </w:rPr>
        <w:t xml:space="preserve">International Journal of Educational Research 85, </w:t>
      </w:r>
      <w:r w:rsidRPr="00E631E1">
        <w:rPr>
          <w:rFonts w:ascii="Arial" w:hAnsi="Arial" w:cs="Arial"/>
          <w:lang w:val="en-GB"/>
        </w:rPr>
        <w:t>167–183. doi:10.1016/j.ijer.2017.08.002</w:t>
      </w:r>
    </w:p>
    <w:p w:rsidR="00E631E1" w:rsidRPr="00E631E1" w:rsidRDefault="00E631E1" w:rsidP="00E631E1">
      <w:pPr>
        <w:pStyle w:val="CitaviBibliographyEntry"/>
        <w:jc w:val="both"/>
        <w:rPr>
          <w:rFonts w:ascii="Arial" w:hAnsi="Arial" w:cs="Arial"/>
          <w:lang w:val="en-GB"/>
        </w:rPr>
      </w:pPr>
      <w:bookmarkStart w:id="15" w:name="_CTVL0017f27da48d134432ab812234141974324"/>
      <w:proofErr w:type="spellStart"/>
      <w:r w:rsidRPr="00E631E1">
        <w:rPr>
          <w:rFonts w:ascii="Arial" w:hAnsi="Arial" w:cs="Arial"/>
          <w:lang w:val="en-GB"/>
        </w:rPr>
        <w:t>Shirazi</w:t>
      </w:r>
      <w:proofErr w:type="spellEnd"/>
      <w:r w:rsidRPr="00E631E1">
        <w:rPr>
          <w:rFonts w:ascii="Arial" w:hAnsi="Arial" w:cs="Arial"/>
          <w:lang w:val="en-GB"/>
        </w:rPr>
        <w:t xml:space="preserve">, S. (2017). Student experience of school science. </w:t>
      </w:r>
      <w:bookmarkEnd w:id="15"/>
      <w:r w:rsidRPr="00E631E1">
        <w:rPr>
          <w:rFonts w:ascii="Arial" w:hAnsi="Arial" w:cs="Arial"/>
          <w:i/>
          <w:lang w:val="en-GB"/>
        </w:rPr>
        <w:t xml:space="preserve">International Journal of Science Education 39 </w:t>
      </w:r>
      <w:r w:rsidRPr="00E631E1">
        <w:rPr>
          <w:rFonts w:ascii="Arial" w:hAnsi="Arial" w:cs="Arial"/>
          <w:lang w:val="en-GB"/>
        </w:rPr>
        <w:t>(14), 1891–1912. doi:10.1080/09500693.2017.1356943</w:t>
      </w:r>
    </w:p>
    <w:p w:rsidR="00E631E1" w:rsidRPr="00E631E1" w:rsidRDefault="00E631E1" w:rsidP="00E631E1">
      <w:pPr>
        <w:pStyle w:val="CitaviBibliographyEntry"/>
        <w:jc w:val="both"/>
        <w:rPr>
          <w:rFonts w:ascii="Arial" w:hAnsi="Arial" w:cs="Arial"/>
          <w:lang w:val="en-GB"/>
        </w:rPr>
      </w:pPr>
      <w:bookmarkStart w:id="16" w:name="_CTVL00136243de8271a438c8a0d1e0ce6c12437"/>
      <w:proofErr w:type="spellStart"/>
      <w:r w:rsidRPr="00E631E1">
        <w:rPr>
          <w:rFonts w:ascii="Arial" w:hAnsi="Arial" w:cs="Arial"/>
          <w:lang w:val="en-GB"/>
        </w:rPr>
        <w:t>Swarat</w:t>
      </w:r>
      <w:proofErr w:type="spellEnd"/>
      <w:r w:rsidRPr="00E631E1">
        <w:rPr>
          <w:rFonts w:ascii="Arial" w:hAnsi="Arial" w:cs="Arial"/>
          <w:lang w:val="en-GB"/>
        </w:rPr>
        <w:t xml:space="preserve">, S., </w:t>
      </w:r>
      <w:proofErr w:type="spellStart"/>
      <w:r w:rsidRPr="00E631E1">
        <w:rPr>
          <w:rFonts w:ascii="Arial" w:hAnsi="Arial" w:cs="Arial"/>
          <w:lang w:val="en-GB"/>
        </w:rPr>
        <w:t>Ortony</w:t>
      </w:r>
      <w:proofErr w:type="spellEnd"/>
      <w:r w:rsidRPr="00E631E1">
        <w:rPr>
          <w:rFonts w:ascii="Arial" w:hAnsi="Arial" w:cs="Arial"/>
          <w:lang w:val="en-GB"/>
        </w:rPr>
        <w:t xml:space="preserve">, A. &amp; </w:t>
      </w:r>
      <w:proofErr w:type="spellStart"/>
      <w:r w:rsidRPr="00E631E1">
        <w:rPr>
          <w:rFonts w:ascii="Arial" w:hAnsi="Arial" w:cs="Arial"/>
          <w:lang w:val="en-GB"/>
        </w:rPr>
        <w:t>Revelle</w:t>
      </w:r>
      <w:proofErr w:type="spellEnd"/>
      <w:r w:rsidRPr="00E631E1">
        <w:rPr>
          <w:rFonts w:ascii="Arial" w:hAnsi="Arial" w:cs="Arial"/>
          <w:lang w:val="en-GB"/>
        </w:rPr>
        <w:t xml:space="preserve">, W. (2012). Activity matters. Understanding student interest in school science. </w:t>
      </w:r>
      <w:bookmarkEnd w:id="16"/>
      <w:r w:rsidRPr="00E631E1">
        <w:rPr>
          <w:rFonts w:ascii="Arial" w:hAnsi="Arial" w:cs="Arial"/>
          <w:i/>
          <w:lang w:val="en-GB"/>
        </w:rPr>
        <w:t xml:space="preserve">Journal of Research in Science Teaching 49 </w:t>
      </w:r>
      <w:r w:rsidRPr="00E631E1">
        <w:rPr>
          <w:rFonts w:ascii="Arial" w:hAnsi="Arial" w:cs="Arial"/>
          <w:lang w:val="en-GB"/>
        </w:rPr>
        <w:t>(4), 515–537. doi:10.1002/tea.21010</w:t>
      </w:r>
    </w:p>
    <w:p w:rsidR="00E631E1" w:rsidRPr="00E631E1" w:rsidRDefault="00E631E1" w:rsidP="00E631E1">
      <w:pPr>
        <w:pStyle w:val="CitaviBibliographyEntry"/>
        <w:jc w:val="both"/>
        <w:rPr>
          <w:rFonts w:ascii="Arial" w:hAnsi="Arial" w:cs="Arial"/>
        </w:rPr>
      </w:pPr>
      <w:bookmarkStart w:id="17" w:name="_CTVL00135499fe7471046b38307bde1aebad08e"/>
      <w:r w:rsidRPr="00E631E1">
        <w:rPr>
          <w:rFonts w:ascii="Arial" w:hAnsi="Arial" w:cs="Arial"/>
          <w:lang w:val="en-GB"/>
        </w:rPr>
        <w:t xml:space="preserve">Wyss, V. L., </w:t>
      </w:r>
      <w:proofErr w:type="spellStart"/>
      <w:r w:rsidRPr="00E631E1">
        <w:rPr>
          <w:rFonts w:ascii="Arial" w:hAnsi="Arial" w:cs="Arial"/>
          <w:lang w:val="en-GB"/>
        </w:rPr>
        <w:t>Heulskamp</w:t>
      </w:r>
      <w:proofErr w:type="spellEnd"/>
      <w:r w:rsidRPr="00E631E1">
        <w:rPr>
          <w:rFonts w:ascii="Arial" w:hAnsi="Arial" w:cs="Arial"/>
          <w:lang w:val="en-GB"/>
        </w:rPr>
        <w:t xml:space="preserve">, D. &amp; Siebert, C. J. (2012). Increasing middle school student interest in STEM careers with videos of scientists. </w:t>
      </w:r>
      <w:bookmarkEnd w:id="17"/>
      <w:r w:rsidRPr="00E631E1">
        <w:rPr>
          <w:rFonts w:ascii="Arial" w:hAnsi="Arial" w:cs="Arial"/>
          <w:i/>
        </w:rPr>
        <w:t xml:space="preserve">International Journal </w:t>
      </w:r>
      <w:proofErr w:type="spellStart"/>
      <w:r w:rsidRPr="00E631E1">
        <w:rPr>
          <w:rFonts w:ascii="Arial" w:hAnsi="Arial" w:cs="Arial"/>
          <w:i/>
        </w:rPr>
        <w:t>of</w:t>
      </w:r>
      <w:proofErr w:type="spellEnd"/>
      <w:r w:rsidRPr="00E631E1">
        <w:rPr>
          <w:rFonts w:ascii="Arial" w:hAnsi="Arial" w:cs="Arial"/>
          <w:i/>
        </w:rPr>
        <w:t xml:space="preserve"> </w:t>
      </w:r>
      <w:proofErr w:type="spellStart"/>
      <w:r w:rsidRPr="00E631E1">
        <w:rPr>
          <w:rFonts w:ascii="Arial" w:hAnsi="Arial" w:cs="Arial"/>
          <w:i/>
        </w:rPr>
        <w:t>Enviromental</w:t>
      </w:r>
      <w:proofErr w:type="spellEnd"/>
      <w:r w:rsidRPr="00E631E1">
        <w:rPr>
          <w:rFonts w:ascii="Arial" w:hAnsi="Arial" w:cs="Arial"/>
          <w:i/>
        </w:rPr>
        <w:t xml:space="preserve"> &amp; Science Education 7 </w:t>
      </w:r>
      <w:r w:rsidRPr="00E631E1">
        <w:rPr>
          <w:rFonts w:ascii="Arial" w:hAnsi="Arial" w:cs="Arial"/>
        </w:rPr>
        <w:t>(4), 501–522.</w:t>
      </w:r>
    </w:p>
    <w:p w:rsidR="00E631E1" w:rsidRDefault="00E631E1" w:rsidP="00E631E1">
      <w:pPr>
        <w:pStyle w:val="CitaviBibliographyEntry"/>
        <w:jc w:val="both"/>
      </w:pPr>
    </w:p>
    <w:p w:rsidR="00675ECD" w:rsidRPr="00E631E1" w:rsidRDefault="00675ECD" w:rsidP="00675ECD">
      <w:pPr>
        <w:pStyle w:val="CitaviBibliographyEntry"/>
      </w:pPr>
    </w:p>
    <w:sectPr w:rsidR="00675ECD" w:rsidRPr="00E631E1" w:rsidSect="00C1108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E19" w:rsidRDefault="00AD3E19" w:rsidP="00C1108E">
      <w:pPr>
        <w:spacing w:after="0" w:line="240" w:lineRule="auto"/>
      </w:pPr>
      <w:r>
        <w:separator/>
      </w:r>
    </w:p>
  </w:endnote>
  <w:endnote w:type="continuationSeparator" w:id="0">
    <w:p w:rsidR="00AD3E19" w:rsidRDefault="00AD3E19" w:rsidP="00C11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1216277"/>
      <w:docPartObj>
        <w:docPartGallery w:val="Page Numbers (Bottom of Page)"/>
        <w:docPartUnique/>
      </w:docPartObj>
    </w:sdtPr>
    <w:sdtEndPr/>
    <w:sdtContent>
      <w:p w:rsidR="00C1108E" w:rsidRDefault="00C1108E">
        <w:pPr>
          <w:pStyle w:val="Fuzeile"/>
          <w:jc w:val="right"/>
        </w:pPr>
        <w:r>
          <w:fldChar w:fldCharType="begin"/>
        </w:r>
        <w:r>
          <w:instrText>PAGE   \* MERGEFORMAT</w:instrText>
        </w:r>
        <w:r>
          <w:fldChar w:fldCharType="separate"/>
        </w:r>
        <w:r w:rsidR="00DE6810">
          <w:rPr>
            <w:noProof/>
          </w:rPr>
          <w:t>9</w:t>
        </w:r>
        <w:r>
          <w:fldChar w:fldCharType="end"/>
        </w:r>
      </w:p>
    </w:sdtContent>
  </w:sdt>
  <w:p w:rsidR="00C1108E" w:rsidRDefault="00C1108E">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E19" w:rsidRDefault="00AD3E19" w:rsidP="00C1108E">
      <w:pPr>
        <w:spacing w:after="0" w:line="240" w:lineRule="auto"/>
      </w:pPr>
      <w:r>
        <w:separator/>
      </w:r>
    </w:p>
  </w:footnote>
  <w:footnote w:type="continuationSeparator" w:id="0">
    <w:p w:rsidR="00AD3E19" w:rsidRDefault="00AD3E19" w:rsidP="00C110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79B"/>
    <w:rsid w:val="00022A02"/>
    <w:rsid w:val="000E319A"/>
    <w:rsid w:val="00296A5D"/>
    <w:rsid w:val="002A55C6"/>
    <w:rsid w:val="002C42D5"/>
    <w:rsid w:val="00452AB0"/>
    <w:rsid w:val="00461BC0"/>
    <w:rsid w:val="004752AD"/>
    <w:rsid w:val="00485D72"/>
    <w:rsid w:val="004E7754"/>
    <w:rsid w:val="00545F13"/>
    <w:rsid w:val="005627A4"/>
    <w:rsid w:val="005B5A33"/>
    <w:rsid w:val="00675ECD"/>
    <w:rsid w:val="006A2628"/>
    <w:rsid w:val="006D02E1"/>
    <w:rsid w:val="006D78AE"/>
    <w:rsid w:val="00781D18"/>
    <w:rsid w:val="007A498E"/>
    <w:rsid w:val="007C2104"/>
    <w:rsid w:val="00805DF1"/>
    <w:rsid w:val="00981D5D"/>
    <w:rsid w:val="00AD3E19"/>
    <w:rsid w:val="00B6571F"/>
    <w:rsid w:val="00B97A19"/>
    <w:rsid w:val="00C1108E"/>
    <w:rsid w:val="00C16A34"/>
    <w:rsid w:val="00DE6810"/>
    <w:rsid w:val="00E4279B"/>
    <w:rsid w:val="00E631E1"/>
    <w:rsid w:val="00F32F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5A7999-953A-4D5F-BE1A-B35474CB8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E631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E631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E631E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E631E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E631E1"/>
    <w:pPr>
      <w:keepNext/>
      <w:keepLines/>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E631E1"/>
    <w:pPr>
      <w:keepNext/>
      <w:keepLines/>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E631E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E631E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631E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E4279B"/>
    <w:rPr>
      <w:sz w:val="16"/>
      <w:szCs w:val="16"/>
    </w:rPr>
  </w:style>
  <w:style w:type="paragraph" w:styleId="Kommentartext">
    <w:name w:val="annotation text"/>
    <w:basedOn w:val="Standard"/>
    <w:link w:val="KommentartextZchn"/>
    <w:uiPriority w:val="99"/>
    <w:semiHidden/>
    <w:unhideWhenUsed/>
    <w:rsid w:val="00E4279B"/>
    <w:pPr>
      <w:spacing w:before="120" w:after="120" w:line="240" w:lineRule="auto"/>
      <w:jc w:val="both"/>
    </w:pPr>
    <w:rPr>
      <w:rFonts w:ascii="Arial" w:eastAsiaTheme="minorEastAsia" w:hAnsi="Arial"/>
      <w:sz w:val="20"/>
      <w:szCs w:val="20"/>
    </w:rPr>
  </w:style>
  <w:style w:type="character" w:customStyle="1" w:styleId="KommentartextZchn">
    <w:name w:val="Kommentartext Zchn"/>
    <w:basedOn w:val="Absatz-Standardschriftart"/>
    <w:link w:val="Kommentartext"/>
    <w:uiPriority w:val="99"/>
    <w:semiHidden/>
    <w:rsid w:val="00E4279B"/>
    <w:rPr>
      <w:rFonts w:ascii="Arial" w:eastAsiaTheme="minorEastAsia" w:hAnsi="Arial"/>
      <w:sz w:val="20"/>
      <w:szCs w:val="20"/>
    </w:rPr>
  </w:style>
  <w:style w:type="table" w:customStyle="1" w:styleId="Tabellenraster5">
    <w:name w:val="Tabellenraster5"/>
    <w:basedOn w:val="NormaleTabelle"/>
    <w:next w:val="Tabellenraster"/>
    <w:uiPriority w:val="39"/>
    <w:rsid w:val="00E42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E42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4279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4279B"/>
    <w:rPr>
      <w:rFonts w:ascii="Segoe UI" w:hAnsi="Segoe UI" w:cs="Segoe UI"/>
      <w:sz w:val="18"/>
      <w:szCs w:val="18"/>
    </w:rPr>
  </w:style>
  <w:style w:type="paragraph" w:styleId="Beschriftung">
    <w:name w:val="caption"/>
    <w:basedOn w:val="Standard"/>
    <w:next w:val="Standard"/>
    <w:uiPriority w:val="35"/>
    <w:unhideWhenUsed/>
    <w:qFormat/>
    <w:rsid w:val="00E4279B"/>
    <w:pPr>
      <w:spacing w:after="200" w:line="240" w:lineRule="auto"/>
    </w:pPr>
    <w:rPr>
      <w:rFonts w:ascii="Arial" w:hAnsi="Arial"/>
      <w:iCs/>
      <w:sz w:val="18"/>
      <w:szCs w:val="18"/>
    </w:rPr>
  </w:style>
  <w:style w:type="paragraph" w:customStyle="1" w:styleId="CitaviBibliographyEntry">
    <w:name w:val="Citavi Bibliography Entry"/>
    <w:basedOn w:val="Standard"/>
    <w:link w:val="CitaviBibliographyEntryZchn"/>
    <w:rsid w:val="00E631E1"/>
    <w:pPr>
      <w:tabs>
        <w:tab w:val="left" w:pos="283"/>
      </w:tabs>
      <w:spacing w:after="120"/>
      <w:ind w:left="283" w:hanging="283"/>
    </w:pPr>
  </w:style>
  <w:style w:type="character" w:customStyle="1" w:styleId="CitaviBibliographyEntryZchn">
    <w:name w:val="Citavi Bibliography Entry Zchn"/>
    <w:basedOn w:val="Absatz-Standardschriftart"/>
    <w:link w:val="CitaviBibliographyEntry"/>
    <w:rsid w:val="00E631E1"/>
  </w:style>
  <w:style w:type="paragraph" w:customStyle="1" w:styleId="CitaviBibliographyHeading">
    <w:name w:val="Citavi Bibliography Heading"/>
    <w:basedOn w:val="berschrift1"/>
    <w:link w:val="CitaviBibliographyHeadingZchn"/>
    <w:rsid w:val="00E631E1"/>
  </w:style>
  <w:style w:type="character" w:customStyle="1" w:styleId="CitaviBibliographyHeadingZchn">
    <w:name w:val="Citavi Bibliography Heading Zchn"/>
    <w:basedOn w:val="Absatz-Standardschriftart"/>
    <w:link w:val="CitaviBibliographyHeading"/>
    <w:rsid w:val="00E631E1"/>
    <w:rPr>
      <w:rFonts w:asciiTheme="majorHAnsi" w:eastAsiaTheme="majorEastAsia" w:hAnsiTheme="majorHAnsi" w:cstheme="majorBidi"/>
      <w:color w:val="2E74B5" w:themeColor="accent1" w:themeShade="BF"/>
      <w:sz w:val="32"/>
      <w:szCs w:val="32"/>
    </w:rPr>
  </w:style>
  <w:style w:type="character" w:customStyle="1" w:styleId="berschrift1Zchn">
    <w:name w:val="Überschrift 1 Zchn"/>
    <w:basedOn w:val="Absatz-Standardschriftart"/>
    <w:link w:val="berschrift1"/>
    <w:uiPriority w:val="9"/>
    <w:rsid w:val="00E631E1"/>
    <w:rPr>
      <w:rFonts w:asciiTheme="majorHAnsi" w:eastAsiaTheme="majorEastAsia" w:hAnsiTheme="majorHAnsi" w:cstheme="majorBidi"/>
      <w:color w:val="2E74B5" w:themeColor="accent1" w:themeShade="BF"/>
      <w:sz w:val="32"/>
      <w:szCs w:val="32"/>
    </w:rPr>
  </w:style>
  <w:style w:type="paragraph" w:customStyle="1" w:styleId="CitaviBibliographySubheading1">
    <w:name w:val="Citavi Bibliography Subheading 1"/>
    <w:basedOn w:val="berschrift2"/>
    <w:link w:val="CitaviBibliographySubheading1Zchn"/>
    <w:rsid w:val="00E631E1"/>
    <w:pPr>
      <w:spacing w:line="240" w:lineRule="auto"/>
      <w:outlineLvl w:val="9"/>
    </w:pPr>
    <w:rPr>
      <w:rFonts w:ascii="Arial" w:eastAsiaTheme="minorEastAsia" w:hAnsi="Arial" w:cs="Arial"/>
    </w:rPr>
  </w:style>
  <w:style w:type="character" w:customStyle="1" w:styleId="CitaviBibliographySubheading1Zchn">
    <w:name w:val="Citavi Bibliography Subheading 1 Zchn"/>
    <w:basedOn w:val="Absatz-Standardschriftart"/>
    <w:link w:val="CitaviBibliographySubheading1"/>
    <w:rsid w:val="00E631E1"/>
    <w:rPr>
      <w:rFonts w:ascii="Arial" w:eastAsiaTheme="minorEastAsia" w:hAnsi="Arial" w:cs="Arial"/>
      <w:color w:val="2E74B5" w:themeColor="accent1" w:themeShade="BF"/>
      <w:sz w:val="26"/>
      <w:szCs w:val="26"/>
    </w:rPr>
  </w:style>
  <w:style w:type="character" w:customStyle="1" w:styleId="berschrift2Zchn">
    <w:name w:val="Überschrift 2 Zchn"/>
    <w:basedOn w:val="Absatz-Standardschriftart"/>
    <w:link w:val="berschrift2"/>
    <w:uiPriority w:val="9"/>
    <w:semiHidden/>
    <w:rsid w:val="00E631E1"/>
    <w:rPr>
      <w:rFonts w:asciiTheme="majorHAnsi" w:eastAsiaTheme="majorEastAsia" w:hAnsiTheme="majorHAnsi" w:cstheme="majorBidi"/>
      <w:color w:val="2E74B5" w:themeColor="accent1" w:themeShade="BF"/>
      <w:sz w:val="26"/>
      <w:szCs w:val="26"/>
    </w:rPr>
  </w:style>
  <w:style w:type="paragraph" w:customStyle="1" w:styleId="CitaviBibliographySubheading2">
    <w:name w:val="Citavi Bibliography Subheading 2"/>
    <w:basedOn w:val="berschrift3"/>
    <w:link w:val="CitaviBibliographySubheading2Zchn"/>
    <w:rsid w:val="00E631E1"/>
    <w:pPr>
      <w:spacing w:line="240" w:lineRule="auto"/>
      <w:outlineLvl w:val="9"/>
    </w:pPr>
    <w:rPr>
      <w:rFonts w:ascii="Arial" w:eastAsiaTheme="minorEastAsia" w:hAnsi="Arial" w:cs="Arial"/>
    </w:rPr>
  </w:style>
  <w:style w:type="character" w:customStyle="1" w:styleId="CitaviBibliographySubheading2Zchn">
    <w:name w:val="Citavi Bibliography Subheading 2 Zchn"/>
    <w:basedOn w:val="Absatz-Standardschriftart"/>
    <w:link w:val="CitaviBibliographySubheading2"/>
    <w:rsid w:val="00E631E1"/>
    <w:rPr>
      <w:rFonts w:ascii="Arial" w:eastAsiaTheme="minorEastAsia" w:hAnsi="Arial" w:cs="Arial"/>
      <w:color w:val="1F4D78" w:themeColor="accent1" w:themeShade="7F"/>
      <w:sz w:val="24"/>
      <w:szCs w:val="24"/>
    </w:rPr>
  </w:style>
  <w:style w:type="character" w:customStyle="1" w:styleId="berschrift3Zchn">
    <w:name w:val="Überschrift 3 Zchn"/>
    <w:basedOn w:val="Absatz-Standardschriftart"/>
    <w:link w:val="berschrift3"/>
    <w:uiPriority w:val="9"/>
    <w:semiHidden/>
    <w:rsid w:val="00E631E1"/>
    <w:rPr>
      <w:rFonts w:asciiTheme="majorHAnsi" w:eastAsiaTheme="majorEastAsia" w:hAnsiTheme="majorHAnsi" w:cstheme="majorBidi"/>
      <w:color w:val="1F4D78" w:themeColor="accent1" w:themeShade="7F"/>
      <w:sz w:val="24"/>
      <w:szCs w:val="24"/>
    </w:rPr>
  </w:style>
  <w:style w:type="paragraph" w:customStyle="1" w:styleId="CitaviBibliographySubheading3">
    <w:name w:val="Citavi Bibliography Subheading 3"/>
    <w:basedOn w:val="berschrift4"/>
    <w:link w:val="CitaviBibliographySubheading3Zchn"/>
    <w:rsid w:val="00E631E1"/>
    <w:pPr>
      <w:spacing w:line="240" w:lineRule="auto"/>
      <w:outlineLvl w:val="9"/>
    </w:pPr>
    <w:rPr>
      <w:rFonts w:ascii="Arial" w:eastAsiaTheme="minorEastAsia" w:hAnsi="Arial" w:cs="Arial"/>
    </w:rPr>
  </w:style>
  <w:style w:type="character" w:customStyle="1" w:styleId="CitaviBibliographySubheading3Zchn">
    <w:name w:val="Citavi Bibliography Subheading 3 Zchn"/>
    <w:basedOn w:val="Absatz-Standardschriftart"/>
    <w:link w:val="CitaviBibliographySubheading3"/>
    <w:rsid w:val="00E631E1"/>
    <w:rPr>
      <w:rFonts w:ascii="Arial" w:eastAsiaTheme="minorEastAsia" w:hAnsi="Arial" w:cs="Arial"/>
      <w:i/>
      <w:iCs/>
      <w:color w:val="2E74B5" w:themeColor="accent1" w:themeShade="BF"/>
    </w:rPr>
  </w:style>
  <w:style w:type="character" w:customStyle="1" w:styleId="berschrift4Zchn">
    <w:name w:val="Überschrift 4 Zchn"/>
    <w:basedOn w:val="Absatz-Standardschriftart"/>
    <w:link w:val="berschrift4"/>
    <w:uiPriority w:val="9"/>
    <w:semiHidden/>
    <w:rsid w:val="00E631E1"/>
    <w:rPr>
      <w:rFonts w:asciiTheme="majorHAnsi" w:eastAsiaTheme="majorEastAsia" w:hAnsiTheme="majorHAnsi" w:cstheme="majorBidi"/>
      <w:i/>
      <w:iCs/>
      <w:color w:val="2E74B5" w:themeColor="accent1" w:themeShade="BF"/>
    </w:rPr>
  </w:style>
  <w:style w:type="paragraph" w:customStyle="1" w:styleId="CitaviBibliographySubheading4">
    <w:name w:val="Citavi Bibliography Subheading 4"/>
    <w:basedOn w:val="berschrift5"/>
    <w:link w:val="CitaviBibliographySubheading4Zchn"/>
    <w:rsid w:val="00E631E1"/>
    <w:pPr>
      <w:spacing w:line="240" w:lineRule="auto"/>
      <w:outlineLvl w:val="9"/>
    </w:pPr>
    <w:rPr>
      <w:rFonts w:ascii="Arial" w:eastAsiaTheme="minorEastAsia" w:hAnsi="Arial" w:cs="Arial"/>
    </w:rPr>
  </w:style>
  <w:style w:type="character" w:customStyle="1" w:styleId="CitaviBibliographySubheading4Zchn">
    <w:name w:val="Citavi Bibliography Subheading 4 Zchn"/>
    <w:basedOn w:val="Absatz-Standardschriftart"/>
    <w:link w:val="CitaviBibliographySubheading4"/>
    <w:rsid w:val="00E631E1"/>
    <w:rPr>
      <w:rFonts w:ascii="Arial" w:eastAsiaTheme="minorEastAsia" w:hAnsi="Arial" w:cs="Arial"/>
      <w:color w:val="2E74B5" w:themeColor="accent1" w:themeShade="BF"/>
    </w:rPr>
  </w:style>
  <w:style w:type="character" w:customStyle="1" w:styleId="berschrift5Zchn">
    <w:name w:val="Überschrift 5 Zchn"/>
    <w:basedOn w:val="Absatz-Standardschriftart"/>
    <w:link w:val="berschrift5"/>
    <w:uiPriority w:val="9"/>
    <w:semiHidden/>
    <w:rsid w:val="00E631E1"/>
    <w:rPr>
      <w:rFonts w:asciiTheme="majorHAnsi" w:eastAsiaTheme="majorEastAsia" w:hAnsiTheme="majorHAnsi" w:cstheme="majorBidi"/>
      <w:color w:val="2E74B5" w:themeColor="accent1" w:themeShade="BF"/>
    </w:rPr>
  </w:style>
  <w:style w:type="paragraph" w:customStyle="1" w:styleId="CitaviBibliographySubheading5">
    <w:name w:val="Citavi Bibliography Subheading 5"/>
    <w:basedOn w:val="berschrift6"/>
    <w:link w:val="CitaviBibliographySubheading5Zchn"/>
    <w:rsid w:val="00E631E1"/>
    <w:pPr>
      <w:spacing w:line="240" w:lineRule="auto"/>
      <w:jc w:val="both"/>
      <w:outlineLvl w:val="9"/>
    </w:pPr>
    <w:rPr>
      <w:rFonts w:ascii="Arial" w:eastAsiaTheme="minorEastAsia" w:hAnsi="Arial" w:cs="Arial"/>
    </w:rPr>
  </w:style>
  <w:style w:type="character" w:customStyle="1" w:styleId="CitaviBibliographySubheading5Zchn">
    <w:name w:val="Citavi Bibliography Subheading 5 Zchn"/>
    <w:basedOn w:val="Absatz-Standardschriftart"/>
    <w:link w:val="CitaviBibliographySubheading5"/>
    <w:rsid w:val="00E631E1"/>
    <w:rPr>
      <w:rFonts w:ascii="Arial" w:eastAsiaTheme="minorEastAsia" w:hAnsi="Arial" w:cs="Arial"/>
      <w:color w:val="1F4D78" w:themeColor="accent1" w:themeShade="7F"/>
    </w:rPr>
  </w:style>
  <w:style w:type="character" w:customStyle="1" w:styleId="berschrift6Zchn">
    <w:name w:val="Überschrift 6 Zchn"/>
    <w:basedOn w:val="Absatz-Standardschriftart"/>
    <w:link w:val="berschrift6"/>
    <w:uiPriority w:val="9"/>
    <w:semiHidden/>
    <w:rsid w:val="00E631E1"/>
    <w:rPr>
      <w:rFonts w:asciiTheme="majorHAnsi" w:eastAsiaTheme="majorEastAsia" w:hAnsiTheme="majorHAnsi" w:cstheme="majorBidi"/>
      <w:color w:val="1F4D78" w:themeColor="accent1" w:themeShade="7F"/>
    </w:rPr>
  </w:style>
  <w:style w:type="paragraph" w:customStyle="1" w:styleId="CitaviBibliographySubheading6">
    <w:name w:val="Citavi Bibliography Subheading 6"/>
    <w:basedOn w:val="berschrift7"/>
    <w:link w:val="CitaviBibliographySubheading6Zchn"/>
    <w:rsid w:val="00E631E1"/>
    <w:pPr>
      <w:spacing w:line="240" w:lineRule="auto"/>
      <w:jc w:val="both"/>
      <w:outlineLvl w:val="9"/>
    </w:pPr>
    <w:rPr>
      <w:rFonts w:ascii="Arial" w:eastAsiaTheme="minorEastAsia" w:hAnsi="Arial" w:cs="Arial"/>
    </w:rPr>
  </w:style>
  <w:style w:type="character" w:customStyle="1" w:styleId="CitaviBibliographySubheading6Zchn">
    <w:name w:val="Citavi Bibliography Subheading 6 Zchn"/>
    <w:basedOn w:val="Absatz-Standardschriftart"/>
    <w:link w:val="CitaviBibliographySubheading6"/>
    <w:rsid w:val="00E631E1"/>
    <w:rPr>
      <w:rFonts w:ascii="Arial" w:eastAsiaTheme="minorEastAsia" w:hAnsi="Arial" w:cs="Arial"/>
      <w:i/>
      <w:iCs/>
      <w:color w:val="1F4D78" w:themeColor="accent1" w:themeShade="7F"/>
    </w:rPr>
  </w:style>
  <w:style w:type="character" w:customStyle="1" w:styleId="berschrift7Zchn">
    <w:name w:val="Überschrift 7 Zchn"/>
    <w:basedOn w:val="Absatz-Standardschriftart"/>
    <w:link w:val="berschrift7"/>
    <w:uiPriority w:val="9"/>
    <w:semiHidden/>
    <w:rsid w:val="00E631E1"/>
    <w:rPr>
      <w:rFonts w:asciiTheme="majorHAnsi" w:eastAsiaTheme="majorEastAsia" w:hAnsiTheme="majorHAnsi" w:cstheme="majorBidi"/>
      <w:i/>
      <w:iCs/>
      <w:color w:val="1F4D78" w:themeColor="accent1" w:themeShade="7F"/>
    </w:rPr>
  </w:style>
  <w:style w:type="paragraph" w:customStyle="1" w:styleId="CitaviBibliographySubheading7">
    <w:name w:val="Citavi Bibliography Subheading 7"/>
    <w:basedOn w:val="berschrift8"/>
    <w:link w:val="CitaviBibliographySubheading7Zchn"/>
    <w:rsid w:val="00E631E1"/>
    <w:pPr>
      <w:spacing w:line="240" w:lineRule="auto"/>
      <w:jc w:val="both"/>
      <w:outlineLvl w:val="9"/>
    </w:pPr>
    <w:rPr>
      <w:rFonts w:ascii="Arial" w:eastAsiaTheme="minorEastAsia" w:hAnsi="Arial" w:cs="Arial"/>
    </w:rPr>
  </w:style>
  <w:style w:type="character" w:customStyle="1" w:styleId="CitaviBibliographySubheading7Zchn">
    <w:name w:val="Citavi Bibliography Subheading 7 Zchn"/>
    <w:basedOn w:val="Absatz-Standardschriftart"/>
    <w:link w:val="CitaviBibliographySubheading7"/>
    <w:rsid w:val="00E631E1"/>
    <w:rPr>
      <w:rFonts w:ascii="Arial" w:eastAsiaTheme="minorEastAsia" w:hAnsi="Arial" w:cs="Arial"/>
      <w:color w:val="272727" w:themeColor="text1" w:themeTint="D8"/>
      <w:sz w:val="21"/>
      <w:szCs w:val="21"/>
    </w:rPr>
  </w:style>
  <w:style w:type="character" w:customStyle="1" w:styleId="berschrift8Zchn">
    <w:name w:val="Überschrift 8 Zchn"/>
    <w:basedOn w:val="Absatz-Standardschriftart"/>
    <w:link w:val="berschrift8"/>
    <w:uiPriority w:val="9"/>
    <w:semiHidden/>
    <w:rsid w:val="00E631E1"/>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rsid w:val="00E631E1"/>
    <w:pPr>
      <w:spacing w:line="240" w:lineRule="auto"/>
      <w:jc w:val="both"/>
      <w:outlineLvl w:val="9"/>
    </w:pPr>
    <w:rPr>
      <w:rFonts w:ascii="Arial" w:eastAsiaTheme="minorEastAsia" w:hAnsi="Arial" w:cs="Arial"/>
    </w:rPr>
  </w:style>
  <w:style w:type="character" w:customStyle="1" w:styleId="CitaviBibliographySubheading8Zchn">
    <w:name w:val="Citavi Bibliography Subheading 8 Zchn"/>
    <w:basedOn w:val="Absatz-Standardschriftart"/>
    <w:link w:val="CitaviBibliographySubheading8"/>
    <w:rsid w:val="00E631E1"/>
    <w:rPr>
      <w:rFonts w:ascii="Arial" w:eastAsiaTheme="minorEastAsia" w:hAnsi="Arial" w:cs="Arial"/>
      <w:i/>
      <w:iCs/>
      <w:color w:val="272727" w:themeColor="text1" w:themeTint="D8"/>
      <w:sz w:val="21"/>
      <w:szCs w:val="21"/>
    </w:rPr>
  </w:style>
  <w:style w:type="character" w:customStyle="1" w:styleId="berschrift9Zchn">
    <w:name w:val="Überschrift 9 Zchn"/>
    <w:basedOn w:val="Absatz-Standardschriftart"/>
    <w:link w:val="berschrift9"/>
    <w:uiPriority w:val="9"/>
    <w:semiHidden/>
    <w:rsid w:val="00E631E1"/>
    <w:rPr>
      <w:rFonts w:asciiTheme="majorHAnsi" w:eastAsiaTheme="majorEastAsia" w:hAnsiTheme="majorHAnsi" w:cstheme="majorBidi"/>
      <w:i/>
      <w:iCs/>
      <w:color w:val="272727" w:themeColor="text1" w:themeTint="D8"/>
      <w:sz w:val="21"/>
      <w:szCs w:val="21"/>
    </w:rPr>
  </w:style>
  <w:style w:type="table" w:customStyle="1" w:styleId="Tabellenraster1">
    <w:name w:val="Tabellenraster1"/>
    <w:basedOn w:val="NormaleTabelle"/>
    <w:next w:val="Tabellenraster"/>
    <w:uiPriority w:val="39"/>
    <w:rsid w:val="00452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452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452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452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1108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1108E"/>
  </w:style>
  <w:style w:type="paragraph" w:styleId="Fuzeile">
    <w:name w:val="footer"/>
    <w:basedOn w:val="Standard"/>
    <w:link w:val="FuzeileZchn"/>
    <w:uiPriority w:val="99"/>
    <w:unhideWhenUsed/>
    <w:rsid w:val="00C1108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11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DBE16-1DED-4892-A4D5-F4B3520D1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4213</Words>
  <Characters>26549</Characters>
  <Application>Microsoft Office Word</Application>
  <DocSecurity>0</DocSecurity>
  <Lines>221</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7</cp:revision>
  <dcterms:created xsi:type="dcterms:W3CDTF">2020-07-17T09:24:00Z</dcterms:created>
  <dcterms:modified xsi:type="dcterms:W3CDTF">2020-07-17T10:07:00Z</dcterms:modified>
</cp:coreProperties>
</file>