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F3F79A" w14:textId="77777777" w:rsidR="00854A32" w:rsidRDefault="00854A32" w:rsidP="00854A32">
      <w:pPr>
        <w:spacing w:line="480" w:lineRule="auto"/>
        <w:rPr>
          <w:b/>
          <w:bCs/>
        </w:rPr>
      </w:pPr>
    </w:p>
    <w:p w14:paraId="6C6E87E3" w14:textId="77777777" w:rsidR="00854A32" w:rsidRDefault="00854A32" w:rsidP="00854A32">
      <w:pPr>
        <w:spacing w:line="480" w:lineRule="auto"/>
        <w:jc w:val="center"/>
        <w:rPr>
          <w:b/>
          <w:bCs/>
        </w:rPr>
      </w:pPr>
      <w:r w:rsidRPr="00DE2532">
        <w:rPr>
          <w:b/>
          <w:bCs/>
        </w:rPr>
        <w:t>Supplementary Text</w:t>
      </w:r>
    </w:p>
    <w:p w14:paraId="67601177" w14:textId="77777777" w:rsidR="00854A32" w:rsidRDefault="00854A32" w:rsidP="00854A32">
      <w:pPr>
        <w:spacing w:line="480" w:lineRule="auto"/>
        <w:rPr>
          <w:b/>
          <w:bCs/>
        </w:rPr>
      </w:pPr>
      <w:r>
        <w:rPr>
          <w:b/>
          <w:bCs/>
        </w:rPr>
        <w:t>Factor Analysis</w:t>
      </w:r>
    </w:p>
    <w:p w14:paraId="6B8AE1C3" w14:textId="77777777" w:rsidR="00854A32" w:rsidRPr="00F2219A" w:rsidRDefault="00854A32" w:rsidP="00854A32">
      <w:pPr>
        <w:spacing w:line="480" w:lineRule="auto"/>
        <w:rPr>
          <w:rFonts w:eastAsia="Times New Roman" w:cs="Times New Roman"/>
          <w:b/>
          <w:bCs/>
          <w:i/>
          <w:iCs/>
          <w:color w:val="000000"/>
          <w:szCs w:val="24"/>
        </w:rPr>
      </w:pPr>
      <w:r w:rsidRPr="00F2219A">
        <w:rPr>
          <w:rFonts w:eastAsia="Times New Roman" w:cs="Times New Roman"/>
          <w:b/>
          <w:bCs/>
          <w:i/>
          <w:iCs/>
          <w:color w:val="000000"/>
          <w:szCs w:val="24"/>
        </w:rPr>
        <w:t>Methods</w:t>
      </w:r>
    </w:p>
    <w:p w14:paraId="4A03E662" w14:textId="63AE2A3C" w:rsidR="00854A32" w:rsidRPr="004A71A6" w:rsidRDefault="00854A32" w:rsidP="00854A32">
      <w:pPr>
        <w:spacing w:line="480" w:lineRule="auto"/>
        <w:ind w:firstLine="720"/>
        <w:rPr>
          <w:rFonts w:eastAsia="Times New Roman" w:cs="Times New Roman"/>
          <w:szCs w:val="24"/>
        </w:rPr>
      </w:pPr>
      <w:r>
        <w:rPr>
          <w:rFonts w:eastAsia="Times New Roman" w:cs="Times New Roman"/>
          <w:color w:val="000000"/>
          <w:szCs w:val="24"/>
        </w:rPr>
        <w:t>Several criteria in determining factorability were met before conducting the factor analysis. The original scales, the AVS-R and LVS, were shown to be strongly correlated</w:t>
      </w:r>
      <w:r w:rsidR="0022200B">
        <w:rPr>
          <w:rFonts w:eastAsia="Times New Roman" w:cs="Times New Roman"/>
          <w:color w:val="000000"/>
          <w:szCs w:val="24"/>
        </w:rPr>
        <w:t>.</w:t>
      </w:r>
      <w:r>
        <w:rPr>
          <w:rFonts w:eastAsia="Times New Roman" w:cs="Times New Roman"/>
          <w:color w:val="000000"/>
          <w:szCs w:val="24"/>
        </w:rPr>
        <w:t xml:space="preserve"> T</w:t>
      </w:r>
      <w:r w:rsidRPr="004A71A6">
        <w:rPr>
          <w:rFonts w:eastAsia="Times New Roman" w:cs="Times New Roman"/>
          <w:color w:val="000000"/>
          <w:szCs w:val="24"/>
        </w:rPr>
        <w:t>he Kaiser-Meyer-Olkin measure of sampling adequacy</w:t>
      </w:r>
      <w:r>
        <w:rPr>
          <w:rFonts w:eastAsia="Times New Roman" w:cs="Times New Roman"/>
          <w:color w:val="000000"/>
          <w:szCs w:val="24"/>
        </w:rPr>
        <w:t xml:space="preserve"> was 0.74</w:t>
      </w:r>
      <w:r w:rsidRPr="004A71A6">
        <w:rPr>
          <w:rFonts w:eastAsia="Times New Roman" w:cs="Times New Roman"/>
          <w:color w:val="000000"/>
          <w:szCs w:val="24"/>
        </w:rPr>
        <w:t>, and Bartlett’s test of sphericity was significant</w:t>
      </w:r>
      <w:r>
        <w:rPr>
          <w:rFonts w:eastAsia="Times New Roman" w:cs="Times New Roman"/>
          <w:color w:val="000000"/>
          <w:szCs w:val="24"/>
        </w:rPr>
        <w:t xml:space="preserve">, </w:t>
      </w:r>
      <w:r w:rsidRPr="004A71A6">
        <w:rPr>
          <w:rFonts w:eastAsia="Times New Roman" w:cs="Times New Roman"/>
          <w:color w:val="202124"/>
          <w:szCs w:val="24"/>
        </w:rPr>
        <w:t>χ</w:t>
      </w:r>
      <w:r w:rsidRPr="00D22A9C">
        <w:rPr>
          <w:rFonts w:eastAsia="Times New Roman" w:cs="Times New Roman"/>
          <w:color w:val="000000"/>
          <w:szCs w:val="24"/>
          <w:vertAlign w:val="superscript"/>
        </w:rPr>
        <w:t>2</w:t>
      </w:r>
      <w:r w:rsidRPr="004A71A6">
        <w:rPr>
          <w:rFonts w:eastAsia="Times New Roman" w:cs="Times New Roman"/>
          <w:color w:val="000000"/>
          <w:szCs w:val="24"/>
        </w:rPr>
        <w:t>(</w:t>
      </w:r>
      <w:r>
        <w:rPr>
          <w:rFonts w:eastAsia="Times New Roman" w:cs="Times New Roman"/>
          <w:color w:val="000000"/>
          <w:szCs w:val="24"/>
        </w:rPr>
        <w:t>1770</w:t>
      </w:r>
      <w:r w:rsidRPr="004A71A6">
        <w:rPr>
          <w:rFonts w:eastAsia="Times New Roman" w:cs="Times New Roman"/>
          <w:color w:val="000000"/>
          <w:szCs w:val="24"/>
        </w:rPr>
        <w:t xml:space="preserve">) = </w:t>
      </w:r>
      <w:r>
        <w:rPr>
          <w:rFonts w:eastAsia="Times New Roman" w:cs="Times New Roman"/>
          <w:color w:val="000000"/>
          <w:szCs w:val="24"/>
        </w:rPr>
        <w:t>4072</w:t>
      </w:r>
      <w:r w:rsidRPr="004A71A6">
        <w:rPr>
          <w:rFonts w:eastAsia="Times New Roman" w:cs="Times New Roman"/>
          <w:color w:val="000000"/>
          <w:szCs w:val="24"/>
        </w:rPr>
        <w:t>.</w:t>
      </w:r>
      <w:r>
        <w:rPr>
          <w:rFonts w:eastAsia="Times New Roman" w:cs="Times New Roman"/>
          <w:color w:val="000000"/>
          <w:szCs w:val="24"/>
        </w:rPr>
        <w:t>18</w:t>
      </w:r>
      <w:r w:rsidRPr="004A71A6">
        <w:rPr>
          <w:rFonts w:eastAsia="Times New Roman" w:cs="Times New Roman"/>
          <w:color w:val="000000"/>
          <w:szCs w:val="24"/>
        </w:rPr>
        <w:t xml:space="preserve">, </w:t>
      </w:r>
      <w:r w:rsidRPr="00D22A9C">
        <w:rPr>
          <w:rFonts w:eastAsia="Times New Roman" w:cs="Times New Roman"/>
          <w:i/>
          <w:iCs/>
          <w:color w:val="000000"/>
          <w:szCs w:val="24"/>
        </w:rPr>
        <w:t>p</w:t>
      </w:r>
      <w:r w:rsidRPr="004A71A6">
        <w:rPr>
          <w:rFonts w:eastAsia="Times New Roman" w:cs="Times New Roman"/>
          <w:color w:val="000000"/>
          <w:szCs w:val="24"/>
        </w:rPr>
        <w:t xml:space="preserve"> &lt; .001. Finally, </w:t>
      </w:r>
      <w:r>
        <w:rPr>
          <w:rFonts w:eastAsia="Times New Roman" w:cs="Times New Roman"/>
          <w:color w:val="000000"/>
          <w:szCs w:val="24"/>
        </w:rPr>
        <w:t xml:space="preserve">our factor analysis results showed that </w:t>
      </w:r>
      <w:r w:rsidRPr="004A71A6">
        <w:rPr>
          <w:rFonts w:eastAsia="Times New Roman" w:cs="Times New Roman"/>
          <w:color w:val="000000"/>
          <w:szCs w:val="24"/>
        </w:rPr>
        <w:t xml:space="preserve">the communalities of </w:t>
      </w:r>
      <w:r>
        <w:rPr>
          <w:rFonts w:eastAsia="Times New Roman" w:cs="Times New Roman"/>
          <w:color w:val="000000"/>
          <w:szCs w:val="24"/>
        </w:rPr>
        <w:t>13</w:t>
      </w:r>
      <w:r w:rsidRPr="004A71A6">
        <w:rPr>
          <w:rFonts w:eastAsia="Times New Roman" w:cs="Times New Roman"/>
          <w:color w:val="000000"/>
          <w:szCs w:val="24"/>
        </w:rPr>
        <w:t xml:space="preserve"> of the </w:t>
      </w:r>
      <w:r>
        <w:rPr>
          <w:rFonts w:eastAsia="Times New Roman" w:cs="Times New Roman"/>
          <w:color w:val="000000"/>
          <w:szCs w:val="24"/>
        </w:rPr>
        <w:t>selected 14</w:t>
      </w:r>
      <w:r w:rsidRPr="004A71A6">
        <w:rPr>
          <w:rFonts w:eastAsia="Times New Roman" w:cs="Times New Roman"/>
          <w:color w:val="000000"/>
          <w:szCs w:val="24"/>
        </w:rPr>
        <w:t xml:space="preserve"> items exceeded .</w:t>
      </w:r>
      <w:r w:rsidRPr="00873373">
        <w:rPr>
          <w:rFonts w:eastAsia="Times New Roman" w:cs="Times New Roman"/>
          <w:color w:val="000000"/>
          <w:szCs w:val="24"/>
        </w:rPr>
        <w:t xml:space="preserve">3 </w:t>
      </w:r>
      <w:r w:rsidR="00DF0A29">
        <w:t>[</w:t>
      </w:r>
      <w:r w:rsidR="00AF4F32">
        <w:fldChar w:fldCharType="begin"/>
      </w:r>
      <w:r w:rsidR="00AF4F32">
        <w:instrText xml:space="preserve"> REF _Ref68860850 \r \h </w:instrText>
      </w:r>
      <w:r w:rsidR="00AF4F32">
        <w:fldChar w:fldCharType="separate"/>
      </w:r>
      <w:r w:rsidR="00AF4F32">
        <w:t>1</w:t>
      </w:r>
      <w:r w:rsidR="00AF4F32">
        <w:fldChar w:fldCharType="end"/>
      </w:r>
      <w:r w:rsidR="00DF0A29">
        <w:t>]</w:t>
      </w:r>
      <w:r w:rsidRPr="00873373">
        <w:t>.</w:t>
      </w:r>
      <w:r w:rsidRPr="004A71A6">
        <w:rPr>
          <w:rFonts w:eastAsia="Times New Roman" w:cs="Times New Roman"/>
          <w:color w:val="000000"/>
          <w:szCs w:val="24"/>
        </w:rPr>
        <w:t> </w:t>
      </w:r>
      <w:r>
        <w:rPr>
          <w:rFonts w:eastAsia="Times New Roman" w:cs="Times New Roman"/>
          <w:color w:val="000000"/>
          <w:szCs w:val="24"/>
        </w:rPr>
        <w:t>In sum, the items together were an appropriate candidate for factor analysis.</w:t>
      </w:r>
    </w:p>
    <w:p w14:paraId="12AA10DA" w14:textId="00D340E4" w:rsidR="00854A32" w:rsidRPr="004A71A6" w:rsidRDefault="00854A32" w:rsidP="00854A32">
      <w:pPr>
        <w:spacing w:line="480" w:lineRule="auto"/>
        <w:ind w:firstLine="720"/>
        <w:rPr>
          <w:rFonts w:eastAsia="Times New Roman" w:cs="Times New Roman"/>
          <w:szCs w:val="24"/>
        </w:rPr>
      </w:pPr>
      <w:r w:rsidRPr="004A71A6">
        <w:rPr>
          <w:rFonts w:eastAsia="Times New Roman" w:cs="Times New Roman"/>
          <w:color w:val="000000"/>
          <w:szCs w:val="24"/>
        </w:rPr>
        <w:t xml:space="preserve">Principal axis factoring was chosen as an extraction method to measure the latent </w:t>
      </w:r>
      <w:r>
        <w:rPr>
          <w:rFonts w:eastAsia="Times New Roman" w:cs="Times New Roman"/>
          <w:color w:val="000000"/>
          <w:szCs w:val="24"/>
        </w:rPr>
        <w:t xml:space="preserve">commonality across the </w:t>
      </w:r>
      <w:r w:rsidRPr="0040674A">
        <w:t xml:space="preserve">AVS-R and LVS given similar participant adherence to both scales </w:t>
      </w:r>
      <w:r w:rsidR="00DF0A29">
        <w:t>[</w:t>
      </w:r>
      <w:r w:rsidR="00AF4F32">
        <w:fldChar w:fldCharType="begin"/>
      </w:r>
      <w:r w:rsidR="00AF4F32">
        <w:instrText xml:space="preserve"> REF _Ref68860864 \r \h </w:instrText>
      </w:r>
      <w:r w:rsidR="00AF4F32">
        <w:fldChar w:fldCharType="separate"/>
      </w:r>
      <w:r w:rsidR="00AF4F32">
        <w:t>2</w:t>
      </w:r>
      <w:r w:rsidR="00AF4F32">
        <w:fldChar w:fldCharType="end"/>
      </w:r>
      <w:r w:rsidR="00DF0A29">
        <w:t>]</w:t>
      </w:r>
      <w:r w:rsidRPr="0040674A">
        <w:t>.</w:t>
      </w:r>
      <w:r w:rsidRPr="004A71A6">
        <w:rPr>
          <w:rFonts w:eastAsia="Times New Roman" w:cs="Times New Roman"/>
          <w:color w:val="000000"/>
          <w:szCs w:val="24"/>
        </w:rPr>
        <w:t xml:space="preserve"> A direct </w:t>
      </w:r>
      <w:proofErr w:type="spellStart"/>
      <w:r w:rsidRPr="004A71A6">
        <w:rPr>
          <w:rFonts w:eastAsia="Times New Roman" w:cs="Times New Roman"/>
          <w:color w:val="000000"/>
          <w:szCs w:val="24"/>
        </w:rPr>
        <w:t>oblimin</w:t>
      </w:r>
      <w:proofErr w:type="spellEnd"/>
      <w:r w:rsidRPr="004A71A6">
        <w:rPr>
          <w:rFonts w:eastAsia="Times New Roman" w:cs="Times New Roman"/>
          <w:color w:val="000000"/>
          <w:szCs w:val="24"/>
        </w:rPr>
        <w:t xml:space="preserve"> rotation was </w:t>
      </w:r>
      <w:r>
        <w:rPr>
          <w:rFonts w:eastAsia="Times New Roman" w:cs="Times New Roman"/>
          <w:color w:val="000000"/>
          <w:szCs w:val="24"/>
        </w:rPr>
        <w:t>selected</w:t>
      </w:r>
      <w:r w:rsidRPr="004A71A6">
        <w:rPr>
          <w:rFonts w:eastAsia="Times New Roman" w:cs="Times New Roman"/>
          <w:color w:val="000000"/>
          <w:szCs w:val="24"/>
        </w:rPr>
        <w:t xml:space="preserve"> based on the correlations between </w:t>
      </w:r>
      <w:r>
        <w:rPr>
          <w:rFonts w:eastAsia="Times New Roman" w:cs="Times New Roman"/>
          <w:color w:val="000000"/>
          <w:szCs w:val="24"/>
        </w:rPr>
        <w:t xml:space="preserve">scales to allow for possible correlation between factors </w:t>
      </w:r>
      <w:r w:rsidR="00DF0A29">
        <w:t>[</w:t>
      </w:r>
      <w:r w:rsidR="00AF4F32">
        <w:fldChar w:fldCharType="begin"/>
      </w:r>
      <w:r w:rsidR="00AF4F32">
        <w:instrText xml:space="preserve"> REF _Ref68860870 \r \h </w:instrText>
      </w:r>
      <w:r w:rsidR="00AF4F32">
        <w:fldChar w:fldCharType="separate"/>
      </w:r>
      <w:r w:rsidR="00AF4F32">
        <w:t>3</w:t>
      </w:r>
      <w:r w:rsidR="00AF4F32">
        <w:fldChar w:fldCharType="end"/>
      </w:r>
      <w:r w:rsidR="00DF0A29">
        <w:t>]</w:t>
      </w:r>
      <w:r w:rsidRPr="004A71A6">
        <w:rPr>
          <w:rFonts w:eastAsia="Times New Roman" w:cs="Times New Roman"/>
          <w:color w:val="000000"/>
          <w:szCs w:val="24"/>
        </w:rPr>
        <w:t xml:space="preserve">. </w:t>
      </w:r>
      <w:r>
        <w:rPr>
          <w:rFonts w:eastAsia="Times New Roman" w:cs="Times New Roman"/>
          <w:color w:val="000000"/>
          <w:szCs w:val="24"/>
        </w:rPr>
        <w:t>Sixty-three iterations were necessary.</w:t>
      </w:r>
    </w:p>
    <w:p w14:paraId="2155271B" w14:textId="75622BE3" w:rsidR="00854A32" w:rsidRDefault="00854A32" w:rsidP="00854A32">
      <w:pPr>
        <w:spacing w:line="480" w:lineRule="auto"/>
        <w:ind w:firstLine="720"/>
        <w:rPr>
          <w:rFonts w:eastAsia="Times New Roman" w:cs="Times New Roman"/>
          <w:color w:val="000000"/>
          <w:szCs w:val="24"/>
        </w:rPr>
      </w:pPr>
      <w:r>
        <w:rPr>
          <w:rFonts w:eastAsia="Times New Roman" w:cs="Times New Roman"/>
          <w:color w:val="000000"/>
          <w:szCs w:val="24"/>
        </w:rPr>
        <w:t xml:space="preserve">With the scree plot as an initial guide to determining the factors, it was noted that </w:t>
      </w:r>
      <w:r w:rsidRPr="004A71A6">
        <w:rPr>
          <w:rFonts w:eastAsia="Times New Roman" w:cs="Times New Roman"/>
          <w:color w:val="000000"/>
          <w:szCs w:val="24"/>
        </w:rPr>
        <w:t xml:space="preserve">the bend of the elbow </w:t>
      </w:r>
      <w:r>
        <w:rPr>
          <w:rFonts w:eastAsia="Times New Roman" w:cs="Times New Roman"/>
          <w:color w:val="000000"/>
          <w:szCs w:val="24"/>
        </w:rPr>
        <w:t>occurred after the first two factors</w:t>
      </w:r>
      <w:r w:rsidRPr="004A71A6">
        <w:rPr>
          <w:rFonts w:eastAsia="Times New Roman" w:cs="Times New Roman"/>
          <w:color w:val="000000"/>
          <w:szCs w:val="24"/>
        </w:rPr>
        <w:t>.</w:t>
      </w:r>
      <w:r>
        <w:rPr>
          <w:rFonts w:eastAsia="Times New Roman" w:cs="Times New Roman"/>
          <w:color w:val="000000"/>
          <w:szCs w:val="24"/>
        </w:rPr>
        <w:t xml:space="preserve"> As such, only the first two factors were retained for the combined model.</w:t>
      </w:r>
      <w:r w:rsidRPr="004A71A6">
        <w:rPr>
          <w:rFonts w:eastAsia="Times New Roman" w:cs="Times New Roman"/>
          <w:color w:val="000000"/>
          <w:szCs w:val="24"/>
        </w:rPr>
        <w:t xml:space="preserve"> </w:t>
      </w:r>
      <w:r>
        <w:rPr>
          <w:rFonts w:eastAsia="Times New Roman" w:cs="Times New Roman"/>
          <w:color w:val="000000"/>
          <w:szCs w:val="24"/>
        </w:rPr>
        <w:t xml:space="preserve">Of the items that loaded onto these factors, only </w:t>
      </w:r>
      <w:r w:rsidRPr="004A71A6">
        <w:rPr>
          <w:rFonts w:eastAsia="Times New Roman" w:cs="Times New Roman"/>
          <w:color w:val="000000"/>
          <w:szCs w:val="24"/>
        </w:rPr>
        <w:t>reach</w:t>
      </w:r>
      <w:r>
        <w:rPr>
          <w:rFonts w:eastAsia="Times New Roman" w:cs="Times New Roman"/>
          <w:color w:val="000000"/>
          <w:szCs w:val="24"/>
        </w:rPr>
        <w:t>ing</w:t>
      </w:r>
      <w:r w:rsidRPr="004A71A6">
        <w:rPr>
          <w:rFonts w:eastAsia="Times New Roman" w:cs="Times New Roman"/>
          <w:color w:val="000000"/>
          <w:szCs w:val="24"/>
        </w:rPr>
        <w:t xml:space="preserve"> </w:t>
      </w:r>
      <w:r>
        <w:rPr>
          <w:rFonts w:eastAsia="Times New Roman" w:cs="Times New Roman"/>
          <w:color w:val="000000"/>
          <w:szCs w:val="24"/>
        </w:rPr>
        <w:t>a</w:t>
      </w:r>
      <w:r w:rsidRPr="004A71A6">
        <w:rPr>
          <w:rFonts w:eastAsia="Times New Roman" w:cs="Times New Roman"/>
          <w:color w:val="000000"/>
          <w:szCs w:val="24"/>
        </w:rPr>
        <w:t xml:space="preserve"> threshold of </w:t>
      </w:r>
      <w:r>
        <w:rPr>
          <w:rFonts w:eastAsia="Times New Roman" w:cs="Times New Roman"/>
          <w:color w:val="000000"/>
          <w:szCs w:val="24"/>
        </w:rPr>
        <w:t xml:space="preserve">factor loading </w:t>
      </w:r>
      <w:r w:rsidRPr="004A71A6">
        <w:rPr>
          <w:rFonts w:eastAsia="Times New Roman" w:cs="Times New Roman"/>
          <w:color w:val="000000"/>
          <w:szCs w:val="24"/>
        </w:rPr>
        <w:t>.4</w:t>
      </w:r>
      <w:r>
        <w:rPr>
          <w:rFonts w:eastAsia="Times New Roman" w:cs="Times New Roman"/>
          <w:color w:val="000000"/>
          <w:szCs w:val="24"/>
        </w:rPr>
        <w:t xml:space="preserve"> were deemed </w:t>
      </w:r>
      <w:r w:rsidRPr="009C0F66">
        <w:t xml:space="preserve">acceptable </w:t>
      </w:r>
      <w:r w:rsidR="00DF0A29">
        <w:t>[</w:t>
      </w:r>
      <w:r w:rsidR="00AF4F32">
        <w:fldChar w:fldCharType="begin"/>
      </w:r>
      <w:r w:rsidR="00AF4F32">
        <w:instrText xml:space="preserve"> REF _Ref68860875 \r \h </w:instrText>
      </w:r>
      <w:r w:rsidR="00AF4F32">
        <w:fldChar w:fldCharType="separate"/>
      </w:r>
      <w:r w:rsidR="00AF4F32">
        <w:t>4</w:t>
      </w:r>
      <w:r w:rsidR="00AF4F32">
        <w:fldChar w:fldCharType="end"/>
      </w:r>
      <w:r w:rsidR="00DF0A29">
        <w:t>]</w:t>
      </w:r>
      <w:r w:rsidRPr="009C0F66">
        <w:t>.</w:t>
      </w:r>
      <w:r w:rsidRPr="004A71A6">
        <w:rPr>
          <w:rFonts w:eastAsia="Times New Roman" w:cs="Times New Roman"/>
          <w:color w:val="000000"/>
          <w:szCs w:val="24"/>
        </w:rPr>
        <w:t xml:space="preserve"> </w:t>
      </w:r>
      <w:r>
        <w:rPr>
          <w:rFonts w:eastAsia="Times New Roman" w:cs="Times New Roman"/>
          <w:color w:val="000000"/>
          <w:szCs w:val="24"/>
        </w:rPr>
        <w:t>For those with cross-loadings, those items with</w:t>
      </w:r>
      <w:r w:rsidRPr="004A71A6">
        <w:rPr>
          <w:rFonts w:eastAsia="Times New Roman" w:cs="Times New Roman"/>
          <w:color w:val="000000"/>
          <w:szCs w:val="24"/>
        </w:rPr>
        <w:t xml:space="preserve"> loadings</w:t>
      </w:r>
      <w:r>
        <w:rPr>
          <w:rFonts w:eastAsia="Times New Roman" w:cs="Times New Roman"/>
          <w:color w:val="000000"/>
          <w:szCs w:val="24"/>
        </w:rPr>
        <w:t xml:space="preserve"> of</w:t>
      </w:r>
      <w:r w:rsidRPr="004A71A6">
        <w:rPr>
          <w:rFonts w:eastAsia="Times New Roman" w:cs="Times New Roman"/>
          <w:color w:val="000000"/>
          <w:szCs w:val="24"/>
        </w:rPr>
        <w:t xml:space="preserve"> .4 </w:t>
      </w:r>
      <w:r>
        <w:rPr>
          <w:rFonts w:eastAsia="Times New Roman" w:cs="Times New Roman"/>
          <w:color w:val="000000"/>
          <w:szCs w:val="24"/>
        </w:rPr>
        <w:t xml:space="preserve">or greater </w:t>
      </w:r>
      <w:r w:rsidRPr="004A71A6">
        <w:rPr>
          <w:rFonts w:eastAsia="Times New Roman" w:cs="Times New Roman"/>
          <w:color w:val="000000"/>
          <w:szCs w:val="24"/>
        </w:rPr>
        <w:t xml:space="preserve">on more than one factor were then either retained on the factor </w:t>
      </w:r>
      <w:r>
        <w:rPr>
          <w:rFonts w:eastAsia="Times New Roman" w:cs="Times New Roman"/>
          <w:color w:val="000000"/>
          <w:szCs w:val="24"/>
        </w:rPr>
        <w:t>on which it more strongly loaded</w:t>
      </w:r>
      <w:r w:rsidRPr="004A71A6">
        <w:rPr>
          <w:rFonts w:eastAsia="Times New Roman" w:cs="Times New Roman"/>
          <w:color w:val="000000"/>
          <w:szCs w:val="24"/>
        </w:rPr>
        <w:t xml:space="preserve"> if the difference between the loadings </w:t>
      </w:r>
      <w:r>
        <w:rPr>
          <w:rFonts w:eastAsia="Times New Roman" w:cs="Times New Roman"/>
          <w:color w:val="000000"/>
          <w:szCs w:val="24"/>
        </w:rPr>
        <w:t>met or surpassed</w:t>
      </w:r>
      <w:r w:rsidRPr="004A71A6">
        <w:rPr>
          <w:rFonts w:eastAsia="Times New Roman" w:cs="Times New Roman"/>
          <w:color w:val="000000"/>
          <w:szCs w:val="24"/>
        </w:rPr>
        <w:t xml:space="preserve"> .2, or </w:t>
      </w:r>
      <w:r>
        <w:rPr>
          <w:rFonts w:eastAsia="Times New Roman" w:cs="Times New Roman"/>
          <w:color w:val="000000"/>
          <w:szCs w:val="24"/>
        </w:rPr>
        <w:t xml:space="preserve">otherwise </w:t>
      </w:r>
      <w:r w:rsidRPr="0040674A">
        <w:t xml:space="preserve">dropped </w:t>
      </w:r>
      <w:r w:rsidR="00DF0A29">
        <w:t>[</w:t>
      </w:r>
      <w:r w:rsidR="00AF4F32">
        <w:fldChar w:fldCharType="begin"/>
      </w:r>
      <w:r w:rsidR="00AF4F32">
        <w:instrText xml:space="preserve"> REF _Ref68860875 \r \h </w:instrText>
      </w:r>
      <w:r w:rsidR="00AF4F32">
        <w:fldChar w:fldCharType="separate"/>
      </w:r>
      <w:r w:rsidR="00AF4F32">
        <w:t>4</w:t>
      </w:r>
      <w:r w:rsidR="00AF4F32">
        <w:fldChar w:fldCharType="end"/>
      </w:r>
      <w:r w:rsidR="00DF0A29">
        <w:t>]</w:t>
      </w:r>
      <w:r w:rsidRPr="0040674A">
        <w:t>.</w:t>
      </w:r>
      <w:r w:rsidRPr="004A71A6">
        <w:rPr>
          <w:rFonts w:eastAsia="Times New Roman" w:cs="Times New Roman"/>
          <w:color w:val="000000"/>
          <w:szCs w:val="24"/>
        </w:rPr>
        <w:t xml:space="preserve"> </w:t>
      </w:r>
      <w:r>
        <w:rPr>
          <w:rFonts w:eastAsia="Times New Roman" w:cs="Times New Roman"/>
          <w:color w:val="000000"/>
          <w:szCs w:val="24"/>
        </w:rPr>
        <w:t>The two</w:t>
      </w:r>
      <w:r w:rsidRPr="004A71A6">
        <w:rPr>
          <w:rFonts w:eastAsia="Times New Roman" w:cs="Times New Roman"/>
          <w:color w:val="000000"/>
          <w:szCs w:val="24"/>
        </w:rPr>
        <w:t xml:space="preserve"> factors explained </w:t>
      </w:r>
      <w:r>
        <w:rPr>
          <w:rFonts w:eastAsia="Times New Roman" w:cs="Times New Roman"/>
          <w:color w:val="000000"/>
          <w:szCs w:val="24"/>
        </w:rPr>
        <w:t>24</w:t>
      </w:r>
      <w:r w:rsidRPr="004A71A6">
        <w:rPr>
          <w:rFonts w:eastAsia="Times New Roman" w:cs="Times New Roman"/>
          <w:color w:val="000000"/>
          <w:szCs w:val="24"/>
        </w:rPr>
        <w:t>.</w:t>
      </w:r>
      <w:r>
        <w:rPr>
          <w:rFonts w:eastAsia="Times New Roman" w:cs="Times New Roman"/>
          <w:color w:val="000000"/>
          <w:szCs w:val="24"/>
        </w:rPr>
        <w:t>6</w:t>
      </w:r>
      <w:r w:rsidRPr="004A71A6">
        <w:rPr>
          <w:rFonts w:eastAsia="Times New Roman" w:cs="Times New Roman"/>
          <w:color w:val="000000"/>
          <w:szCs w:val="24"/>
        </w:rPr>
        <w:t xml:space="preserve">% of the variance, with </w:t>
      </w:r>
      <w:r>
        <w:rPr>
          <w:rFonts w:eastAsia="Times New Roman" w:cs="Times New Roman"/>
          <w:i/>
          <w:iCs/>
          <w:color w:val="000000"/>
          <w:szCs w:val="24"/>
        </w:rPr>
        <w:t>Interdependent Orientation</w:t>
      </w:r>
      <w:r w:rsidRPr="004A71A6">
        <w:rPr>
          <w:rFonts w:eastAsia="Times New Roman" w:cs="Times New Roman"/>
          <w:color w:val="000000"/>
          <w:szCs w:val="24"/>
        </w:rPr>
        <w:t xml:space="preserve"> explaining </w:t>
      </w:r>
      <w:r>
        <w:rPr>
          <w:rFonts w:eastAsia="Times New Roman" w:cs="Times New Roman"/>
          <w:color w:val="000000"/>
          <w:szCs w:val="24"/>
        </w:rPr>
        <w:t>18</w:t>
      </w:r>
      <w:r w:rsidRPr="004A71A6">
        <w:rPr>
          <w:rFonts w:eastAsia="Times New Roman" w:cs="Times New Roman"/>
          <w:color w:val="000000"/>
          <w:szCs w:val="24"/>
        </w:rPr>
        <w:t>.</w:t>
      </w:r>
      <w:r>
        <w:rPr>
          <w:rFonts w:eastAsia="Times New Roman" w:cs="Times New Roman"/>
          <w:color w:val="000000"/>
          <w:szCs w:val="24"/>
        </w:rPr>
        <w:t>6</w:t>
      </w:r>
      <w:r w:rsidRPr="004A71A6">
        <w:rPr>
          <w:rFonts w:eastAsia="Times New Roman" w:cs="Times New Roman"/>
          <w:color w:val="000000"/>
          <w:szCs w:val="24"/>
        </w:rPr>
        <w:t>%</w:t>
      </w:r>
      <w:r>
        <w:rPr>
          <w:rFonts w:eastAsia="Times New Roman" w:cs="Times New Roman"/>
          <w:color w:val="000000"/>
          <w:szCs w:val="24"/>
        </w:rPr>
        <w:t xml:space="preserve"> and </w:t>
      </w:r>
      <w:r>
        <w:rPr>
          <w:rFonts w:eastAsia="Times New Roman" w:cs="Times New Roman"/>
          <w:i/>
          <w:iCs/>
          <w:color w:val="000000"/>
          <w:szCs w:val="24"/>
        </w:rPr>
        <w:t xml:space="preserve">Cultural Obligation </w:t>
      </w:r>
      <w:r>
        <w:rPr>
          <w:rFonts w:eastAsia="Times New Roman" w:cs="Times New Roman"/>
          <w:color w:val="000000"/>
          <w:szCs w:val="24"/>
        </w:rPr>
        <w:t xml:space="preserve">explaining 6.07%. </w:t>
      </w:r>
    </w:p>
    <w:p w14:paraId="5AC9FB38" w14:textId="77777777" w:rsidR="00854A32" w:rsidRDefault="00854A32" w:rsidP="00854A32">
      <w:pPr>
        <w:spacing w:line="480" w:lineRule="auto"/>
        <w:rPr>
          <w:rFonts w:eastAsia="Times New Roman" w:cs="Times New Roman"/>
          <w:b/>
          <w:bCs/>
          <w:i/>
          <w:iCs/>
          <w:color w:val="000000"/>
          <w:szCs w:val="24"/>
        </w:rPr>
      </w:pPr>
      <w:r>
        <w:rPr>
          <w:rFonts w:eastAsia="Times New Roman" w:cs="Times New Roman"/>
          <w:b/>
          <w:bCs/>
          <w:i/>
          <w:iCs/>
          <w:color w:val="000000"/>
          <w:szCs w:val="24"/>
        </w:rPr>
        <w:t>Results</w:t>
      </w:r>
    </w:p>
    <w:p w14:paraId="11B766F8" w14:textId="58969F6F" w:rsidR="00854A32" w:rsidRDefault="00854A32" w:rsidP="00854A32">
      <w:pPr>
        <w:spacing w:line="480" w:lineRule="auto"/>
        <w:ind w:firstLine="360"/>
      </w:pPr>
      <w:r w:rsidRPr="00DE2532">
        <w:lastRenderedPageBreak/>
        <w:t xml:space="preserve">Our factor analysis of two standardized scales – the Asian Values Scale Revised </w:t>
      </w:r>
      <w:r w:rsidR="00DF0A29">
        <w:t>[</w:t>
      </w:r>
      <w:r w:rsidR="00AF4F32">
        <w:fldChar w:fldCharType="begin"/>
      </w:r>
      <w:r w:rsidR="00AF4F32">
        <w:instrText xml:space="preserve"> REF _Ref68860886 \r \h </w:instrText>
      </w:r>
      <w:r w:rsidR="00AF4F32">
        <w:fldChar w:fldCharType="separate"/>
      </w:r>
      <w:r w:rsidR="00AF4F32">
        <w:t>5</w:t>
      </w:r>
      <w:r w:rsidR="00AF4F32">
        <w:fldChar w:fldCharType="end"/>
      </w:r>
      <w:r w:rsidR="00DF0A29">
        <w:t>]</w:t>
      </w:r>
      <w:r w:rsidRPr="00DE2532">
        <w:t xml:space="preserve"> and the Latino Values Scale </w:t>
      </w:r>
      <w:r w:rsidR="00DF0A29">
        <w:t>[</w:t>
      </w:r>
      <w:r w:rsidR="00AF4F32">
        <w:fldChar w:fldCharType="begin"/>
      </w:r>
      <w:r w:rsidR="00AF4F32">
        <w:instrText xml:space="preserve"> REF _Ref68860891 \r \h </w:instrText>
      </w:r>
      <w:r w:rsidR="00AF4F32">
        <w:fldChar w:fldCharType="separate"/>
      </w:r>
      <w:r w:rsidR="00AF4F32">
        <w:t>6</w:t>
      </w:r>
      <w:r w:rsidR="00AF4F32">
        <w:fldChar w:fldCharType="end"/>
      </w:r>
      <w:r w:rsidR="00DF0A29">
        <w:t>]</w:t>
      </w:r>
      <w:r w:rsidRPr="00DE2532">
        <w:t xml:space="preserve"> – revealed two common factors underlying </w:t>
      </w:r>
      <w:r>
        <w:t>shared cultural values</w:t>
      </w:r>
      <w:r w:rsidRPr="00DE2532">
        <w:t xml:space="preserve"> across our diverse college sample: </w:t>
      </w:r>
      <w:r w:rsidRPr="00DE2532">
        <w:rPr>
          <w:i/>
          <w:iCs/>
        </w:rPr>
        <w:t xml:space="preserve">Interdependent Orientation </w:t>
      </w:r>
      <w:r w:rsidRPr="00DE2532">
        <w:t xml:space="preserve">and </w:t>
      </w:r>
      <w:r w:rsidRPr="00DE2532">
        <w:rPr>
          <w:i/>
          <w:iCs/>
        </w:rPr>
        <w:t>Cultural Obligation</w:t>
      </w:r>
      <w:r w:rsidRPr="00DE2532">
        <w:t xml:space="preserve">. </w:t>
      </w:r>
      <w:r>
        <w:t>T</w:t>
      </w:r>
      <w:r w:rsidRPr="00DE2532">
        <w:t xml:space="preserve">hese two factors are comparable to factors that originally emerged in the creation of the LVS, </w:t>
      </w:r>
      <w:r w:rsidRPr="00DE2532">
        <w:rPr>
          <w:i/>
          <w:iCs/>
        </w:rPr>
        <w:t xml:space="preserve">Familism </w:t>
      </w:r>
      <w:r w:rsidRPr="00DE2532">
        <w:t xml:space="preserve">and </w:t>
      </w:r>
      <w:r w:rsidRPr="00DE2532">
        <w:rPr>
          <w:i/>
          <w:iCs/>
        </w:rPr>
        <w:t>Cultural Pride</w:t>
      </w:r>
      <w:r w:rsidRPr="00DE2532">
        <w:t xml:space="preserve">. However, the IO and CO factors which were observed in the current study contain different items, including two from the AVS-R: </w:t>
      </w:r>
      <w:r w:rsidRPr="00DE2532">
        <w:rPr>
          <w:i/>
          <w:iCs/>
        </w:rPr>
        <w:t xml:space="preserve">one should not deviate from familial and social norms </w:t>
      </w:r>
      <w:r w:rsidRPr="00DE2532">
        <w:t xml:space="preserve">and </w:t>
      </w:r>
      <w:r w:rsidRPr="00DE2532">
        <w:rPr>
          <w:i/>
          <w:iCs/>
        </w:rPr>
        <w:t>one’s achievements should be viewed as family’s achievements</w:t>
      </w:r>
      <w:r w:rsidRPr="00DE2532">
        <w:t xml:space="preserve">. Of note, even though both factors were derived from AVS-R and LVS, they were primarily driven by LVS items centering on family, group, and culture themes that have emerged in research on both Asian and Latinx individuals </w:t>
      </w:r>
      <w:r w:rsidR="00DF0A29">
        <w:t>[</w:t>
      </w:r>
      <w:r w:rsidR="00AF4F32">
        <w:fldChar w:fldCharType="begin"/>
      </w:r>
      <w:r w:rsidR="00AF4F32">
        <w:instrText xml:space="preserve"> REF _Ref68860898 \r \h </w:instrText>
      </w:r>
      <w:r w:rsidR="00AF4F32">
        <w:fldChar w:fldCharType="separate"/>
      </w:r>
      <w:r w:rsidR="00AF4F32">
        <w:t>7</w:t>
      </w:r>
      <w:r w:rsidR="00AF4F32">
        <w:fldChar w:fldCharType="end"/>
      </w:r>
      <w:r w:rsidR="00DF0A29">
        <w:t>,</w:t>
      </w:r>
      <w:r w:rsidRPr="00DE2532">
        <w:t xml:space="preserve"> </w:t>
      </w:r>
      <w:r w:rsidR="00AF4F32">
        <w:fldChar w:fldCharType="begin"/>
      </w:r>
      <w:r w:rsidR="00AF4F32">
        <w:instrText xml:space="preserve"> REF _Ref68860903 \r \h </w:instrText>
      </w:r>
      <w:r w:rsidR="00AF4F32">
        <w:fldChar w:fldCharType="separate"/>
      </w:r>
      <w:r w:rsidR="00AF4F32">
        <w:t>8</w:t>
      </w:r>
      <w:r w:rsidR="00AF4F32">
        <w:fldChar w:fldCharType="end"/>
      </w:r>
      <w:r w:rsidR="00DF0A29">
        <w:t>]</w:t>
      </w:r>
      <w:r w:rsidRPr="00DE2532">
        <w:t xml:space="preserve">. The authors of the original AVS also found similar patterns to the ones that emerged in the current study and in the creation of the LVS, including values centered on: </w:t>
      </w:r>
      <w:r w:rsidRPr="00DE2532">
        <w:rPr>
          <w:i/>
          <w:iCs/>
        </w:rPr>
        <w:t xml:space="preserve">Conformity to Norms, Collectivism, </w:t>
      </w:r>
      <w:r w:rsidRPr="00DE2532">
        <w:t xml:space="preserve">and </w:t>
      </w:r>
      <w:r w:rsidRPr="00DE2532">
        <w:rPr>
          <w:i/>
          <w:iCs/>
        </w:rPr>
        <w:t xml:space="preserve">Filial Piety </w:t>
      </w:r>
      <w:r w:rsidR="00DF0A29">
        <w:t>[</w:t>
      </w:r>
      <w:r w:rsidR="00AF4F32">
        <w:fldChar w:fldCharType="begin"/>
      </w:r>
      <w:r w:rsidR="00AF4F32">
        <w:instrText xml:space="preserve"> REF _Ref68860910 \r \h </w:instrText>
      </w:r>
      <w:r w:rsidR="00AF4F32">
        <w:fldChar w:fldCharType="separate"/>
      </w:r>
      <w:r w:rsidR="00AF4F32">
        <w:t>9</w:t>
      </w:r>
      <w:r w:rsidR="00AF4F32">
        <w:fldChar w:fldCharType="end"/>
      </w:r>
      <w:r w:rsidR="00DF0A29">
        <w:t>]</w:t>
      </w:r>
      <w:r w:rsidRPr="00DE2532">
        <w:t>. Importantly, this commonality across both the LVS and the AVS-R suggests that in the context of college students, values centering on interdependence and group-orientation may be a key to understanding commonality across mental</w:t>
      </w:r>
      <w:r>
        <w:t xml:space="preserve"> </w:t>
      </w:r>
      <w:r w:rsidRPr="00DE2532">
        <w:t>health behavior regardless of cultural or ethnic group.</w:t>
      </w:r>
      <w:r>
        <w:t xml:space="preserve"> </w:t>
      </w:r>
    </w:p>
    <w:p w14:paraId="43F5E07B" w14:textId="77777777" w:rsidR="00854A32" w:rsidRPr="00F2219A" w:rsidRDefault="00854A32" w:rsidP="00854A32">
      <w:pPr>
        <w:spacing w:line="480" w:lineRule="auto"/>
        <w:ind w:firstLine="360"/>
      </w:pPr>
    </w:p>
    <w:p w14:paraId="4AB1A4DA" w14:textId="77777777" w:rsidR="00854A32" w:rsidRPr="00F2219A" w:rsidRDefault="00854A32" w:rsidP="00854A32">
      <w:pPr>
        <w:spacing w:line="480" w:lineRule="auto"/>
        <w:rPr>
          <w:rFonts w:eastAsia="Times New Roman" w:cs="Times New Roman"/>
          <w:b/>
          <w:bCs/>
          <w:color w:val="000000"/>
          <w:szCs w:val="24"/>
        </w:rPr>
      </w:pPr>
      <w:r>
        <w:rPr>
          <w:rFonts w:eastAsia="Times New Roman" w:cs="Times New Roman"/>
          <w:b/>
          <w:bCs/>
          <w:color w:val="000000"/>
          <w:szCs w:val="24"/>
        </w:rPr>
        <w:t xml:space="preserve">Linear Regressions: AVS-R and LVS Predicting Attitudes towards Mental Health </w:t>
      </w:r>
    </w:p>
    <w:p w14:paraId="1C0E14B1" w14:textId="77777777" w:rsidR="00854A32" w:rsidRPr="00F2219A" w:rsidRDefault="00854A32" w:rsidP="00854A32">
      <w:pPr>
        <w:spacing w:line="480" w:lineRule="auto"/>
        <w:rPr>
          <w:i/>
          <w:iCs/>
        </w:rPr>
      </w:pPr>
      <w:r w:rsidRPr="00F2219A">
        <w:rPr>
          <w:b/>
          <w:bCs/>
          <w:i/>
          <w:iCs/>
        </w:rPr>
        <w:t>Results</w:t>
      </w:r>
    </w:p>
    <w:p w14:paraId="633C8771" w14:textId="77777777" w:rsidR="00854A32" w:rsidRDefault="00854A32" w:rsidP="00854A32">
      <w:pPr>
        <w:spacing w:line="480" w:lineRule="auto"/>
        <w:ind w:firstLine="720"/>
      </w:pPr>
      <w:r w:rsidRPr="00EA3443">
        <w:t xml:space="preserve">First, using attitudes to mental health as </w:t>
      </w:r>
      <w:r>
        <w:t xml:space="preserve">the </w:t>
      </w:r>
      <w:r w:rsidRPr="00EA3443">
        <w:t xml:space="preserve">dependent variable in </w:t>
      </w:r>
      <w:r>
        <w:t>a</w:t>
      </w:r>
      <w:r w:rsidRPr="00EA3443">
        <w:t xml:space="preserve"> </w:t>
      </w:r>
      <w:r>
        <w:t xml:space="preserve">stepwise </w:t>
      </w:r>
      <w:r w:rsidRPr="00EA3443">
        <w:t>regression, we</w:t>
      </w:r>
      <w:r>
        <w:t xml:space="preserve"> </w:t>
      </w:r>
      <w:r w:rsidRPr="00EA3443">
        <w:t>entered ethnicity and gender, followed by the AVS-R</w:t>
      </w:r>
      <w:r>
        <w:t>,</w:t>
      </w:r>
      <w:r w:rsidRPr="00EA3443">
        <w:t xml:space="preserve"> and </w:t>
      </w:r>
      <w:r>
        <w:t xml:space="preserve">lastly </w:t>
      </w:r>
      <w:r w:rsidRPr="00EA3443">
        <w:t>AVS-R</w:t>
      </w:r>
      <w:r>
        <w:rPr>
          <w:color w:val="000000"/>
        </w:rPr>
        <w:t xml:space="preserve"> </w:t>
      </w:r>
      <w:r w:rsidRPr="0056196E">
        <w:t>×</w:t>
      </w:r>
      <w:r w:rsidRPr="00EA3443">
        <w:t xml:space="preserve"> demographic variables (ethnicity, gender). Ethnicity and gender </w:t>
      </w:r>
      <w:r>
        <w:t xml:space="preserve">were </w:t>
      </w:r>
      <w:r w:rsidRPr="00EA3443">
        <w:t xml:space="preserve">significantly </w:t>
      </w:r>
      <w:r>
        <w:t>associated with</w:t>
      </w:r>
      <w:r w:rsidRPr="00EA3443">
        <w:t xml:space="preserve"> attitudes towards mental </w:t>
      </w:r>
      <w:r w:rsidRPr="00F30602">
        <w:t>health</w:t>
      </w:r>
      <w:r>
        <w:t xml:space="preserve">, </w:t>
      </w:r>
      <w:r w:rsidRPr="00F30602">
        <w:rPr>
          <w:i/>
        </w:rPr>
        <w:t>R</w:t>
      </w:r>
      <w:r w:rsidRPr="00F30602">
        <w:rPr>
          <w:vertAlign w:val="superscript"/>
        </w:rPr>
        <w:t xml:space="preserve">2 </w:t>
      </w:r>
      <w:r w:rsidRPr="00F30602">
        <w:t xml:space="preserve">= 0.12, </w:t>
      </w:r>
      <w:proofErr w:type="gramStart"/>
      <w:r w:rsidRPr="00F30602">
        <w:rPr>
          <w:i/>
          <w:iCs/>
        </w:rPr>
        <w:t>F</w:t>
      </w:r>
      <w:r w:rsidRPr="00F30602">
        <w:t>(</w:t>
      </w:r>
      <w:proofErr w:type="gramEnd"/>
      <w:r w:rsidRPr="00F30602">
        <w:t>2,156) = 10.</w:t>
      </w:r>
      <w:r>
        <w:t>91</w:t>
      </w:r>
      <w:r w:rsidRPr="00F30602">
        <w:t xml:space="preserve">, </w:t>
      </w:r>
      <w:r w:rsidRPr="00F30602">
        <w:rPr>
          <w:i/>
          <w:iCs/>
        </w:rPr>
        <w:t>p</w:t>
      </w:r>
      <w:r w:rsidRPr="00F30602">
        <w:t xml:space="preserve"> &lt; 0.001</w:t>
      </w:r>
      <w:r w:rsidRPr="00EA3443">
        <w:t>. AVS-R significantly added to the prediction of attitudes towards mental health</w:t>
      </w:r>
      <w:r>
        <w:t xml:space="preserve">, </w:t>
      </w:r>
      <w:r w:rsidRPr="00F30602">
        <w:t>Δ</w:t>
      </w:r>
      <w:r w:rsidRPr="00F30602">
        <w:rPr>
          <w:i/>
        </w:rPr>
        <w:t>R</w:t>
      </w:r>
      <w:r w:rsidRPr="00F30602">
        <w:rPr>
          <w:vertAlign w:val="superscript"/>
        </w:rPr>
        <w:t xml:space="preserve">2 </w:t>
      </w:r>
      <w:r w:rsidRPr="00F30602">
        <w:t>= 0.1</w:t>
      </w:r>
      <w:r>
        <w:t>6</w:t>
      </w:r>
      <w:r w:rsidRPr="00F30602">
        <w:t xml:space="preserve">, </w:t>
      </w:r>
      <w:proofErr w:type="gramStart"/>
      <w:r w:rsidRPr="00F30602">
        <w:rPr>
          <w:i/>
        </w:rPr>
        <w:t>F</w:t>
      </w:r>
      <w:r w:rsidRPr="00F30602">
        <w:t>(</w:t>
      </w:r>
      <w:proofErr w:type="gramEnd"/>
      <w:r w:rsidRPr="00F30602">
        <w:t xml:space="preserve">1,155) = </w:t>
      </w:r>
      <w:r>
        <w:t>34</w:t>
      </w:r>
      <w:r w:rsidRPr="00F30602">
        <w:t>.</w:t>
      </w:r>
      <w:r>
        <w:t>14</w:t>
      </w:r>
      <w:r w:rsidRPr="00F30602">
        <w:t xml:space="preserve">, </w:t>
      </w:r>
      <w:r w:rsidRPr="00F30602">
        <w:rPr>
          <w:i/>
          <w:iCs/>
        </w:rPr>
        <w:t>p</w:t>
      </w:r>
      <w:r w:rsidRPr="00F30602">
        <w:t xml:space="preserve"> &lt; 0.001</w:t>
      </w:r>
      <w:r w:rsidRPr="00EA3443">
        <w:t xml:space="preserve">. </w:t>
      </w:r>
      <w:r>
        <w:t xml:space="preserve">Results </w:t>
      </w:r>
      <w:r>
        <w:lastRenderedPageBreak/>
        <w:t xml:space="preserve">showed that AVS-R was associated with dampened AMI total scores, after controlling for demographic </w:t>
      </w:r>
      <w:r w:rsidRPr="004A5143">
        <w:t>variables.</w:t>
      </w:r>
      <w:r>
        <w:t xml:space="preserve"> </w:t>
      </w:r>
      <w:r w:rsidRPr="00EA3443">
        <w:t xml:space="preserve">The step containing the interaction term with ethnicity and gender did not add significantly to the prediction of attitudes towards mental health </w:t>
      </w:r>
      <w:r w:rsidRPr="00F30602">
        <w:t>(</w:t>
      </w:r>
      <w:r w:rsidRPr="00895066">
        <w:t>see Table S2</w:t>
      </w:r>
      <w:r w:rsidRPr="00EA3443">
        <w:t>)</w:t>
      </w:r>
      <w:r>
        <w:t>.</w:t>
      </w:r>
    </w:p>
    <w:p w14:paraId="2424DC49" w14:textId="77777777" w:rsidR="00854A32" w:rsidRDefault="00854A32" w:rsidP="00854A32">
      <w:pPr>
        <w:spacing w:line="480" w:lineRule="auto"/>
        <w:ind w:firstLine="720"/>
      </w:pPr>
      <w:r w:rsidRPr="00EA3443">
        <w:t xml:space="preserve">Using attitudes to mental health as </w:t>
      </w:r>
      <w:r>
        <w:t xml:space="preserve">the </w:t>
      </w:r>
      <w:r w:rsidRPr="00EA3443">
        <w:t xml:space="preserve">dependent variable in </w:t>
      </w:r>
      <w:r>
        <w:t>a</w:t>
      </w:r>
      <w:r w:rsidRPr="00EA3443">
        <w:t xml:space="preserve"> regression as with the AVS-R above, we entered ethnicity and gender on an initial step, the LVS on a second step, and LVS</w:t>
      </w:r>
      <w:r>
        <w:rPr>
          <w:color w:val="000000"/>
        </w:rPr>
        <w:t xml:space="preserve"> </w:t>
      </w:r>
      <w:r w:rsidRPr="0056196E">
        <w:t>×</w:t>
      </w:r>
      <w:r w:rsidRPr="00EA3443">
        <w:t xml:space="preserve"> demographic interaction terms on a third step. As above, ethnicity and gender </w:t>
      </w:r>
      <w:r>
        <w:t>were significantly associated with</w:t>
      </w:r>
      <w:r w:rsidRPr="00EA3443">
        <w:t xml:space="preserve"> attitudes towards mental health</w:t>
      </w:r>
      <w:r>
        <w:t xml:space="preserve">, </w:t>
      </w:r>
      <w:r w:rsidRPr="00F30602">
        <w:rPr>
          <w:i/>
        </w:rPr>
        <w:t>R</w:t>
      </w:r>
      <w:r w:rsidRPr="00F30602">
        <w:rPr>
          <w:vertAlign w:val="superscript"/>
        </w:rPr>
        <w:t xml:space="preserve">2 </w:t>
      </w:r>
      <w:r w:rsidRPr="00F30602">
        <w:t xml:space="preserve">= 0.12, </w:t>
      </w:r>
      <w:proofErr w:type="gramStart"/>
      <w:r w:rsidRPr="00F30602">
        <w:rPr>
          <w:i/>
          <w:iCs/>
        </w:rPr>
        <w:t>F</w:t>
      </w:r>
      <w:r w:rsidRPr="00F30602">
        <w:t>(</w:t>
      </w:r>
      <w:proofErr w:type="gramEnd"/>
      <w:r w:rsidRPr="00F30602">
        <w:t>2,156) = 10.</w:t>
      </w:r>
      <w:r>
        <w:t>91</w:t>
      </w:r>
      <w:r w:rsidRPr="00F30602">
        <w:t xml:space="preserve">, </w:t>
      </w:r>
      <w:r w:rsidRPr="00F30602">
        <w:rPr>
          <w:i/>
          <w:iCs/>
        </w:rPr>
        <w:t>p</w:t>
      </w:r>
      <w:r w:rsidRPr="00F30602">
        <w:t xml:space="preserve"> &lt; 0.001</w:t>
      </w:r>
      <w:r w:rsidRPr="00EA3443">
        <w:t>. The step containing the LVS significantly added to the prediction of attitudes towards mental health</w:t>
      </w:r>
      <w:r>
        <w:t xml:space="preserve">, </w:t>
      </w:r>
      <w:r w:rsidRPr="00F30602">
        <w:t>Δ</w:t>
      </w:r>
      <w:r w:rsidRPr="00F30602">
        <w:rPr>
          <w:i/>
        </w:rPr>
        <w:t>R</w:t>
      </w:r>
      <w:r w:rsidRPr="00F30602">
        <w:rPr>
          <w:vertAlign w:val="superscript"/>
        </w:rPr>
        <w:t xml:space="preserve">2 </w:t>
      </w:r>
      <w:r w:rsidRPr="00F30602">
        <w:t>= 0.0</w:t>
      </w:r>
      <w:r>
        <w:t>7</w:t>
      </w:r>
      <w:r w:rsidRPr="00F30602">
        <w:t xml:space="preserve">, </w:t>
      </w:r>
      <w:proofErr w:type="gramStart"/>
      <w:r w:rsidRPr="00F30602">
        <w:rPr>
          <w:i/>
        </w:rPr>
        <w:t>F</w:t>
      </w:r>
      <w:r w:rsidRPr="00F30602">
        <w:t>(</w:t>
      </w:r>
      <w:proofErr w:type="gramEnd"/>
      <w:r w:rsidRPr="00F30602">
        <w:t>1,155) = 1</w:t>
      </w:r>
      <w:r>
        <w:t>3</w:t>
      </w:r>
      <w:r w:rsidRPr="00F30602">
        <w:t>.</w:t>
      </w:r>
      <w:r>
        <w:t>67</w:t>
      </w:r>
      <w:r w:rsidRPr="00F30602">
        <w:t xml:space="preserve">, </w:t>
      </w:r>
      <w:r w:rsidRPr="00F30602">
        <w:rPr>
          <w:i/>
          <w:iCs/>
        </w:rPr>
        <w:t>p</w:t>
      </w:r>
      <w:r w:rsidRPr="00F30602">
        <w:t xml:space="preserve"> &lt; 0.001</w:t>
      </w:r>
      <w:r>
        <w:t>.</w:t>
      </w:r>
      <w:r w:rsidRPr="00EA3443">
        <w:t xml:space="preserve"> </w:t>
      </w:r>
      <w:r>
        <w:t xml:space="preserve">The results indicated that LVS-R scores were a significant inverse predictor of the AMI total scores, after controlling for demographic </w:t>
      </w:r>
      <w:r w:rsidRPr="004A5143">
        <w:t>variables.</w:t>
      </w:r>
      <w:r>
        <w:t xml:space="preserve"> </w:t>
      </w:r>
      <w:r w:rsidRPr="00EA3443">
        <w:t>The step containing the interaction term with ethnicity and gender did not add significantly to the prediction of attitudes towards mental health (</w:t>
      </w:r>
      <w:r>
        <w:t>see Table S3</w:t>
      </w:r>
      <w:r w:rsidRPr="00EA3443">
        <w:t>)</w:t>
      </w:r>
      <w:r>
        <w:t>.</w:t>
      </w:r>
    </w:p>
    <w:p w14:paraId="35239504" w14:textId="77777777" w:rsidR="00854A32" w:rsidRPr="00F2219A" w:rsidRDefault="00854A32" w:rsidP="00854A32">
      <w:pPr>
        <w:spacing w:line="480" w:lineRule="auto"/>
        <w:rPr>
          <w:b/>
          <w:bCs/>
          <w:i/>
          <w:iCs/>
        </w:rPr>
      </w:pPr>
      <w:r w:rsidRPr="00F2219A">
        <w:rPr>
          <w:b/>
          <w:bCs/>
          <w:i/>
          <w:iCs/>
        </w:rPr>
        <w:t>Discussion</w:t>
      </w:r>
    </w:p>
    <w:p w14:paraId="16BE95C4" w14:textId="575A8542" w:rsidR="00854A32" w:rsidRDefault="00854A32" w:rsidP="00DF0A29">
      <w:pPr>
        <w:spacing w:line="480" w:lineRule="auto"/>
        <w:ind w:firstLine="720"/>
      </w:pPr>
      <w:r w:rsidRPr="00DE2532">
        <w:t xml:space="preserve">Adherence to Asian and Latinx cultural values inversely predicted positive attitudes towards mental </w:t>
      </w:r>
      <w:r>
        <w:t xml:space="preserve">health </w:t>
      </w:r>
      <w:r w:rsidRPr="00DE2532">
        <w:t xml:space="preserve">across all students irrespective of their ethnic backgrounds. That is, students who scored high on the AVS-R and the LVS were less likely to endorse positive attitudes towards people with mental health problems. These findings extend prior work in Asian and Latinx groups separately on stigma and negative attitudes to mental illness </w:t>
      </w:r>
      <w:r w:rsidR="00DF0A29">
        <w:t>[</w:t>
      </w:r>
      <w:r w:rsidR="00AF4F32">
        <w:fldChar w:fldCharType="begin"/>
      </w:r>
      <w:r w:rsidR="00AF4F32">
        <w:instrText xml:space="preserve"> REF _Ref68860922 \r \h </w:instrText>
      </w:r>
      <w:r w:rsidR="00AF4F32">
        <w:fldChar w:fldCharType="separate"/>
      </w:r>
      <w:r w:rsidR="00AF4F32">
        <w:t>10</w:t>
      </w:r>
      <w:r w:rsidR="00AF4F32">
        <w:fldChar w:fldCharType="end"/>
      </w:r>
      <w:r w:rsidR="00DF0A29">
        <w:t xml:space="preserve">, </w:t>
      </w:r>
      <w:r w:rsidR="00AF4F32">
        <w:fldChar w:fldCharType="begin"/>
      </w:r>
      <w:r w:rsidR="00AF4F32">
        <w:instrText xml:space="preserve"> REF _Ref68860929 \r \h </w:instrText>
      </w:r>
      <w:r w:rsidR="00AF4F32">
        <w:fldChar w:fldCharType="separate"/>
      </w:r>
      <w:r w:rsidR="00AF4F32">
        <w:t>11</w:t>
      </w:r>
      <w:r w:rsidR="00AF4F32">
        <w:fldChar w:fldCharType="end"/>
      </w:r>
      <w:r w:rsidR="00DF0A29">
        <w:t xml:space="preserve">, </w:t>
      </w:r>
      <w:r w:rsidR="00AF4F32">
        <w:fldChar w:fldCharType="begin"/>
      </w:r>
      <w:r w:rsidR="00AF4F32">
        <w:instrText xml:space="preserve"> REF _Ref68860934 \r \h </w:instrText>
      </w:r>
      <w:r w:rsidR="00AF4F32">
        <w:fldChar w:fldCharType="separate"/>
      </w:r>
      <w:r w:rsidR="00AF4F32">
        <w:t>12</w:t>
      </w:r>
      <w:r w:rsidR="00AF4F32">
        <w:fldChar w:fldCharType="end"/>
      </w:r>
      <w:r w:rsidR="00DF0A29">
        <w:t>,</w:t>
      </w:r>
      <w:r w:rsidRPr="00DE2532">
        <w:t xml:space="preserve"> </w:t>
      </w:r>
      <w:r w:rsidR="00AF4F32">
        <w:fldChar w:fldCharType="begin"/>
      </w:r>
      <w:r w:rsidR="00AF4F32">
        <w:instrText xml:space="preserve"> REF _Ref68860886 \r \h </w:instrText>
      </w:r>
      <w:r w:rsidR="00AF4F32">
        <w:fldChar w:fldCharType="separate"/>
      </w:r>
      <w:r w:rsidR="00AF4F32">
        <w:t>5</w:t>
      </w:r>
      <w:r w:rsidR="00AF4F32">
        <w:fldChar w:fldCharType="end"/>
      </w:r>
      <w:r w:rsidR="00DF0A29">
        <w:t>]</w:t>
      </w:r>
      <w:r w:rsidRPr="00DE2532">
        <w:t xml:space="preserve">. Indeed, individuals from both ethnic groups indicate a greater motivation to avoid engagement with someone with a mental illness, though this has largely emerged from studying attitudes within each group individually </w:t>
      </w:r>
      <w:r w:rsidR="00DF0A29">
        <w:t>[</w:t>
      </w:r>
      <w:r w:rsidR="00AF4F32">
        <w:fldChar w:fldCharType="begin"/>
      </w:r>
      <w:r w:rsidR="00AF4F32">
        <w:instrText xml:space="preserve"> REF _Ref68860946 \r \h </w:instrText>
      </w:r>
      <w:r w:rsidR="00AF4F32">
        <w:fldChar w:fldCharType="separate"/>
      </w:r>
      <w:r w:rsidR="00AF4F32">
        <w:t>13</w:t>
      </w:r>
      <w:r w:rsidR="00AF4F32">
        <w:fldChar w:fldCharType="end"/>
      </w:r>
      <w:r w:rsidR="00DF0A29">
        <w:t>,</w:t>
      </w:r>
      <w:r w:rsidRPr="00DE2532">
        <w:t xml:space="preserve"> </w:t>
      </w:r>
      <w:r w:rsidR="00AF4F32">
        <w:fldChar w:fldCharType="begin"/>
      </w:r>
      <w:r w:rsidR="00AF4F32">
        <w:instrText xml:space="preserve"> REF _Ref68860952 \r \h </w:instrText>
      </w:r>
      <w:r w:rsidR="00AF4F32">
        <w:fldChar w:fldCharType="separate"/>
      </w:r>
      <w:r w:rsidR="00AF4F32">
        <w:t>14</w:t>
      </w:r>
      <w:r w:rsidR="00AF4F32">
        <w:fldChar w:fldCharType="end"/>
      </w:r>
      <w:r w:rsidR="00DF0A29">
        <w:t>]</w:t>
      </w:r>
      <w:r w:rsidRPr="00DE2532">
        <w:t>. Considering the predictive power of these values on influential mental health attitudes may help bolster our understanding of shared mental health outcomes.</w:t>
      </w:r>
    </w:p>
    <w:p w14:paraId="4AAC8041" w14:textId="50235D02" w:rsidR="00164031" w:rsidRDefault="00854A32" w:rsidP="00854A32">
      <w:pPr>
        <w:spacing w:line="480" w:lineRule="auto"/>
        <w:rPr>
          <w:b/>
          <w:bCs/>
        </w:rPr>
      </w:pPr>
      <w:r w:rsidRPr="00A31D29">
        <w:rPr>
          <w:b/>
          <w:bCs/>
        </w:rPr>
        <w:lastRenderedPageBreak/>
        <w:t>Supplementary References</w:t>
      </w:r>
    </w:p>
    <w:p w14:paraId="5C33C161" w14:textId="3B5300A8" w:rsidR="00DF0A29" w:rsidRPr="00AF4F32" w:rsidRDefault="00DF0A29" w:rsidP="00AF4F32">
      <w:pPr>
        <w:pStyle w:val="ListParagraph"/>
        <w:numPr>
          <w:ilvl w:val="0"/>
          <w:numId w:val="3"/>
        </w:numPr>
        <w:spacing w:line="480" w:lineRule="auto"/>
        <w:rPr>
          <w:rFonts w:cs="Times New Roman"/>
          <w:color w:val="000000" w:themeColor="text1"/>
        </w:rPr>
      </w:pPr>
      <w:bookmarkStart w:id="0" w:name="_Ref68860850"/>
      <w:r w:rsidRPr="00AF4F32">
        <w:rPr>
          <w:rStyle w:val="hlfld-contribauthor"/>
          <w:rFonts w:cs="Times New Roman"/>
          <w:color w:val="000000" w:themeColor="text1"/>
        </w:rPr>
        <w:t>Neill, </w:t>
      </w:r>
      <w:r w:rsidRPr="00AF4F32">
        <w:rPr>
          <w:rStyle w:val="nlmgiven-names"/>
          <w:rFonts w:cs="Times New Roman"/>
          <w:color w:val="000000" w:themeColor="text1"/>
        </w:rPr>
        <w:t>J.</w:t>
      </w:r>
      <w:r w:rsidRPr="00AF4F32">
        <w:rPr>
          <w:rFonts w:cs="Times New Roman"/>
          <w:color w:val="000000" w:themeColor="text1"/>
        </w:rPr>
        <w:t> (</w:t>
      </w:r>
      <w:r w:rsidRPr="00AF4F32">
        <w:rPr>
          <w:rStyle w:val="nlmyear"/>
          <w:rFonts w:cs="Times New Roman"/>
          <w:color w:val="000000" w:themeColor="text1"/>
        </w:rPr>
        <w:t>2008</w:t>
      </w:r>
      <w:r w:rsidRPr="00AF4F32">
        <w:rPr>
          <w:rFonts w:cs="Times New Roman"/>
          <w:color w:val="000000" w:themeColor="text1"/>
        </w:rPr>
        <w:t>). </w:t>
      </w:r>
      <w:r w:rsidRPr="00AF4F32">
        <w:rPr>
          <w:rFonts w:cs="Times New Roman"/>
          <w:i/>
          <w:iCs/>
          <w:color w:val="000000" w:themeColor="text1"/>
        </w:rPr>
        <w:t>Writing up a factor analysis</w:t>
      </w:r>
      <w:r w:rsidRPr="00AF4F32">
        <w:rPr>
          <w:rFonts w:cs="Times New Roman"/>
          <w:color w:val="000000" w:themeColor="text1"/>
        </w:rPr>
        <w:t>. Retrieved</w:t>
      </w:r>
      <w:r w:rsidR="00164031" w:rsidRPr="00AF4F32">
        <w:rPr>
          <w:rFonts w:cs="Times New Roman"/>
          <w:color w:val="000000" w:themeColor="text1"/>
        </w:rPr>
        <w:t xml:space="preserve"> </w:t>
      </w:r>
      <w:r w:rsidRPr="00AF4F32">
        <w:rPr>
          <w:rFonts w:cs="Times New Roman"/>
          <w:color w:val="000000" w:themeColor="text1"/>
        </w:rPr>
        <w:t>from </w:t>
      </w:r>
      <w:r w:rsidRPr="00AF4F32">
        <w:rPr>
          <w:rFonts w:cs="Times New Roman"/>
        </w:rPr>
        <w:t>http://www.bwgriffin.com/gsu/courses/edur9131/content/Neill2008_WritingUpAFactorAnalysis.pdf</w:t>
      </w:r>
      <w:bookmarkEnd w:id="0"/>
      <w:r w:rsidRPr="00AF4F32">
        <w:rPr>
          <w:rStyle w:val="reflink-block"/>
          <w:rFonts w:cs="Times New Roman"/>
          <w:color w:val="333333"/>
        </w:rPr>
        <w:t> </w:t>
      </w:r>
    </w:p>
    <w:p w14:paraId="301BE0AB" w14:textId="78A9053D" w:rsidR="00DF0A29" w:rsidRPr="00AF4F32" w:rsidRDefault="00DF0A29" w:rsidP="00AF4F32">
      <w:pPr>
        <w:pStyle w:val="ListParagraph"/>
        <w:numPr>
          <w:ilvl w:val="0"/>
          <w:numId w:val="3"/>
        </w:numPr>
        <w:spacing w:line="480" w:lineRule="auto"/>
        <w:rPr>
          <w:rFonts w:cs="Times New Roman"/>
          <w:color w:val="000000" w:themeColor="text1"/>
          <w:szCs w:val="24"/>
        </w:rPr>
      </w:pPr>
      <w:bookmarkStart w:id="1" w:name="_Ref68860864"/>
      <w:r w:rsidRPr="00AF4F32">
        <w:rPr>
          <w:rFonts w:cs="Times New Roman"/>
          <w:color w:val="000000" w:themeColor="text1"/>
          <w:szCs w:val="24"/>
        </w:rPr>
        <w:t xml:space="preserve">De Winter, J., </w:t>
      </w:r>
      <w:proofErr w:type="spellStart"/>
      <w:r w:rsidRPr="00AF4F32">
        <w:rPr>
          <w:rFonts w:cs="Times New Roman"/>
          <w:color w:val="000000" w:themeColor="text1"/>
          <w:szCs w:val="24"/>
        </w:rPr>
        <w:t>Dodou</w:t>
      </w:r>
      <w:proofErr w:type="spellEnd"/>
      <w:r w:rsidRPr="00AF4F32">
        <w:rPr>
          <w:rFonts w:cs="Times New Roman"/>
          <w:color w:val="000000" w:themeColor="text1"/>
          <w:szCs w:val="24"/>
        </w:rPr>
        <w:t xml:space="preserve">, D., &amp; </w:t>
      </w:r>
      <w:proofErr w:type="spellStart"/>
      <w:r w:rsidRPr="00AF4F32">
        <w:rPr>
          <w:rFonts w:cs="Times New Roman"/>
          <w:color w:val="000000" w:themeColor="text1"/>
          <w:szCs w:val="24"/>
        </w:rPr>
        <w:t>Wieringa</w:t>
      </w:r>
      <w:proofErr w:type="spellEnd"/>
      <w:r w:rsidRPr="00AF4F32">
        <w:rPr>
          <w:rFonts w:cs="Times New Roman"/>
          <w:color w:val="000000" w:themeColor="text1"/>
          <w:szCs w:val="24"/>
        </w:rPr>
        <w:t xml:space="preserve">, P.A. (2009). Exploratory factor analysis with small sample sizes. </w:t>
      </w:r>
      <w:r w:rsidRPr="00AF4F32">
        <w:rPr>
          <w:rFonts w:cs="Times New Roman"/>
          <w:i/>
          <w:iCs/>
          <w:color w:val="000000" w:themeColor="text1"/>
          <w:szCs w:val="24"/>
        </w:rPr>
        <w:t>Multivariate Behavioral Research</w:t>
      </w:r>
      <w:r w:rsidRPr="00AF4F32">
        <w:rPr>
          <w:rFonts w:cs="Times New Roman"/>
          <w:color w:val="000000" w:themeColor="text1"/>
          <w:szCs w:val="24"/>
        </w:rPr>
        <w:t xml:space="preserve">, </w:t>
      </w:r>
      <w:r w:rsidRPr="00AF4F32">
        <w:rPr>
          <w:rFonts w:cs="Times New Roman"/>
          <w:i/>
          <w:iCs/>
          <w:color w:val="000000" w:themeColor="text1"/>
          <w:szCs w:val="24"/>
        </w:rPr>
        <w:t>44</w:t>
      </w:r>
      <w:r w:rsidRPr="00AF4F32">
        <w:rPr>
          <w:rFonts w:cs="Times New Roman"/>
          <w:color w:val="000000" w:themeColor="text1"/>
          <w:szCs w:val="24"/>
        </w:rPr>
        <w:t>(2), 147-181.</w:t>
      </w:r>
      <w:r w:rsidR="00164031" w:rsidRPr="00AF4F32">
        <w:rPr>
          <w:rFonts w:cs="Times New Roman"/>
          <w:color w:val="000000" w:themeColor="text1"/>
          <w:szCs w:val="24"/>
        </w:rPr>
        <w:t xml:space="preserve"> </w:t>
      </w:r>
      <w:r w:rsidRPr="00AF4F32">
        <w:rPr>
          <w:rFonts w:cs="Times New Roman"/>
          <w:color w:val="000000" w:themeColor="text1"/>
          <w:szCs w:val="24"/>
        </w:rPr>
        <w:t>https://doi.org/</w:t>
      </w:r>
      <w:r w:rsidRPr="00AF4F32">
        <w:rPr>
          <w:rFonts w:cs="Times New Roman"/>
          <w:szCs w:val="24"/>
          <w:bdr w:val="none" w:sz="0" w:space="0" w:color="auto" w:frame="1"/>
          <w:shd w:val="clear" w:color="auto" w:fill="FFFFFF"/>
        </w:rPr>
        <w:t>10.1080/00273170902794206</w:t>
      </w:r>
      <w:bookmarkEnd w:id="1"/>
      <w:r w:rsidRPr="00AF4F32">
        <w:rPr>
          <w:rFonts w:cs="Times New Roman"/>
          <w:szCs w:val="24"/>
          <w:bdr w:val="none" w:sz="0" w:space="0" w:color="auto" w:frame="1"/>
          <w:shd w:val="clear" w:color="auto" w:fill="FFFFFF"/>
        </w:rPr>
        <w:t xml:space="preserve"> </w:t>
      </w:r>
      <w:r w:rsidRPr="00AF4F32">
        <w:rPr>
          <w:rFonts w:cs="Times New Roman"/>
          <w:szCs w:val="24"/>
        </w:rPr>
        <w:t xml:space="preserve"> </w:t>
      </w:r>
    </w:p>
    <w:p w14:paraId="6171010F" w14:textId="5698480A" w:rsidR="00DF0A29" w:rsidRPr="00AF4F32" w:rsidRDefault="00DF0A29" w:rsidP="00AF4F32">
      <w:pPr>
        <w:pStyle w:val="ListParagraph"/>
        <w:numPr>
          <w:ilvl w:val="0"/>
          <w:numId w:val="3"/>
        </w:numPr>
        <w:spacing w:line="480" w:lineRule="auto"/>
        <w:rPr>
          <w:rFonts w:cs="Times New Roman"/>
          <w:color w:val="000000" w:themeColor="text1"/>
          <w:szCs w:val="24"/>
        </w:rPr>
      </w:pPr>
      <w:bookmarkStart w:id="2" w:name="_Ref68860870"/>
      <w:r w:rsidRPr="00AF4F32">
        <w:rPr>
          <w:rFonts w:cs="Times New Roman"/>
          <w:color w:val="000000" w:themeColor="text1"/>
          <w:szCs w:val="24"/>
        </w:rPr>
        <w:t xml:space="preserve">Costello, A.B. &amp; Osborne, J.W. (2005). Best practices in exploratory factor analysis: Four recommendations for getting the most from your analysis. </w:t>
      </w:r>
      <w:r w:rsidRPr="00AF4F32">
        <w:rPr>
          <w:rFonts w:cs="Times New Roman"/>
          <w:i/>
          <w:iCs/>
          <w:color w:val="000000" w:themeColor="text1"/>
          <w:szCs w:val="24"/>
        </w:rPr>
        <w:t>Practical Assessment, 10</w:t>
      </w:r>
      <w:r w:rsidRPr="00AF4F32">
        <w:rPr>
          <w:rFonts w:cs="Times New Roman"/>
          <w:color w:val="000000" w:themeColor="text1"/>
          <w:szCs w:val="24"/>
        </w:rPr>
        <w:t xml:space="preserve">(7), 1-9. </w:t>
      </w:r>
      <w:r w:rsidRPr="00AF4F32">
        <w:rPr>
          <w:rFonts w:eastAsia="Times New Roman" w:cs="Times New Roman"/>
          <w:szCs w:val="24"/>
        </w:rPr>
        <w:t>https://doi.org/10.7275/jyj1-4868</w:t>
      </w:r>
      <w:bookmarkEnd w:id="2"/>
      <w:r w:rsidRPr="00AF4F32">
        <w:rPr>
          <w:rFonts w:eastAsia="Times New Roman" w:cs="Times New Roman"/>
          <w:szCs w:val="24"/>
        </w:rPr>
        <w:t xml:space="preserve"> </w:t>
      </w:r>
    </w:p>
    <w:p w14:paraId="316C1CD4" w14:textId="0382B05B" w:rsidR="00DF0A29" w:rsidRPr="00AF4F32" w:rsidRDefault="00DF0A29" w:rsidP="00AF4F32">
      <w:pPr>
        <w:pStyle w:val="ListParagraph"/>
        <w:numPr>
          <w:ilvl w:val="0"/>
          <w:numId w:val="3"/>
        </w:numPr>
        <w:spacing w:line="480" w:lineRule="auto"/>
        <w:rPr>
          <w:rFonts w:cs="Times New Roman"/>
          <w:color w:val="000000" w:themeColor="text1"/>
          <w:szCs w:val="24"/>
        </w:rPr>
      </w:pPr>
      <w:bookmarkStart w:id="3" w:name="_Ref68860875"/>
      <w:r>
        <w:t>Matsunaga, M. (2010). How to factor-analyze your data right: Do’s don’ts, and how-</w:t>
      </w:r>
      <w:proofErr w:type="spellStart"/>
      <w:r>
        <w:t>to’s</w:t>
      </w:r>
      <w:proofErr w:type="spellEnd"/>
      <w:r>
        <w:t xml:space="preserve">. </w:t>
      </w:r>
      <w:r w:rsidRPr="00AF4F32">
        <w:rPr>
          <w:i/>
          <w:iCs/>
        </w:rPr>
        <w:t>International Journal of Psychological Research, 3</w:t>
      </w:r>
      <w:r>
        <w:t xml:space="preserve">(1), 97-110. </w:t>
      </w:r>
      <w:hyperlink r:id="rId8" w:history="1">
        <w:r w:rsidRPr="00AF4F32">
          <w:rPr>
            <w:rStyle w:val="Hyperlink"/>
            <w:rFonts w:cs="Times New Roman"/>
            <w:szCs w:val="24"/>
            <w:shd w:val="clear" w:color="auto" w:fill="FAFAFA"/>
          </w:rPr>
          <w:t>https://doi.org/10.21500/20112084.854</w:t>
        </w:r>
      </w:hyperlink>
      <w:bookmarkEnd w:id="3"/>
    </w:p>
    <w:p w14:paraId="45A8441B" w14:textId="77777777" w:rsidR="00DF0A29" w:rsidRPr="00AF4F32" w:rsidRDefault="00DF0A29" w:rsidP="00AF4F32">
      <w:pPr>
        <w:pStyle w:val="ListParagraph"/>
        <w:numPr>
          <w:ilvl w:val="0"/>
          <w:numId w:val="3"/>
        </w:numPr>
        <w:spacing w:line="480" w:lineRule="auto"/>
        <w:rPr>
          <w:rFonts w:cs="Times New Roman"/>
          <w:color w:val="000000" w:themeColor="text1"/>
          <w:szCs w:val="24"/>
        </w:rPr>
      </w:pPr>
      <w:bookmarkStart w:id="4" w:name="_Ref68860886"/>
      <w:r w:rsidRPr="00AF4F32">
        <w:rPr>
          <w:lang w:val="es-ES"/>
        </w:rPr>
        <w:t xml:space="preserve">Kim B. S., </w:t>
      </w:r>
      <w:proofErr w:type="spellStart"/>
      <w:r w:rsidRPr="00AF4F32">
        <w:rPr>
          <w:lang w:val="es-ES"/>
        </w:rPr>
        <w:t>Omizo</w:t>
      </w:r>
      <w:proofErr w:type="spellEnd"/>
      <w:r w:rsidRPr="00AF4F32">
        <w:rPr>
          <w:lang w:val="es-ES"/>
        </w:rPr>
        <w:t xml:space="preserve"> M. M. (2003). </w:t>
      </w:r>
      <w:r w:rsidRPr="00EA3443">
        <w:t>Asian cultural values, attitudes toward seeking</w:t>
      </w:r>
      <w:r>
        <w:t xml:space="preserve"> </w:t>
      </w:r>
      <w:r w:rsidRPr="00EA3443">
        <w:t xml:space="preserve">professional psychological help, and willingness to see a counselor. </w:t>
      </w:r>
      <w:r w:rsidRPr="00AF4F32">
        <w:rPr>
          <w:i/>
        </w:rPr>
        <w:t>The Counseling Psychologist</w:t>
      </w:r>
      <w:r w:rsidRPr="00EA3443">
        <w:t xml:space="preserve">, </w:t>
      </w:r>
      <w:r w:rsidRPr="00AF4F32">
        <w:rPr>
          <w:i/>
        </w:rPr>
        <w:t>31</w:t>
      </w:r>
      <w:r w:rsidRPr="00EA3443">
        <w:t xml:space="preserve">(3), 343–361. </w:t>
      </w:r>
      <w:hyperlink r:id="rId9">
        <w:r w:rsidRPr="00EA3443">
          <w:t>http://dx.doi.org/10.1177/0011000003031003008</w:t>
        </w:r>
      </w:hyperlink>
      <w:bookmarkEnd w:id="4"/>
    </w:p>
    <w:p w14:paraId="6750A21F" w14:textId="338F8DC7" w:rsidR="00DF0A29" w:rsidRPr="00AF4F32" w:rsidRDefault="00DF0A29" w:rsidP="00AF4F32">
      <w:pPr>
        <w:pStyle w:val="ListParagraph"/>
        <w:numPr>
          <w:ilvl w:val="0"/>
          <w:numId w:val="3"/>
        </w:numPr>
        <w:spacing w:line="480" w:lineRule="auto"/>
        <w:rPr>
          <w:rFonts w:cs="Times New Roman"/>
          <w:color w:val="000000" w:themeColor="text1"/>
          <w:szCs w:val="24"/>
        </w:rPr>
      </w:pPr>
      <w:bookmarkStart w:id="5" w:name="_Ref68860891"/>
      <w:r w:rsidRPr="00AF4F32">
        <w:rPr>
          <w:color w:val="000000" w:themeColor="text1"/>
          <w:lang w:val="es-ES"/>
        </w:rPr>
        <w:t xml:space="preserve">Kim, B. S. K., Soliz, A., Orellana, B., &amp; Alamilla, S. G. (2009). </w:t>
      </w:r>
      <w:r w:rsidRPr="00AF4F32">
        <w:rPr>
          <w:color w:val="000000" w:themeColor="text1"/>
        </w:rPr>
        <w:t xml:space="preserve">Latino/a Values Scale: Development, reliability, and validity. </w:t>
      </w:r>
      <w:r w:rsidRPr="00AF4F32">
        <w:rPr>
          <w:i/>
          <w:color w:val="000000" w:themeColor="text1"/>
        </w:rPr>
        <w:t>Measurement and Evaluation in Counseling and Development</w:t>
      </w:r>
      <w:r w:rsidRPr="00AF4F32">
        <w:rPr>
          <w:color w:val="000000" w:themeColor="text1"/>
        </w:rPr>
        <w:t xml:space="preserve">, </w:t>
      </w:r>
      <w:r w:rsidRPr="00AF4F32">
        <w:rPr>
          <w:i/>
          <w:color w:val="000000" w:themeColor="text1"/>
        </w:rPr>
        <w:t>42</w:t>
      </w:r>
      <w:r w:rsidRPr="00AF4F32">
        <w:rPr>
          <w:color w:val="000000" w:themeColor="text1"/>
        </w:rPr>
        <w:t xml:space="preserve">(2), 71–91. </w:t>
      </w:r>
      <w:hyperlink r:id="rId10" w:history="1">
        <w:r w:rsidRPr="00883AE5">
          <w:rPr>
            <w:rStyle w:val="Hyperlink"/>
          </w:rPr>
          <w:t>https://doi.org/10.1177/0748175609336861</w:t>
        </w:r>
      </w:hyperlink>
      <w:bookmarkEnd w:id="5"/>
    </w:p>
    <w:p w14:paraId="253ECC42" w14:textId="06A5C4BB" w:rsidR="00DF0A29" w:rsidRPr="00AF4F32" w:rsidRDefault="00DF0A29" w:rsidP="00AF4F32">
      <w:pPr>
        <w:pStyle w:val="ListParagraph"/>
        <w:numPr>
          <w:ilvl w:val="0"/>
          <w:numId w:val="3"/>
        </w:numPr>
        <w:spacing w:line="480" w:lineRule="auto"/>
        <w:rPr>
          <w:color w:val="000000" w:themeColor="text1"/>
        </w:rPr>
      </w:pPr>
      <w:bookmarkStart w:id="6" w:name="_Ref68860898"/>
      <w:r w:rsidRPr="00AF4F32">
        <w:rPr>
          <w:color w:val="000000" w:themeColor="text1"/>
        </w:rPr>
        <w:t xml:space="preserve">Leong, F. T. &amp; Lau, A. S. (2001). Barriers to providing effective mental health services to Asian Americans. </w:t>
      </w:r>
      <w:r w:rsidRPr="00AF4F32">
        <w:rPr>
          <w:i/>
          <w:color w:val="000000" w:themeColor="text1"/>
        </w:rPr>
        <w:t>Mental Health Services Research</w:t>
      </w:r>
      <w:r w:rsidRPr="00AF4F32">
        <w:rPr>
          <w:color w:val="000000" w:themeColor="text1"/>
        </w:rPr>
        <w:t xml:space="preserve">, </w:t>
      </w:r>
      <w:r w:rsidRPr="00AF4F32">
        <w:rPr>
          <w:i/>
          <w:color w:val="000000" w:themeColor="text1"/>
        </w:rPr>
        <w:t>3</w:t>
      </w:r>
      <w:r w:rsidRPr="00AF4F32">
        <w:rPr>
          <w:color w:val="000000" w:themeColor="text1"/>
        </w:rPr>
        <w:t xml:space="preserve">(4), 201–214. </w:t>
      </w:r>
      <w:hyperlink r:id="rId11" w:history="1">
        <w:r w:rsidRPr="00883AE5">
          <w:rPr>
            <w:rStyle w:val="Hyperlink"/>
          </w:rPr>
          <w:t>https://doi.org/10.1023/a:1013177014788</w:t>
        </w:r>
      </w:hyperlink>
      <w:bookmarkEnd w:id="6"/>
    </w:p>
    <w:p w14:paraId="2D7A9628" w14:textId="48499172" w:rsidR="00DF0A29" w:rsidRDefault="00DF0A29" w:rsidP="00AF4F32">
      <w:pPr>
        <w:pStyle w:val="ListParagraph"/>
        <w:numPr>
          <w:ilvl w:val="0"/>
          <w:numId w:val="3"/>
        </w:numPr>
        <w:spacing w:line="480" w:lineRule="auto"/>
      </w:pPr>
      <w:bookmarkStart w:id="7" w:name="_Ref68860903"/>
      <w:r w:rsidRPr="00EA3443">
        <w:lastRenderedPageBreak/>
        <w:t xml:space="preserve">Ramos-Sánchez, L., &amp; Atkinson, D. R. (2009). The relationships between Mexican American acculturation, cultural values, gender, and help-seeking intentions. </w:t>
      </w:r>
      <w:r w:rsidRPr="00AF4F32">
        <w:rPr>
          <w:i/>
        </w:rPr>
        <w:t>Journal of Counseling &amp; Development</w:t>
      </w:r>
      <w:r w:rsidRPr="00EA3443">
        <w:t xml:space="preserve">, </w:t>
      </w:r>
      <w:r w:rsidRPr="00AF4F32">
        <w:rPr>
          <w:i/>
        </w:rPr>
        <w:t>87</w:t>
      </w:r>
      <w:r w:rsidRPr="00EA3443">
        <w:t xml:space="preserve">(1), 62–71. </w:t>
      </w:r>
      <w:hyperlink r:id="rId12" w:history="1">
        <w:r w:rsidRPr="00883AE5">
          <w:rPr>
            <w:rStyle w:val="Hyperlink"/>
          </w:rPr>
          <w:t>https://doi.org/10.1002/j.1556-6678.2009.tb00550.x</w:t>
        </w:r>
      </w:hyperlink>
      <w:bookmarkEnd w:id="7"/>
    </w:p>
    <w:p w14:paraId="5FF5665D" w14:textId="1BFC61BB" w:rsidR="00854A32" w:rsidRPr="00DF0A29" w:rsidRDefault="00854A32" w:rsidP="00AF4F32">
      <w:pPr>
        <w:pStyle w:val="ListParagraph"/>
        <w:numPr>
          <w:ilvl w:val="0"/>
          <w:numId w:val="3"/>
        </w:numPr>
        <w:spacing w:line="480" w:lineRule="auto"/>
      </w:pPr>
      <w:bookmarkStart w:id="8" w:name="_Ref68860910"/>
      <w:r w:rsidRPr="00AF4F32">
        <w:rPr>
          <w:rFonts w:cs="Times New Roman"/>
          <w:color w:val="000000" w:themeColor="text1"/>
          <w:lang w:val="fr-FR"/>
        </w:rPr>
        <w:t xml:space="preserve">Kim, B. S. K., Atkinson, D. R., &amp; Yang, P. H. (1999). </w:t>
      </w:r>
      <w:r w:rsidRPr="00AF4F32">
        <w:rPr>
          <w:rFonts w:cs="Times New Roman"/>
          <w:color w:val="000000" w:themeColor="text1"/>
        </w:rPr>
        <w:t>The Asian Values Scale: Development, factor analysis, validation, and reliability. </w:t>
      </w:r>
      <w:r w:rsidRPr="00AF4F32">
        <w:rPr>
          <w:rStyle w:val="Emphasis"/>
          <w:rFonts w:cs="Times New Roman"/>
          <w:color w:val="000000" w:themeColor="text1"/>
        </w:rPr>
        <w:t>Journal of Counseling Psychology, 46</w:t>
      </w:r>
      <w:r w:rsidRPr="00AF4F32">
        <w:rPr>
          <w:rFonts w:cs="Times New Roman"/>
          <w:color w:val="000000" w:themeColor="text1"/>
        </w:rPr>
        <w:t>(3), 342–352. </w:t>
      </w:r>
      <w:hyperlink r:id="rId13" w:history="1">
        <w:r w:rsidR="00DF0A29" w:rsidRPr="00AF4F32">
          <w:rPr>
            <w:rStyle w:val="Hyperlink"/>
            <w:rFonts w:cs="Times New Roman"/>
          </w:rPr>
          <w:t>https://doi.org/10.1037/0022-0167.46.3.342</w:t>
        </w:r>
      </w:hyperlink>
      <w:bookmarkEnd w:id="8"/>
    </w:p>
    <w:p w14:paraId="3F5966E5" w14:textId="595BBD11" w:rsidR="00DF0A29" w:rsidRPr="00AF4F32" w:rsidRDefault="00DF0A29" w:rsidP="00AF4F32">
      <w:pPr>
        <w:pStyle w:val="ListParagraph"/>
        <w:numPr>
          <w:ilvl w:val="0"/>
          <w:numId w:val="3"/>
        </w:numPr>
        <w:spacing w:line="480" w:lineRule="auto"/>
        <w:rPr>
          <w:color w:val="000000" w:themeColor="text1"/>
        </w:rPr>
      </w:pPr>
      <w:bookmarkStart w:id="9" w:name="_Ref68860922"/>
      <w:r w:rsidRPr="00AF4F32">
        <w:rPr>
          <w:color w:val="000000" w:themeColor="text1"/>
        </w:rPr>
        <w:t xml:space="preserve">Abdullah, T., &amp; Brown, T. L. (2011). Mental illness stigma and ethnocultural beliefs, values, and norms: An integrative review. </w:t>
      </w:r>
      <w:r w:rsidRPr="00AF4F32">
        <w:rPr>
          <w:i/>
          <w:color w:val="000000" w:themeColor="text1"/>
        </w:rPr>
        <w:t>Clinical Psychology Review</w:t>
      </w:r>
      <w:r w:rsidRPr="00AF4F32">
        <w:rPr>
          <w:color w:val="000000" w:themeColor="text1"/>
        </w:rPr>
        <w:t xml:space="preserve">, </w:t>
      </w:r>
      <w:r w:rsidRPr="00AF4F32">
        <w:rPr>
          <w:i/>
          <w:color w:val="000000" w:themeColor="text1"/>
        </w:rPr>
        <w:t>31</w:t>
      </w:r>
      <w:r w:rsidRPr="00AF4F32">
        <w:rPr>
          <w:color w:val="000000" w:themeColor="text1"/>
        </w:rPr>
        <w:t xml:space="preserve">(6), 934–948. </w:t>
      </w:r>
      <w:hyperlink r:id="rId14" w:history="1">
        <w:r w:rsidRPr="00883AE5">
          <w:rPr>
            <w:rStyle w:val="Hyperlink"/>
          </w:rPr>
          <w:t>https://doi.org/10.1016/j.cpr.2011.05.003</w:t>
        </w:r>
      </w:hyperlink>
      <w:bookmarkEnd w:id="9"/>
    </w:p>
    <w:p w14:paraId="238FCDA1" w14:textId="77777777" w:rsidR="00DF0A29" w:rsidRPr="00AF4F32" w:rsidRDefault="00DF0A29" w:rsidP="00AF4F32">
      <w:pPr>
        <w:pStyle w:val="ListParagraph"/>
        <w:numPr>
          <w:ilvl w:val="0"/>
          <w:numId w:val="3"/>
        </w:numPr>
        <w:spacing w:line="480" w:lineRule="auto"/>
        <w:rPr>
          <w:color w:val="000000" w:themeColor="text1"/>
        </w:rPr>
      </w:pPr>
      <w:bookmarkStart w:id="10" w:name="_Ref68860929"/>
      <w:r w:rsidRPr="00AF4F32">
        <w:rPr>
          <w:color w:val="000000" w:themeColor="text1"/>
        </w:rPr>
        <w:t xml:space="preserve">Han, M., &amp; Pong, H. (2015). Mental health help-seeking behaviors among Asian American community college students: The effect of stigma, cultural barriers, and acculturation. </w:t>
      </w:r>
      <w:r w:rsidRPr="00AF4F32">
        <w:rPr>
          <w:i/>
          <w:color w:val="000000" w:themeColor="text1"/>
        </w:rPr>
        <w:t>Journal of College Student Development</w:t>
      </w:r>
      <w:r w:rsidRPr="00AF4F32">
        <w:rPr>
          <w:color w:val="000000" w:themeColor="text1"/>
        </w:rPr>
        <w:t xml:space="preserve">, </w:t>
      </w:r>
      <w:r w:rsidRPr="00AF4F32">
        <w:rPr>
          <w:i/>
          <w:color w:val="000000" w:themeColor="text1"/>
        </w:rPr>
        <w:t>56</w:t>
      </w:r>
      <w:r w:rsidRPr="00AF4F32">
        <w:rPr>
          <w:color w:val="000000" w:themeColor="text1"/>
        </w:rPr>
        <w:t xml:space="preserve">(1), 1–14. </w:t>
      </w:r>
      <w:hyperlink r:id="rId15" w:history="1">
        <w:r w:rsidRPr="00883AE5">
          <w:rPr>
            <w:rStyle w:val="Hyperlink"/>
          </w:rPr>
          <w:t>http://dx.doi.org/10.1353/csd.2015.0001</w:t>
        </w:r>
      </w:hyperlink>
      <w:bookmarkEnd w:id="10"/>
    </w:p>
    <w:p w14:paraId="7C3322B6" w14:textId="77777777" w:rsidR="00DF0A29" w:rsidRPr="00AF4F32" w:rsidRDefault="00DF0A29" w:rsidP="00AF4F32">
      <w:pPr>
        <w:pStyle w:val="ListParagraph"/>
        <w:numPr>
          <w:ilvl w:val="0"/>
          <w:numId w:val="3"/>
        </w:numPr>
        <w:spacing w:line="480" w:lineRule="auto"/>
        <w:rPr>
          <w:color w:val="000000" w:themeColor="text1"/>
        </w:rPr>
      </w:pPr>
      <w:bookmarkStart w:id="11" w:name="_Ref68860934"/>
      <w:proofErr w:type="spellStart"/>
      <w:r w:rsidRPr="00AF4F32">
        <w:rPr>
          <w:color w:val="000000" w:themeColor="text1"/>
        </w:rPr>
        <w:t>Interian</w:t>
      </w:r>
      <w:proofErr w:type="spellEnd"/>
      <w:r w:rsidRPr="00AF4F32">
        <w:rPr>
          <w:color w:val="000000" w:themeColor="text1"/>
        </w:rPr>
        <w:t xml:space="preserve">, A., Martinez, I. E., </w:t>
      </w:r>
      <w:proofErr w:type="spellStart"/>
      <w:r w:rsidRPr="00AF4F32">
        <w:rPr>
          <w:color w:val="000000" w:themeColor="text1"/>
        </w:rPr>
        <w:t>Guarnaccia</w:t>
      </w:r>
      <w:proofErr w:type="spellEnd"/>
      <w:r w:rsidRPr="00AF4F32">
        <w:rPr>
          <w:color w:val="000000" w:themeColor="text1"/>
        </w:rPr>
        <w:t xml:space="preserve">, P. J., Vega, W. A., &amp; Escobar, J. I. (2007). A qualitative analysis of the perception of stigma among Latinos receiving antidepressants. </w:t>
      </w:r>
      <w:proofErr w:type="spellStart"/>
      <w:r w:rsidRPr="00AF4F32">
        <w:rPr>
          <w:i/>
          <w:color w:val="000000" w:themeColor="text1"/>
          <w:lang w:val="fr-FR"/>
        </w:rPr>
        <w:t>Psychiatric</w:t>
      </w:r>
      <w:proofErr w:type="spellEnd"/>
      <w:r w:rsidRPr="00AF4F32">
        <w:rPr>
          <w:i/>
          <w:color w:val="000000" w:themeColor="text1"/>
          <w:lang w:val="fr-FR"/>
        </w:rPr>
        <w:t xml:space="preserve"> Services</w:t>
      </w:r>
      <w:r w:rsidRPr="00AF4F32">
        <w:rPr>
          <w:color w:val="000000" w:themeColor="text1"/>
          <w:lang w:val="fr-FR"/>
        </w:rPr>
        <w:t xml:space="preserve">, </w:t>
      </w:r>
      <w:r w:rsidRPr="00AF4F32">
        <w:rPr>
          <w:i/>
          <w:color w:val="000000" w:themeColor="text1"/>
          <w:lang w:val="fr-FR"/>
        </w:rPr>
        <w:t>58</w:t>
      </w:r>
      <w:r w:rsidRPr="00AF4F32">
        <w:rPr>
          <w:color w:val="000000" w:themeColor="text1"/>
          <w:lang w:val="fr-FR"/>
        </w:rPr>
        <w:t xml:space="preserve">(12), 1591–1594. </w:t>
      </w:r>
      <w:hyperlink r:id="rId16" w:history="1">
        <w:r w:rsidRPr="00AF4F32">
          <w:rPr>
            <w:rStyle w:val="Hyperlink"/>
            <w:lang w:val="fr-FR"/>
          </w:rPr>
          <w:t>https://doi.org/10.1176/appi.ps.58.12.1591</w:t>
        </w:r>
      </w:hyperlink>
      <w:bookmarkEnd w:id="11"/>
    </w:p>
    <w:p w14:paraId="798CC165" w14:textId="77777777" w:rsidR="00DF0A29" w:rsidRPr="00AF4F32" w:rsidRDefault="00854A32" w:rsidP="00AF4F32">
      <w:pPr>
        <w:pStyle w:val="ListParagraph"/>
        <w:numPr>
          <w:ilvl w:val="0"/>
          <w:numId w:val="3"/>
        </w:numPr>
        <w:spacing w:line="480" w:lineRule="auto"/>
        <w:rPr>
          <w:color w:val="000000" w:themeColor="text1"/>
        </w:rPr>
      </w:pPr>
      <w:bookmarkStart w:id="12" w:name="_Ref68860946"/>
      <w:r w:rsidRPr="00EA3443">
        <w:t>Whaley, A. L. (1997). Ethnic and racial differences in perceptions of dangerousness of persons</w:t>
      </w:r>
      <w:r w:rsidR="00DF0A29">
        <w:t xml:space="preserve"> </w:t>
      </w:r>
      <w:r w:rsidRPr="00EA3443">
        <w:t xml:space="preserve">with mental illness. </w:t>
      </w:r>
      <w:r w:rsidRPr="00AF4F32">
        <w:rPr>
          <w:i/>
        </w:rPr>
        <w:t>Psychiatric Services</w:t>
      </w:r>
      <w:r w:rsidRPr="00EA3443">
        <w:t xml:space="preserve">, </w:t>
      </w:r>
      <w:r w:rsidRPr="00AF4F32">
        <w:rPr>
          <w:i/>
        </w:rPr>
        <w:t>48</w:t>
      </w:r>
      <w:r w:rsidRPr="00EA3443">
        <w:t xml:space="preserve">(10), 1328–1330. </w:t>
      </w:r>
      <w:hyperlink r:id="rId17">
        <w:r w:rsidRPr="00EA3443">
          <w:t>https://doi.org/10.1176/ps.48.10.1328</w:t>
        </w:r>
      </w:hyperlink>
      <w:bookmarkEnd w:id="12"/>
    </w:p>
    <w:p w14:paraId="29BA38B6" w14:textId="1FDC7D0A" w:rsidR="00854A32" w:rsidRPr="00AF4F32" w:rsidRDefault="00854A32" w:rsidP="00AF4F32">
      <w:pPr>
        <w:pStyle w:val="ListParagraph"/>
        <w:numPr>
          <w:ilvl w:val="0"/>
          <w:numId w:val="3"/>
        </w:numPr>
        <w:spacing w:line="480" w:lineRule="auto"/>
        <w:rPr>
          <w:color w:val="000000" w:themeColor="text1"/>
        </w:rPr>
      </w:pPr>
      <w:bookmarkStart w:id="13" w:name="_Ref68860952"/>
      <w:r w:rsidRPr="00EA3443">
        <w:t>Yang, L. H., Purdie-</w:t>
      </w:r>
      <w:proofErr w:type="spellStart"/>
      <w:r w:rsidRPr="00EA3443">
        <w:t>Vaughns</w:t>
      </w:r>
      <w:proofErr w:type="spellEnd"/>
      <w:r w:rsidRPr="00EA3443">
        <w:t xml:space="preserve">, V., </w:t>
      </w:r>
      <w:proofErr w:type="spellStart"/>
      <w:r w:rsidRPr="00EA3443">
        <w:t>Kotabe</w:t>
      </w:r>
      <w:proofErr w:type="spellEnd"/>
      <w:r w:rsidRPr="00EA3443">
        <w:t>, H., Link, B. G., Saw, A., Wong, G., &amp; Phelan, J. C.</w:t>
      </w:r>
      <w:r w:rsidR="00DF0A29">
        <w:t xml:space="preserve"> </w:t>
      </w:r>
      <w:r w:rsidRPr="00EA3443">
        <w:t>(2013). Culture, threat, and mental illness stigma: Identifying culture-specific threat</w:t>
      </w:r>
      <w:r w:rsidR="00164031">
        <w:t xml:space="preserve"> </w:t>
      </w:r>
      <w:r w:rsidRPr="00EA3443">
        <w:t xml:space="preserve">among Chinese-American groups. </w:t>
      </w:r>
      <w:r w:rsidRPr="00AF4F32">
        <w:rPr>
          <w:i/>
        </w:rPr>
        <w:t>Social Science &amp; Medicine</w:t>
      </w:r>
      <w:r w:rsidRPr="00EA3443">
        <w:t xml:space="preserve">, </w:t>
      </w:r>
      <w:r w:rsidRPr="00AF4F32">
        <w:rPr>
          <w:i/>
        </w:rPr>
        <w:t>88</w:t>
      </w:r>
      <w:r w:rsidRPr="00EA3443">
        <w:t>, 56–67.</w:t>
      </w:r>
      <w:r w:rsidR="00164031">
        <w:t xml:space="preserve"> </w:t>
      </w:r>
      <w:hyperlink r:id="rId18" w:history="1">
        <w:r w:rsidR="00164031" w:rsidRPr="00883AE5">
          <w:rPr>
            <w:rStyle w:val="Hyperlink"/>
          </w:rPr>
          <w:t>https://doi.org/10.1016/j.socscimed.2013.03.036</w:t>
        </w:r>
      </w:hyperlink>
      <w:bookmarkEnd w:id="13"/>
    </w:p>
    <w:p w14:paraId="681E76FB" w14:textId="77777777" w:rsidR="00854A32" w:rsidRPr="009F01CF" w:rsidRDefault="00854A32" w:rsidP="00854A32"/>
    <w:p w14:paraId="73C7655B" w14:textId="77777777" w:rsidR="00854A32" w:rsidRDefault="00854A32"/>
    <w:sectPr w:rsidR="00854A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37233" w14:textId="77777777" w:rsidR="00446793" w:rsidRDefault="00446793" w:rsidP="00164031">
      <w:r>
        <w:separator/>
      </w:r>
    </w:p>
  </w:endnote>
  <w:endnote w:type="continuationSeparator" w:id="0">
    <w:p w14:paraId="58C5FD33" w14:textId="77777777" w:rsidR="00446793" w:rsidRDefault="00446793" w:rsidP="00164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1FB09" w14:textId="77777777" w:rsidR="00446793" w:rsidRDefault="00446793" w:rsidP="00164031">
      <w:r>
        <w:separator/>
      </w:r>
    </w:p>
  </w:footnote>
  <w:footnote w:type="continuationSeparator" w:id="0">
    <w:p w14:paraId="5FF82BDE" w14:textId="77777777" w:rsidR="00446793" w:rsidRDefault="00446793" w:rsidP="00164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85E4E"/>
    <w:multiLevelType w:val="hybridMultilevel"/>
    <w:tmpl w:val="2534B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1C6E5C"/>
    <w:multiLevelType w:val="hybridMultilevel"/>
    <w:tmpl w:val="F8CEA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B24CA9"/>
    <w:multiLevelType w:val="hybridMultilevel"/>
    <w:tmpl w:val="58E848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32"/>
    <w:rsid w:val="00164031"/>
    <w:rsid w:val="0022200B"/>
    <w:rsid w:val="00446793"/>
    <w:rsid w:val="006D54E0"/>
    <w:rsid w:val="00854A32"/>
    <w:rsid w:val="00AA72C9"/>
    <w:rsid w:val="00AF4F32"/>
    <w:rsid w:val="00DF0A29"/>
    <w:rsid w:val="00FC3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C669D"/>
  <w15:chartTrackingRefBased/>
  <w15:docId w15:val="{AFE6A7E3-1B27-2A4E-AB41-98D2C4EB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A32"/>
    <w:rPr>
      <w:rFonts w:ascii="Times New Roman" w:hAnsi="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54A32"/>
    <w:rPr>
      <w:i/>
      <w:iCs/>
    </w:rPr>
  </w:style>
  <w:style w:type="character" w:customStyle="1" w:styleId="hlfld-contribauthor">
    <w:name w:val="hlfld-contribauthor"/>
    <w:basedOn w:val="DefaultParagraphFont"/>
    <w:rsid w:val="00854A32"/>
  </w:style>
  <w:style w:type="character" w:customStyle="1" w:styleId="nlmgiven-names">
    <w:name w:val="nlm_given-names"/>
    <w:basedOn w:val="DefaultParagraphFont"/>
    <w:rsid w:val="00854A32"/>
  </w:style>
  <w:style w:type="character" w:customStyle="1" w:styleId="nlmyear">
    <w:name w:val="nlm_year"/>
    <w:basedOn w:val="DefaultParagraphFont"/>
    <w:rsid w:val="00854A32"/>
  </w:style>
  <w:style w:type="character" w:customStyle="1" w:styleId="reflink-block">
    <w:name w:val="reflink-block"/>
    <w:basedOn w:val="DefaultParagraphFont"/>
    <w:rsid w:val="00854A32"/>
  </w:style>
  <w:style w:type="paragraph" w:styleId="ListParagraph">
    <w:name w:val="List Paragraph"/>
    <w:basedOn w:val="Normal"/>
    <w:uiPriority w:val="34"/>
    <w:qFormat/>
    <w:rsid w:val="00DF0A29"/>
    <w:pPr>
      <w:ind w:left="720"/>
      <w:contextualSpacing/>
    </w:pPr>
  </w:style>
  <w:style w:type="character" w:styleId="Hyperlink">
    <w:name w:val="Hyperlink"/>
    <w:basedOn w:val="DefaultParagraphFont"/>
    <w:uiPriority w:val="99"/>
    <w:unhideWhenUsed/>
    <w:rsid w:val="00DF0A29"/>
    <w:rPr>
      <w:color w:val="0563C1" w:themeColor="hyperlink"/>
      <w:u w:val="single"/>
    </w:rPr>
  </w:style>
  <w:style w:type="character" w:styleId="UnresolvedMention">
    <w:name w:val="Unresolved Mention"/>
    <w:basedOn w:val="DefaultParagraphFont"/>
    <w:uiPriority w:val="99"/>
    <w:semiHidden/>
    <w:unhideWhenUsed/>
    <w:rsid w:val="00DF0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500/20112084.854" TargetMode="External"/><Relationship Id="rId13" Type="http://schemas.openxmlformats.org/officeDocument/2006/relationships/hyperlink" Target="https://doi.org/10.1037/0022-0167.46.3.342" TargetMode="External"/><Relationship Id="rId18" Type="http://schemas.openxmlformats.org/officeDocument/2006/relationships/hyperlink" Target="https://doi.org/10.1016/j.socscimed.2013.03.0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2/j.1556-6678.2009.tb00550.x" TargetMode="External"/><Relationship Id="rId17" Type="http://schemas.openxmlformats.org/officeDocument/2006/relationships/hyperlink" Target="https://doi.org/10.1176/ps.48.10.1328" TargetMode="External"/><Relationship Id="rId2" Type="http://schemas.openxmlformats.org/officeDocument/2006/relationships/numbering" Target="numbering.xml"/><Relationship Id="rId16" Type="http://schemas.openxmlformats.org/officeDocument/2006/relationships/hyperlink" Target="https://doi.org/10.1176/appi.ps.58.12.159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23/a:1013177014788" TargetMode="External"/><Relationship Id="rId5" Type="http://schemas.openxmlformats.org/officeDocument/2006/relationships/webSettings" Target="webSettings.xml"/><Relationship Id="rId15" Type="http://schemas.openxmlformats.org/officeDocument/2006/relationships/hyperlink" Target="http://dx.doi.org/10.1353/csd.2015.0001" TargetMode="External"/><Relationship Id="rId10" Type="http://schemas.openxmlformats.org/officeDocument/2006/relationships/hyperlink" Target="https://doi.org/10.1177/074817560933686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1177/0011000003031003008" TargetMode="External"/><Relationship Id="rId14" Type="http://schemas.openxmlformats.org/officeDocument/2006/relationships/hyperlink" Target="https://doi.org/10.1016/j.cpr.2011.05.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EF3B5E48-7C3B-0D48-9706-CA80116D5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1466</Words>
  <Characters>8358</Characters>
  <Application>Microsoft Office Word</Application>
  <DocSecurity>0</DocSecurity>
  <Lines>69</Lines>
  <Paragraphs>19</Paragraphs>
  <ScaleCrop>false</ScaleCrop>
  <Company/>
  <LinksUpToDate>false</LinksUpToDate>
  <CharactersWithSpaces>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Elayne Zhou</dc:creator>
  <cp:keywords/>
  <dc:description/>
  <cp:lastModifiedBy>Kalina Michalska</cp:lastModifiedBy>
  <cp:revision>2</cp:revision>
  <dcterms:created xsi:type="dcterms:W3CDTF">2021-04-11T18:24:00Z</dcterms:created>
  <dcterms:modified xsi:type="dcterms:W3CDTF">2021-04-11T18:24:00Z</dcterms:modified>
</cp:coreProperties>
</file>