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D52D3" w:rsidP="6B14731B" w:rsidRDefault="0032458F" w14:paraId="00000001" w14:textId="03BC8098">
      <w:pPr>
        <w:rPr>
          <w:b w:val="1"/>
          <w:bCs w:val="1"/>
          <w:lang w:val="en-US"/>
        </w:rPr>
      </w:pPr>
      <w:r w:rsidRPr="4B441F88" w:rsidR="5D92C62C">
        <w:rPr>
          <w:b w:val="1"/>
          <w:bCs w:val="1"/>
          <w:lang w:val="en-US"/>
        </w:rPr>
        <w:t>Online Resource</w:t>
      </w:r>
      <w:r w:rsidRPr="4B441F88" w:rsidR="1C5D8DA0">
        <w:rPr>
          <w:b w:val="1"/>
          <w:bCs w:val="1"/>
          <w:lang w:val="en-US"/>
        </w:rPr>
        <w:t>:</w:t>
      </w:r>
      <w:r w:rsidRPr="4B441F88" w:rsidR="0032458F">
        <w:rPr>
          <w:b w:val="1"/>
          <w:bCs w:val="1"/>
          <w:lang w:val="en-US"/>
        </w:rPr>
        <w:t xml:space="preserve"> Methodological Considerations</w:t>
      </w:r>
    </w:p>
    <w:p w:rsidR="008D52D3" w:rsidRDefault="008D52D3" w14:paraId="00000002" w14:textId="77777777"/>
    <w:p w:rsidR="008D52D3" w:rsidRDefault="0032458F" w14:paraId="00000003" w14:textId="77777777">
      <w:pPr>
        <w:rPr>
          <w:b/>
        </w:rPr>
      </w:pPr>
      <w:r>
        <w:rPr>
          <w:b/>
        </w:rPr>
        <w:t>The Index of the Concentration of the Extremes (ICE)</w:t>
      </w:r>
    </w:p>
    <w:p w:rsidR="008D52D3" w:rsidRDefault="008D52D3" w14:paraId="00000004" w14:textId="77777777"/>
    <w:p w:rsidR="008D52D3" w:rsidRDefault="0032458F" w14:paraId="00000005" w14:textId="77777777">
      <w:r>
        <w:t>ICE is calculated by the following formula:</w:t>
      </w:r>
    </w:p>
    <w:p w:rsidR="008D52D3" w:rsidRDefault="0032458F" w14:paraId="00000006" w14:textId="77777777">
      <w:pPr>
        <w:jc w:val="center"/>
      </w:pPr>
      <w:r w:rsidRPr="6C74A820">
        <w:rPr>
          <w:lang w:val="en-US"/>
        </w:rPr>
        <w:t>ICE</w:t>
      </w:r>
      <w:r w:rsidRPr="6C74A820">
        <w:rPr>
          <w:vertAlign w:val="subscript"/>
          <w:lang w:val="en-US"/>
        </w:rPr>
        <w:t xml:space="preserve">i </w:t>
      </w:r>
      <w:r w:rsidRPr="6C74A820">
        <w:rPr>
          <w:lang w:val="en-US"/>
        </w:rPr>
        <w:t xml:space="preserve">= </w:t>
      </w:r>
      <m:oMath>
        <m:f>
          <m:fPr>
            <m:ctrlPr>
              <w:rPr>
                <w:rFonts w:ascii="Cambria Math" w:hAnsi="Cambria Math"/>
              </w:rPr>
            </m:ctrlPr>
          </m:fPr>
          <m:num>
            <m:r>
              <w:rPr>
                <w:rFonts w:ascii="Cambria Math" w:hAnsi="Cambria Math"/>
              </w:rPr>
              <m:t>(</m:t>
            </m:r>
            <m:r>
              <w:rPr>
                <w:rFonts w:ascii="Cambria Math" w:hAnsi="Cambria Math"/>
              </w:rPr>
              <m:t>A</m:t>
            </m:r>
            <m:r>
              <w:rPr>
                <w:rFonts w:ascii="Cambria Math" w:hAnsi="Cambria Math"/>
                <w:vertAlign w:val="subscript"/>
              </w:rPr>
              <m:t>i</m:t>
            </m:r>
            <m:r>
              <w:rPr>
                <w:rFonts w:ascii="Cambria Math" w:hAnsi="Cambria Math"/>
              </w:rPr>
              <m:t xml:space="preserve"> - </m:t>
            </m:r>
            <m:r>
              <w:rPr>
                <w:rFonts w:ascii="Cambria Math" w:hAnsi="Cambria Math"/>
              </w:rPr>
              <m:t>Pi</m:t>
            </m:r>
            <m:r>
              <w:rPr>
                <w:rFonts w:ascii="Cambria Math" w:hAnsi="Cambria Math"/>
              </w:rPr>
              <m:t>)</m:t>
            </m:r>
          </m:num>
          <m:den>
            <m:r>
              <w:rPr>
                <w:rFonts w:ascii="Cambria Math" w:hAnsi="Cambria Math"/>
              </w:rPr>
              <m:t xml:space="preserve"> </m:t>
            </m:r>
            <m:r>
              <w:rPr>
                <w:rFonts w:ascii="Cambria Math" w:hAnsi="Cambria Math"/>
              </w:rPr>
              <m:t>Ti</m:t>
            </m:r>
          </m:den>
        </m:f>
      </m:oMath>
      <w:r w:rsidRPr="6C74A820">
        <w:rPr>
          <w:lang w:val="en-US"/>
        </w:rPr>
        <w:t xml:space="preserve"> </w:t>
      </w:r>
    </w:p>
    <w:p w:rsidR="008D52D3" w:rsidRDefault="0032458F" w14:paraId="00000007" w14:textId="77777777">
      <w:r w:rsidRPr="6C74A820">
        <w:rPr>
          <w:i/>
          <w:iCs/>
          <w:lang w:val="en-US"/>
        </w:rPr>
        <w:t>A</w:t>
      </w:r>
      <w:r w:rsidRPr="6C74A820">
        <w:rPr>
          <w:i/>
          <w:iCs/>
          <w:vertAlign w:val="subscript"/>
          <w:lang w:val="en-US"/>
        </w:rPr>
        <w:t>i</w:t>
      </w:r>
      <w:r w:rsidRPr="6C74A820">
        <w:rPr>
          <w:i/>
          <w:iCs/>
          <w:lang w:val="en-US"/>
        </w:rPr>
        <w:t xml:space="preserve"> </w:t>
      </w:r>
      <w:r w:rsidRPr="6C74A820">
        <w:rPr>
          <w:lang w:val="en-US"/>
        </w:rPr>
        <w:t>represents</w:t>
      </w:r>
      <w:r w:rsidRPr="6C74A820">
        <w:rPr>
          <w:lang w:val="en-US"/>
        </w:rPr>
        <w:t xml:space="preserve"> the number of people or households in the most privileged extreme, </w:t>
      </w:r>
      <w:r w:rsidRPr="6C74A820">
        <w:rPr>
          <w:i/>
          <w:iCs/>
          <w:lang w:val="en-US"/>
        </w:rPr>
        <w:t>P</w:t>
      </w:r>
      <w:r w:rsidRPr="6C74A820">
        <w:rPr>
          <w:i/>
          <w:iCs/>
          <w:vertAlign w:val="subscript"/>
          <w:lang w:val="en-US"/>
        </w:rPr>
        <w:t>i</w:t>
      </w:r>
      <w:r w:rsidRPr="6C74A820">
        <w:rPr>
          <w:lang w:val="en-US"/>
        </w:rPr>
        <w:t xml:space="preserve"> represents the number of people or households in the most deprived extreme, and </w:t>
      </w:r>
      <w:r w:rsidRPr="6C74A820">
        <w:rPr>
          <w:i/>
          <w:iCs/>
          <w:lang w:val="en-US"/>
        </w:rPr>
        <w:t>T</w:t>
      </w:r>
      <w:r w:rsidRPr="6C74A820">
        <w:rPr>
          <w:i/>
          <w:iCs/>
          <w:vertAlign w:val="subscript"/>
          <w:lang w:val="en-US"/>
        </w:rPr>
        <w:t xml:space="preserve">i </w:t>
      </w:r>
      <w:r w:rsidRPr="6C74A820">
        <w:rPr>
          <w:lang w:val="en-US"/>
        </w:rPr>
        <w:t>represents the total number of people or households.</w:t>
      </w:r>
      <w:hyperlink r:id="rId4">
        <w:r w:rsidRPr="6C74A820">
          <w:rPr>
            <w:color w:val="000000" w:themeColor="text1"/>
            <w:vertAlign w:val="superscript"/>
            <w:lang w:val="en-US"/>
          </w:rPr>
          <w:t>1</w:t>
        </w:r>
      </w:hyperlink>
      <w:r w:rsidRPr="6C74A820">
        <w:rPr>
          <w:lang w:val="en-US"/>
        </w:rPr>
        <w:t xml:space="preserve"> ICE</w:t>
      </w:r>
      <w:r w:rsidRPr="6C74A820">
        <w:rPr>
          <w:vertAlign w:val="subscript"/>
          <w:lang w:val="en-US"/>
        </w:rPr>
        <w:t>race</w:t>
      </w:r>
      <w:r w:rsidRPr="6C74A820">
        <w:rPr>
          <w:lang w:val="en-US"/>
        </w:rPr>
        <w:t>, ICE</w:t>
      </w:r>
      <w:r w:rsidRPr="6C74A820">
        <w:rPr>
          <w:vertAlign w:val="subscript"/>
          <w:lang w:val="en-US"/>
        </w:rPr>
        <w:t xml:space="preserve"> income</w:t>
      </w:r>
      <w:r w:rsidRPr="6C74A820">
        <w:rPr>
          <w:lang w:val="en-US"/>
        </w:rPr>
        <w:t xml:space="preserve"> , and ICE</w:t>
      </w:r>
      <w:r w:rsidRPr="6C74A820">
        <w:rPr>
          <w:vertAlign w:val="subscript"/>
          <w:lang w:val="en-US"/>
        </w:rPr>
        <w:t>race-income</w:t>
      </w:r>
      <w:r w:rsidRPr="6C74A820">
        <w:rPr>
          <w:lang w:val="en-US"/>
        </w:rPr>
        <w:t xml:space="preserve"> use Non-Hispanic White persons, households with income &gt;125,000, and Non-Hispanic White households with income &gt;125,000 as the most privileged extreme, respectively, and Non-Hispanic Black persons, households with income &lt;20,000, and Black households with income &lt;20,000 as the most deprived extreme, respectively. Demographic data used to calculate the ICE measures were obtained from publicly available 5-year American Community Survey (ACS) data and matched to each b</w:t>
      </w:r>
      <w:r w:rsidRPr="6C74A820">
        <w:rPr>
          <w:lang w:val="en-US"/>
        </w:rPr>
        <w:t xml:space="preserve">irth by year and county. ICE values were divided by the standard deviation for each measure using data from across the country to obtain standard deviation increments for the exposures for analyses. </w:t>
      </w:r>
    </w:p>
    <w:p w:rsidR="008D52D3" w:rsidRDefault="008D52D3" w14:paraId="00000008" w14:textId="77777777"/>
    <w:p w:rsidR="008D52D3" w:rsidRDefault="0032458F" w14:paraId="00000009" w14:textId="77777777">
      <w:pPr>
        <w:rPr>
          <w:b/>
        </w:rPr>
      </w:pPr>
      <w:r>
        <w:rPr>
          <w:b/>
        </w:rPr>
        <w:t>Disparity Rate Ratio</w:t>
      </w:r>
    </w:p>
    <w:p w:rsidR="008D52D3" w:rsidRDefault="0032458F" w14:paraId="0000000A" w14:textId="77777777">
      <w:r w:rsidRPr="6C74A820">
        <w:rPr>
          <w:lang w:val="en-US"/>
        </w:rPr>
        <w:t>Disparity rate ratios have been used to compare rates between two cohorts and determine disparities that may exist between these. They have been employed both to determine disparities of a marginalized group relative to a White reference group,</w:t>
      </w:r>
      <w:hyperlink r:id="rId5">
        <w:r w:rsidRPr="6C74A820">
          <w:rPr>
            <w:color w:val="000000" w:themeColor="text1"/>
            <w:vertAlign w:val="superscript"/>
            <w:lang w:val="en-US"/>
          </w:rPr>
          <w:t>2</w:t>
        </w:r>
      </w:hyperlink>
      <w:r w:rsidRPr="6C74A820">
        <w:rPr>
          <w:lang w:val="en-US"/>
        </w:rPr>
        <w:t xml:space="preserve"> but also to elucidate disparities within a certain group by different characteristics such as rurality</w:t>
      </w:r>
      <w:hyperlink r:id="rId6">
        <w:r w:rsidRPr="6C74A820">
          <w:rPr>
            <w:color w:val="000000" w:themeColor="text1"/>
            <w:vertAlign w:val="superscript"/>
            <w:lang w:val="en-US"/>
          </w:rPr>
          <w:t>3</w:t>
        </w:r>
      </w:hyperlink>
      <w:r w:rsidRPr="6C74A820">
        <w:rPr>
          <w:lang w:val="en-US"/>
        </w:rPr>
        <w:t xml:space="preserve"> or socioeconomic status.</w:t>
      </w:r>
      <w:hyperlink r:id="rId7">
        <w:r w:rsidRPr="6C74A820">
          <w:rPr>
            <w:color w:val="000000" w:themeColor="text1"/>
            <w:vertAlign w:val="superscript"/>
            <w:lang w:val="en-US"/>
          </w:rPr>
          <w:t>4</w:t>
        </w:r>
      </w:hyperlink>
      <w:r w:rsidRPr="6C74A820">
        <w:rPr>
          <w:lang w:val="en-US"/>
        </w:rPr>
        <w:t xml:space="preserve"> As such it has emerged</w:t>
      </w:r>
      <w:r w:rsidRPr="6C74A820">
        <w:rPr>
          <w:lang w:val="en-US"/>
        </w:rPr>
        <w:t xml:space="preserve"> as a tool to measure inequality or disparity in an outcome. </w:t>
      </w:r>
    </w:p>
    <w:p w:rsidR="008D52D3" w:rsidRDefault="008D52D3" w14:paraId="0000000B" w14:textId="77777777"/>
    <w:p w:rsidR="008D52D3" w:rsidRDefault="0032458F" w14:paraId="0000000C" w14:textId="77777777">
      <w:r>
        <w:t>For our county-level analyses, we defined our outcome variable as the ratio of preterm birth rates between the immigrant and US-born black populations within each county:</w:t>
      </w:r>
    </w:p>
    <w:p w:rsidR="008D52D3" w:rsidRDefault="008D52D3" w14:paraId="0000000D" w14:textId="77777777"/>
    <w:p w:rsidR="008D52D3" w:rsidRDefault="0032458F" w14:paraId="0000000E" w14:textId="77777777">
      <m:oMathPara>
        <m:oMath>
          <m:r>
            <w:rPr>
              <w:rFonts w:ascii="Cambria Math" w:hAnsi="Cambria Math"/>
            </w:rPr>
            <m:t xml:space="preserve">(# </m:t>
          </m:r>
          <m:r>
            <w:rPr>
              <w:rFonts w:ascii="Cambria Math" w:hAnsi="Cambria Math"/>
            </w:rPr>
            <m:t>of</m:t>
          </m:r>
          <m:r>
            <w:rPr>
              <w:rFonts w:ascii="Cambria Math" w:hAnsi="Cambria Math"/>
            </w:rPr>
            <m:t xml:space="preserve"> </m:t>
          </m:r>
          <m:r>
            <w:rPr>
              <w:rFonts w:ascii="Cambria Math" w:hAnsi="Cambria Math"/>
            </w:rPr>
            <m:t>Foreign</m:t>
          </m:r>
          <m:r>
            <w:rPr>
              <w:rFonts w:ascii="Cambria Math" w:hAnsi="Cambria Math"/>
            </w:rPr>
            <m:t>-</m:t>
          </m:r>
          <m:r>
            <w:rPr>
              <w:rFonts w:ascii="Cambria Math" w:hAnsi="Cambria Math"/>
            </w:rPr>
            <m:t>born</m:t>
          </m:r>
          <m:r>
            <w:rPr>
              <w:rFonts w:ascii="Cambria Math" w:hAnsi="Cambria Math"/>
            </w:rPr>
            <m:t xml:space="preserve"> </m:t>
          </m:r>
          <m:r>
            <w:rPr>
              <w:rFonts w:ascii="Cambria Math" w:hAnsi="Cambria Math"/>
            </w:rPr>
            <m:t>PTB</m:t>
          </m:r>
          <m:r>
            <w:rPr>
              <w:rFonts w:ascii="Cambria Math" w:hAnsi="Cambria Math"/>
            </w:rPr>
            <m:t xml:space="preserve">/# </m:t>
          </m:r>
          <m:r>
            <w:rPr>
              <w:rFonts w:ascii="Cambria Math" w:hAnsi="Cambria Math"/>
            </w:rPr>
            <m:t>of</m:t>
          </m:r>
          <m:r>
            <w:rPr>
              <w:rFonts w:ascii="Cambria Math" w:hAnsi="Cambria Math"/>
            </w:rPr>
            <m:t xml:space="preserve"> </m:t>
          </m:r>
          <m:r>
            <w:rPr>
              <w:rFonts w:ascii="Cambria Math" w:hAnsi="Cambria Math"/>
            </w:rPr>
            <m:t>Foreign</m:t>
          </m:r>
          <m:r>
            <w:rPr>
              <w:rFonts w:ascii="Cambria Math" w:hAnsi="Cambria Math"/>
            </w:rPr>
            <m:t>-</m:t>
          </m:r>
          <m:r>
            <w:rPr>
              <w:rFonts w:ascii="Cambria Math" w:hAnsi="Cambria Math"/>
            </w:rPr>
            <m:t>born</m:t>
          </m:r>
          <m:r>
            <w:rPr>
              <w:rFonts w:ascii="Cambria Math" w:hAnsi="Cambria Math"/>
            </w:rPr>
            <m:t xml:space="preserve"> </m:t>
          </m:r>
          <m:r>
            <w:rPr>
              <w:rFonts w:ascii="Cambria Math" w:hAnsi="Cambria Math"/>
            </w:rPr>
            <m:t>Birt</m:t>
          </m:r>
          <m:r>
            <w:rPr>
              <w:rFonts w:ascii="Cambria Math" w:hAnsi="Cambria Math"/>
            </w:rPr>
            <m:t>h</m:t>
          </m:r>
          <m:r>
            <w:rPr>
              <w:rFonts w:ascii="Cambria Math" w:hAnsi="Cambria Math"/>
            </w:rPr>
            <m:t>s</m:t>
          </m:r>
          <m:r>
            <w:rPr>
              <w:rFonts w:ascii="Cambria Math" w:hAnsi="Cambria Math"/>
            </w:rPr>
            <m:t>)</m:t>
          </m:r>
        </m:oMath>
      </m:oMathPara>
    </w:p>
    <w:p w:rsidR="008D52D3" w:rsidRDefault="008D52D3" w14:paraId="0000000F" w14:textId="77777777"/>
    <w:p w:rsidR="008D52D3" w:rsidRDefault="008D52D3" w14:paraId="00000010" w14:textId="77777777"/>
    <w:p w:rsidR="008D52D3" w:rsidRDefault="0032458F" w14:paraId="00000011" w14:textId="77777777">
      <w:r w:rsidRPr="6C74A820">
        <w:rPr>
          <w:lang w:val="en-US"/>
        </w:rPr>
        <w:t xml:space="preserve">We see that if this county-level disparity rate ratio is less than one, then the numerator (foreign-born PTB rate) is less than the denominator (US-born PTB rate. This indicates a relative county-level immigrant advantage. On the other hand, if the ratio is greater than one, then our PTB disparity rate ratio indicates a relative county-level immigrant disadvantage, as the number of PTBs among foreign-born people in the county is greater relative to the number of PTBs among US-born Black individuals. </w:t>
      </w:r>
    </w:p>
    <w:p w:rsidR="008D52D3" w:rsidRDefault="008D52D3" w14:paraId="00000012" w14:textId="77777777"/>
    <w:p w:rsidR="008D52D3" w:rsidRDefault="0032458F" w14:paraId="00000013" w14:textId="77777777">
      <w:r>
        <w:rPr>
          <w:b/>
        </w:rPr>
        <w:t xml:space="preserve">Bayesian Estimators  </w:t>
      </w:r>
    </w:p>
    <w:p w:rsidR="008D52D3" w:rsidRDefault="0032458F" w14:paraId="00000014" w14:textId="1ACB9727">
      <w:r w:rsidR="0032458F">
        <w:rPr/>
        <w:t xml:space="preserve">Since we restricted to counties with at least 100 births overall and 25 foreign-born births, both denominators of the preterm birth rates are non-zero. However, it is possible for either the number of foreign-born preterm births or the number of US-born preterm births to be zero. The latter situation is particularly problematic since the rate ratio would be undefined due to division by zero. There were </w:t>
      </w:r>
      <w:r w:rsidR="7D7D092F">
        <w:rPr/>
        <w:t>five</w:t>
      </w:r>
      <w:r w:rsidR="0032458F">
        <w:rPr/>
        <w:t xml:space="preserve"> counties that had either zero foreign-born preterm births or zero US-born preterm births.</w:t>
      </w:r>
    </w:p>
    <w:p w:rsidR="008D52D3" w:rsidRDefault="008D52D3" w14:paraId="00000015" w14:textId="77777777"/>
    <w:p w:rsidR="008D52D3" w:rsidRDefault="0032458F" w14:paraId="00000016" w14:textId="013FF0B1">
      <w:r w:rsidRPr="44E0F0D5" w:rsidR="0032458F">
        <w:rPr>
          <w:lang w:val="en-US"/>
        </w:rPr>
        <w:t>In order to</w:t>
      </w:r>
      <w:r w:rsidRPr="44E0F0D5" w:rsidR="0032458F">
        <w:rPr>
          <w:lang w:val="en-US"/>
        </w:rPr>
        <w:t xml:space="preserve"> be able to conduct our analyses without excluding these </w:t>
      </w:r>
      <w:r w:rsidRPr="44E0F0D5" w:rsidR="0E8A19CB">
        <w:rPr>
          <w:lang w:val="en-US"/>
        </w:rPr>
        <w:t xml:space="preserve">five </w:t>
      </w:r>
      <w:r w:rsidRPr="44E0F0D5" w:rsidR="0032458F">
        <w:rPr>
          <w:lang w:val="en-US"/>
        </w:rPr>
        <w:t>counties where there were either zero preterm births among foreign-born or US-born Black individuals, we implemented a Bayesian estimator for the preterm birth rates of both populations. A Bayes estimator combines observed data with prior information to form a posterior estimate of a parameter and can be particularly useful in situations with small sample sizes or rare events.</w:t>
      </w:r>
      <w:hyperlink r:id="R9634c8759e704645">
        <w:r w:rsidRPr="44E0F0D5" w:rsidR="0032458F">
          <w:rPr>
            <w:color w:val="000000" w:themeColor="text1" w:themeTint="FF" w:themeShade="FF"/>
            <w:vertAlign w:val="superscript"/>
            <w:lang w:val="en-US"/>
          </w:rPr>
          <w:t>5</w:t>
        </w:r>
      </w:hyperlink>
      <w:r w:rsidRPr="44E0F0D5" w:rsidR="0032458F">
        <w:rPr>
          <w:lang w:val="en-US"/>
        </w:rPr>
        <w:t xml:space="preserve"> Assuming the data generating process is a binomial distribution for the preterm births, a classic choice for the prior distribution on the probability of a preterm birth would be the beta distribution. To specify the prior hyperparameters, we employed an empirical Bayes approach with prior moment matching method.</w:t>
      </w:r>
      <w:hyperlink r:id="R740e461eecd140c5">
        <w:r w:rsidRPr="44E0F0D5" w:rsidR="0032458F">
          <w:rPr>
            <w:color w:val="000000" w:themeColor="text1" w:themeTint="FF" w:themeShade="FF"/>
            <w:vertAlign w:val="superscript"/>
            <w:lang w:val="en-US"/>
          </w:rPr>
          <w:t>6</w:t>
        </w:r>
      </w:hyperlink>
      <w:r w:rsidRPr="44E0F0D5" w:rsidR="0032458F">
        <w:rPr>
          <w:lang w:val="en-US"/>
        </w:rPr>
        <w:t xml:space="preserve"> Using empirical Bayes estimators for the preterm birth rates allows for a simple and intuitive method to correct for the small sample sizes and </w:t>
      </w:r>
      <w:r w:rsidRPr="44E0F0D5" w:rsidR="0032458F">
        <w:rPr>
          <w:lang w:val="en-US"/>
        </w:rPr>
        <w:t>relatively rare</w:t>
      </w:r>
      <w:r w:rsidRPr="44E0F0D5" w:rsidR="0032458F">
        <w:rPr>
          <w:lang w:val="en-US"/>
        </w:rPr>
        <w:t xml:space="preserve"> outcomes of Black preterm births within a county. Formulas and derivations to achieve Bayesian estimators for preterm birth rates are available upon request. </w:t>
      </w:r>
    </w:p>
    <w:p w:rsidR="008D52D3" w:rsidRDefault="008D52D3" w14:paraId="00000017" w14:textId="77777777"/>
    <w:p w:rsidR="008D52D3" w:rsidRDefault="008D52D3" w14:paraId="00000018" w14:textId="77777777"/>
    <w:p w:rsidR="008D52D3" w:rsidRDefault="0032458F" w14:paraId="00000019" w14:textId="77777777">
      <w:pPr>
        <w:rPr>
          <w:b/>
        </w:rPr>
      </w:pPr>
      <w:r>
        <w:rPr>
          <w:b/>
        </w:rPr>
        <w:t xml:space="preserve">References </w:t>
      </w:r>
    </w:p>
    <w:p w:rsidR="008D52D3" w:rsidRDefault="0032458F" w14:paraId="0000001A" w14:textId="77777777">
      <w:pPr>
        <w:widowControl w:val="0"/>
        <w:pBdr>
          <w:top w:val="nil"/>
          <w:left w:val="nil"/>
          <w:bottom w:val="nil"/>
          <w:right w:val="nil"/>
          <w:between w:val="nil"/>
        </w:pBdr>
        <w:spacing w:before="240" w:after="240" w:line="240" w:lineRule="auto"/>
        <w:ind w:left="480" w:hanging="480"/>
      </w:pPr>
      <w:r>
        <w:t>1.</w:t>
      </w:r>
      <w:r>
        <w:tab/>
      </w:r>
      <w:hyperlink r:id="rId10">
        <w:r>
          <w:rPr>
            <w:color w:val="000000"/>
          </w:rPr>
          <w:t xml:space="preserve">Krieger N, Waterman PD, Batra N, Murphy JS, Dooley DP, Shah SN. Measures of Local Segregation for Monitoring Health Inequities by Local Health Departments. </w:t>
        </w:r>
      </w:hyperlink>
      <w:hyperlink r:id="rId11">
        <w:r>
          <w:rPr>
            <w:i/>
            <w:color w:val="000000"/>
          </w:rPr>
          <w:t>Am J Public Health</w:t>
        </w:r>
      </w:hyperlink>
      <w:hyperlink r:id="rId12">
        <w:r>
          <w:rPr>
            <w:color w:val="000000"/>
          </w:rPr>
          <w:t>. 2017;107(6):903-906.</w:t>
        </w:r>
      </w:hyperlink>
    </w:p>
    <w:p w:rsidR="008D52D3" w:rsidRDefault="0032458F" w14:paraId="0000001B" w14:textId="77777777">
      <w:pPr>
        <w:widowControl w:val="0"/>
        <w:pBdr>
          <w:top w:val="nil"/>
          <w:left w:val="nil"/>
          <w:bottom w:val="nil"/>
          <w:right w:val="nil"/>
          <w:between w:val="nil"/>
        </w:pBdr>
        <w:spacing w:after="240" w:line="240" w:lineRule="auto"/>
        <w:ind w:left="480" w:hanging="480"/>
      </w:pPr>
      <w:r>
        <w:t>2.</w:t>
      </w:r>
      <w:r>
        <w:tab/>
      </w:r>
      <w:hyperlink r:id="rId13">
        <w:r>
          <w:rPr>
            <w:color w:val="000000"/>
          </w:rPr>
          <w:t xml:space="preserve">Karaye IM, Maleki N, Yunusa I. Racial and Ethnic Disparities in Alcohol-Attributed Deaths in the United States, 1999-2020. </w:t>
        </w:r>
      </w:hyperlink>
      <w:hyperlink r:id="rId14">
        <w:r>
          <w:rPr>
            <w:i/>
            <w:color w:val="000000"/>
          </w:rPr>
          <w:t>Int J Environ Res Public Health</w:t>
        </w:r>
      </w:hyperlink>
      <w:hyperlink r:id="rId15">
        <w:r>
          <w:rPr>
            <w:color w:val="000000"/>
          </w:rPr>
          <w:t>. 2023;20(8). doi:</w:t>
        </w:r>
      </w:hyperlink>
      <w:hyperlink r:id="rId16">
        <w:r>
          <w:rPr>
            <w:color w:val="000000"/>
          </w:rPr>
          <w:t>10.3390/ijerph20085587</w:t>
        </w:r>
      </w:hyperlink>
    </w:p>
    <w:p w:rsidR="008D52D3" w:rsidRDefault="0032458F" w14:paraId="0000001C" w14:textId="77777777">
      <w:pPr>
        <w:widowControl w:val="0"/>
        <w:pBdr>
          <w:top w:val="nil"/>
          <w:left w:val="nil"/>
          <w:bottom w:val="nil"/>
          <w:right w:val="nil"/>
          <w:between w:val="nil"/>
        </w:pBdr>
        <w:spacing w:after="240" w:line="240" w:lineRule="auto"/>
        <w:ind w:left="480" w:hanging="480"/>
      </w:pPr>
      <w:r>
        <w:t>3.</w:t>
      </w:r>
      <w:r>
        <w:tab/>
      </w:r>
      <w:hyperlink r:id="rId17">
        <w:r>
          <w:rPr>
            <w:color w:val="000000"/>
          </w:rPr>
          <w:t xml:space="preserve">Martens P, Brownell M, Au W, et al. </w:t>
        </w:r>
      </w:hyperlink>
      <w:hyperlink r:id="rId18">
        <w:r>
          <w:rPr>
            <w:i/>
            <w:color w:val="000000"/>
          </w:rPr>
          <w:t>Health Inequities in Manitoba: Is the Socioeconomic Gap in Health Widening or Narrowing over Time?</w:t>
        </w:r>
      </w:hyperlink>
      <w:hyperlink r:id="rId19">
        <w:r>
          <w:rPr>
            <w:color w:val="000000"/>
          </w:rPr>
          <w:t xml:space="preserve"> University of Manitoba Centre for Health Policy; 2010. </w:t>
        </w:r>
      </w:hyperlink>
      <w:hyperlink r:id="rId20">
        <w:r>
          <w:rPr>
            <w:color w:val="000000"/>
          </w:rPr>
          <w:t>http://mchp-appserv.cpe.umanitoba.ca/reference/Health_Ineq_final_WEB.pdf</w:t>
        </w:r>
      </w:hyperlink>
    </w:p>
    <w:p w:rsidR="008D52D3" w:rsidRDefault="0032458F" w14:paraId="0000001D" w14:textId="77777777">
      <w:pPr>
        <w:widowControl w:val="0"/>
        <w:pBdr>
          <w:top w:val="nil"/>
          <w:left w:val="nil"/>
          <w:bottom w:val="nil"/>
          <w:right w:val="nil"/>
          <w:between w:val="nil"/>
        </w:pBdr>
        <w:spacing w:after="240" w:line="240" w:lineRule="auto"/>
        <w:ind w:left="480" w:hanging="480"/>
      </w:pPr>
      <w:r>
        <w:t>4.</w:t>
      </w:r>
      <w:r>
        <w:tab/>
      </w:r>
      <w:hyperlink r:id="rId21">
        <w:r>
          <w:rPr>
            <w:color w:val="000000"/>
          </w:rPr>
          <w:t xml:space="preserve">Iqbal MH. Disparities of health service for the poor in the coastal area: does Universal health coverage reduce disparities? </w:t>
        </w:r>
      </w:hyperlink>
      <w:hyperlink r:id="rId22">
        <w:r>
          <w:rPr>
            <w:i/>
            <w:color w:val="000000"/>
          </w:rPr>
          <w:t>J Mark Access Health Policy</w:t>
        </w:r>
      </w:hyperlink>
      <w:hyperlink r:id="rId23">
        <w:r>
          <w:rPr>
            <w:color w:val="000000"/>
          </w:rPr>
          <w:t>. 2019;7(1):1575683.</w:t>
        </w:r>
      </w:hyperlink>
    </w:p>
    <w:p w:rsidR="008D52D3" w:rsidRDefault="0032458F" w14:paraId="0000001E" w14:textId="77777777">
      <w:pPr>
        <w:widowControl w:val="0"/>
        <w:pBdr>
          <w:top w:val="nil"/>
          <w:left w:val="nil"/>
          <w:bottom w:val="nil"/>
          <w:right w:val="nil"/>
          <w:between w:val="nil"/>
        </w:pBdr>
        <w:spacing w:after="240" w:line="240" w:lineRule="auto"/>
        <w:ind w:left="480" w:hanging="480"/>
      </w:pPr>
      <w:r>
        <w:t>5.</w:t>
      </w:r>
      <w:r>
        <w:tab/>
      </w:r>
      <w:hyperlink r:id="rId24">
        <w:r>
          <w:rPr>
            <w:color w:val="000000"/>
          </w:rPr>
          <w:t xml:space="preserve">Gribok A, Agarwal V, Yadav V. Performance of empirical Bayes estimation techniques used in probabilistic risk assessment. </w:t>
        </w:r>
      </w:hyperlink>
      <w:hyperlink r:id="rId25">
        <w:r>
          <w:rPr>
            <w:i/>
            <w:color w:val="000000"/>
          </w:rPr>
          <w:t>Reliab Eng Syst Saf</w:t>
        </w:r>
      </w:hyperlink>
      <w:hyperlink r:id="rId26">
        <w:r>
          <w:rPr>
            <w:color w:val="000000"/>
          </w:rPr>
          <w:t>. 2020;201:106805.</w:t>
        </w:r>
      </w:hyperlink>
    </w:p>
    <w:p w:rsidR="008D52D3" w:rsidP="10E4B3C3" w:rsidRDefault="0032458F" w14:paraId="0000001F" w14:textId="77777777">
      <w:pPr>
        <w:widowControl w:val="0"/>
        <w:pBdr>
          <w:top w:val="nil" w:color="000000" w:sz="0" w:space="0"/>
          <w:left w:val="nil" w:color="000000" w:sz="0" w:space="0"/>
          <w:bottom w:val="nil" w:color="000000" w:sz="0" w:space="0"/>
          <w:right w:val="nil" w:color="000000" w:sz="0" w:space="0"/>
          <w:between w:val="nil" w:color="000000" w:sz="0" w:space="0"/>
        </w:pBdr>
        <w:spacing w:after="240" w:line="240" w:lineRule="auto"/>
        <w:ind w:left="480" w:hanging="480"/>
        <w:rPr/>
      </w:pPr>
      <w:r w:rsidR="0032458F">
        <w:rPr/>
        <w:t>6.</w:t>
      </w:r>
      <w:r>
        <w:tab/>
      </w:r>
      <w:hyperlink r:id="Rd572b890992b42dc">
        <w:r w:rsidRPr="10E4B3C3" w:rsidR="0032458F">
          <w:rPr>
            <w:color w:val="000000" w:themeColor="text1" w:themeTint="FF" w:themeShade="FF"/>
          </w:rPr>
          <w:t xml:space="preserve">Siu NO, Kelly DL. Bayesian parameter estimation in probabilistic risk assessment. </w:t>
        </w:r>
      </w:hyperlink>
      <w:hyperlink r:id="Rca0485f607924108">
        <w:r w:rsidRPr="10E4B3C3" w:rsidR="0032458F">
          <w:rPr>
            <w:i w:val="1"/>
            <w:iCs w:val="1"/>
            <w:color w:val="000000" w:themeColor="text1" w:themeTint="FF" w:themeShade="FF"/>
          </w:rPr>
          <w:t>Reliab Eng Syst Saf</w:t>
        </w:r>
      </w:hyperlink>
      <w:hyperlink r:id="R7a73e71692314210">
        <w:r w:rsidRPr="10E4B3C3" w:rsidR="0032458F">
          <w:rPr>
            <w:color w:val="000000" w:themeColor="text1" w:themeTint="FF" w:themeShade="FF"/>
          </w:rPr>
          <w:t>. 1998;62(1):89-116.</w:t>
        </w:r>
      </w:hyperlink>
    </w:p>
    <w:p w:rsidR="008D52D3" w:rsidP="10E4B3C3" w:rsidRDefault="008D52D3" w14:paraId="14B0021C" w14:textId="24ECAA5B">
      <w:pPr>
        <w:widowControl w:val="0"/>
        <w:rPr/>
      </w:pPr>
      <w:r>
        <w:br w:type="page"/>
      </w:r>
    </w:p>
    <w:p w:rsidR="008D52D3" w:rsidP="10E4B3C3" w:rsidRDefault="008D52D3" w14:paraId="2949448B" w14:textId="37D4AFD4">
      <w:pPr>
        <w:pStyle w:val="Normal"/>
        <w:widowControl w:val="0"/>
        <w:pBdr>
          <w:top w:val="nil" w:color="000000" w:sz="0" w:space="0"/>
          <w:left w:val="nil" w:color="000000" w:sz="0" w:space="0"/>
          <w:bottom w:val="nil" w:color="000000" w:sz="0" w:space="0"/>
          <w:right w:val="nil" w:color="000000" w:sz="0" w:space="0"/>
          <w:between w:val="nil" w:color="000000" w:sz="0" w:space="0"/>
        </w:pBdr>
        <w:spacing w:after="240" w:line="240" w:lineRule="auto"/>
        <w:ind w:left="480" w:hanging="480"/>
        <w:rPr>
          <w:color w:val="000000" w:themeColor="text1" w:themeTint="FF" w:themeShade="FF"/>
        </w:rPr>
      </w:pPr>
    </w:p>
    <w:tbl>
      <w:tblPr>
        <w:tblStyle w:val="TableNormal"/>
        <w:tblW w:w="0" w:type="auto"/>
        <w:tblBorders>
          <w:top w:val="single" w:sz="6"/>
          <w:left w:val="single" w:sz="6"/>
          <w:bottom w:val="single" w:sz="6"/>
          <w:right w:val="single" w:sz="6"/>
        </w:tblBorders>
        <w:tblLayout w:type="fixed"/>
        <w:tblLook w:val="0600" w:firstRow="0" w:lastRow="0" w:firstColumn="0" w:lastColumn="0" w:noHBand="1" w:noVBand="1"/>
      </w:tblPr>
      <w:tblGrid>
        <w:gridCol w:w="4680"/>
        <w:gridCol w:w="4680"/>
      </w:tblGrid>
      <w:tr w:rsidR="10E4B3C3" w:rsidTr="1C0B8CD8" w14:paraId="4E6EE57A">
        <w:trPr>
          <w:trHeight w:val="750"/>
        </w:trPr>
        <w:tc>
          <w:tcPr>
            <w:tcW w:w="9360" w:type="dxa"/>
            <w:gridSpan w:val="2"/>
            <w:tcBorders>
              <w:top w:val="single" w:sz="18"/>
              <w:left w:val="nil"/>
              <w:bottom w:val="nil"/>
              <w:right w:val="nil"/>
            </w:tcBorders>
            <w:tcMar>
              <w:top w:w="90" w:type="dxa"/>
              <w:left w:w="30" w:type="dxa"/>
              <w:bottom w:w="90" w:type="dxa"/>
              <w:right w:w="30" w:type="dxa"/>
            </w:tcMar>
            <w:vAlign w:val="center"/>
          </w:tcPr>
          <w:p w:rsidR="10E4B3C3" w:rsidP="1C0B8CD8" w:rsidRDefault="10E4B3C3" w14:paraId="6954F8FD" w14:textId="2681D27B">
            <w:pPr>
              <w:spacing w:line="276" w:lineRule="auto"/>
              <w:ind w:right="140"/>
              <w:rPr>
                <w:rFonts w:ascii="Arial" w:hAnsi="Arial" w:eastAsia="Arial" w:cs="Arial"/>
                <w:b w:val="0"/>
                <w:bCs w:val="0"/>
                <w:i w:val="0"/>
                <w:iCs w:val="0"/>
                <w:sz w:val="22"/>
                <w:szCs w:val="22"/>
                <w:lang w:val="en-US"/>
              </w:rPr>
            </w:pPr>
            <w:r w:rsidRPr="1C0B8CD8" w:rsidR="53AECA37">
              <w:rPr>
                <w:rFonts w:ascii="Arial" w:hAnsi="Arial" w:eastAsia="Arial" w:cs="Arial"/>
                <w:b w:val="1"/>
                <w:bCs w:val="1"/>
                <w:i w:val="0"/>
                <w:iCs w:val="0"/>
                <w:sz w:val="22"/>
                <w:szCs w:val="22"/>
                <w:lang w:val="en-US"/>
              </w:rPr>
              <w:t>Online Resource 2</w:t>
            </w:r>
            <w:r w:rsidRPr="1C0B8CD8" w:rsidR="1AADDCD9">
              <w:rPr>
                <w:rFonts w:ascii="Arial" w:hAnsi="Arial" w:eastAsia="Arial" w:cs="Arial"/>
                <w:b w:val="1"/>
                <w:bCs w:val="1"/>
                <w:i w:val="0"/>
                <w:iCs w:val="0"/>
                <w:sz w:val="22"/>
                <w:szCs w:val="22"/>
                <w:lang w:val="en-US"/>
              </w:rPr>
              <w:t>. Sensitivity Analyses of County-Level Relationship using Bayesian Estimated PTB Disparity Rate Ratios</w:t>
            </w:r>
            <w:r w:rsidRPr="1C0B8CD8" w:rsidR="4B9E9D35">
              <w:rPr>
                <w:rFonts w:ascii="Arial" w:hAnsi="Arial" w:eastAsia="Arial" w:cs="Arial"/>
                <w:b w:val="1"/>
                <w:bCs w:val="1"/>
                <w:i w:val="0"/>
                <w:iCs w:val="0"/>
                <w:sz w:val="22"/>
                <w:szCs w:val="22"/>
                <w:lang w:val="en-US"/>
              </w:rPr>
              <w:t xml:space="preserve"> (n=622 counties)</w:t>
            </w:r>
          </w:p>
        </w:tc>
      </w:tr>
      <w:tr w:rsidR="10E4B3C3" w:rsidTr="1C0B8CD8" w14:paraId="03C58DC1">
        <w:trPr>
          <w:trHeight w:val="300"/>
        </w:trPr>
        <w:tc>
          <w:tcPr>
            <w:tcW w:w="4680" w:type="dxa"/>
            <w:tcBorders>
              <w:top w:val="single" w:sz="6"/>
              <w:left w:val="nil"/>
              <w:bottom w:val="single" w:sz="6"/>
              <w:right w:val="nil"/>
            </w:tcBorders>
            <w:tcMar>
              <w:top w:w="90" w:type="dxa"/>
              <w:left w:w="30" w:type="dxa"/>
              <w:bottom w:w="90" w:type="dxa"/>
              <w:right w:w="30" w:type="dxa"/>
            </w:tcMar>
            <w:vAlign w:val="bottom"/>
          </w:tcPr>
          <w:p w:rsidR="10E4B3C3" w:rsidP="10E4B3C3" w:rsidRDefault="10E4B3C3" w14:paraId="0BEEE57A" w14:textId="6F839180">
            <w:pPr>
              <w:spacing w:line="276" w:lineRule="auto"/>
              <w:ind w:right="-53"/>
              <w:rPr>
                <w:rFonts w:ascii="Arial" w:hAnsi="Arial" w:eastAsia="Arial" w:cs="Arial"/>
                <w:b w:val="0"/>
                <w:bCs w:val="0"/>
                <w:i w:val="0"/>
                <w:iCs w:val="0"/>
                <w:sz w:val="20"/>
                <w:szCs w:val="20"/>
              </w:rPr>
            </w:pPr>
            <w:r w:rsidRPr="10E4B3C3" w:rsidR="10E4B3C3">
              <w:rPr>
                <w:rFonts w:ascii="Arial" w:hAnsi="Arial" w:eastAsia="Arial" w:cs="Arial"/>
                <w:b w:val="1"/>
                <w:bCs w:val="1"/>
                <w:i w:val="0"/>
                <w:iCs w:val="0"/>
                <w:sz w:val="20"/>
                <w:szCs w:val="20"/>
                <w:lang w:val="en"/>
              </w:rPr>
              <w:t>County-Level Risk &amp; Resilience Factors</w:t>
            </w:r>
            <w:r w:rsidRPr="10E4B3C3" w:rsidR="10E4B3C3">
              <w:rPr>
                <w:rFonts w:ascii="Arial" w:hAnsi="Arial" w:eastAsia="Arial" w:cs="Arial"/>
                <w:b w:val="1"/>
                <w:bCs w:val="1"/>
                <w:i w:val="0"/>
                <w:iCs w:val="0"/>
                <w:sz w:val="20"/>
                <w:szCs w:val="20"/>
                <w:vertAlign w:val="superscript"/>
                <w:lang w:val="en"/>
              </w:rPr>
              <w:t>1</w:t>
            </w:r>
            <w:r w:rsidRPr="10E4B3C3" w:rsidR="10E4B3C3">
              <w:rPr>
                <w:rFonts w:ascii="Arial" w:hAnsi="Arial" w:eastAsia="Arial" w:cs="Arial"/>
                <w:b w:val="1"/>
                <w:bCs w:val="1"/>
                <w:i w:val="0"/>
                <w:iCs w:val="0"/>
                <w:sz w:val="20"/>
                <w:szCs w:val="20"/>
                <w:lang w:val="en"/>
              </w:rPr>
              <w:t xml:space="preserve"> </w:t>
            </w:r>
          </w:p>
        </w:tc>
        <w:tc>
          <w:tcPr>
            <w:tcW w:w="4680" w:type="dxa"/>
            <w:tcBorders>
              <w:top w:val="single" w:sz="6"/>
              <w:left w:val="nil"/>
              <w:bottom w:val="single" w:sz="6"/>
              <w:right w:val="nil"/>
            </w:tcBorders>
            <w:tcMar>
              <w:top w:w="90" w:type="dxa"/>
              <w:left w:w="30" w:type="dxa"/>
              <w:bottom w:w="90" w:type="dxa"/>
              <w:right w:w="30" w:type="dxa"/>
            </w:tcMar>
            <w:vAlign w:val="center"/>
          </w:tcPr>
          <w:p w:rsidR="10E4B3C3" w:rsidP="10E4B3C3" w:rsidRDefault="10E4B3C3" w14:paraId="4E475EA8" w14:textId="548775F2">
            <w:pPr>
              <w:spacing w:line="276" w:lineRule="auto"/>
              <w:ind w:left="140" w:right="140"/>
              <w:jc w:val="center"/>
              <w:rPr>
                <w:rFonts w:ascii="Arial" w:hAnsi="Arial" w:eastAsia="Arial" w:cs="Arial"/>
                <w:b w:val="0"/>
                <w:bCs w:val="0"/>
                <w:i w:val="0"/>
                <w:iCs w:val="0"/>
                <w:sz w:val="16"/>
                <w:szCs w:val="16"/>
              </w:rPr>
            </w:pPr>
            <w:r w:rsidRPr="10E4B3C3" w:rsidR="10E4B3C3">
              <w:rPr>
                <w:rFonts w:ascii="Arial" w:hAnsi="Arial" w:eastAsia="Arial" w:cs="Arial"/>
                <w:b w:val="1"/>
                <w:bCs w:val="1"/>
                <w:i w:val="0"/>
                <w:iCs w:val="0"/>
                <w:sz w:val="20"/>
                <w:szCs w:val="20"/>
                <w:lang w:val="en"/>
              </w:rPr>
              <w:t>County-level Immigrant preterm birth (PTB) Disparity Rate Ratio</w:t>
            </w:r>
            <w:r w:rsidRPr="10E4B3C3" w:rsidR="10E4B3C3">
              <w:rPr>
                <w:rFonts w:ascii="Arial" w:hAnsi="Arial" w:eastAsia="Arial" w:cs="Arial"/>
                <w:b w:val="1"/>
                <w:bCs w:val="1"/>
                <w:i w:val="0"/>
                <w:iCs w:val="0"/>
                <w:sz w:val="20"/>
                <w:szCs w:val="20"/>
                <w:vertAlign w:val="superscript"/>
                <w:lang w:val="en"/>
              </w:rPr>
              <w:t>2</w:t>
            </w:r>
          </w:p>
        </w:tc>
      </w:tr>
      <w:tr w:rsidR="10E4B3C3" w:rsidTr="1C0B8CD8" w14:paraId="66C4B157">
        <w:trPr>
          <w:trHeight w:val="105"/>
        </w:trPr>
        <w:tc>
          <w:tcPr>
            <w:tcW w:w="4680" w:type="dxa"/>
            <w:tcBorders>
              <w:top w:val="single" w:sz="6"/>
              <w:left w:val="nil"/>
              <w:bottom w:val="single" w:sz="6"/>
              <w:right w:val="nil"/>
            </w:tcBorders>
            <w:tcMar>
              <w:top w:w="90" w:type="dxa"/>
              <w:left w:w="30" w:type="dxa"/>
              <w:bottom w:w="90" w:type="dxa"/>
              <w:right w:w="30" w:type="dxa"/>
            </w:tcMar>
            <w:vAlign w:val="bottom"/>
          </w:tcPr>
          <w:p w:rsidR="10E4B3C3" w:rsidP="10E4B3C3" w:rsidRDefault="10E4B3C3" w14:paraId="4B2BC527" w14:textId="76889A93">
            <w:pPr>
              <w:spacing w:line="276" w:lineRule="auto"/>
              <w:ind w:left="140" w:right="140"/>
              <w:rPr>
                <w:rFonts w:ascii="Arial" w:hAnsi="Arial" w:eastAsia="Arial" w:cs="Arial"/>
                <w:b w:val="0"/>
                <w:bCs w:val="0"/>
                <w:i w:val="0"/>
                <w:iCs w:val="0"/>
                <w:sz w:val="20"/>
                <w:szCs w:val="20"/>
              </w:rPr>
            </w:pPr>
            <w:r w:rsidRPr="10E4B3C3" w:rsidR="10E4B3C3">
              <w:rPr>
                <w:rFonts w:ascii="Arial" w:hAnsi="Arial" w:eastAsia="Arial" w:cs="Arial"/>
                <w:b w:val="0"/>
                <w:bCs w:val="0"/>
                <w:i w:val="0"/>
                <w:iCs w:val="0"/>
                <w:sz w:val="20"/>
                <w:szCs w:val="20"/>
                <w:lang w:val="en"/>
              </w:rPr>
              <w:t xml:space="preserve"> </w:t>
            </w:r>
          </w:p>
        </w:tc>
        <w:tc>
          <w:tcPr>
            <w:tcW w:w="4680" w:type="dxa"/>
            <w:tcBorders>
              <w:top w:val="single" w:sz="6"/>
              <w:left w:val="nil"/>
              <w:bottom w:val="single" w:sz="6"/>
              <w:right w:val="nil"/>
            </w:tcBorders>
            <w:tcMar>
              <w:top w:w="90" w:type="dxa"/>
              <w:left w:w="30" w:type="dxa"/>
              <w:bottom w:w="90" w:type="dxa"/>
              <w:right w:w="30" w:type="dxa"/>
            </w:tcMar>
            <w:vAlign w:val="center"/>
          </w:tcPr>
          <w:p w:rsidR="10E4B3C3" w:rsidP="10E4B3C3" w:rsidRDefault="10E4B3C3" w14:paraId="3AB4BF48" w14:textId="334218E4">
            <w:pPr>
              <w:spacing w:line="276" w:lineRule="auto"/>
              <w:ind w:left="140" w:right="140"/>
              <w:jc w:val="center"/>
              <w:rPr>
                <w:rFonts w:ascii="Arial" w:hAnsi="Arial" w:eastAsia="Arial" w:cs="Arial"/>
                <w:b w:val="0"/>
                <w:bCs w:val="0"/>
                <w:i w:val="0"/>
                <w:iCs w:val="0"/>
                <w:sz w:val="20"/>
                <w:szCs w:val="20"/>
              </w:rPr>
            </w:pPr>
            <w:r w:rsidRPr="10E4B3C3" w:rsidR="10E4B3C3">
              <w:rPr>
                <w:rFonts w:ascii="Arial" w:hAnsi="Arial" w:eastAsia="Arial" w:cs="Arial"/>
                <w:b w:val="0"/>
                <w:bCs w:val="0"/>
                <w:i w:val="1"/>
                <w:iCs w:val="1"/>
                <w:sz w:val="20"/>
                <w:szCs w:val="20"/>
                <w:lang w:val="en-US"/>
              </w:rPr>
              <w:t>Effect estimate (95% Confidence Intervals)</w:t>
            </w:r>
          </w:p>
        </w:tc>
      </w:tr>
      <w:tr w:rsidR="10E4B3C3" w:rsidTr="1C0B8CD8" w14:paraId="53AEDF6D">
        <w:trPr>
          <w:trHeight w:val="15"/>
        </w:trPr>
        <w:tc>
          <w:tcPr>
            <w:tcW w:w="9360" w:type="dxa"/>
            <w:gridSpan w:val="2"/>
            <w:tcBorders>
              <w:top w:val="single" w:sz="6"/>
              <w:left w:val="nil"/>
              <w:bottom w:val="nil"/>
              <w:right w:val="nil"/>
            </w:tcBorders>
            <w:tcMar>
              <w:top w:w="90" w:type="dxa"/>
              <w:left w:w="30" w:type="dxa"/>
              <w:bottom w:w="90" w:type="dxa"/>
              <w:right w:w="30" w:type="dxa"/>
            </w:tcMar>
            <w:vAlign w:val="center"/>
          </w:tcPr>
          <w:p w:rsidR="10E4B3C3" w:rsidP="10E4B3C3" w:rsidRDefault="10E4B3C3" w14:paraId="433E1E18" w14:textId="39B0BEBE">
            <w:pPr>
              <w:spacing w:line="276" w:lineRule="auto"/>
              <w:ind w:left="44" w:right="140"/>
              <w:rPr>
                <w:rFonts w:ascii="Arial" w:hAnsi="Arial" w:eastAsia="Arial" w:cs="Arial"/>
                <w:b w:val="0"/>
                <w:bCs w:val="0"/>
                <w:i w:val="0"/>
                <w:iCs w:val="0"/>
                <w:sz w:val="20"/>
                <w:szCs w:val="20"/>
              </w:rPr>
            </w:pPr>
            <w:r w:rsidRPr="10E4B3C3" w:rsidR="10E4B3C3">
              <w:rPr>
                <w:rFonts w:ascii="Arial" w:hAnsi="Arial" w:eastAsia="Arial" w:cs="Arial"/>
                <w:b w:val="1"/>
                <w:bCs w:val="1"/>
                <w:i w:val="0"/>
                <w:iCs w:val="0"/>
                <w:sz w:val="20"/>
                <w:szCs w:val="20"/>
                <w:lang w:val="en"/>
              </w:rPr>
              <w:t>Part A. Unadjusted models with each factor assessed individually</w:t>
            </w:r>
          </w:p>
        </w:tc>
      </w:tr>
      <w:tr w:rsidR="10E4B3C3" w:rsidTr="1C0B8CD8" w14:paraId="68E887BB">
        <w:trPr>
          <w:trHeight w:val="15"/>
        </w:trPr>
        <w:tc>
          <w:tcPr>
            <w:tcW w:w="4680" w:type="dxa"/>
            <w:tcBorders>
              <w:top w:val="single" w:sz="6"/>
              <w:left w:val="nil"/>
              <w:bottom w:val="nil"/>
              <w:right w:val="nil"/>
            </w:tcBorders>
            <w:tcMar>
              <w:top w:w="90" w:type="dxa"/>
              <w:left w:w="30" w:type="dxa"/>
              <w:bottom w:w="90" w:type="dxa"/>
              <w:right w:w="30" w:type="dxa"/>
            </w:tcMar>
            <w:vAlign w:val="bottom"/>
          </w:tcPr>
          <w:p w:rsidR="10E4B3C3" w:rsidP="1C0B8CD8" w:rsidRDefault="10E4B3C3" w14:paraId="631647DD" w14:textId="6A5AC55A">
            <w:pPr>
              <w:spacing w:line="276" w:lineRule="auto"/>
              <w:ind w:left="140" w:right="140"/>
              <w:rPr>
                <w:rFonts w:ascii="Arial" w:hAnsi="Arial" w:eastAsia="Arial" w:cs="Arial"/>
                <w:b w:val="0"/>
                <w:bCs w:val="0"/>
                <w:i w:val="0"/>
                <w:iCs w:val="0"/>
                <w:sz w:val="22"/>
                <w:szCs w:val="22"/>
              </w:rPr>
            </w:pPr>
            <w:r w:rsidRPr="1C0B8CD8" w:rsidR="73739B74">
              <w:rPr>
                <w:rFonts w:ascii="Arial" w:hAnsi="Arial" w:eastAsia="Arial" w:cs="Arial"/>
                <w:b w:val="0"/>
                <w:bCs w:val="0"/>
                <w:i w:val="0"/>
                <w:iCs w:val="0"/>
                <w:sz w:val="22"/>
                <w:szCs w:val="22"/>
                <w:lang w:val="en"/>
              </w:rPr>
              <w:t xml:space="preserve">Model 8: </w:t>
            </w:r>
            <w:r w:rsidRPr="1C0B8CD8" w:rsidR="10E4B3C3">
              <w:rPr>
                <w:rFonts w:ascii="Arial" w:hAnsi="Arial" w:eastAsia="Arial" w:cs="Arial"/>
                <w:b w:val="0"/>
                <w:bCs w:val="0"/>
                <w:i w:val="0"/>
                <w:iCs w:val="0"/>
                <w:sz w:val="22"/>
                <w:szCs w:val="22"/>
                <w:lang w:val="en"/>
              </w:rPr>
              <w:t>Percent living in poverty</w:t>
            </w:r>
          </w:p>
        </w:tc>
        <w:tc>
          <w:tcPr>
            <w:tcW w:w="4680" w:type="dxa"/>
            <w:tcBorders>
              <w:top w:val="single" w:sz="6"/>
              <w:left w:val="nil"/>
              <w:bottom w:val="nil"/>
              <w:right w:val="nil"/>
            </w:tcBorders>
            <w:tcMar>
              <w:top w:w="90" w:type="dxa"/>
              <w:left w:w="30" w:type="dxa"/>
              <w:bottom w:w="90" w:type="dxa"/>
              <w:right w:w="30" w:type="dxa"/>
            </w:tcMar>
            <w:vAlign w:val="bottom"/>
          </w:tcPr>
          <w:p w:rsidR="10E4B3C3" w:rsidP="6B14731B" w:rsidRDefault="10E4B3C3" w14:paraId="6EE5AF93" w14:textId="125A3B8D">
            <w:pPr>
              <w:spacing w:line="276" w:lineRule="auto"/>
              <w:ind w:left="140" w:right="140"/>
              <w:jc w:val="center"/>
              <w:rPr>
                <w:rFonts w:ascii="Arial" w:hAnsi="Arial" w:eastAsia="Arial" w:cs="Arial"/>
                <w:b w:val="1"/>
                <w:bCs w:val="1"/>
                <w:i w:val="0"/>
                <w:iCs w:val="0"/>
                <w:color w:val="000000" w:themeColor="text1" w:themeTint="FF" w:themeShade="FF"/>
                <w:sz w:val="22"/>
                <w:szCs w:val="22"/>
                <w:lang w:val="en"/>
              </w:rPr>
            </w:pPr>
            <w:r w:rsidRPr="6B14731B" w:rsidR="10E4B3C3">
              <w:rPr>
                <w:rFonts w:ascii="Arial" w:hAnsi="Arial" w:eastAsia="Arial" w:cs="Arial"/>
                <w:b w:val="1"/>
                <w:bCs w:val="1"/>
                <w:i w:val="0"/>
                <w:iCs w:val="0"/>
                <w:color w:val="000000" w:themeColor="text1" w:themeTint="FF" w:themeShade="FF"/>
                <w:sz w:val="22"/>
                <w:szCs w:val="22"/>
                <w:lang w:val="en"/>
              </w:rPr>
              <w:t>-0.0</w:t>
            </w:r>
            <w:r w:rsidRPr="6B14731B" w:rsidR="6B87E24F">
              <w:rPr>
                <w:rFonts w:ascii="Arial" w:hAnsi="Arial" w:eastAsia="Arial" w:cs="Arial"/>
                <w:b w:val="1"/>
                <w:bCs w:val="1"/>
                <w:i w:val="0"/>
                <w:iCs w:val="0"/>
                <w:color w:val="000000" w:themeColor="text1" w:themeTint="FF" w:themeShade="FF"/>
                <w:sz w:val="22"/>
                <w:szCs w:val="22"/>
                <w:lang w:val="en"/>
              </w:rPr>
              <w:t>3</w:t>
            </w:r>
            <w:r w:rsidRPr="6B14731B" w:rsidR="10E4B3C3">
              <w:rPr>
                <w:rFonts w:ascii="Arial" w:hAnsi="Arial" w:eastAsia="Arial" w:cs="Arial"/>
                <w:b w:val="1"/>
                <w:bCs w:val="1"/>
                <w:i w:val="0"/>
                <w:iCs w:val="0"/>
                <w:color w:val="000000" w:themeColor="text1" w:themeTint="FF" w:themeShade="FF"/>
                <w:sz w:val="22"/>
                <w:szCs w:val="22"/>
                <w:lang w:val="en"/>
              </w:rPr>
              <w:t xml:space="preserve"> (-0.0</w:t>
            </w:r>
            <w:r w:rsidRPr="6B14731B" w:rsidR="3EC91B42">
              <w:rPr>
                <w:rFonts w:ascii="Arial" w:hAnsi="Arial" w:eastAsia="Arial" w:cs="Arial"/>
                <w:b w:val="1"/>
                <w:bCs w:val="1"/>
                <w:i w:val="0"/>
                <w:iCs w:val="0"/>
                <w:color w:val="000000" w:themeColor="text1" w:themeTint="FF" w:themeShade="FF"/>
                <w:sz w:val="22"/>
                <w:szCs w:val="22"/>
                <w:lang w:val="en"/>
              </w:rPr>
              <w:t>5</w:t>
            </w:r>
            <w:r w:rsidRPr="6B14731B" w:rsidR="10E4B3C3">
              <w:rPr>
                <w:rFonts w:ascii="Arial" w:hAnsi="Arial" w:eastAsia="Arial" w:cs="Arial"/>
                <w:b w:val="1"/>
                <w:bCs w:val="1"/>
                <w:i w:val="0"/>
                <w:iCs w:val="0"/>
                <w:color w:val="000000" w:themeColor="text1" w:themeTint="FF" w:themeShade="FF"/>
                <w:sz w:val="22"/>
                <w:szCs w:val="22"/>
                <w:lang w:val="en"/>
              </w:rPr>
              <w:t>,</w:t>
            </w:r>
            <w:r w:rsidRPr="6B14731B" w:rsidR="18392999">
              <w:rPr>
                <w:rFonts w:ascii="Arial" w:hAnsi="Arial" w:eastAsia="Arial" w:cs="Arial"/>
                <w:b w:val="1"/>
                <w:bCs w:val="1"/>
                <w:i w:val="0"/>
                <w:iCs w:val="0"/>
                <w:color w:val="000000" w:themeColor="text1" w:themeTint="FF" w:themeShade="FF"/>
                <w:sz w:val="22"/>
                <w:szCs w:val="22"/>
                <w:lang w:val="en"/>
              </w:rPr>
              <w:t xml:space="preserve"> -0.02)</w:t>
            </w:r>
          </w:p>
        </w:tc>
      </w:tr>
      <w:tr w:rsidR="10E4B3C3" w:rsidTr="1C0B8CD8" w14:paraId="3E84EC0C">
        <w:trPr>
          <w:trHeight w:val="15"/>
        </w:trPr>
        <w:tc>
          <w:tcPr>
            <w:tcW w:w="4680" w:type="dxa"/>
            <w:tcBorders>
              <w:top w:val="nil"/>
              <w:left w:val="nil"/>
              <w:bottom w:val="nil"/>
              <w:right w:val="nil"/>
            </w:tcBorders>
            <w:tcMar>
              <w:top w:w="90" w:type="dxa"/>
              <w:left w:w="30" w:type="dxa"/>
              <w:bottom w:w="90" w:type="dxa"/>
              <w:right w:w="30" w:type="dxa"/>
            </w:tcMar>
            <w:vAlign w:val="bottom"/>
          </w:tcPr>
          <w:p w:rsidR="10E4B3C3" w:rsidP="1C0B8CD8" w:rsidRDefault="10E4B3C3" w14:paraId="25A77B12" w14:textId="2D421622">
            <w:pPr>
              <w:spacing w:line="276" w:lineRule="auto"/>
              <w:ind w:left="140" w:right="140"/>
              <w:rPr>
                <w:rFonts w:ascii="Arial" w:hAnsi="Arial" w:eastAsia="Arial" w:cs="Arial"/>
                <w:b w:val="0"/>
                <w:bCs w:val="0"/>
                <w:i w:val="0"/>
                <w:iCs w:val="0"/>
                <w:sz w:val="22"/>
                <w:szCs w:val="22"/>
              </w:rPr>
            </w:pPr>
            <w:r w:rsidRPr="1C0B8CD8" w:rsidR="7007A1B0">
              <w:rPr>
                <w:rFonts w:ascii="Arial" w:hAnsi="Arial" w:eastAsia="Arial" w:cs="Arial"/>
                <w:b w:val="0"/>
                <w:bCs w:val="0"/>
                <w:i w:val="0"/>
                <w:iCs w:val="0"/>
                <w:sz w:val="22"/>
                <w:szCs w:val="22"/>
                <w:lang w:val="en"/>
              </w:rPr>
              <w:t xml:space="preserve">Model 9: </w:t>
            </w:r>
            <w:r w:rsidRPr="1C0B8CD8" w:rsidR="10E4B3C3">
              <w:rPr>
                <w:rFonts w:ascii="Arial" w:hAnsi="Arial" w:eastAsia="Arial" w:cs="Arial"/>
                <w:b w:val="0"/>
                <w:bCs w:val="0"/>
                <w:i w:val="0"/>
                <w:iCs w:val="0"/>
                <w:sz w:val="22"/>
                <w:szCs w:val="22"/>
                <w:lang w:val="en"/>
              </w:rPr>
              <w:t>Percent without health insurance</w:t>
            </w:r>
          </w:p>
        </w:tc>
        <w:tc>
          <w:tcPr>
            <w:tcW w:w="4680" w:type="dxa"/>
            <w:tcBorders>
              <w:top w:val="nil"/>
              <w:left w:val="nil"/>
              <w:bottom w:val="nil"/>
              <w:right w:val="nil"/>
            </w:tcBorders>
            <w:tcMar>
              <w:top w:w="90" w:type="dxa"/>
              <w:left w:w="30" w:type="dxa"/>
              <w:bottom w:w="90" w:type="dxa"/>
              <w:right w:w="30" w:type="dxa"/>
            </w:tcMar>
            <w:vAlign w:val="bottom"/>
          </w:tcPr>
          <w:p w:rsidR="10E4B3C3" w:rsidP="6B14731B" w:rsidRDefault="10E4B3C3" w14:paraId="0E3E8247" w14:textId="4FEFDF5C">
            <w:pPr>
              <w:spacing w:line="276" w:lineRule="auto"/>
              <w:ind w:left="140" w:right="140"/>
              <w:jc w:val="center"/>
              <w:rPr>
                <w:rFonts w:ascii="Arial" w:hAnsi="Arial" w:eastAsia="Arial" w:cs="Arial"/>
                <w:b w:val="0"/>
                <w:bCs w:val="0"/>
                <w:i w:val="0"/>
                <w:iCs w:val="0"/>
                <w:color w:val="000000" w:themeColor="text1" w:themeTint="FF" w:themeShade="FF"/>
                <w:sz w:val="22"/>
                <w:szCs w:val="22"/>
                <w:lang w:val="en-US"/>
              </w:rPr>
            </w:pPr>
            <w:r w:rsidRPr="6B14731B" w:rsidR="10E4B3C3">
              <w:rPr>
                <w:rFonts w:ascii="Arial" w:hAnsi="Arial" w:eastAsia="Arial" w:cs="Arial"/>
                <w:b w:val="1"/>
                <w:bCs w:val="1"/>
                <w:i w:val="0"/>
                <w:iCs w:val="0"/>
                <w:color w:val="000000" w:themeColor="text1" w:themeTint="FF" w:themeShade="FF"/>
                <w:sz w:val="22"/>
                <w:szCs w:val="22"/>
                <w:lang w:val="en-US"/>
              </w:rPr>
              <w:t>-0.02 (-0.</w:t>
            </w:r>
            <w:r w:rsidRPr="6B14731B" w:rsidR="10E4B3C3">
              <w:rPr>
                <w:rFonts w:ascii="Arial" w:hAnsi="Arial" w:eastAsia="Arial" w:cs="Arial"/>
                <w:b w:val="1"/>
                <w:bCs w:val="1"/>
                <w:i w:val="0"/>
                <w:iCs w:val="0"/>
                <w:color w:val="000000" w:themeColor="text1" w:themeTint="FF" w:themeShade="FF"/>
                <w:sz w:val="22"/>
                <w:szCs w:val="22"/>
                <w:lang w:val="en-US"/>
              </w:rPr>
              <w:t>0</w:t>
            </w:r>
            <w:r w:rsidRPr="6B14731B" w:rsidR="4B324A63">
              <w:rPr>
                <w:rFonts w:ascii="Arial" w:hAnsi="Arial" w:eastAsia="Arial" w:cs="Arial"/>
                <w:b w:val="1"/>
                <w:bCs w:val="1"/>
                <w:i w:val="0"/>
                <w:iCs w:val="0"/>
                <w:color w:val="000000" w:themeColor="text1" w:themeTint="FF" w:themeShade="FF"/>
                <w:sz w:val="22"/>
                <w:szCs w:val="22"/>
                <w:lang w:val="en-US"/>
              </w:rPr>
              <w:t>4</w:t>
            </w:r>
            <w:r w:rsidRPr="6B14731B" w:rsidR="10E4B3C3">
              <w:rPr>
                <w:rFonts w:ascii="Arial" w:hAnsi="Arial" w:eastAsia="Arial" w:cs="Arial"/>
                <w:b w:val="1"/>
                <w:bCs w:val="1"/>
                <w:i w:val="0"/>
                <w:iCs w:val="0"/>
                <w:color w:val="000000" w:themeColor="text1" w:themeTint="FF" w:themeShade="FF"/>
                <w:sz w:val="22"/>
                <w:szCs w:val="22"/>
                <w:lang w:val="en-US"/>
              </w:rPr>
              <w:t>,</w:t>
            </w:r>
            <w:r w:rsidRPr="6B14731B" w:rsidR="404E45AD">
              <w:rPr>
                <w:rFonts w:ascii="Arial" w:hAnsi="Arial" w:eastAsia="Arial" w:cs="Arial"/>
                <w:b w:val="1"/>
                <w:bCs w:val="1"/>
                <w:i w:val="0"/>
                <w:iCs w:val="0"/>
                <w:color w:val="000000" w:themeColor="text1" w:themeTint="FF" w:themeShade="FF"/>
                <w:sz w:val="22"/>
                <w:szCs w:val="22"/>
                <w:lang w:val="en-US"/>
              </w:rPr>
              <w:t xml:space="preserve"> </w:t>
            </w:r>
            <w:r w:rsidRPr="6B14731B" w:rsidR="631B70A0">
              <w:rPr>
                <w:rFonts w:ascii="Arial" w:hAnsi="Arial" w:eastAsia="Arial" w:cs="Arial"/>
                <w:b w:val="1"/>
                <w:bCs w:val="1"/>
                <w:i w:val="0"/>
                <w:iCs w:val="0"/>
                <w:color w:val="000000" w:themeColor="text1" w:themeTint="FF" w:themeShade="FF"/>
                <w:sz w:val="22"/>
                <w:szCs w:val="22"/>
                <w:lang w:val="en-US"/>
              </w:rPr>
              <w:t>-</w:t>
            </w:r>
            <w:r w:rsidRPr="6B14731B" w:rsidR="10E4B3C3">
              <w:rPr>
                <w:rFonts w:ascii="Arial" w:hAnsi="Arial" w:eastAsia="Arial" w:cs="Arial"/>
                <w:b w:val="1"/>
                <w:bCs w:val="1"/>
                <w:i w:val="0"/>
                <w:iCs w:val="0"/>
                <w:color w:val="000000" w:themeColor="text1" w:themeTint="FF" w:themeShade="FF"/>
                <w:sz w:val="22"/>
                <w:szCs w:val="22"/>
                <w:lang w:val="en-US"/>
              </w:rPr>
              <w:t xml:space="preserve"> 0</w:t>
            </w:r>
            <w:r w:rsidRPr="6B14731B" w:rsidR="10E4B3C3">
              <w:rPr>
                <w:rFonts w:ascii="Arial" w:hAnsi="Arial" w:eastAsia="Arial" w:cs="Arial"/>
                <w:b w:val="1"/>
                <w:bCs w:val="1"/>
                <w:i w:val="0"/>
                <w:iCs w:val="0"/>
                <w:color w:val="000000" w:themeColor="text1" w:themeTint="FF" w:themeShade="FF"/>
                <w:sz w:val="22"/>
                <w:szCs w:val="22"/>
                <w:lang w:val="en-US"/>
              </w:rPr>
              <w:t>.01</w:t>
            </w:r>
            <w:r w:rsidRPr="6B14731B" w:rsidR="10E4B3C3">
              <w:rPr>
                <w:rFonts w:ascii="Arial" w:hAnsi="Arial" w:eastAsia="Arial" w:cs="Arial"/>
                <w:b w:val="1"/>
                <w:bCs w:val="1"/>
                <w:i w:val="0"/>
                <w:iCs w:val="0"/>
                <w:color w:val="000000" w:themeColor="text1" w:themeTint="FF" w:themeShade="FF"/>
                <w:sz w:val="22"/>
                <w:szCs w:val="22"/>
                <w:lang w:val="en-US"/>
              </w:rPr>
              <w:t>)</w:t>
            </w:r>
          </w:p>
        </w:tc>
      </w:tr>
      <w:tr w:rsidR="10E4B3C3" w:rsidTr="1C0B8CD8" w14:paraId="50A4650D">
        <w:trPr>
          <w:trHeight w:val="15"/>
        </w:trPr>
        <w:tc>
          <w:tcPr>
            <w:tcW w:w="4680" w:type="dxa"/>
            <w:tcBorders>
              <w:top w:val="nil"/>
              <w:left w:val="nil"/>
              <w:bottom w:val="nil"/>
              <w:right w:val="nil"/>
            </w:tcBorders>
            <w:tcMar>
              <w:top w:w="90" w:type="dxa"/>
              <w:left w:w="30" w:type="dxa"/>
              <w:bottom w:w="90" w:type="dxa"/>
              <w:right w:w="30" w:type="dxa"/>
            </w:tcMar>
            <w:vAlign w:val="bottom"/>
          </w:tcPr>
          <w:p w:rsidR="10E4B3C3" w:rsidP="1C0B8CD8" w:rsidRDefault="10E4B3C3" w14:paraId="2E05243D" w14:textId="199D7BE1">
            <w:pPr>
              <w:spacing w:line="276" w:lineRule="auto"/>
              <w:ind w:left="140" w:right="140"/>
              <w:rPr>
                <w:rFonts w:ascii="Arial" w:hAnsi="Arial" w:eastAsia="Arial" w:cs="Arial"/>
                <w:b w:val="0"/>
                <w:bCs w:val="0"/>
                <w:i w:val="0"/>
                <w:iCs w:val="0"/>
                <w:sz w:val="22"/>
                <w:szCs w:val="22"/>
              </w:rPr>
            </w:pPr>
            <w:r w:rsidRPr="1C0B8CD8" w:rsidR="1238A958">
              <w:rPr>
                <w:rFonts w:ascii="Arial" w:hAnsi="Arial" w:eastAsia="Arial" w:cs="Arial"/>
                <w:b w:val="0"/>
                <w:bCs w:val="0"/>
                <w:i w:val="0"/>
                <w:iCs w:val="0"/>
                <w:sz w:val="22"/>
                <w:szCs w:val="22"/>
                <w:lang w:val="en"/>
              </w:rPr>
              <w:t xml:space="preserve">Model 10: </w:t>
            </w:r>
            <w:r w:rsidRPr="1C0B8CD8" w:rsidR="10E4B3C3">
              <w:rPr>
                <w:rFonts w:ascii="Arial" w:hAnsi="Arial" w:eastAsia="Arial" w:cs="Arial"/>
                <w:b w:val="0"/>
                <w:bCs w:val="0"/>
                <w:i w:val="0"/>
                <w:iCs w:val="0"/>
                <w:sz w:val="22"/>
                <w:szCs w:val="22"/>
                <w:lang w:val="en"/>
              </w:rPr>
              <w:t>Percent with more than high school education</w:t>
            </w:r>
          </w:p>
        </w:tc>
        <w:tc>
          <w:tcPr>
            <w:tcW w:w="4680" w:type="dxa"/>
            <w:tcBorders>
              <w:top w:val="nil"/>
              <w:left w:val="nil"/>
              <w:bottom w:val="nil"/>
              <w:right w:val="nil"/>
            </w:tcBorders>
            <w:tcMar>
              <w:top w:w="90" w:type="dxa"/>
              <w:left w:w="30" w:type="dxa"/>
              <w:bottom w:w="90" w:type="dxa"/>
              <w:right w:w="30" w:type="dxa"/>
            </w:tcMar>
            <w:vAlign w:val="bottom"/>
          </w:tcPr>
          <w:p w:rsidR="10E4B3C3" w:rsidP="6B14731B" w:rsidRDefault="10E4B3C3" w14:paraId="266FD62B" w14:textId="1E607064">
            <w:pPr>
              <w:spacing w:line="276" w:lineRule="auto"/>
              <w:ind w:left="140" w:right="140"/>
              <w:jc w:val="center"/>
              <w:rPr>
                <w:rFonts w:ascii="Arial" w:hAnsi="Arial" w:eastAsia="Arial" w:cs="Arial"/>
                <w:b w:val="0"/>
                <w:bCs w:val="0"/>
                <w:i w:val="0"/>
                <w:iCs w:val="0"/>
                <w:color w:val="000000" w:themeColor="text1" w:themeTint="FF" w:themeShade="FF"/>
                <w:sz w:val="22"/>
                <w:szCs w:val="22"/>
              </w:rPr>
            </w:pPr>
            <w:r w:rsidRPr="6B14731B" w:rsidR="10E4B3C3">
              <w:rPr>
                <w:rFonts w:ascii="Arial" w:hAnsi="Arial" w:eastAsia="Arial" w:cs="Arial"/>
                <w:b w:val="0"/>
                <w:bCs w:val="0"/>
                <w:i w:val="0"/>
                <w:iCs w:val="0"/>
                <w:color w:val="000000" w:themeColor="text1" w:themeTint="FF" w:themeShade="FF"/>
                <w:sz w:val="22"/>
                <w:szCs w:val="22"/>
                <w:lang w:val="en"/>
              </w:rPr>
              <w:t>-0.0</w:t>
            </w:r>
            <w:r w:rsidRPr="6B14731B" w:rsidR="4AB4A47A">
              <w:rPr>
                <w:rFonts w:ascii="Arial" w:hAnsi="Arial" w:eastAsia="Arial" w:cs="Arial"/>
                <w:b w:val="0"/>
                <w:bCs w:val="0"/>
                <w:i w:val="0"/>
                <w:iCs w:val="0"/>
                <w:color w:val="000000" w:themeColor="text1" w:themeTint="FF" w:themeShade="FF"/>
                <w:sz w:val="22"/>
                <w:szCs w:val="22"/>
                <w:lang w:val="en"/>
              </w:rPr>
              <w:t>1</w:t>
            </w:r>
            <w:r w:rsidRPr="6B14731B" w:rsidR="10E4B3C3">
              <w:rPr>
                <w:rFonts w:ascii="Arial" w:hAnsi="Arial" w:eastAsia="Arial" w:cs="Arial"/>
                <w:b w:val="0"/>
                <w:bCs w:val="0"/>
                <w:i w:val="0"/>
                <w:iCs w:val="0"/>
                <w:color w:val="000000" w:themeColor="text1" w:themeTint="FF" w:themeShade="FF"/>
                <w:sz w:val="22"/>
                <w:szCs w:val="22"/>
                <w:lang w:val="en"/>
              </w:rPr>
              <w:t xml:space="preserve"> (-0.0</w:t>
            </w:r>
            <w:r w:rsidRPr="6B14731B" w:rsidR="533F7841">
              <w:rPr>
                <w:rFonts w:ascii="Arial" w:hAnsi="Arial" w:eastAsia="Arial" w:cs="Arial"/>
                <w:b w:val="0"/>
                <w:bCs w:val="0"/>
                <w:i w:val="0"/>
                <w:iCs w:val="0"/>
                <w:color w:val="000000" w:themeColor="text1" w:themeTint="FF" w:themeShade="FF"/>
                <w:sz w:val="22"/>
                <w:szCs w:val="22"/>
                <w:lang w:val="en"/>
              </w:rPr>
              <w:t>3</w:t>
            </w:r>
            <w:r w:rsidRPr="6B14731B" w:rsidR="10E4B3C3">
              <w:rPr>
                <w:rFonts w:ascii="Arial" w:hAnsi="Arial" w:eastAsia="Arial" w:cs="Arial"/>
                <w:b w:val="0"/>
                <w:bCs w:val="0"/>
                <w:i w:val="0"/>
                <w:iCs w:val="0"/>
                <w:color w:val="000000" w:themeColor="text1" w:themeTint="FF" w:themeShade="FF"/>
                <w:sz w:val="22"/>
                <w:szCs w:val="22"/>
                <w:lang w:val="en"/>
              </w:rPr>
              <w:t>, 0.0</w:t>
            </w:r>
            <w:r w:rsidRPr="6B14731B" w:rsidR="7E3DFE26">
              <w:rPr>
                <w:rFonts w:ascii="Arial" w:hAnsi="Arial" w:eastAsia="Arial" w:cs="Arial"/>
                <w:b w:val="0"/>
                <w:bCs w:val="0"/>
                <w:i w:val="0"/>
                <w:iCs w:val="0"/>
                <w:color w:val="000000" w:themeColor="text1" w:themeTint="FF" w:themeShade="FF"/>
                <w:sz w:val="22"/>
                <w:szCs w:val="22"/>
                <w:lang w:val="en"/>
              </w:rPr>
              <w:t>1</w:t>
            </w:r>
            <w:r w:rsidRPr="6B14731B" w:rsidR="10E4B3C3">
              <w:rPr>
                <w:rFonts w:ascii="Arial" w:hAnsi="Arial" w:eastAsia="Arial" w:cs="Arial"/>
                <w:b w:val="0"/>
                <w:bCs w:val="0"/>
                <w:i w:val="0"/>
                <w:iCs w:val="0"/>
                <w:color w:val="000000" w:themeColor="text1" w:themeTint="FF" w:themeShade="FF"/>
                <w:sz w:val="22"/>
                <w:szCs w:val="22"/>
                <w:lang w:val="en"/>
              </w:rPr>
              <w:t>)</w:t>
            </w:r>
          </w:p>
        </w:tc>
      </w:tr>
      <w:tr w:rsidR="10E4B3C3" w:rsidTr="1C0B8CD8" w14:paraId="03831EDC">
        <w:trPr>
          <w:trHeight w:val="375"/>
        </w:trPr>
        <w:tc>
          <w:tcPr>
            <w:tcW w:w="4680" w:type="dxa"/>
            <w:tcBorders>
              <w:top w:val="nil"/>
              <w:left w:val="nil"/>
              <w:bottom w:val="nil"/>
              <w:right w:val="nil"/>
            </w:tcBorders>
            <w:tcMar>
              <w:top w:w="90" w:type="dxa"/>
              <w:left w:w="30" w:type="dxa"/>
              <w:bottom w:w="90" w:type="dxa"/>
              <w:right w:w="30" w:type="dxa"/>
            </w:tcMar>
            <w:vAlign w:val="bottom"/>
          </w:tcPr>
          <w:p w:rsidR="10E4B3C3" w:rsidP="1C0B8CD8" w:rsidRDefault="10E4B3C3" w14:paraId="134F4A54" w14:textId="0E83461B">
            <w:pPr>
              <w:spacing w:line="276" w:lineRule="auto"/>
              <w:ind w:left="140" w:right="140"/>
              <w:rPr>
                <w:rFonts w:ascii="Arial" w:hAnsi="Arial" w:eastAsia="Arial" w:cs="Arial"/>
                <w:b w:val="0"/>
                <w:bCs w:val="0"/>
                <w:i w:val="0"/>
                <w:iCs w:val="0"/>
                <w:sz w:val="22"/>
                <w:szCs w:val="22"/>
              </w:rPr>
            </w:pPr>
            <w:r w:rsidRPr="1C0B8CD8" w:rsidR="0C9EB1FF">
              <w:rPr>
                <w:rFonts w:ascii="Arial" w:hAnsi="Arial" w:eastAsia="Arial" w:cs="Arial"/>
                <w:b w:val="0"/>
                <w:bCs w:val="0"/>
                <w:i w:val="0"/>
                <w:iCs w:val="0"/>
                <w:sz w:val="22"/>
                <w:szCs w:val="22"/>
                <w:lang w:val="en"/>
              </w:rPr>
              <w:t xml:space="preserve">Model 11: </w:t>
            </w:r>
            <w:r w:rsidRPr="1C0B8CD8" w:rsidR="10E4B3C3">
              <w:rPr>
                <w:rFonts w:ascii="Arial" w:hAnsi="Arial" w:eastAsia="Arial" w:cs="Arial"/>
                <w:b w:val="0"/>
                <w:bCs w:val="0"/>
                <w:i w:val="0"/>
                <w:iCs w:val="0"/>
                <w:sz w:val="22"/>
                <w:szCs w:val="22"/>
                <w:lang w:val="en"/>
              </w:rPr>
              <w:t>Percent</w:t>
            </w:r>
            <w:r w:rsidRPr="1C0B8CD8" w:rsidR="6CECB51D">
              <w:rPr>
                <w:rFonts w:ascii="Arial" w:hAnsi="Arial" w:eastAsia="Arial" w:cs="Arial"/>
                <w:b w:val="0"/>
                <w:bCs w:val="0"/>
                <w:i w:val="0"/>
                <w:iCs w:val="0"/>
                <w:sz w:val="22"/>
                <w:szCs w:val="22"/>
                <w:lang w:val="en"/>
              </w:rPr>
              <w:t xml:space="preserve"> Black</w:t>
            </w:r>
            <w:r w:rsidRPr="1C0B8CD8" w:rsidR="10E4B3C3">
              <w:rPr>
                <w:rFonts w:ascii="Arial" w:hAnsi="Arial" w:eastAsia="Arial" w:cs="Arial"/>
                <w:b w:val="0"/>
                <w:bCs w:val="0"/>
                <w:i w:val="0"/>
                <w:iCs w:val="0"/>
                <w:sz w:val="22"/>
                <w:szCs w:val="22"/>
                <w:lang w:val="en"/>
              </w:rPr>
              <w:t xml:space="preserve"> foreign-born</w:t>
            </w:r>
          </w:p>
        </w:tc>
        <w:tc>
          <w:tcPr>
            <w:tcW w:w="4680" w:type="dxa"/>
            <w:tcBorders>
              <w:top w:val="nil"/>
              <w:left w:val="nil"/>
              <w:bottom w:val="nil"/>
              <w:right w:val="nil"/>
            </w:tcBorders>
            <w:tcMar>
              <w:top w:w="90" w:type="dxa"/>
              <w:left w:w="30" w:type="dxa"/>
              <w:bottom w:w="90" w:type="dxa"/>
              <w:right w:w="30" w:type="dxa"/>
            </w:tcMar>
            <w:vAlign w:val="bottom"/>
          </w:tcPr>
          <w:p w:rsidR="10E4B3C3" w:rsidP="1C0B8CD8" w:rsidRDefault="10E4B3C3" w14:paraId="3FAA53B8" w14:textId="230CDEF5">
            <w:pPr>
              <w:spacing w:line="276" w:lineRule="auto"/>
              <w:ind w:left="140" w:right="140"/>
              <w:jc w:val="center"/>
              <w:rPr>
                <w:rFonts w:ascii="Arial" w:hAnsi="Arial" w:eastAsia="Arial" w:cs="Arial"/>
                <w:b w:val="1"/>
                <w:bCs w:val="1"/>
                <w:i w:val="0"/>
                <w:iCs w:val="0"/>
                <w:color w:val="000000" w:themeColor="text1" w:themeTint="FF" w:themeShade="FF"/>
                <w:sz w:val="22"/>
                <w:szCs w:val="22"/>
                <w:lang w:val="en"/>
              </w:rPr>
            </w:pPr>
            <w:r w:rsidRPr="1C0B8CD8" w:rsidR="10E4B3C3">
              <w:rPr>
                <w:rFonts w:ascii="Arial" w:hAnsi="Arial" w:eastAsia="Arial" w:cs="Arial"/>
                <w:b w:val="1"/>
                <w:bCs w:val="1"/>
                <w:i w:val="0"/>
                <w:iCs w:val="0"/>
                <w:color w:val="000000" w:themeColor="text1" w:themeTint="FF" w:themeShade="FF"/>
                <w:sz w:val="22"/>
                <w:szCs w:val="22"/>
                <w:lang w:val="en"/>
              </w:rPr>
              <w:t>0.0</w:t>
            </w:r>
            <w:r w:rsidRPr="1C0B8CD8" w:rsidR="3A43435B">
              <w:rPr>
                <w:rFonts w:ascii="Arial" w:hAnsi="Arial" w:eastAsia="Arial" w:cs="Arial"/>
                <w:b w:val="1"/>
                <w:bCs w:val="1"/>
                <w:i w:val="0"/>
                <w:iCs w:val="0"/>
                <w:color w:val="000000" w:themeColor="text1" w:themeTint="FF" w:themeShade="FF"/>
                <w:sz w:val="22"/>
                <w:szCs w:val="22"/>
                <w:lang w:val="en"/>
              </w:rPr>
              <w:t>2</w:t>
            </w:r>
            <w:r w:rsidRPr="1C0B8CD8" w:rsidR="10E4B3C3">
              <w:rPr>
                <w:rFonts w:ascii="Arial" w:hAnsi="Arial" w:eastAsia="Arial" w:cs="Arial"/>
                <w:b w:val="1"/>
                <w:bCs w:val="1"/>
                <w:i w:val="0"/>
                <w:iCs w:val="0"/>
                <w:color w:val="000000" w:themeColor="text1" w:themeTint="FF" w:themeShade="FF"/>
                <w:sz w:val="22"/>
                <w:szCs w:val="22"/>
                <w:lang w:val="en"/>
              </w:rPr>
              <w:t xml:space="preserve"> (0.0</w:t>
            </w:r>
            <w:r w:rsidRPr="1C0B8CD8" w:rsidR="23948234">
              <w:rPr>
                <w:rFonts w:ascii="Arial" w:hAnsi="Arial" w:eastAsia="Arial" w:cs="Arial"/>
                <w:b w:val="1"/>
                <w:bCs w:val="1"/>
                <w:i w:val="0"/>
                <w:iCs w:val="0"/>
                <w:color w:val="000000" w:themeColor="text1" w:themeTint="FF" w:themeShade="FF"/>
                <w:sz w:val="22"/>
                <w:szCs w:val="22"/>
                <w:lang w:val="en"/>
              </w:rPr>
              <w:t>1</w:t>
            </w:r>
            <w:r w:rsidRPr="1C0B8CD8" w:rsidR="10E4B3C3">
              <w:rPr>
                <w:rFonts w:ascii="Arial" w:hAnsi="Arial" w:eastAsia="Arial" w:cs="Arial"/>
                <w:b w:val="1"/>
                <w:bCs w:val="1"/>
                <w:i w:val="0"/>
                <w:iCs w:val="0"/>
                <w:color w:val="000000" w:themeColor="text1" w:themeTint="FF" w:themeShade="FF"/>
                <w:sz w:val="22"/>
                <w:szCs w:val="22"/>
                <w:lang w:val="en"/>
              </w:rPr>
              <w:t>, 0.0</w:t>
            </w:r>
            <w:r w:rsidRPr="1C0B8CD8" w:rsidR="05FED286">
              <w:rPr>
                <w:rFonts w:ascii="Arial" w:hAnsi="Arial" w:eastAsia="Arial" w:cs="Arial"/>
                <w:b w:val="1"/>
                <w:bCs w:val="1"/>
                <w:i w:val="0"/>
                <w:iCs w:val="0"/>
                <w:color w:val="000000" w:themeColor="text1" w:themeTint="FF" w:themeShade="FF"/>
                <w:sz w:val="22"/>
                <w:szCs w:val="22"/>
                <w:lang w:val="en"/>
              </w:rPr>
              <w:t>3</w:t>
            </w:r>
            <w:r w:rsidRPr="1C0B8CD8" w:rsidR="10E4B3C3">
              <w:rPr>
                <w:rFonts w:ascii="Arial" w:hAnsi="Arial" w:eastAsia="Arial" w:cs="Arial"/>
                <w:b w:val="1"/>
                <w:bCs w:val="1"/>
                <w:i w:val="0"/>
                <w:iCs w:val="0"/>
                <w:color w:val="000000" w:themeColor="text1" w:themeTint="FF" w:themeShade="FF"/>
                <w:sz w:val="22"/>
                <w:szCs w:val="22"/>
                <w:lang w:val="en"/>
              </w:rPr>
              <w:t>)</w:t>
            </w:r>
          </w:p>
        </w:tc>
      </w:tr>
      <w:tr w:rsidR="10E4B3C3" w:rsidTr="1C0B8CD8" w14:paraId="015B45A5">
        <w:trPr>
          <w:trHeight w:val="15"/>
        </w:trPr>
        <w:tc>
          <w:tcPr>
            <w:tcW w:w="4680" w:type="dxa"/>
            <w:tcBorders>
              <w:top w:val="nil"/>
              <w:left w:val="nil"/>
              <w:bottom w:val="single" w:sz="6"/>
              <w:right w:val="nil"/>
            </w:tcBorders>
            <w:tcMar>
              <w:top w:w="90" w:type="dxa"/>
              <w:left w:w="30" w:type="dxa"/>
              <w:bottom w:w="90" w:type="dxa"/>
              <w:right w:w="30" w:type="dxa"/>
            </w:tcMar>
            <w:vAlign w:val="bottom"/>
          </w:tcPr>
          <w:p w:rsidR="10E4B3C3" w:rsidP="1C0B8CD8" w:rsidRDefault="10E4B3C3" w14:paraId="30FE17AC" w14:textId="6B533FB9">
            <w:pPr>
              <w:spacing w:line="276" w:lineRule="auto"/>
              <w:ind w:left="180" w:right="140"/>
              <w:rPr>
                <w:rFonts w:ascii="Arial" w:hAnsi="Arial" w:eastAsia="Arial" w:cs="Arial"/>
                <w:b w:val="0"/>
                <w:bCs w:val="0"/>
                <w:i w:val="0"/>
                <w:iCs w:val="0"/>
                <w:sz w:val="17"/>
                <w:szCs w:val="17"/>
              </w:rPr>
            </w:pPr>
            <w:r w:rsidRPr="1C0B8CD8" w:rsidR="6138C512">
              <w:rPr>
                <w:rFonts w:ascii="Arial" w:hAnsi="Arial" w:eastAsia="Arial" w:cs="Arial"/>
                <w:b w:val="0"/>
                <w:bCs w:val="0"/>
                <w:i w:val="0"/>
                <w:iCs w:val="0"/>
                <w:sz w:val="22"/>
                <w:szCs w:val="22"/>
                <w:lang w:val="en-US"/>
              </w:rPr>
              <w:t xml:space="preserve">Model 12: </w:t>
            </w:r>
            <w:r w:rsidRPr="1C0B8CD8" w:rsidR="10E4B3C3">
              <w:rPr>
                <w:rFonts w:ascii="Arial" w:hAnsi="Arial" w:eastAsia="Arial" w:cs="Arial"/>
                <w:b w:val="0"/>
                <w:bCs w:val="0"/>
                <w:i w:val="0"/>
                <w:iCs w:val="0"/>
                <w:sz w:val="22"/>
                <w:szCs w:val="22"/>
                <w:lang w:val="en-US"/>
              </w:rPr>
              <w:t>Racial polarization (</w:t>
            </w:r>
            <w:r w:rsidRPr="1C0B8CD8" w:rsidR="10E4B3C3">
              <w:rPr>
                <w:rFonts w:ascii="Arial" w:hAnsi="Arial" w:eastAsia="Arial" w:cs="Arial"/>
                <w:b w:val="0"/>
                <w:bCs w:val="0"/>
                <w:i w:val="0"/>
                <w:iCs w:val="0"/>
                <w:sz w:val="22"/>
                <w:szCs w:val="22"/>
                <w:lang w:val="en-US"/>
              </w:rPr>
              <w:t>ICE</w:t>
            </w:r>
            <w:r w:rsidRPr="1C0B8CD8" w:rsidR="10E4B3C3">
              <w:rPr>
                <w:rFonts w:ascii="Arial" w:hAnsi="Arial" w:eastAsia="Arial" w:cs="Arial"/>
                <w:b w:val="0"/>
                <w:bCs w:val="0"/>
                <w:i w:val="0"/>
                <w:iCs w:val="0"/>
                <w:sz w:val="22"/>
                <w:szCs w:val="22"/>
                <w:vertAlign w:val="subscript"/>
                <w:lang w:val="en-US"/>
              </w:rPr>
              <w:t>Race</w:t>
            </w:r>
            <w:r w:rsidRPr="1C0B8CD8" w:rsidR="10E4B3C3">
              <w:rPr>
                <w:rFonts w:ascii="Arial" w:hAnsi="Arial" w:eastAsia="Arial" w:cs="Arial"/>
                <w:b w:val="0"/>
                <w:bCs w:val="0"/>
                <w:i w:val="0"/>
                <w:iCs w:val="0"/>
                <w:sz w:val="22"/>
                <w:szCs w:val="22"/>
                <w:lang w:val="en-US"/>
              </w:rPr>
              <w:t>)</w:t>
            </w:r>
            <w:r w:rsidRPr="1C0B8CD8" w:rsidR="10E4B3C3">
              <w:rPr>
                <w:rFonts w:ascii="Arial" w:hAnsi="Arial" w:eastAsia="Arial" w:cs="Arial"/>
                <w:b w:val="0"/>
                <w:bCs w:val="0"/>
                <w:i w:val="0"/>
                <w:iCs w:val="0"/>
                <w:sz w:val="22"/>
                <w:szCs w:val="22"/>
                <w:vertAlign w:val="superscript"/>
                <w:lang w:val="en-US"/>
              </w:rPr>
              <w:t>3</w:t>
            </w:r>
          </w:p>
        </w:tc>
        <w:tc>
          <w:tcPr>
            <w:tcW w:w="4680" w:type="dxa"/>
            <w:tcBorders>
              <w:top w:val="nil"/>
              <w:left w:val="nil"/>
              <w:bottom w:val="nil"/>
              <w:right w:val="nil"/>
            </w:tcBorders>
            <w:tcMar>
              <w:top w:w="90" w:type="dxa"/>
              <w:left w:w="30" w:type="dxa"/>
              <w:bottom w:w="90" w:type="dxa"/>
              <w:right w:w="30" w:type="dxa"/>
            </w:tcMar>
            <w:vAlign w:val="center"/>
          </w:tcPr>
          <w:p w:rsidR="10E4B3C3" w:rsidP="6B14731B" w:rsidRDefault="10E4B3C3" w14:paraId="60CC768E" w14:textId="5AFC5437">
            <w:pPr>
              <w:spacing w:line="276" w:lineRule="auto"/>
              <w:ind w:left="140" w:right="140"/>
              <w:jc w:val="center"/>
              <w:rPr>
                <w:rFonts w:ascii="Arial" w:hAnsi="Arial" w:eastAsia="Arial" w:cs="Arial"/>
                <w:b w:val="1"/>
                <w:bCs w:val="1"/>
                <w:i w:val="0"/>
                <w:iCs w:val="0"/>
                <w:sz w:val="22"/>
                <w:szCs w:val="22"/>
                <w:lang w:val="en"/>
              </w:rPr>
            </w:pPr>
            <w:r w:rsidRPr="6B14731B" w:rsidR="10E4B3C3">
              <w:rPr>
                <w:rFonts w:ascii="Arial" w:hAnsi="Arial" w:eastAsia="Arial" w:cs="Arial"/>
                <w:b w:val="1"/>
                <w:bCs w:val="1"/>
                <w:i w:val="0"/>
                <w:iCs w:val="0"/>
                <w:sz w:val="22"/>
                <w:szCs w:val="22"/>
                <w:lang w:val="en"/>
              </w:rPr>
              <w:t>0.02 (0.0</w:t>
            </w:r>
            <w:r w:rsidRPr="6B14731B" w:rsidR="38E6B700">
              <w:rPr>
                <w:rFonts w:ascii="Arial" w:hAnsi="Arial" w:eastAsia="Arial" w:cs="Arial"/>
                <w:b w:val="1"/>
                <w:bCs w:val="1"/>
                <w:i w:val="0"/>
                <w:iCs w:val="0"/>
                <w:sz w:val="22"/>
                <w:szCs w:val="22"/>
                <w:lang w:val="en"/>
              </w:rPr>
              <w:t>04</w:t>
            </w:r>
            <w:r w:rsidRPr="6B14731B" w:rsidR="10E4B3C3">
              <w:rPr>
                <w:rFonts w:ascii="Arial" w:hAnsi="Arial" w:eastAsia="Arial" w:cs="Arial"/>
                <w:b w:val="1"/>
                <w:bCs w:val="1"/>
                <w:i w:val="0"/>
                <w:iCs w:val="0"/>
                <w:sz w:val="22"/>
                <w:szCs w:val="22"/>
                <w:lang w:val="en"/>
              </w:rPr>
              <w:t>, 0.04)</w:t>
            </w:r>
          </w:p>
        </w:tc>
      </w:tr>
      <w:tr w:rsidR="10E4B3C3" w:rsidTr="1C0B8CD8" w14:paraId="35C2016E">
        <w:trPr>
          <w:trHeight w:val="15"/>
        </w:trPr>
        <w:tc>
          <w:tcPr>
            <w:tcW w:w="9360" w:type="dxa"/>
            <w:gridSpan w:val="2"/>
            <w:tcBorders>
              <w:top w:val="single" w:sz="6"/>
              <w:left w:val="nil"/>
              <w:bottom w:val="single" w:sz="6"/>
              <w:right w:val="nil"/>
            </w:tcBorders>
            <w:tcMar>
              <w:top w:w="90" w:type="dxa"/>
              <w:left w:w="30" w:type="dxa"/>
              <w:bottom w:w="90" w:type="dxa"/>
              <w:right w:w="30" w:type="dxa"/>
            </w:tcMar>
            <w:vAlign w:val="center"/>
          </w:tcPr>
          <w:p w:rsidR="10E4B3C3" w:rsidP="1C0B8CD8" w:rsidRDefault="10E4B3C3" w14:paraId="2F472E5D" w14:textId="5CA92348">
            <w:pPr>
              <w:spacing w:line="276" w:lineRule="auto"/>
              <w:ind w:left="44" w:right="140"/>
              <w:rPr>
                <w:rFonts w:ascii="Arial" w:hAnsi="Arial" w:eastAsia="Arial" w:cs="Arial"/>
                <w:b w:val="1"/>
                <w:bCs w:val="1"/>
                <w:i w:val="0"/>
                <w:iCs w:val="0"/>
                <w:sz w:val="22"/>
                <w:szCs w:val="22"/>
                <w:lang w:val="en"/>
              </w:rPr>
            </w:pPr>
            <w:r w:rsidRPr="1C0B8CD8" w:rsidR="10E4B3C3">
              <w:rPr>
                <w:rFonts w:ascii="Arial" w:hAnsi="Arial" w:eastAsia="Arial" w:cs="Arial"/>
                <w:b w:val="1"/>
                <w:bCs w:val="1"/>
                <w:i w:val="0"/>
                <w:iCs w:val="0"/>
                <w:sz w:val="22"/>
                <w:szCs w:val="22"/>
                <w:lang w:val="en"/>
              </w:rPr>
              <w:t>Part B.</w:t>
            </w:r>
            <w:r w:rsidRPr="1C0B8CD8" w:rsidR="6B4FEFBC">
              <w:rPr>
                <w:rFonts w:ascii="Arial" w:hAnsi="Arial" w:eastAsia="Arial" w:cs="Arial"/>
                <w:b w:val="1"/>
                <w:bCs w:val="1"/>
                <w:i w:val="0"/>
                <w:iCs w:val="0"/>
                <w:sz w:val="22"/>
                <w:szCs w:val="22"/>
                <w:lang w:val="en"/>
              </w:rPr>
              <w:t xml:space="preserve"> Model 13:</w:t>
            </w:r>
            <w:r w:rsidRPr="1C0B8CD8" w:rsidR="10E4B3C3">
              <w:rPr>
                <w:rFonts w:ascii="Arial" w:hAnsi="Arial" w:eastAsia="Arial" w:cs="Arial"/>
                <w:b w:val="1"/>
                <w:bCs w:val="1"/>
                <w:i w:val="0"/>
                <w:iCs w:val="0"/>
                <w:sz w:val="22"/>
                <w:szCs w:val="22"/>
                <w:lang w:val="en"/>
              </w:rPr>
              <w:t xml:space="preserve"> </w:t>
            </w:r>
            <w:r w:rsidRPr="1C0B8CD8" w:rsidR="10E4B3C3">
              <w:rPr>
                <w:rFonts w:ascii="Arial" w:hAnsi="Arial" w:eastAsia="Arial" w:cs="Arial"/>
                <w:b w:val="1"/>
                <w:bCs w:val="1"/>
                <w:i w:val="0"/>
                <w:iCs w:val="0"/>
                <w:sz w:val="22"/>
                <w:szCs w:val="22"/>
                <w:lang w:val="en"/>
              </w:rPr>
              <w:t xml:space="preserve">Adjusted model with all factors assessed together </w:t>
            </w:r>
          </w:p>
        </w:tc>
      </w:tr>
      <w:tr w:rsidR="10E4B3C3" w:rsidTr="1C0B8CD8" w14:paraId="4BD350FE">
        <w:trPr>
          <w:trHeight w:val="15"/>
        </w:trPr>
        <w:tc>
          <w:tcPr>
            <w:tcW w:w="4680" w:type="dxa"/>
            <w:tcBorders>
              <w:top w:val="single" w:sz="6"/>
              <w:left w:val="nil"/>
              <w:bottom w:val="nil" w:sz="6"/>
              <w:right w:val="nil"/>
            </w:tcBorders>
            <w:tcMar>
              <w:top w:w="90" w:type="dxa"/>
              <w:left w:w="30" w:type="dxa"/>
              <w:bottom w:w="90" w:type="dxa"/>
              <w:right w:w="30" w:type="dxa"/>
            </w:tcMar>
            <w:vAlign w:val="bottom"/>
          </w:tcPr>
          <w:p w:rsidR="10E4B3C3" w:rsidP="10E4B3C3" w:rsidRDefault="10E4B3C3" w14:paraId="0B17139E" w14:textId="12C611E2">
            <w:pPr>
              <w:spacing w:line="276" w:lineRule="auto"/>
              <w:ind w:left="140" w:right="140" w:hanging="6"/>
              <w:rPr>
                <w:rFonts w:ascii="Arial" w:hAnsi="Arial" w:eastAsia="Arial" w:cs="Arial"/>
                <w:b w:val="0"/>
                <w:bCs w:val="0"/>
                <w:i w:val="0"/>
                <w:iCs w:val="0"/>
                <w:color w:val="000000" w:themeColor="text1" w:themeTint="FF" w:themeShade="FF"/>
                <w:sz w:val="22"/>
                <w:szCs w:val="22"/>
              </w:rPr>
            </w:pPr>
            <w:r w:rsidRPr="10E4B3C3" w:rsidR="10E4B3C3">
              <w:rPr>
                <w:rFonts w:ascii="Arial" w:hAnsi="Arial" w:eastAsia="Arial" w:cs="Arial"/>
                <w:b w:val="0"/>
                <w:bCs w:val="0"/>
                <w:i w:val="0"/>
                <w:iCs w:val="0"/>
                <w:color w:val="000000" w:themeColor="text1" w:themeTint="FF" w:themeShade="FF"/>
                <w:sz w:val="22"/>
                <w:szCs w:val="22"/>
                <w:lang w:val="en"/>
              </w:rPr>
              <w:t>Percent poverty</w:t>
            </w:r>
          </w:p>
        </w:tc>
        <w:tc>
          <w:tcPr>
            <w:tcW w:w="4680" w:type="dxa"/>
            <w:tcBorders>
              <w:top w:val="nil" w:sz="6"/>
              <w:left w:val="nil"/>
              <w:bottom w:val="nil" w:sz="6"/>
              <w:right w:val="nil"/>
            </w:tcBorders>
            <w:tcMar>
              <w:top w:w="90" w:type="dxa"/>
              <w:left w:w="30" w:type="dxa"/>
              <w:bottom w:w="90" w:type="dxa"/>
              <w:right w:w="30" w:type="dxa"/>
            </w:tcMar>
            <w:vAlign w:val="top"/>
          </w:tcPr>
          <w:p w:rsidR="10E4B3C3" w:rsidP="6B14731B" w:rsidRDefault="10E4B3C3" w14:paraId="12CE6650" w14:textId="68F86E18">
            <w:pPr>
              <w:spacing w:line="276" w:lineRule="auto"/>
              <w:ind w:left="140" w:right="140"/>
              <w:jc w:val="center"/>
              <w:rPr>
                <w:rFonts w:ascii="Arial" w:hAnsi="Arial" w:eastAsia="Arial" w:cs="Arial"/>
                <w:b w:val="1"/>
                <w:bCs w:val="1"/>
                <w:i w:val="0"/>
                <w:iCs w:val="0"/>
                <w:sz w:val="22"/>
                <w:szCs w:val="22"/>
              </w:rPr>
            </w:pPr>
            <w:r w:rsidRPr="6B14731B" w:rsidR="10E4B3C3">
              <w:rPr>
                <w:rFonts w:ascii="Arial" w:hAnsi="Arial" w:eastAsia="Arial" w:cs="Arial"/>
                <w:b w:val="1"/>
                <w:bCs w:val="1"/>
                <w:i w:val="0"/>
                <w:iCs w:val="0"/>
                <w:sz w:val="22"/>
                <w:szCs w:val="22"/>
                <w:lang w:val="en"/>
              </w:rPr>
              <w:t>-0.0</w:t>
            </w:r>
            <w:r w:rsidRPr="6B14731B" w:rsidR="79F18637">
              <w:rPr>
                <w:rFonts w:ascii="Arial" w:hAnsi="Arial" w:eastAsia="Arial" w:cs="Arial"/>
                <w:b w:val="1"/>
                <w:bCs w:val="1"/>
                <w:i w:val="0"/>
                <w:iCs w:val="0"/>
                <w:sz w:val="22"/>
                <w:szCs w:val="22"/>
                <w:lang w:val="en"/>
              </w:rPr>
              <w:t>3</w:t>
            </w:r>
            <w:r w:rsidRPr="6B14731B" w:rsidR="10E4B3C3">
              <w:rPr>
                <w:rFonts w:ascii="Arial" w:hAnsi="Arial" w:eastAsia="Arial" w:cs="Arial"/>
                <w:b w:val="1"/>
                <w:bCs w:val="1"/>
                <w:i w:val="0"/>
                <w:iCs w:val="0"/>
                <w:sz w:val="22"/>
                <w:szCs w:val="22"/>
                <w:lang w:val="en"/>
              </w:rPr>
              <w:t xml:space="preserve"> (-0.06, </w:t>
            </w:r>
            <w:r w:rsidRPr="6B14731B" w:rsidR="22994824">
              <w:rPr>
                <w:rFonts w:ascii="Arial" w:hAnsi="Arial" w:eastAsia="Arial" w:cs="Arial"/>
                <w:b w:val="1"/>
                <w:bCs w:val="1"/>
                <w:i w:val="0"/>
                <w:iCs w:val="0"/>
                <w:sz w:val="22"/>
                <w:szCs w:val="22"/>
                <w:lang w:val="en"/>
              </w:rPr>
              <w:t>-</w:t>
            </w:r>
            <w:r w:rsidRPr="6B14731B" w:rsidR="10E4B3C3">
              <w:rPr>
                <w:rFonts w:ascii="Arial" w:hAnsi="Arial" w:eastAsia="Arial" w:cs="Arial"/>
                <w:b w:val="1"/>
                <w:bCs w:val="1"/>
                <w:i w:val="0"/>
                <w:iCs w:val="0"/>
                <w:sz w:val="22"/>
                <w:szCs w:val="22"/>
                <w:lang w:val="en"/>
              </w:rPr>
              <w:t>0.01)</w:t>
            </w:r>
          </w:p>
        </w:tc>
      </w:tr>
      <w:tr w:rsidR="10E4B3C3" w:rsidTr="1C0B8CD8" w14:paraId="6CD57325">
        <w:trPr>
          <w:trHeight w:val="15"/>
        </w:trPr>
        <w:tc>
          <w:tcPr>
            <w:tcW w:w="4680" w:type="dxa"/>
            <w:tcBorders>
              <w:top w:val="nil"/>
              <w:left w:val="nil"/>
              <w:bottom w:val="nil"/>
              <w:right w:val="nil"/>
            </w:tcBorders>
            <w:tcMar>
              <w:top w:w="90" w:type="dxa"/>
              <w:left w:w="30" w:type="dxa"/>
              <w:bottom w:w="90" w:type="dxa"/>
              <w:right w:w="30" w:type="dxa"/>
            </w:tcMar>
            <w:vAlign w:val="bottom"/>
          </w:tcPr>
          <w:p w:rsidR="10E4B3C3" w:rsidP="10E4B3C3" w:rsidRDefault="10E4B3C3" w14:paraId="6047AD75" w14:textId="0F65757D">
            <w:pPr>
              <w:spacing w:line="276" w:lineRule="auto"/>
              <w:ind w:left="140" w:right="140" w:hanging="6"/>
              <w:rPr>
                <w:rFonts w:ascii="Arial" w:hAnsi="Arial" w:eastAsia="Arial" w:cs="Arial"/>
                <w:b w:val="0"/>
                <w:bCs w:val="0"/>
                <w:i w:val="0"/>
                <w:iCs w:val="0"/>
                <w:color w:val="000000" w:themeColor="text1" w:themeTint="FF" w:themeShade="FF"/>
                <w:sz w:val="22"/>
                <w:szCs w:val="22"/>
              </w:rPr>
            </w:pPr>
            <w:r w:rsidRPr="10E4B3C3" w:rsidR="10E4B3C3">
              <w:rPr>
                <w:rFonts w:ascii="Arial" w:hAnsi="Arial" w:eastAsia="Arial" w:cs="Arial"/>
                <w:b w:val="0"/>
                <w:bCs w:val="0"/>
                <w:i w:val="0"/>
                <w:iCs w:val="0"/>
                <w:color w:val="000000" w:themeColor="text1" w:themeTint="FF" w:themeShade="FF"/>
                <w:sz w:val="22"/>
                <w:szCs w:val="22"/>
                <w:lang w:val="en"/>
              </w:rPr>
              <w:t>Percent without health insurance</w:t>
            </w:r>
          </w:p>
        </w:tc>
        <w:tc>
          <w:tcPr>
            <w:tcW w:w="4680" w:type="dxa"/>
            <w:tcBorders>
              <w:top w:val="nil"/>
              <w:left w:val="nil"/>
              <w:bottom w:val="nil"/>
              <w:right w:val="nil"/>
            </w:tcBorders>
            <w:tcMar>
              <w:top w:w="90" w:type="dxa"/>
              <w:left w:w="30" w:type="dxa"/>
              <w:bottom w:w="90" w:type="dxa"/>
              <w:right w:w="30" w:type="dxa"/>
            </w:tcMar>
            <w:vAlign w:val="top"/>
          </w:tcPr>
          <w:p w:rsidR="10E4B3C3" w:rsidP="1C0B8CD8" w:rsidRDefault="10E4B3C3" w14:paraId="2DE36A12" w14:textId="367E0F38">
            <w:pPr>
              <w:spacing w:line="276" w:lineRule="auto"/>
              <w:ind w:left="140" w:right="140"/>
              <w:jc w:val="center"/>
              <w:rPr>
                <w:rFonts w:ascii="Arial" w:hAnsi="Arial" w:eastAsia="Arial" w:cs="Arial"/>
                <w:b w:val="0"/>
                <w:bCs w:val="0"/>
                <w:i w:val="0"/>
                <w:iCs w:val="0"/>
                <w:sz w:val="22"/>
                <w:szCs w:val="22"/>
                <w:lang w:val="en"/>
              </w:rPr>
            </w:pPr>
            <w:r w:rsidRPr="1C0B8CD8" w:rsidR="10E4B3C3">
              <w:rPr>
                <w:rFonts w:ascii="Arial" w:hAnsi="Arial" w:eastAsia="Arial" w:cs="Arial"/>
                <w:b w:val="0"/>
                <w:bCs w:val="0"/>
                <w:i w:val="0"/>
                <w:iCs w:val="0"/>
                <w:sz w:val="22"/>
                <w:szCs w:val="22"/>
                <w:lang w:val="en"/>
              </w:rPr>
              <w:t>-0.0</w:t>
            </w:r>
            <w:r w:rsidRPr="1C0B8CD8" w:rsidR="1706659E">
              <w:rPr>
                <w:rFonts w:ascii="Arial" w:hAnsi="Arial" w:eastAsia="Arial" w:cs="Arial"/>
                <w:b w:val="0"/>
                <w:bCs w:val="0"/>
                <w:i w:val="0"/>
                <w:iCs w:val="0"/>
                <w:sz w:val="22"/>
                <w:szCs w:val="22"/>
                <w:lang w:val="en"/>
              </w:rPr>
              <w:t>2</w:t>
            </w:r>
            <w:r w:rsidRPr="1C0B8CD8" w:rsidR="10E4B3C3">
              <w:rPr>
                <w:rFonts w:ascii="Arial" w:hAnsi="Arial" w:eastAsia="Arial" w:cs="Arial"/>
                <w:b w:val="0"/>
                <w:bCs w:val="0"/>
                <w:i w:val="0"/>
                <w:iCs w:val="0"/>
                <w:sz w:val="22"/>
                <w:szCs w:val="22"/>
                <w:lang w:val="en"/>
              </w:rPr>
              <w:t xml:space="preserve"> (-0.0</w:t>
            </w:r>
            <w:r w:rsidRPr="1C0B8CD8" w:rsidR="0EEC2D1E">
              <w:rPr>
                <w:rFonts w:ascii="Arial" w:hAnsi="Arial" w:eastAsia="Arial" w:cs="Arial"/>
                <w:b w:val="0"/>
                <w:bCs w:val="0"/>
                <w:i w:val="0"/>
                <w:iCs w:val="0"/>
                <w:sz w:val="22"/>
                <w:szCs w:val="22"/>
                <w:lang w:val="en"/>
              </w:rPr>
              <w:t>4</w:t>
            </w:r>
            <w:r w:rsidRPr="1C0B8CD8" w:rsidR="10E4B3C3">
              <w:rPr>
                <w:rFonts w:ascii="Arial" w:hAnsi="Arial" w:eastAsia="Arial" w:cs="Arial"/>
                <w:b w:val="0"/>
                <w:bCs w:val="0"/>
                <w:i w:val="0"/>
                <w:iCs w:val="0"/>
                <w:sz w:val="22"/>
                <w:szCs w:val="22"/>
                <w:lang w:val="en"/>
              </w:rPr>
              <w:t>, 0.0</w:t>
            </w:r>
            <w:r w:rsidRPr="1C0B8CD8" w:rsidR="0A458F99">
              <w:rPr>
                <w:rFonts w:ascii="Arial" w:hAnsi="Arial" w:eastAsia="Arial" w:cs="Arial"/>
                <w:b w:val="0"/>
                <w:bCs w:val="0"/>
                <w:i w:val="0"/>
                <w:iCs w:val="0"/>
                <w:sz w:val="22"/>
                <w:szCs w:val="22"/>
                <w:lang w:val="en"/>
              </w:rPr>
              <w:t>06</w:t>
            </w:r>
            <w:r w:rsidRPr="1C0B8CD8" w:rsidR="10E4B3C3">
              <w:rPr>
                <w:rFonts w:ascii="Arial" w:hAnsi="Arial" w:eastAsia="Arial" w:cs="Arial"/>
                <w:b w:val="0"/>
                <w:bCs w:val="0"/>
                <w:i w:val="0"/>
                <w:iCs w:val="0"/>
                <w:sz w:val="22"/>
                <w:szCs w:val="22"/>
                <w:lang w:val="en"/>
              </w:rPr>
              <w:t>)</w:t>
            </w:r>
          </w:p>
        </w:tc>
      </w:tr>
      <w:tr w:rsidR="10E4B3C3" w:rsidTr="1C0B8CD8" w14:paraId="3F9B7D31">
        <w:trPr>
          <w:trHeight w:val="15"/>
        </w:trPr>
        <w:tc>
          <w:tcPr>
            <w:tcW w:w="4680" w:type="dxa"/>
            <w:tcBorders>
              <w:top w:val="nil"/>
              <w:left w:val="nil"/>
              <w:bottom w:val="nil"/>
              <w:right w:val="nil"/>
            </w:tcBorders>
            <w:tcMar>
              <w:top w:w="90" w:type="dxa"/>
              <w:left w:w="30" w:type="dxa"/>
              <w:bottom w:w="90" w:type="dxa"/>
              <w:right w:w="30" w:type="dxa"/>
            </w:tcMar>
            <w:vAlign w:val="bottom"/>
          </w:tcPr>
          <w:p w:rsidR="10E4B3C3" w:rsidP="10E4B3C3" w:rsidRDefault="10E4B3C3" w14:paraId="0BBF1B7E" w14:textId="21DB0E8B">
            <w:pPr>
              <w:spacing w:line="276" w:lineRule="auto"/>
              <w:ind w:left="140" w:right="140" w:hanging="6"/>
              <w:rPr>
                <w:rFonts w:ascii="Arial" w:hAnsi="Arial" w:eastAsia="Arial" w:cs="Arial"/>
                <w:b w:val="0"/>
                <w:bCs w:val="0"/>
                <w:i w:val="0"/>
                <w:iCs w:val="0"/>
                <w:sz w:val="22"/>
                <w:szCs w:val="22"/>
              </w:rPr>
            </w:pPr>
            <w:r w:rsidRPr="10E4B3C3" w:rsidR="10E4B3C3">
              <w:rPr>
                <w:rFonts w:ascii="Arial" w:hAnsi="Arial" w:eastAsia="Arial" w:cs="Arial"/>
                <w:b w:val="0"/>
                <w:bCs w:val="0"/>
                <w:i w:val="0"/>
                <w:iCs w:val="0"/>
                <w:sz w:val="22"/>
                <w:szCs w:val="22"/>
                <w:lang w:val="en"/>
              </w:rPr>
              <w:t>Percent with more than high school education</w:t>
            </w:r>
          </w:p>
        </w:tc>
        <w:tc>
          <w:tcPr>
            <w:tcW w:w="4680" w:type="dxa"/>
            <w:tcBorders>
              <w:top w:val="nil"/>
              <w:left w:val="nil"/>
              <w:bottom w:val="nil"/>
              <w:right w:val="nil"/>
            </w:tcBorders>
            <w:tcMar>
              <w:top w:w="90" w:type="dxa"/>
              <w:left w:w="30" w:type="dxa"/>
              <w:bottom w:w="90" w:type="dxa"/>
              <w:right w:w="30" w:type="dxa"/>
            </w:tcMar>
            <w:vAlign w:val="top"/>
          </w:tcPr>
          <w:p w:rsidR="10E4B3C3" w:rsidP="1C0B8CD8" w:rsidRDefault="10E4B3C3" w14:paraId="6BB59F0B" w14:textId="0E5DC0AF">
            <w:pPr>
              <w:spacing w:line="276" w:lineRule="auto"/>
              <w:ind w:left="140" w:right="140"/>
              <w:jc w:val="center"/>
              <w:rPr>
                <w:rFonts w:ascii="Arial" w:hAnsi="Arial" w:eastAsia="Arial" w:cs="Arial"/>
                <w:b w:val="0"/>
                <w:bCs w:val="0"/>
                <w:i w:val="0"/>
                <w:iCs w:val="0"/>
                <w:sz w:val="22"/>
                <w:szCs w:val="22"/>
              </w:rPr>
            </w:pPr>
            <w:r w:rsidRPr="1C0B8CD8" w:rsidR="10E4B3C3">
              <w:rPr>
                <w:rFonts w:ascii="Arial" w:hAnsi="Arial" w:eastAsia="Arial" w:cs="Arial"/>
                <w:b w:val="1"/>
                <w:bCs w:val="1"/>
                <w:i w:val="0"/>
                <w:iCs w:val="0"/>
                <w:sz w:val="22"/>
                <w:szCs w:val="22"/>
                <w:lang w:val="en"/>
              </w:rPr>
              <w:t>-0.0</w:t>
            </w:r>
            <w:r w:rsidRPr="1C0B8CD8" w:rsidR="41D8CE33">
              <w:rPr>
                <w:rFonts w:ascii="Arial" w:hAnsi="Arial" w:eastAsia="Arial" w:cs="Arial"/>
                <w:b w:val="1"/>
                <w:bCs w:val="1"/>
                <w:i w:val="0"/>
                <w:iCs w:val="0"/>
                <w:sz w:val="22"/>
                <w:szCs w:val="22"/>
                <w:lang w:val="en"/>
              </w:rPr>
              <w:t>4</w:t>
            </w:r>
            <w:r w:rsidRPr="1C0B8CD8" w:rsidR="10E4B3C3">
              <w:rPr>
                <w:rFonts w:ascii="Arial" w:hAnsi="Arial" w:eastAsia="Arial" w:cs="Arial"/>
                <w:b w:val="1"/>
                <w:bCs w:val="1"/>
                <w:i w:val="0"/>
                <w:iCs w:val="0"/>
                <w:sz w:val="22"/>
                <w:szCs w:val="22"/>
                <w:lang w:val="en"/>
              </w:rPr>
              <w:t xml:space="preserve"> (-0.0</w:t>
            </w:r>
            <w:r w:rsidRPr="1C0B8CD8" w:rsidR="40F0DF46">
              <w:rPr>
                <w:rFonts w:ascii="Arial" w:hAnsi="Arial" w:eastAsia="Arial" w:cs="Arial"/>
                <w:b w:val="1"/>
                <w:bCs w:val="1"/>
                <w:i w:val="0"/>
                <w:iCs w:val="0"/>
                <w:sz w:val="22"/>
                <w:szCs w:val="22"/>
                <w:lang w:val="en"/>
              </w:rPr>
              <w:t>6</w:t>
            </w:r>
            <w:r w:rsidRPr="1C0B8CD8" w:rsidR="10E4B3C3">
              <w:rPr>
                <w:rFonts w:ascii="Arial" w:hAnsi="Arial" w:eastAsia="Arial" w:cs="Arial"/>
                <w:b w:val="1"/>
                <w:bCs w:val="1"/>
                <w:i w:val="0"/>
                <w:iCs w:val="0"/>
                <w:sz w:val="22"/>
                <w:szCs w:val="22"/>
                <w:lang w:val="en"/>
              </w:rPr>
              <w:t>, -0.0</w:t>
            </w:r>
            <w:r w:rsidRPr="1C0B8CD8" w:rsidR="3A44B3CF">
              <w:rPr>
                <w:rFonts w:ascii="Arial" w:hAnsi="Arial" w:eastAsia="Arial" w:cs="Arial"/>
                <w:b w:val="1"/>
                <w:bCs w:val="1"/>
                <w:i w:val="0"/>
                <w:iCs w:val="0"/>
                <w:sz w:val="22"/>
                <w:szCs w:val="22"/>
                <w:lang w:val="en"/>
              </w:rPr>
              <w:t>2</w:t>
            </w:r>
            <w:r w:rsidRPr="1C0B8CD8" w:rsidR="10E4B3C3">
              <w:rPr>
                <w:rFonts w:ascii="Arial" w:hAnsi="Arial" w:eastAsia="Arial" w:cs="Arial"/>
                <w:b w:val="1"/>
                <w:bCs w:val="1"/>
                <w:i w:val="0"/>
                <w:iCs w:val="0"/>
                <w:sz w:val="22"/>
                <w:szCs w:val="22"/>
                <w:lang w:val="en"/>
              </w:rPr>
              <w:t>)</w:t>
            </w:r>
          </w:p>
        </w:tc>
      </w:tr>
      <w:tr w:rsidR="10E4B3C3" w:rsidTr="1C0B8CD8" w14:paraId="383A37D7">
        <w:trPr>
          <w:trHeight w:val="330"/>
        </w:trPr>
        <w:tc>
          <w:tcPr>
            <w:tcW w:w="4680" w:type="dxa"/>
            <w:tcBorders>
              <w:top w:val="nil"/>
              <w:left w:val="nil"/>
              <w:bottom w:val="nil"/>
              <w:right w:val="nil"/>
            </w:tcBorders>
            <w:tcMar>
              <w:top w:w="90" w:type="dxa"/>
              <w:left w:w="30" w:type="dxa"/>
              <w:bottom w:w="90" w:type="dxa"/>
              <w:right w:w="30" w:type="dxa"/>
            </w:tcMar>
            <w:vAlign w:val="bottom"/>
          </w:tcPr>
          <w:p w:rsidR="10E4B3C3" w:rsidP="1C0B8CD8" w:rsidRDefault="10E4B3C3" w14:paraId="755BBE94" w14:textId="6D22BF86">
            <w:pPr>
              <w:spacing w:line="276" w:lineRule="auto"/>
              <w:ind w:left="140" w:right="140" w:hanging="6"/>
              <w:rPr>
                <w:rFonts w:ascii="Arial" w:hAnsi="Arial" w:eastAsia="Arial" w:cs="Arial"/>
                <w:b w:val="0"/>
                <w:bCs w:val="0"/>
                <w:i w:val="0"/>
                <w:iCs w:val="0"/>
                <w:sz w:val="22"/>
                <w:szCs w:val="22"/>
              </w:rPr>
            </w:pPr>
            <w:r w:rsidRPr="1C0B8CD8" w:rsidR="10E4B3C3">
              <w:rPr>
                <w:rFonts w:ascii="Arial" w:hAnsi="Arial" w:eastAsia="Arial" w:cs="Arial"/>
                <w:b w:val="0"/>
                <w:bCs w:val="0"/>
                <w:i w:val="0"/>
                <w:iCs w:val="0"/>
                <w:sz w:val="22"/>
                <w:szCs w:val="22"/>
                <w:lang w:val="en"/>
              </w:rPr>
              <w:t>Percent</w:t>
            </w:r>
            <w:r w:rsidRPr="1C0B8CD8" w:rsidR="127DD924">
              <w:rPr>
                <w:rFonts w:ascii="Arial" w:hAnsi="Arial" w:eastAsia="Arial" w:cs="Arial"/>
                <w:b w:val="0"/>
                <w:bCs w:val="0"/>
                <w:i w:val="0"/>
                <w:iCs w:val="0"/>
                <w:sz w:val="22"/>
                <w:szCs w:val="22"/>
                <w:lang w:val="en"/>
              </w:rPr>
              <w:t xml:space="preserve"> Black</w:t>
            </w:r>
            <w:r w:rsidRPr="1C0B8CD8" w:rsidR="10E4B3C3">
              <w:rPr>
                <w:rFonts w:ascii="Arial" w:hAnsi="Arial" w:eastAsia="Arial" w:cs="Arial"/>
                <w:b w:val="0"/>
                <w:bCs w:val="0"/>
                <w:i w:val="0"/>
                <w:iCs w:val="0"/>
                <w:sz w:val="22"/>
                <w:szCs w:val="22"/>
                <w:lang w:val="en"/>
              </w:rPr>
              <w:t xml:space="preserve"> foreign-born</w:t>
            </w:r>
          </w:p>
        </w:tc>
        <w:tc>
          <w:tcPr>
            <w:tcW w:w="4680" w:type="dxa"/>
            <w:tcBorders>
              <w:top w:val="nil"/>
              <w:left w:val="nil"/>
              <w:bottom w:val="nil"/>
              <w:right w:val="nil"/>
            </w:tcBorders>
            <w:tcMar>
              <w:top w:w="90" w:type="dxa"/>
              <w:left w:w="30" w:type="dxa"/>
              <w:bottom w:w="90" w:type="dxa"/>
              <w:right w:w="30" w:type="dxa"/>
            </w:tcMar>
            <w:vAlign w:val="top"/>
          </w:tcPr>
          <w:p w:rsidR="10E4B3C3" w:rsidP="1C0B8CD8" w:rsidRDefault="10E4B3C3" w14:paraId="04098018" w14:textId="2ABCDF6A">
            <w:pPr>
              <w:spacing w:line="276" w:lineRule="auto"/>
              <w:ind w:left="140" w:right="140"/>
              <w:jc w:val="center"/>
              <w:rPr>
                <w:rFonts w:ascii="Arial" w:hAnsi="Arial" w:eastAsia="Arial" w:cs="Arial"/>
                <w:b w:val="1"/>
                <w:bCs w:val="1"/>
                <w:i w:val="0"/>
                <w:iCs w:val="0"/>
                <w:sz w:val="22"/>
                <w:szCs w:val="22"/>
                <w:lang w:val="en"/>
              </w:rPr>
            </w:pPr>
            <w:r w:rsidRPr="1C0B8CD8" w:rsidR="10E4B3C3">
              <w:rPr>
                <w:rFonts w:ascii="Arial" w:hAnsi="Arial" w:eastAsia="Arial" w:cs="Arial"/>
                <w:b w:val="1"/>
                <w:bCs w:val="1"/>
                <w:i w:val="0"/>
                <w:iCs w:val="0"/>
                <w:sz w:val="22"/>
                <w:szCs w:val="22"/>
                <w:lang w:val="en"/>
              </w:rPr>
              <w:t>0.02 (0</w:t>
            </w:r>
            <w:r w:rsidRPr="1C0B8CD8" w:rsidR="7971D099">
              <w:rPr>
                <w:rFonts w:ascii="Arial" w:hAnsi="Arial" w:eastAsia="Arial" w:cs="Arial"/>
                <w:b w:val="1"/>
                <w:bCs w:val="1"/>
                <w:i w:val="0"/>
                <w:iCs w:val="0"/>
                <w:sz w:val="22"/>
                <w:szCs w:val="22"/>
                <w:lang w:val="en"/>
              </w:rPr>
              <w:t>.</w:t>
            </w:r>
            <w:r w:rsidRPr="1C0B8CD8" w:rsidR="5A03A6CE">
              <w:rPr>
                <w:rFonts w:ascii="Arial" w:hAnsi="Arial" w:eastAsia="Arial" w:cs="Arial"/>
                <w:b w:val="1"/>
                <w:bCs w:val="1"/>
                <w:i w:val="0"/>
                <w:iCs w:val="0"/>
                <w:sz w:val="22"/>
                <w:szCs w:val="22"/>
                <w:lang w:val="en"/>
              </w:rPr>
              <w:t>0</w:t>
            </w:r>
            <w:r w:rsidRPr="1C0B8CD8" w:rsidR="7971D099">
              <w:rPr>
                <w:rFonts w:ascii="Arial" w:hAnsi="Arial" w:eastAsia="Arial" w:cs="Arial"/>
                <w:b w:val="1"/>
                <w:bCs w:val="1"/>
                <w:i w:val="0"/>
                <w:iCs w:val="0"/>
                <w:sz w:val="22"/>
                <w:szCs w:val="22"/>
                <w:lang w:val="en"/>
              </w:rPr>
              <w:t>1</w:t>
            </w:r>
            <w:r w:rsidRPr="1C0B8CD8" w:rsidR="10E4B3C3">
              <w:rPr>
                <w:rFonts w:ascii="Arial" w:hAnsi="Arial" w:eastAsia="Arial" w:cs="Arial"/>
                <w:b w:val="1"/>
                <w:bCs w:val="1"/>
                <w:i w:val="0"/>
                <w:iCs w:val="0"/>
                <w:sz w:val="22"/>
                <w:szCs w:val="22"/>
                <w:lang w:val="en"/>
              </w:rPr>
              <w:t>, 0.0</w:t>
            </w:r>
            <w:r w:rsidRPr="1C0B8CD8" w:rsidR="60482C24">
              <w:rPr>
                <w:rFonts w:ascii="Arial" w:hAnsi="Arial" w:eastAsia="Arial" w:cs="Arial"/>
                <w:b w:val="1"/>
                <w:bCs w:val="1"/>
                <w:i w:val="0"/>
                <w:iCs w:val="0"/>
                <w:sz w:val="22"/>
                <w:szCs w:val="22"/>
                <w:lang w:val="en"/>
              </w:rPr>
              <w:t>3)</w:t>
            </w:r>
          </w:p>
        </w:tc>
      </w:tr>
      <w:tr w:rsidR="10E4B3C3" w:rsidTr="1C0B8CD8" w14:paraId="4534DC85">
        <w:trPr>
          <w:trHeight w:val="30"/>
        </w:trPr>
        <w:tc>
          <w:tcPr>
            <w:tcW w:w="4680" w:type="dxa"/>
            <w:tcBorders>
              <w:top w:val="nil"/>
              <w:left w:val="nil"/>
              <w:bottom w:val="single" w:sz="6"/>
              <w:right w:val="nil"/>
            </w:tcBorders>
            <w:tcMar>
              <w:top w:w="90" w:type="dxa"/>
              <w:left w:w="30" w:type="dxa"/>
              <w:bottom w:w="90" w:type="dxa"/>
              <w:right w:w="30" w:type="dxa"/>
            </w:tcMar>
            <w:vAlign w:val="bottom"/>
          </w:tcPr>
          <w:p w:rsidR="10E4B3C3" w:rsidP="10E4B3C3" w:rsidRDefault="10E4B3C3" w14:paraId="61D1D1F0" w14:textId="5929D7E0">
            <w:pPr>
              <w:spacing w:line="276" w:lineRule="auto"/>
              <w:ind w:left="140" w:right="140" w:hanging="6"/>
              <w:rPr>
                <w:rFonts w:ascii="Arial" w:hAnsi="Arial" w:eastAsia="Arial" w:cs="Arial"/>
                <w:b w:val="0"/>
                <w:bCs w:val="0"/>
                <w:i w:val="0"/>
                <w:iCs w:val="0"/>
                <w:sz w:val="22"/>
                <w:szCs w:val="22"/>
              </w:rPr>
            </w:pPr>
            <w:r w:rsidRPr="10E4B3C3" w:rsidR="10E4B3C3">
              <w:rPr>
                <w:rFonts w:ascii="Arial" w:hAnsi="Arial" w:eastAsia="Arial" w:cs="Arial"/>
                <w:b w:val="0"/>
                <w:bCs w:val="0"/>
                <w:i w:val="0"/>
                <w:iCs w:val="0"/>
                <w:sz w:val="22"/>
                <w:szCs w:val="22"/>
                <w:lang w:val="en"/>
              </w:rPr>
              <w:t>Racial polarization (ICE</w:t>
            </w:r>
            <w:r w:rsidRPr="10E4B3C3" w:rsidR="10E4B3C3">
              <w:rPr>
                <w:rFonts w:ascii="Arial" w:hAnsi="Arial" w:eastAsia="Arial" w:cs="Arial"/>
                <w:b w:val="0"/>
                <w:bCs w:val="0"/>
                <w:i w:val="0"/>
                <w:iCs w:val="0"/>
                <w:sz w:val="22"/>
                <w:szCs w:val="22"/>
                <w:vertAlign w:val="subscript"/>
                <w:lang w:val="en"/>
              </w:rPr>
              <w:t xml:space="preserve"> Race</w:t>
            </w:r>
            <w:r w:rsidRPr="10E4B3C3" w:rsidR="10E4B3C3">
              <w:rPr>
                <w:rFonts w:ascii="Arial" w:hAnsi="Arial" w:eastAsia="Arial" w:cs="Arial"/>
                <w:b w:val="0"/>
                <w:bCs w:val="0"/>
                <w:i w:val="0"/>
                <w:iCs w:val="0"/>
                <w:sz w:val="22"/>
                <w:szCs w:val="22"/>
                <w:lang w:val="en"/>
              </w:rPr>
              <w:t>)</w:t>
            </w:r>
          </w:p>
        </w:tc>
        <w:tc>
          <w:tcPr>
            <w:tcW w:w="4680" w:type="dxa"/>
            <w:tcBorders>
              <w:top w:val="nil"/>
              <w:left w:val="nil"/>
              <w:bottom w:val="single" w:sz="6"/>
              <w:right w:val="nil"/>
            </w:tcBorders>
            <w:tcMar>
              <w:top w:w="90" w:type="dxa"/>
              <w:left w:w="30" w:type="dxa"/>
              <w:bottom w:w="90" w:type="dxa"/>
              <w:right w:w="30" w:type="dxa"/>
            </w:tcMar>
            <w:vAlign w:val="top"/>
          </w:tcPr>
          <w:p w:rsidR="10E4B3C3" w:rsidP="1C0B8CD8" w:rsidRDefault="10E4B3C3" w14:paraId="01C1871C" w14:textId="4DF27BD6">
            <w:pPr>
              <w:spacing w:line="276" w:lineRule="auto"/>
              <w:ind w:left="140" w:right="140"/>
              <w:jc w:val="center"/>
              <w:rPr>
                <w:rFonts w:ascii="Arial" w:hAnsi="Arial" w:eastAsia="Arial" w:cs="Arial"/>
                <w:b w:val="0"/>
                <w:bCs w:val="0"/>
                <w:i w:val="0"/>
                <w:iCs w:val="0"/>
                <w:sz w:val="22"/>
                <w:szCs w:val="22"/>
              </w:rPr>
            </w:pPr>
            <w:r w:rsidRPr="1C0B8CD8" w:rsidR="10E4B3C3">
              <w:rPr>
                <w:rFonts w:ascii="Arial" w:hAnsi="Arial" w:eastAsia="Arial" w:cs="Arial"/>
                <w:b w:val="0"/>
                <w:bCs w:val="0"/>
                <w:i w:val="0"/>
                <w:iCs w:val="0"/>
                <w:sz w:val="22"/>
                <w:szCs w:val="22"/>
                <w:lang w:val="en"/>
              </w:rPr>
              <w:t>0.01 (</w:t>
            </w:r>
            <w:r w:rsidRPr="1C0B8CD8" w:rsidR="76472EE9">
              <w:rPr>
                <w:rFonts w:ascii="Arial" w:hAnsi="Arial" w:eastAsia="Arial" w:cs="Arial"/>
                <w:b w:val="0"/>
                <w:bCs w:val="0"/>
                <w:i w:val="0"/>
                <w:iCs w:val="0"/>
                <w:sz w:val="22"/>
                <w:szCs w:val="22"/>
                <w:lang w:val="en"/>
              </w:rPr>
              <w:t>-</w:t>
            </w:r>
            <w:r w:rsidRPr="1C0B8CD8" w:rsidR="10E4B3C3">
              <w:rPr>
                <w:rFonts w:ascii="Arial" w:hAnsi="Arial" w:eastAsia="Arial" w:cs="Arial"/>
                <w:b w:val="0"/>
                <w:bCs w:val="0"/>
                <w:i w:val="0"/>
                <w:iCs w:val="0"/>
                <w:sz w:val="22"/>
                <w:szCs w:val="22"/>
                <w:lang w:val="en"/>
              </w:rPr>
              <w:t>0.0</w:t>
            </w:r>
            <w:r w:rsidRPr="1C0B8CD8" w:rsidR="3775034C">
              <w:rPr>
                <w:rFonts w:ascii="Arial" w:hAnsi="Arial" w:eastAsia="Arial" w:cs="Arial"/>
                <w:b w:val="0"/>
                <w:bCs w:val="0"/>
                <w:i w:val="0"/>
                <w:iCs w:val="0"/>
                <w:sz w:val="22"/>
                <w:szCs w:val="22"/>
                <w:lang w:val="en"/>
              </w:rPr>
              <w:t>01</w:t>
            </w:r>
            <w:r w:rsidRPr="1C0B8CD8" w:rsidR="10E4B3C3">
              <w:rPr>
                <w:rFonts w:ascii="Arial" w:hAnsi="Arial" w:eastAsia="Arial" w:cs="Arial"/>
                <w:b w:val="0"/>
                <w:bCs w:val="0"/>
                <w:i w:val="0"/>
                <w:iCs w:val="0"/>
                <w:sz w:val="22"/>
                <w:szCs w:val="22"/>
                <w:lang w:val="en"/>
              </w:rPr>
              <w:t>, 0.0</w:t>
            </w:r>
            <w:r w:rsidRPr="1C0B8CD8" w:rsidR="35EE6088">
              <w:rPr>
                <w:rFonts w:ascii="Arial" w:hAnsi="Arial" w:eastAsia="Arial" w:cs="Arial"/>
                <w:b w:val="0"/>
                <w:bCs w:val="0"/>
                <w:i w:val="0"/>
                <w:iCs w:val="0"/>
                <w:sz w:val="22"/>
                <w:szCs w:val="22"/>
                <w:lang w:val="en"/>
              </w:rPr>
              <w:t>5</w:t>
            </w:r>
            <w:r w:rsidRPr="1C0B8CD8" w:rsidR="10E4B3C3">
              <w:rPr>
                <w:rFonts w:ascii="Arial" w:hAnsi="Arial" w:eastAsia="Arial" w:cs="Arial"/>
                <w:b w:val="0"/>
                <w:bCs w:val="0"/>
                <w:i w:val="0"/>
                <w:iCs w:val="0"/>
                <w:sz w:val="22"/>
                <w:szCs w:val="22"/>
                <w:lang w:val="en"/>
              </w:rPr>
              <w:t>)</w:t>
            </w:r>
          </w:p>
        </w:tc>
      </w:tr>
    </w:tbl>
    <w:p w:rsidR="008D52D3" w:rsidP="10E4B3C3" w:rsidRDefault="008D52D3" w14:paraId="24D4BCA2" w14:textId="688B63A4">
      <w:pPr>
        <w:widowControl w:val="0"/>
        <w:spacing w:before="0" w:beforeAutospacing="off" w:after="0" w:afterAutospacing="off" w:line="240" w:lineRule="auto"/>
        <w:ind w:right="135"/>
        <w:rPr>
          <w:rFonts w:ascii="Arial" w:hAnsi="Arial" w:eastAsia="Arial" w:cs="Arial"/>
          <w:b w:val="0"/>
          <w:bCs w:val="0"/>
          <w:i w:val="0"/>
          <w:iCs w:val="0"/>
          <w:caps w:val="0"/>
          <w:smallCaps w:val="0"/>
          <w:noProof w:val="0"/>
          <w:color w:val="000000" w:themeColor="text1" w:themeTint="FF" w:themeShade="FF"/>
          <w:sz w:val="20"/>
          <w:szCs w:val="20"/>
          <w:lang w:val="en"/>
        </w:rPr>
      </w:pPr>
      <w:r w:rsidRPr="10E4B3C3" w:rsidR="3D0248E9">
        <w:rPr>
          <w:rStyle w:val="normaltextrun"/>
          <w:rFonts w:ascii="Arial" w:hAnsi="Arial" w:eastAsia="Arial" w:cs="Arial"/>
          <w:b w:val="0"/>
          <w:bCs w:val="0"/>
          <w:i w:val="0"/>
          <w:iCs w:val="0"/>
          <w:caps w:val="0"/>
          <w:smallCaps w:val="0"/>
          <w:noProof w:val="0"/>
          <w:color w:val="000000" w:themeColor="text1" w:themeTint="FF" w:themeShade="FF"/>
          <w:sz w:val="24"/>
          <w:szCs w:val="24"/>
          <w:vertAlign w:val="superscript"/>
          <w:lang w:val="en-US"/>
        </w:rPr>
        <w:t>1</w:t>
      </w:r>
      <w:r w:rsidRPr="10E4B3C3" w:rsidR="3D0248E9">
        <w:rPr>
          <w:rStyle w:val="normaltextrun"/>
          <w:rFonts w:ascii="Arial" w:hAnsi="Arial" w:eastAsia="Arial" w:cs="Arial"/>
          <w:b w:val="0"/>
          <w:bCs w:val="0"/>
          <w:i w:val="0"/>
          <w:iCs w:val="0"/>
          <w:caps w:val="0"/>
          <w:smallCaps w:val="0"/>
          <w:noProof w:val="0"/>
          <w:color w:val="000000" w:themeColor="text1" w:themeTint="FF" w:themeShade="FF"/>
          <w:sz w:val="20"/>
          <w:szCs w:val="20"/>
          <w:lang w:val="en-US"/>
        </w:rPr>
        <w:t xml:space="preserve"> Percentages were standard deviation normalized. Thus, the output represents the change in the PTB rate ratio per standard deviation percent increase in the area level factor. </w:t>
      </w:r>
    </w:p>
    <w:p w:rsidR="008D52D3" w:rsidP="10E4B3C3" w:rsidRDefault="008D52D3" w14:paraId="19D81FB8" w14:textId="058D605F">
      <w:pPr>
        <w:widowControl w:val="0"/>
        <w:spacing w:before="0" w:beforeAutospacing="off" w:after="0" w:afterAutospacing="off" w:line="240" w:lineRule="auto"/>
        <w:ind w:right="135"/>
        <w:rPr>
          <w:rFonts w:ascii="Arial" w:hAnsi="Arial" w:eastAsia="Arial" w:cs="Arial"/>
          <w:b w:val="0"/>
          <w:bCs w:val="0"/>
          <w:i w:val="0"/>
          <w:iCs w:val="0"/>
          <w:caps w:val="0"/>
          <w:smallCaps w:val="0"/>
          <w:noProof w:val="0"/>
          <w:color w:val="000000" w:themeColor="text1" w:themeTint="FF" w:themeShade="FF"/>
          <w:sz w:val="20"/>
          <w:szCs w:val="20"/>
          <w:lang w:val="en"/>
        </w:rPr>
      </w:pPr>
      <w:r w:rsidRPr="10E4B3C3" w:rsidR="3D0248E9">
        <w:rPr>
          <w:rStyle w:val="normaltextrun"/>
          <w:rFonts w:ascii="Arial" w:hAnsi="Arial" w:eastAsia="Arial" w:cs="Arial"/>
          <w:b w:val="0"/>
          <w:bCs w:val="0"/>
          <w:i w:val="0"/>
          <w:iCs w:val="0"/>
          <w:caps w:val="0"/>
          <w:smallCaps w:val="0"/>
          <w:noProof w:val="0"/>
          <w:color w:val="000000" w:themeColor="text1" w:themeTint="FF" w:themeShade="FF"/>
          <w:sz w:val="24"/>
          <w:szCs w:val="24"/>
          <w:vertAlign w:val="superscript"/>
          <w:lang w:val="en"/>
        </w:rPr>
        <w:t>2</w:t>
      </w:r>
      <w:r w:rsidRPr="10E4B3C3" w:rsidR="3D0248E9">
        <w:rPr>
          <w:rStyle w:val="normaltextrun"/>
          <w:rFonts w:ascii="Arial" w:hAnsi="Arial" w:eastAsia="Arial" w:cs="Arial"/>
          <w:b w:val="0"/>
          <w:bCs w:val="0"/>
          <w:i w:val="0"/>
          <w:iCs w:val="0"/>
          <w:caps w:val="0"/>
          <w:smallCaps w:val="0"/>
          <w:noProof w:val="0"/>
          <w:color w:val="000000" w:themeColor="text1" w:themeTint="FF" w:themeShade="FF"/>
          <w:sz w:val="20"/>
          <w:szCs w:val="20"/>
          <w:lang w:val="en"/>
        </w:rPr>
        <w:t xml:space="preserve">The Immigrant PTB </w:t>
      </w:r>
      <w:r w:rsidRPr="10E4B3C3" w:rsidR="3D0248E9">
        <w:rPr>
          <w:rFonts w:ascii="Arial" w:hAnsi="Arial" w:eastAsia="Arial" w:cs="Arial"/>
          <w:b w:val="0"/>
          <w:bCs w:val="0"/>
          <w:i w:val="0"/>
          <w:iCs w:val="0"/>
          <w:caps w:val="0"/>
          <w:smallCaps w:val="0"/>
          <w:noProof w:val="0"/>
          <w:color w:val="000000" w:themeColor="text1" w:themeTint="FF" w:themeShade="FF"/>
          <w:sz w:val="20"/>
          <w:szCs w:val="20"/>
          <w:lang w:val="en-US"/>
        </w:rPr>
        <w:t xml:space="preserve">Disparity Rate Ratio is calculated as: (Number of PTBs in foreign-born individuals/Number of foreign-born individuals)/(Number of PTBs in US Individuals/Number of US individuals). A rate ratio &lt; than 1 indicates that the PTB rate in foreign born individuals is lower relative to US born individuals and thus that the county has higher immigrant advantage. Conversely, a ratio &gt; 1 indicates a PTB rate in foreign-born individuals higher than among US-born individuals, thus making that county have lower immigrant advantage. </w:t>
      </w:r>
    </w:p>
    <w:p w:rsidR="008D52D3" w:rsidP="10E4B3C3" w:rsidRDefault="008D52D3" w14:paraId="54526AB6" w14:textId="60BD271F">
      <w:pPr>
        <w:widowControl w:val="0"/>
        <w:spacing w:line="276" w:lineRule="auto"/>
        <w:rPr>
          <w:rFonts w:ascii="Arial" w:hAnsi="Arial" w:eastAsia="Arial" w:cs="Arial"/>
          <w:b w:val="0"/>
          <w:bCs w:val="0"/>
          <w:i w:val="0"/>
          <w:iCs w:val="0"/>
          <w:caps w:val="0"/>
          <w:smallCaps w:val="0"/>
          <w:noProof w:val="0"/>
          <w:color w:val="000000" w:themeColor="text1" w:themeTint="FF" w:themeShade="FF"/>
          <w:sz w:val="20"/>
          <w:szCs w:val="20"/>
          <w:lang w:val="en"/>
        </w:rPr>
      </w:pPr>
    </w:p>
    <w:p w:rsidR="008D52D3" w:rsidP="10E4B3C3" w:rsidRDefault="008D52D3" w14:paraId="00000020" w14:textId="12A4C0ED">
      <w:pPr>
        <w:pStyle w:val="Normal"/>
        <w:widowControl w:val="0"/>
        <w:pBdr>
          <w:top w:val="nil" w:color="000000" w:sz="0" w:space="0"/>
          <w:left w:val="nil" w:color="000000" w:sz="0" w:space="0"/>
          <w:bottom w:val="nil" w:color="000000" w:sz="0" w:space="0"/>
          <w:right w:val="nil" w:color="000000" w:sz="0" w:space="0"/>
          <w:between w:val="nil" w:color="000000" w:sz="0" w:space="0"/>
        </w:pBdr>
        <w:rPr>
          <w:b w:val="1"/>
          <w:bCs w:val="1"/>
        </w:rPr>
      </w:pPr>
    </w:p>
    <w:sectPr w:rsidR="008D52D3">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2D3"/>
    <w:rsid w:val="0032458F"/>
    <w:rsid w:val="007A4BAD"/>
    <w:rsid w:val="008D52D3"/>
    <w:rsid w:val="00A4408D"/>
    <w:rsid w:val="00F60BFF"/>
    <w:rsid w:val="05FED286"/>
    <w:rsid w:val="077F5DC0"/>
    <w:rsid w:val="0A458F99"/>
    <w:rsid w:val="0C9EB1FF"/>
    <w:rsid w:val="0E8A19CB"/>
    <w:rsid w:val="0EEC2D1E"/>
    <w:rsid w:val="0EECE91F"/>
    <w:rsid w:val="10E4B3C3"/>
    <w:rsid w:val="1238A958"/>
    <w:rsid w:val="127DD924"/>
    <w:rsid w:val="1386DCAE"/>
    <w:rsid w:val="1706659E"/>
    <w:rsid w:val="18392999"/>
    <w:rsid w:val="1AADDCD9"/>
    <w:rsid w:val="1B6DDF07"/>
    <w:rsid w:val="1C0B8CD8"/>
    <w:rsid w:val="1C5D8DA0"/>
    <w:rsid w:val="1EBB7C56"/>
    <w:rsid w:val="1FE79A85"/>
    <w:rsid w:val="218CFD44"/>
    <w:rsid w:val="22994824"/>
    <w:rsid w:val="23948234"/>
    <w:rsid w:val="248D0580"/>
    <w:rsid w:val="24B118A2"/>
    <w:rsid w:val="2AF854D2"/>
    <w:rsid w:val="2C4D70C3"/>
    <w:rsid w:val="300F77AA"/>
    <w:rsid w:val="35EE6088"/>
    <w:rsid w:val="3775034C"/>
    <w:rsid w:val="38E6B700"/>
    <w:rsid w:val="3A43435B"/>
    <w:rsid w:val="3A44B3CF"/>
    <w:rsid w:val="3AB1C0D2"/>
    <w:rsid w:val="3D0248E9"/>
    <w:rsid w:val="3E1F1029"/>
    <w:rsid w:val="3EC91B42"/>
    <w:rsid w:val="3F48B948"/>
    <w:rsid w:val="404E45AD"/>
    <w:rsid w:val="407E8CD3"/>
    <w:rsid w:val="40F0DF46"/>
    <w:rsid w:val="41D8CE33"/>
    <w:rsid w:val="42805A0A"/>
    <w:rsid w:val="44E0F0D5"/>
    <w:rsid w:val="4717593C"/>
    <w:rsid w:val="4AB4A47A"/>
    <w:rsid w:val="4B324A63"/>
    <w:rsid w:val="4B441F88"/>
    <w:rsid w:val="4B9E9D35"/>
    <w:rsid w:val="4EB2CD2C"/>
    <w:rsid w:val="521D4407"/>
    <w:rsid w:val="52D55CEF"/>
    <w:rsid w:val="533F7841"/>
    <w:rsid w:val="53623B73"/>
    <w:rsid w:val="53AECA37"/>
    <w:rsid w:val="580A97B1"/>
    <w:rsid w:val="5A03A6CE"/>
    <w:rsid w:val="5D92C62C"/>
    <w:rsid w:val="60482C24"/>
    <w:rsid w:val="6098B6A9"/>
    <w:rsid w:val="610434BF"/>
    <w:rsid w:val="6138C512"/>
    <w:rsid w:val="617E2F67"/>
    <w:rsid w:val="631B70A0"/>
    <w:rsid w:val="658CF376"/>
    <w:rsid w:val="6B14731B"/>
    <w:rsid w:val="6B4FEFBC"/>
    <w:rsid w:val="6B87E24F"/>
    <w:rsid w:val="6C74A820"/>
    <w:rsid w:val="6CECB51D"/>
    <w:rsid w:val="6F937F19"/>
    <w:rsid w:val="7007A1B0"/>
    <w:rsid w:val="73739B74"/>
    <w:rsid w:val="76472EE9"/>
    <w:rsid w:val="78D1BD8C"/>
    <w:rsid w:val="7971D099"/>
    <w:rsid w:val="79F18637"/>
    <w:rsid w:val="7A6D8DED"/>
    <w:rsid w:val="7A8E1177"/>
    <w:rsid w:val="7B09C1D2"/>
    <w:rsid w:val="7B127F37"/>
    <w:rsid w:val="7D33076D"/>
    <w:rsid w:val="7D7D092F"/>
    <w:rsid w:val="7E3DFE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AA12EA32-FE13-4942-8912-CAF47AC05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normaltextrun" w:customStyle="true">
    <w:uiPriority w:val="1"/>
    <w:name w:val="normaltextrun"/>
    <w:basedOn w:val="DefaultParagraphFont"/>
    <w:rsid w:val="10E4B3C3"/>
  </w:style>
  <w:style w:type="paragraph" w:styleId="paragraph" w:customStyle="true">
    <w:uiPriority w:val="1"/>
    <w:name w:val="paragraph"/>
    <w:basedOn w:val="Normal"/>
    <w:rsid w:val="10E4B3C3"/>
    <w:rPr>
      <w:rFonts w:ascii="Times New Roman" w:hAnsi="Times New Roman" w:eastAsia="Times New Roman" w:cs="Times New Roman"/>
      <w:sz w:val="24"/>
      <w:szCs w:val="24"/>
      <w:lang w:val="en-US"/>
    </w:rPr>
    <w:pPr>
      <w:spacing w:beforeAutospacing="on" w:afterAutospacing="on"/>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yperlink" Target="http://paperpile.com/b/dSia9J/oNJm" TargetMode="External" Id="rId13" /><Relationship Type="http://schemas.openxmlformats.org/officeDocument/2006/relationships/hyperlink" Target="http://paperpile.com/b/dSia9J/JQ9N" TargetMode="External" Id="rId18" /><Relationship Type="http://schemas.openxmlformats.org/officeDocument/2006/relationships/hyperlink" Target="http://paperpile.com/b/dSia9J/KjQl" TargetMode="External" Id="rId26" /><Relationship Type="http://schemas.openxmlformats.org/officeDocument/2006/relationships/webSettings" Target="webSettings.xml" Id="rId3" /><Relationship Type="http://schemas.openxmlformats.org/officeDocument/2006/relationships/hyperlink" Target="http://paperpile.com/b/dSia9J/Ue4I" TargetMode="External" Id="rId21" /><Relationship Type="http://schemas.openxmlformats.org/officeDocument/2006/relationships/hyperlink" Target="https://paperpile.com/c/dSia9J/Ue4I" TargetMode="External" Id="rId7" /><Relationship Type="http://schemas.openxmlformats.org/officeDocument/2006/relationships/hyperlink" Target="http://paperpile.com/b/dSia9J/Dtdnv" TargetMode="External" Id="rId12" /><Relationship Type="http://schemas.openxmlformats.org/officeDocument/2006/relationships/hyperlink" Target="http://paperpile.com/b/dSia9J/JQ9N" TargetMode="External" Id="rId17" /><Relationship Type="http://schemas.openxmlformats.org/officeDocument/2006/relationships/hyperlink" Target="http://paperpile.com/b/dSia9J/KjQl" TargetMode="External" Id="rId25" /><Relationship Type="http://schemas.openxmlformats.org/officeDocument/2006/relationships/settings" Target="settings.xml" Id="rId2" /><Relationship Type="http://schemas.openxmlformats.org/officeDocument/2006/relationships/hyperlink" Target="http://dx.doi.org/10.3390/ijerph20085587" TargetMode="External" Id="rId16" /><Relationship Type="http://schemas.openxmlformats.org/officeDocument/2006/relationships/hyperlink" Target="http://mchp-appserv.cpe.umanitoba.ca/reference/Health_Ineq_final_WEB.pdf" TargetMode="External" Id="rId20" /><Relationship Type="http://schemas.openxmlformats.org/officeDocument/2006/relationships/styles" Target="styles.xml" Id="rId1" /><Relationship Type="http://schemas.openxmlformats.org/officeDocument/2006/relationships/hyperlink" Target="https://paperpile.com/c/dSia9J/JQ9N" TargetMode="External" Id="rId6" /><Relationship Type="http://schemas.openxmlformats.org/officeDocument/2006/relationships/hyperlink" Target="http://paperpile.com/b/dSia9J/Dtdnv" TargetMode="External" Id="rId11" /><Relationship Type="http://schemas.openxmlformats.org/officeDocument/2006/relationships/hyperlink" Target="http://paperpile.com/b/dSia9J/KjQl" TargetMode="External" Id="rId24" /><Relationship Type="http://schemas.openxmlformats.org/officeDocument/2006/relationships/hyperlink" Target="https://paperpile.com/c/dSia9J/oNJm" TargetMode="External" Id="rId5" /><Relationship Type="http://schemas.openxmlformats.org/officeDocument/2006/relationships/hyperlink" Target="http://paperpile.com/b/dSia9J/oNJm" TargetMode="External" Id="rId15" /><Relationship Type="http://schemas.openxmlformats.org/officeDocument/2006/relationships/hyperlink" Target="http://paperpile.com/b/dSia9J/Ue4I" TargetMode="External" Id="rId23" /><Relationship Type="http://schemas.openxmlformats.org/officeDocument/2006/relationships/hyperlink" Target="http://paperpile.com/b/dSia9J/Dtdnv" TargetMode="External" Id="rId10" /><Relationship Type="http://schemas.openxmlformats.org/officeDocument/2006/relationships/hyperlink" Target="http://paperpile.com/b/dSia9J/JQ9N" TargetMode="External" Id="rId19" /><Relationship Type="http://schemas.openxmlformats.org/officeDocument/2006/relationships/theme" Target="theme/theme1.xml" Id="rId31" /><Relationship Type="http://schemas.openxmlformats.org/officeDocument/2006/relationships/hyperlink" Target="https://paperpile.com/c/dSia9J/Dtdnv" TargetMode="External" Id="rId4" /><Relationship Type="http://schemas.openxmlformats.org/officeDocument/2006/relationships/hyperlink" Target="http://paperpile.com/b/dSia9J/oNJm" TargetMode="External" Id="rId14" /><Relationship Type="http://schemas.openxmlformats.org/officeDocument/2006/relationships/hyperlink" Target="http://paperpile.com/b/dSia9J/Ue4I" TargetMode="External" Id="rId22" /><Relationship Type="http://schemas.openxmlformats.org/officeDocument/2006/relationships/fontTable" Target="fontTable.xml" Id="rId30" /><Relationship Type="http://schemas.openxmlformats.org/officeDocument/2006/relationships/hyperlink" Target="http://paperpile.com/b/dSia9J/8rN6" TargetMode="External" Id="Rd572b890992b42dc" /><Relationship Type="http://schemas.openxmlformats.org/officeDocument/2006/relationships/hyperlink" Target="http://paperpile.com/b/dSia9J/8rN6" TargetMode="External" Id="Rca0485f607924108" /><Relationship Type="http://schemas.openxmlformats.org/officeDocument/2006/relationships/hyperlink" Target="http://paperpile.com/b/dSia9J/8rN6" TargetMode="External" Id="R7a73e71692314210" /><Relationship Type="http://schemas.openxmlformats.org/officeDocument/2006/relationships/hyperlink" Target="https://paperpile.com/c/dSia9J/KjQl" TargetMode="External" Id="R9634c8759e704645" /><Relationship Type="http://schemas.openxmlformats.org/officeDocument/2006/relationships/hyperlink" Target="https://paperpile.com/c/dSia9J/8rN6" TargetMode="External" Id="R740e461eecd140c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Montoya-williams, Diana</lastModifiedBy>
  <revision>8</revision>
  <dcterms:created xsi:type="dcterms:W3CDTF">2024-04-12T20:37:00.0000000Z</dcterms:created>
  <dcterms:modified xsi:type="dcterms:W3CDTF">2024-09-20T13:16:30.7807055Z</dcterms:modified>
</coreProperties>
</file>