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2720" w14:textId="77777777" w:rsidR="00F85BD2" w:rsidRDefault="00F85BD2"/>
    <w:p w14:paraId="0B12FE19" w14:textId="77777777" w:rsidR="00F85BD2" w:rsidRPr="00C6055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0555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</w:t>
      </w:r>
    </w:p>
    <w:p w14:paraId="72AAC824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CCFCB9" w14:textId="60D96393" w:rsidR="00F85BD2" w:rsidRDefault="00BA487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OF CONTENTS</w:t>
      </w:r>
    </w:p>
    <w:p w14:paraId="7F08118E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96784F" w14:textId="1DDF2A2D" w:rsidR="00F85BD2" w:rsidRDefault="00000000" w:rsidP="00BA487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S1</w:t>
      </w:r>
      <w:r w:rsidR="00BA487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2013 National Center for Health Statistics urbanization classification</w:t>
      </w:r>
    </w:p>
    <w:p w14:paraId="77D3D564" w14:textId="77777777" w:rsidR="00BA4874" w:rsidRDefault="00BA4874" w:rsidP="00BA487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EEB8DB" w14:textId="5678EAC8" w:rsidR="00BA4874" w:rsidRDefault="00BA4874" w:rsidP="00C6055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S2. Linear regression analysis with black/white ratio of age-adjusted mortality rates as dependent variable and percent of the county population that was non-Hispanic black by gender: Mississippi, 1999-2020</w:t>
      </w:r>
    </w:p>
    <w:p w14:paraId="6E925520" w14:textId="77777777" w:rsidR="00F85BD2" w:rsidRDefault="00F85BD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D89226" w14:textId="1561C104" w:rsidR="00F85BD2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Figure S1</w:t>
      </w:r>
      <w:r w:rsidR="00BA487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4FB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ge-adjusted rates per 100,000 for all causes of death by race and 2013 urbanization category in those aged 35-84 years by county: Mississippi, 1999-2020 </w:t>
      </w:r>
    </w:p>
    <w:p w14:paraId="556BC0CD" w14:textId="77777777" w:rsidR="00F85BD2" w:rsidRDefault="00F85BD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D06233" w14:textId="77777777" w:rsidR="00F85BD2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Figure S2. Ratio of age-adjusted rates per 100,000 for all causes of death in black males to white males among non-Hispanics aged 35-84 years by county: Mississippi, 1999-2020 </w:t>
      </w:r>
    </w:p>
    <w:p w14:paraId="5253FD51" w14:textId="77777777" w:rsidR="00F85BD2" w:rsidRDefault="00F85BD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29EE81" w14:textId="62366090" w:rsidR="00F85BD2" w:rsidRPr="00C60555" w:rsidRDefault="00000000" w:rsidP="00C6055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1fob9te" w:colFirst="0" w:colLast="0"/>
      <w:bookmarkEnd w:id="0"/>
      <w:r w:rsidRPr="00C60555">
        <w:rPr>
          <w:rFonts w:ascii="Times New Roman" w:eastAsia="Times New Roman" w:hAnsi="Times New Roman" w:cs="Times New Roman"/>
          <w:sz w:val="24"/>
          <w:szCs w:val="24"/>
        </w:rPr>
        <w:t>Figure S3</w:t>
      </w:r>
      <w:r w:rsidR="00BA4874" w:rsidRPr="00C6055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0555">
        <w:rPr>
          <w:rFonts w:ascii="Times New Roman" w:eastAsia="Times New Roman" w:hAnsi="Times New Roman" w:cs="Times New Roman"/>
          <w:sz w:val="24"/>
          <w:szCs w:val="24"/>
        </w:rPr>
        <w:t xml:space="preserve"> Age-adjusted mortality rate among non-Hispanic </w:t>
      </w:r>
      <w:r w:rsidR="00BD54FB" w:rsidRPr="00C60555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C60555">
        <w:rPr>
          <w:rFonts w:ascii="Times New Roman" w:eastAsia="Times New Roman" w:hAnsi="Times New Roman" w:cs="Times New Roman"/>
          <w:sz w:val="24"/>
          <w:szCs w:val="24"/>
        </w:rPr>
        <w:t>lacks aged 35-84 years by county, Mississippi, 1999-2020</w:t>
      </w:r>
    </w:p>
    <w:p w14:paraId="12AFC227" w14:textId="77777777" w:rsidR="00F85BD2" w:rsidRPr="00C60555" w:rsidRDefault="00F85BD2" w:rsidP="00BA487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CB32F4" w14:textId="74F2BA68" w:rsidR="00F85BD2" w:rsidRDefault="00000000" w:rsidP="00BA487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0555">
        <w:rPr>
          <w:rFonts w:ascii="Times New Roman" w:eastAsia="Times New Roman" w:hAnsi="Times New Roman" w:cs="Times New Roman"/>
          <w:sz w:val="24"/>
          <w:szCs w:val="24"/>
        </w:rPr>
        <w:t>Figure S4</w:t>
      </w:r>
      <w:r w:rsidR="00BA4874" w:rsidRPr="00C6055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0555">
        <w:rPr>
          <w:rFonts w:ascii="Times New Roman" w:eastAsia="Times New Roman" w:hAnsi="Times New Roman" w:cs="Times New Roman"/>
          <w:sz w:val="24"/>
          <w:szCs w:val="24"/>
        </w:rPr>
        <w:t xml:space="preserve"> Age-adjusted mortality rate among non-Hispanic whites aged 35-84 years by county, Mississippi, 1999-2020</w:t>
      </w:r>
      <w:r>
        <w:br w:type="page"/>
      </w:r>
    </w:p>
    <w:p w14:paraId="0A6E9169" w14:textId="1EE613E8" w:rsidR="00F85B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S1. The 2013 National Center for Health Statistics urbanization classification</w:t>
      </w:r>
    </w:p>
    <w:p w14:paraId="4ECD29A8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FC3FAEF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85BD2" w14:paraId="48FF07B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E61B1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Large central metro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685FC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Metropolitan statistical areas (MSAs)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of one million or more population that have been identified by NCHS classification rules as central because they contain all or part of a principal city of the area</w:t>
            </w:r>
          </w:p>
        </w:tc>
      </w:tr>
      <w:tr w:rsidR="00F85BD2" w14:paraId="67C0202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7B1EC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Large fringe metro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9EA6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remaining counties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similar to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suburbs)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in MSAs of one million or more</w:t>
            </w:r>
          </w:p>
        </w:tc>
      </w:tr>
      <w:tr w:rsidR="00F85BD2" w14:paraId="3089C45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FD1D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Medium metro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1AEC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MSAs of 250,000 to 999,999 population</w:t>
            </w:r>
          </w:p>
        </w:tc>
      </w:tr>
      <w:tr w:rsidR="00F85BD2" w14:paraId="16ED3BD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FE8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Small metro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AE342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MSAs with populations under 250,000</w:t>
            </w:r>
          </w:p>
        </w:tc>
      </w:tr>
      <w:tr w:rsidR="00F85BD2" w14:paraId="245AFEB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3B71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Nonmetropolitan, micropolitan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33B1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Nonmetropolitan, in a micropolitan statistical area </w:t>
            </w:r>
          </w:p>
        </w:tc>
      </w:tr>
      <w:tr w:rsidR="00F85BD2" w14:paraId="668C20B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B9929" w14:textId="77777777" w:rsidR="00F85BD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Nonmetropolitan, noncore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FA770" w14:textId="77777777" w:rsidR="00F85BD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Nonmetropolitan, not in a micropolitan statistical area </w:t>
            </w:r>
          </w:p>
          <w:p w14:paraId="2EA762F5" w14:textId="77777777" w:rsidR="00F85BD2" w:rsidRDefault="00F85B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D0639A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89D13A" w14:textId="77777777" w:rsidR="00F85B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Source: Ingram DD, Franco SJ. NCHS urban-rural classification scheme for counties.</w:t>
      </w:r>
    </w:p>
    <w:p w14:paraId="0B2C8673" w14:textId="77777777" w:rsidR="00F85B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National Center for Health Statistics. Vital Health Stat 2(154). 2012.</w:t>
      </w:r>
    </w:p>
    <w:p w14:paraId="462E9E3A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78F69C" w14:textId="77777777" w:rsidR="00F85B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C99627E" w14:textId="08FF0D03" w:rsidR="00F85B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5480046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S2</w:t>
      </w:r>
      <w:r w:rsidR="00BA487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Linear regression analysis with black/white ratio of age-adjusted mortality rates as dependent variable and percent of the county population that was non-Hispanic black by gender: Mississippi, 1999-2020</w:t>
      </w:r>
    </w:p>
    <w:bookmarkEnd w:id="1"/>
    <w:p w14:paraId="73642881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72C78F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5EABF7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F85BD2" w14:paraId="1E918424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7F59A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5EABD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Coeff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2DAD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1799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0294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B1DF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R-squared</w:t>
            </w:r>
          </w:p>
        </w:tc>
      </w:tr>
      <w:tr w:rsidR="00F85BD2" w14:paraId="76AEE45C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72188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510D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0FC1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12327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3FF2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0A45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F85BD2" w14:paraId="2D4E2252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BA1D2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BCDA1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C793E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44F8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6CB44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BC21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BD2" w14:paraId="154ADEC6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75F95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AAF05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92F21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D66F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4.63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C4B2C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CB1B9" w14:textId="77777777" w:rsidR="00F85BD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F85BD2" w14:paraId="2A2DC6B3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1203A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E4A27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A863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BF38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BEB5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7E6CA" w14:textId="77777777" w:rsidR="00F85BD2" w:rsidRDefault="00F85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2C8969" w14:textId="77777777" w:rsidR="00F85BD2" w:rsidRDefault="00F85BD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85BD2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7C23E" w14:textId="77777777" w:rsidR="007E3E79" w:rsidRDefault="007E3E79">
      <w:pPr>
        <w:spacing w:line="240" w:lineRule="auto"/>
      </w:pPr>
      <w:r>
        <w:separator/>
      </w:r>
    </w:p>
  </w:endnote>
  <w:endnote w:type="continuationSeparator" w:id="0">
    <w:p w14:paraId="2BF00983" w14:textId="77777777" w:rsidR="007E3E79" w:rsidRDefault="007E3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965E6" w14:textId="77777777" w:rsidR="007E3E79" w:rsidRDefault="007E3E79">
      <w:pPr>
        <w:spacing w:line="240" w:lineRule="auto"/>
      </w:pPr>
      <w:r>
        <w:separator/>
      </w:r>
    </w:p>
  </w:footnote>
  <w:footnote w:type="continuationSeparator" w:id="0">
    <w:p w14:paraId="1C3F3840" w14:textId="77777777" w:rsidR="007E3E79" w:rsidRDefault="007E3E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4734" w14:textId="77777777" w:rsidR="00F85BD2" w:rsidRDefault="00F85B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D2"/>
    <w:rsid w:val="0043776A"/>
    <w:rsid w:val="007E3E79"/>
    <w:rsid w:val="0083128D"/>
    <w:rsid w:val="00BA4874"/>
    <w:rsid w:val="00BD54FB"/>
    <w:rsid w:val="00C60555"/>
    <w:rsid w:val="00E73B08"/>
    <w:rsid w:val="00E8176D"/>
    <w:rsid w:val="00F8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2F87B"/>
  <w15:docId w15:val="{F4C10E51-B26E-49CB-A644-B5F88688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A487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 Dodd</dc:creator>
  <cp:lastModifiedBy>Isaac Dodd</cp:lastModifiedBy>
  <cp:revision>4</cp:revision>
  <dcterms:created xsi:type="dcterms:W3CDTF">2024-12-19T11:55:00Z</dcterms:created>
  <dcterms:modified xsi:type="dcterms:W3CDTF">2025-01-15T14:28:00Z</dcterms:modified>
</cp:coreProperties>
</file>