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35878937" w:rsidP="57027647" w:rsidRDefault="35878937" w14:paraId="1475D51D" w14:textId="1B3191B8">
      <w:pPr>
        <w:spacing w:beforeAutospacing="on" w:afterAutospacing="on"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7027647" w:rsidR="35878937">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Title: Colorectal Cancer Screening in Black and Latino Adults with Type 2 Diabetes: Associations with Modifiable Health Behaviors and Sociodemographic Factors</w:t>
      </w:r>
    </w:p>
    <w:p w:rsidRPr="007747B7" w:rsidR="007747B7" w:rsidRDefault="007747B7" w14:paraId="592B9745" w14:textId="61B6766D">
      <w:pPr>
        <w:rPr>
          <w:b/>
          <w:bCs/>
        </w:rPr>
      </w:pPr>
      <w:r w:rsidRPr="007747B7">
        <w:rPr>
          <w:b/>
          <w:bCs/>
        </w:rPr>
        <w:t>We thank the reviewers for their comments. Our responses are below.</w:t>
      </w:r>
    </w:p>
    <w:p w:rsidR="00EB467D" w:rsidRDefault="00B66F88" w14:paraId="70D3FF5A" w14:textId="77777777">
      <w:r w:rsidRPr="00B66F88">
        <w:t>Reviewer #1: Thank you for the opportunity to review your study. Please see the major comments of the manuscript:</w:t>
      </w:r>
      <w:r w:rsidRPr="00B66F88">
        <w:br/>
      </w:r>
      <w:r w:rsidRPr="00B66F88">
        <w:br/>
      </w:r>
      <w:r w:rsidRPr="00B66F88">
        <w:t>1. Clarity and Reporting of Key Results-Key results should include clearer reporting of denominators, consistent presentation of statistical findings, and more cautious interpretation of borderline or non-significant results.</w:t>
      </w:r>
    </w:p>
    <w:p w:rsidRPr="001D7D8E" w:rsidR="00A50F98" w:rsidRDefault="00A50F98" w14:paraId="2C98020D" w14:textId="0AF90129">
      <w:pPr>
        <w:rPr>
          <w:b/>
          <w:bCs/>
        </w:rPr>
      </w:pPr>
      <w:r w:rsidRPr="001D7D8E">
        <w:rPr>
          <w:b/>
          <w:bCs/>
        </w:rPr>
        <w:t xml:space="preserve">We </w:t>
      </w:r>
      <w:r w:rsidRPr="001D7D8E" w:rsidR="003E36A5">
        <w:rPr>
          <w:b/>
          <w:bCs/>
        </w:rPr>
        <w:t>now rep</w:t>
      </w:r>
      <w:r w:rsidRPr="001D7D8E" w:rsidR="00566F54">
        <w:rPr>
          <w:b/>
          <w:bCs/>
        </w:rPr>
        <w:t>eat the sample size to clarify the denominator in the analy</w:t>
      </w:r>
      <w:r w:rsidRPr="001D7D8E" w:rsidR="000B7B25">
        <w:rPr>
          <w:b/>
          <w:bCs/>
        </w:rPr>
        <w:t xml:space="preserve">ses. We have also revised the table to align better with the text. </w:t>
      </w:r>
      <w:r w:rsidRPr="001D7D8E" w:rsidR="00F2234E">
        <w:rPr>
          <w:b/>
          <w:bCs/>
        </w:rPr>
        <w:t>Only two non-significant relationships are mentioned in the text, and they are transparently labeled as non-significant</w:t>
      </w:r>
      <w:r w:rsidRPr="001D7D8E" w:rsidR="001D7D8E">
        <w:rPr>
          <w:b/>
          <w:bCs/>
        </w:rPr>
        <w:t>, so we feel it is an objective reporting of the findings.</w:t>
      </w:r>
    </w:p>
    <w:p w:rsidR="00C659AD" w:rsidRDefault="00B66F88" w14:paraId="511D01FE" w14:textId="4C6C465B">
      <w:r w:rsidRPr="00B66F88">
        <w:br/>
      </w:r>
      <w:r w:rsidRPr="00B66F88">
        <w:t>2. Need for Contextual Benchmarking- Incorporating national CRC screening benchmarks and comparative risk data, such as among those without T2D, would provide better context for the findings.</w:t>
      </w:r>
    </w:p>
    <w:p w:rsidRPr="002C22E5" w:rsidR="002C22E5" w:rsidRDefault="002C22E5" w14:paraId="2A504189" w14:textId="1691B4D0">
      <w:pPr>
        <w:rPr>
          <w:b/>
          <w:bCs/>
        </w:rPr>
      </w:pPr>
      <w:r w:rsidRPr="002C22E5">
        <w:rPr>
          <w:b/>
          <w:bCs/>
        </w:rPr>
        <w:t xml:space="preserve">Thank you for the suggestion. </w:t>
      </w:r>
      <w:r w:rsidRPr="002C22E5" w:rsidR="00C659AD">
        <w:rPr>
          <w:b/>
          <w:bCs/>
        </w:rPr>
        <w:t>We have added additional information on</w:t>
      </w:r>
      <w:r>
        <w:rPr>
          <w:b/>
          <w:bCs/>
        </w:rPr>
        <w:t xml:space="preserve"> current screening rates and </w:t>
      </w:r>
      <w:r w:rsidRPr="002C22E5">
        <w:rPr>
          <w:b/>
          <w:bCs/>
        </w:rPr>
        <w:t>benchmarks to provide context for our findings.</w:t>
      </w:r>
    </w:p>
    <w:p w:rsidR="00EB467D" w:rsidRDefault="00B66F88" w14:paraId="47594A72" w14:textId="77777777">
      <w:r w:rsidRPr="00B66F88">
        <w:br/>
      </w:r>
      <w:r w:rsidRPr="00B66F88">
        <w:t>3. Strengthening the Introduction and Rationale-The Introduction should include supporting data or examples for key claims and use consistent terminology throughout.</w:t>
      </w:r>
    </w:p>
    <w:p w:rsidRPr="00EB1419" w:rsidR="00EB1419" w:rsidRDefault="00EB1419" w14:paraId="66451A1D" w14:textId="660E9E1E">
      <w:pPr>
        <w:rPr>
          <w:b/>
          <w:bCs/>
        </w:rPr>
      </w:pPr>
      <w:r w:rsidRPr="00EB1419">
        <w:rPr>
          <w:b/>
          <w:bCs/>
        </w:rPr>
        <w:t>We have added additional statistics and examples to the introduction.</w:t>
      </w:r>
    </w:p>
    <w:p w:rsidR="00EB467D" w:rsidRDefault="00B66F88" w14:paraId="0D167D53" w14:textId="77777777">
      <w:r w:rsidRPr="00B66F88">
        <w:br/>
      </w:r>
      <w:r w:rsidRPr="00B66F88">
        <w:t>4. Methods Transparency- The Methods section should more clearly specify inclusion and exclusion criteria, screening guidelines, and benchmark references to improve transparency.</w:t>
      </w:r>
    </w:p>
    <w:p w:rsidRPr="009A01C8" w:rsidR="00A846A3" w:rsidRDefault="00A846A3" w14:paraId="0FB82D66" w14:textId="5A26F1EF">
      <w:pPr>
        <w:rPr>
          <w:b/>
          <w:bCs/>
        </w:rPr>
      </w:pPr>
      <w:r w:rsidRPr="009A01C8">
        <w:rPr>
          <w:b/>
          <w:bCs/>
        </w:rPr>
        <w:t xml:space="preserve">We have revised the methods to clarify the study sample. </w:t>
      </w:r>
      <w:r w:rsidRPr="009A01C8" w:rsidR="00251133">
        <w:rPr>
          <w:b/>
          <w:bCs/>
        </w:rPr>
        <w:t>We describe the inclusion and exclusion criteria in the Study Population section</w:t>
      </w:r>
      <w:r w:rsidRPr="009A01C8" w:rsidR="009A01C8">
        <w:rPr>
          <w:b/>
          <w:bCs/>
        </w:rPr>
        <w:t>, and we have clarified where the screening guidelines come from and how they are defined</w:t>
      </w:r>
      <w:r w:rsidRPr="009A01C8" w:rsidR="00251133">
        <w:rPr>
          <w:b/>
          <w:bCs/>
        </w:rPr>
        <w:t xml:space="preserve">. </w:t>
      </w:r>
    </w:p>
    <w:p w:rsidR="00EB467D" w:rsidRDefault="00B66F88" w14:paraId="5189983F" w14:textId="77777777">
      <w:r w:rsidRPr="00B66F88">
        <w:br/>
      </w:r>
      <w:r w:rsidRPr="00B66F88">
        <w:t>5. Results-Interpretations should be more balanced and supported, and the author should clearly explain behavioral and healthcare engagement pathways. If possible, include broader comparisons.</w:t>
      </w:r>
    </w:p>
    <w:p w:rsidRPr="005B0404" w:rsidR="00CA464B" w:rsidRDefault="00CA464B" w14:paraId="0E9831B3" w14:textId="7CF53C26">
      <w:pPr>
        <w:rPr>
          <w:b/>
          <w:bCs/>
        </w:rPr>
      </w:pPr>
      <w:r w:rsidRPr="005B0404">
        <w:rPr>
          <w:b/>
          <w:bCs/>
        </w:rPr>
        <w:t xml:space="preserve">We </w:t>
      </w:r>
      <w:r w:rsidRPr="005B0404" w:rsidR="00295DA4">
        <w:rPr>
          <w:b/>
          <w:bCs/>
        </w:rPr>
        <w:t>edited</w:t>
      </w:r>
      <w:r w:rsidRPr="005B0404">
        <w:rPr>
          <w:b/>
          <w:bCs/>
        </w:rPr>
        <w:t xml:space="preserve"> the results and discussion to be more nuanced and</w:t>
      </w:r>
      <w:r w:rsidRPr="005B0404" w:rsidR="00295DA4">
        <w:rPr>
          <w:b/>
          <w:bCs/>
        </w:rPr>
        <w:t xml:space="preserve"> revised the reference to behav</w:t>
      </w:r>
      <w:r w:rsidRPr="005B0404" w:rsidR="005B0404">
        <w:rPr>
          <w:b/>
          <w:bCs/>
        </w:rPr>
        <w:t>ioral and healthcare engagement pathways to improve clarity.</w:t>
      </w:r>
      <w:r w:rsidR="00320CC0">
        <w:rPr>
          <w:b/>
          <w:bCs/>
        </w:rPr>
        <w:t xml:space="preserve"> Unfortunately discussion of other race/ethnicities is outside the scope of this manuscript. </w:t>
      </w:r>
    </w:p>
    <w:p w:rsidR="00EB467D" w:rsidRDefault="00B66F88" w14:paraId="459A52EE" w14:textId="77777777">
      <w:r w:rsidRPr="00B66F88">
        <w:br/>
      </w:r>
      <w:r w:rsidRPr="00B66F88">
        <w:t>6. Discussion- The manuscript would benefit from improved flow, stronger alignment with the study aim, and a clearly articulated implications section, if permitted.</w:t>
      </w:r>
    </w:p>
    <w:p w:rsidRPr="00AC4C1F" w:rsidR="00FE762B" w:rsidRDefault="00FE762B" w14:paraId="61821627" w14:textId="6F402647">
      <w:pPr>
        <w:rPr>
          <w:b/>
          <w:bCs/>
        </w:rPr>
      </w:pPr>
      <w:r w:rsidRPr="00AC4C1F">
        <w:rPr>
          <w:b/>
          <w:bCs/>
        </w:rPr>
        <w:t>Our aim was to identify factors association with screening,</w:t>
      </w:r>
      <w:r w:rsidRPr="00AC4C1F" w:rsidR="00AC4C1F">
        <w:rPr>
          <w:b/>
          <w:bCs/>
        </w:rPr>
        <w:t xml:space="preserve"> and the discussion discusses each of the associations that we identified.</w:t>
      </w:r>
      <w:r w:rsidR="00AC4C1F">
        <w:rPr>
          <w:b/>
          <w:bCs/>
        </w:rPr>
        <w:t xml:space="preserve"> We also include a</w:t>
      </w:r>
      <w:r w:rsidR="001D2295">
        <w:rPr>
          <w:b/>
          <w:bCs/>
        </w:rPr>
        <w:t>n implications section.</w:t>
      </w:r>
    </w:p>
    <w:p w:rsidR="00EB237A" w:rsidRDefault="00B66F88" w14:paraId="18C33260" w14:textId="26A290D0">
      <w:r w:rsidRPr="00B66F88">
        <w:br/>
      </w:r>
      <w:r w:rsidRPr="00B66F88">
        <w:t>7. The limitations section needs expansion to cover geographic specificity, the lack of psychosocial variables, and recommendations for future research, like mixed-methods studies.</w:t>
      </w:r>
    </w:p>
    <w:p w:rsidRPr="0059528A" w:rsidR="00EB237A" w:rsidRDefault="00EB237A" w14:paraId="43DB6928" w14:textId="14CC275F">
      <w:pPr>
        <w:rPr>
          <w:b/>
          <w:bCs/>
        </w:rPr>
      </w:pPr>
      <w:r w:rsidRPr="0059528A">
        <w:rPr>
          <w:b/>
          <w:bCs/>
        </w:rPr>
        <w:t>We added the geographic specificity to our limitations</w:t>
      </w:r>
      <w:r w:rsidRPr="0059528A" w:rsidR="0059528A">
        <w:rPr>
          <w:b/>
          <w:bCs/>
        </w:rPr>
        <w:t xml:space="preserve"> and noted future directions</w:t>
      </w:r>
      <w:r w:rsidRPr="0059528A">
        <w:rPr>
          <w:b/>
          <w:bCs/>
        </w:rPr>
        <w:t xml:space="preserve">. </w:t>
      </w:r>
    </w:p>
    <w:p w:rsidR="00AC18D2" w:rsidRDefault="00B66F88" w14:paraId="2BA43E72" w14:textId="77777777">
      <w:r w:rsidRPr="00B66F88">
        <w:br/>
      </w:r>
      <w:r w:rsidRPr="00B66F88">
        <w:t>8. Consistency in terminology, refinement of wording, inclusion of examples where needed, and ensuring data or references supported all claims would improve clarity and readability.</w:t>
      </w:r>
    </w:p>
    <w:p w:rsidRPr="009D7453" w:rsidR="00300E5B" w:rsidRDefault="00AC18D2" w14:paraId="7841BDB1" w14:textId="69E9CF97">
      <w:pPr>
        <w:rPr>
          <w:b/>
          <w:bCs/>
        </w:rPr>
      </w:pPr>
      <w:r w:rsidRPr="009D7453">
        <w:rPr>
          <w:b/>
          <w:bCs/>
        </w:rPr>
        <w:t xml:space="preserve">We have </w:t>
      </w:r>
      <w:r w:rsidRPr="009D7453" w:rsidR="009D7453">
        <w:rPr>
          <w:b/>
          <w:bCs/>
        </w:rPr>
        <w:t xml:space="preserve">revised the manuscript to ensure consistent use of terminology and to include additional examples. </w:t>
      </w:r>
      <w:r w:rsidRPr="009D7453" w:rsidR="00B66F88">
        <w:rPr>
          <w:b/>
          <w:bCs/>
        </w:rPr>
        <w:br/>
      </w:r>
    </w:p>
    <w:p w:rsidR="00B66F88" w:rsidRDefault="00B66F88" w14:paraId="08E31895" w14:textId="1A6B4815">
      <w:r w:rsidRPr="00B66F88">
        <w:t>Since this was conducted in South Los Angeles, this can be another limitation.</w:t>
      </w:r>
    </w:p>
    <w:p w:rsidR="002C6293" w:rsidRDefault="002C6293" w14:paraId="2E7BA9FB" w14:textId="7DBB4C4E">
      <w:pPr>
        <w:rPr>
          <w:b/>
          <w:bCs/>
        </w:rPr>
      </w:pPr>
      <w:r w:rsidRPr="002C6293">
        <w:rPr>
          <w:b/>
          <w:bCs/>
        </w:rPr>
        <w:t xml:space="preserve">We have added this to the limitations. </w:t>
      </w:r>
    </w:p>
    <w:p w:rsidRPr="002C6293" w:rsidR="002C6293" w:rsidRDefault="002C6293" w14:paraId="4F198AAD" w14:textId="77777777">
      <w:pPr>
        <w:rPr>
          <w:b/>
          <w:bCs/>
        </w:rPr>
      </w:pPr>
    </w:p>
    <w:p w:rsidR="00B66F88" w:rsidRDefault="00B66F88" w14:paraId="416F681E" w14:textId="47924392">
      <w:r w:rsidRPr="00B66F88">
        <w:t>Yes, I agree that not being able to measure the psychosocial factors was a limitation. Perhaps a mixed-method study can be a future study.</w:t>
      </w:r>
    </w:p>
    <w:p w:rsidRPr="002A564D" w:rsidR="002A564D" w:rsidRDefault="002A564D" w14:paraId="09DCBB2F" w14:textId="7C69FAF1">
      <w:pPr>
        <w:rPr>
          <w:b/>
          <w:bCs/>
        </w:rPr>
      </w:pPr>
      <w:r w:rsidRPr="002A564D">
        <w:rPr>
          <w:b/>
          <w:bCs/>
        </w:rPr>
        <w:t>This is a good idea. Our additional work will measure psychosocial factors</w:t>
      </w:r>
      <w:r>
        <w:rPr>
          <w:b/>
          <w:bCs/>
        </w:rPr>
        <w:t xml:space="preserve"> in a similar sample through an extensive survey</w:t>
      </w:r>
      <w:r w:rsidRPr="002A564D">
        <w:rPr>
          <w:b/>
          <w:bCs/>
        </w:rPr>
        <w:t>.</w:t>
      </w:r>
    </w:p>
    <w:p w:rsidR="002A564D" w:rsidRDefault="002A564D" w14:paraId="1A8938C2" w14:textId="77777777"/>
    <w:p w:rsidR="00B66F88" w:rsidRDefault="00B66F88" w14:paraId="10A04627" w14:textId="02EB2D39">
      <w:r w:rsidRPr="00B66F88">
        <w:t>Please clarify how the study answered the research question/aim. This will strengthen the importance of the research.</w:t>
      </w:r>
    </w:p>
    <w:p w:rsidRPr="00477266" w:rsidR="005B45B9" w:rsidRDefault="005B45B9" w14:paraId="7BB2A896" w14:textId="3D412303">
      <w:pPr>
        <w:rPr>
          <w:b/>
          <w:bCs/>
        </w:rPr>
      </w:pPr>
      <w:r w:rsidRPr="00477266">
        <w:rPr>
          <w:b/>
          <w:bCs/>
        </w:rPr>
        <w:t>Our aim was to identify factors associated with CRC screening</w:t>
      </w:r>
      <w:r w:rsidRPr="00477266" w:rsidR="00477266">
        <w:rPr>
          <w:b/>
          <w:bCs/>
        </w:rPr>
        <w:t>. We now note in the conclusion that we have done this successfully.</w:t>
      </w:r>
    </w:p>
    <w:p w:rsidR="00B66F88" w:rsidRDefault="00B66F88" w14:paraId="504FA41B" w14:textId="77777777"/>
    <w:p w:rsidR="00B66F88" w:rsidRDefault="00B66F88" w14:paraId="1F9B9B01" w14:textId="6ED4FD00">
      <w:r>
        <w:t>Reviewer # 3</w:t>
      </w:r>
    </w:p>
    <w:p w:rsidRPr="00B66F88" w:rsidR="00B66F88" w:rsidP="00B66F88" w:rsidRDefault="00B66F88" w14:paraId="7E2CCAC3" w14:textId="0B798D5D">
      <w:r w:rsidRPr="00B66F88">
        <w:t xml:space="preserve">This study aimed to better understand the factors associated with timely (and untimely) colorectal cancer (CRC) screening in Black and Hispanic adults &gt;45 years of age with a diagnosis of type 2 diabetes mellitus (T2DM). The investigators performed a retrospective electronic health record (EHR) review using 2017–2025 data from two community health centers in Los Angeles, CA. The primary outcome variable was up-to-date CRC screening. The authors collected sociodemographic, modifiable behavioral, preventive care, and clinical data from the EHR. COVID-19 vaccination was used as a proxy for patient preventive care behavior. Adjusted odds ratios indicated that COVID-19 vaccination and BMI ≥25 kg/m² were the two strongest positive predictors of being up-to-date with CRC screening. Current smoking status was a strong—and the only—negative predictor of CRC screening among the variables tested. The authors conclude that CRC screening in high-risk populations could benefit from inclusion at specific touchpoints aligned with routine chronic disease and preventive care protocols (e.g., shingles vaccination). </w:t>
      </w:r>
    </w:p>
    <w:p w:rsidRPr="00B66F88" w:rsidR="00B66F88" w:rsidP="00B66F88" w:rsidRDefault="00B66F88" w14:paraId="176B926E" w14:textId="77777777">
      <w:r w:rsidRPr="00B66F88">
        <w:t xml:space="preserve">Timely CRC screening is an important topic that merits attention, particularly in Black and Hispanic populations, where cancer risks are high and screening rates remain low relative to non-Hispanic White populations. It is also a very well-studied topic. Much is known about racial and ethnic screening disparities, as well as the factors that underlie these problems. As such, new contributions are more likely to add modestly to our understanding of existing challenges rather than introduce novel, paradigm-shifting concepts. In alignment with this, the work reviewed here makes a modest contribution to understanding the factors that shape CRC screening risk and disparities. </w:t>
      </w:r>
    </w:p>
    <w:p w:rsidRPr="00B66F88" w:rsidR="00B66F88" w:rsidP="00B66F88" w:rsidRDefault="00B66F88" w14:paraId="14DD358B" w14:textId="77777777">
      <w:r w:rsidRPr="00B66F88">
        <w:rPr>
          <w:b/>
          <w:bCs/>
        </w:rPr>
        <w:t xml:space="preserve">Major Limitations </w:t>
      </w:r>
    </w:p>
    <w:p w:rsidR="00B66F88" w:rsidP="00B66F88" w:rsidRDefault="00B66F88" w14:paraId="055BD617" w14:textId="77777777">
      <w:r w:rsidRPr="00B66F88">
        <w:t xml:space="preserve">The COVID-19 vaccination variable is one of the study’s two strongest predictors of on-time CRC screening. However, its use requires clarification, further consideration, and/or possible removal; the authors will need to determine which is most appropriate. Data were extracted from 2017–2025. COVID-19 vaccines were not available until late 2020 and were not broadly accessible until early 2021. Some subjects were therefore never eligible for this exposure. It is not indicated how many subjects died prior to 2021. Moreover, this study sample is at elevated risk of mortality during the COVID-19 pandemic, further complicating interpretation of this variable across the entire study period. Also, exposure to the COVID-19 vaccines is impacted by employment policy and not health awareness/prevention. </w:t>
      </w:r>
      <w:r w:rsidRPr="00B66F88">
        <w:t xml:space="preserve">Collectively, these factors introduce temporal and exposure misclassification, potential bias, and interpretive ambiguity, as it is unclear whether the observed association reflects survivorship, engagement with preventive care, employment mandate or other unmeasured factors. The authors should consider time-restricted sensitivity analyses using a smaller window (e.g., 2022–2025) to determine whether observed patterns persist. Alternatively, they should consider removing this variable altogether. As currently presented, this finding is overstated. </w:t>
      </w:r>
    </w:p>
    <w:p w:rsidR="000C1716" w:rsidP="00B66F88" w:rsidRDefault="000C1716" w14:paraId="64D91CDF" w14:textId="28607A90">
      <w:pPr>
        <w:rPr>
          <w:b/>
          <w:bCs/>
        </w:rPr>
      </w:pPr>
      <w:r w:rsidRPr="008919AB">
        <w:rPr>
          <w:b/>
          <w:bCs/>
        </w:rPr>
        <w:t xml:space="preserve">Thank you for noting the </w:t>
      </w:r>
      <w:r w:rsidRPr="008919AB" w:rsidR="008919AB">
        <w:rPr>
          <w:b/>
          <w:bCs/>
        </w:rPr>
        <w:t xml:space="preserve">issue with the time frame, </w:t>
      </w:r>
      <w:r w:rsidR="00E40E90">
        <w:rPr>
          <w:b/>
          <w:bCs/>
        </w:rPr>
        <w:t>which highlighted an area in the methods for us to clarify</w:t>
      </w:r>
      <w:r w:rsidRPr="008919AB" w:rsidR="008919AB">
        <w:rPr>
          <w:b/>
          <w:bCs/>
        </w:rPr>
        <w:t>.</w:t>
      </w:r>
      <w:r w:rsidR="00E40E90">
        <w:rPr>
          <w:b/>
          <w:bCs/>
        </w:rPr>
        <w:t xml:space="preserve"> </w:t>
      </w:r>
      <w:r w:rsidR="00157B77">
        <w:rPr>
          <w:b/>
          <w:bCs/>
        </w:rPr>
        <w:t>Patients</w:t>
      </w:r>
      <w:r w:rsidR="00097E41">
        <w:rPr>
          <w:b/>
          <w:bCs/>
        </w:rPr>
        <w:t xml:space="preserve"> had to have </w:t>
      </w:r>
      <w:r w:rsidR="00C4382F">
        <w:rPr>
          <w:b/>
          <w:bCs/>
        </w:rPr>
        <w:t xml:space="preserve">visited the clinic in the </w:t>
      </w:r>
      <w:r w:rsidR="000B0B9C">
        <w:rPr>
          <w:b/>
          <w:bCs/>
        </w:rPr>
        <w:t>year</w:t>
      </w:r>
      <w:r w:rsidR="00C4382F">
        <w:rPr>
          <w:b/>
          <w:bCs/>
        </w:rPr>
        <w:t xml:space="preserve"> prior to analysis to be included in the dataset</w:t>
      </w:r>
      <w:r w:rsidR="00D73D1C">
        <w:rPr>
          <w:b/>
          <w:bCs/>
        </w:rPr>
        <w:t xml:space="preserve">, so </w:t>
      </w:r>
      <w:r w:rsidR="000B0B9C">
        <w:rPr>
          <w:b/>
          <w:bCs/>
        </w:rPr>
        <w:t>any patients who died prior to 2022 were not included</w:t>
      </w:r>
      <w:r w:rsidR="005A3DB2">
        <w:rPr>
          <w:b/>
          <w:bCs/>
        </w:rPr>
        <w:t>.</w:t>
      </w:r>
      <w:r w:rsidR="00A371D2">
        <w:rPr>
          <w:b/>
          <w:bCs/>
        </w:rPr>
        <w:t xml:space="preserve"> </w:t>
      </w:r>
      <w:r w:rsidR="00E85731">
        <w:rPr>
          <w:b/>
          <w:bCs/>
        </w:rPr>
        <w:t>It is true that for a brief time frame,</w:t>
      </w:r>
      <w:r w:rsidR="00A371D2">
        <w:rPr>
          <w:b/>
          <w:bCs/>
        </w:rPr>
        <w:t xml:space="preserve"> some employers </w:t>
      </w:r>
      <w:r w:rsidR="0014084A">
        <w:rPr>
          <w:b/>
          <w:bCs/>
        </w:rPr>
        <w:t>require</w:t>
      </w:r>
      <w:r w:rsidR="00E85731">
        <w:rPr>
          <w:b/>
          <w:bCs/>
        </w:rPr>
        <w:t>d</w:t>
      </w:r>
      <w:r w:rsidR="0014084A">
        <w:rPr>
          <w:b/>
          <w:bCs/>
        </w:rPr>
        <w:t xml:space="preserve"> COVID-19 vaccines</w:t>
      </w:r>
      <w:r w:rsidR="00E85731">
        <w:rPr>
          <w:b/>
          <w:bCs/>
        </w:rPr>
        <w:t xml:space="preserve">, so we now include </w:t>
      </w:r>
      <w:r w:rsidR="00EF156B">
        <w:rPr>
          <w:b/>
          <w:bCs/>
        </w:rPr>
        <w:t>this in our limitations section.</w:t>
      </w:r>
    </w:p>
    <w:p w:rsidRPr="008919AB" w:rsidR="00B65BFE" w:rsidP="00B66F88" w:rsidRDefault="00B65BFE" w14:paraId="459122D7" w14:textId="77777777">
      <w:pPr>
        <w:rPr>
          <w:b/>
          <w:bCs/>
        </w:rPr>
      </w:pPr>
    </w:p>
    <w:p w:rsidR="00B66F88" w:rsidP="00B66F88" w:rsidRDefault="00B66F88" w14:paraId="2F30D380" w14:textId="77777777">
      <w:r w:rsidRPr="00B66F88">
        <w:t xml:space="preserve">Implicitly, the manuscript frames CRC screening primarily as a function of patient characteristics and behaviors. However, this topic is well studied, and it is well established that the single strongest determinant of CRC screening is physician recommendation or referral. The manuscript does not report whether screening was recommended, whether patients declined, or whether screening was never offered. Because provider referral is the strongest predictor of CRC screening, this omission must be explicitly acknowledged as a major study limitation. </w:t>
      </w:r>
    </w:p>
    <w:p w:rsidRPr="00927D81" w:rsidR="00927D81" w:rsidP="00B66F88" w:rsidRDefault="00927D81" w14:paraId="12547770" w14:textId="100143B1">
      <w:pPr>
        <w:rPr>
          <w:b/>
          <w:bCs/>
        </w:rPr>
      </w:pPr>
      <w:r w:rsidRPr="00927D81">
        <w:rPr>
          <w:b/>
          <w:bCs/>
        </w:rPr>
        <w:t>We have added this to the limitations.</w:t>
      </w:r>
    </w:p>
    <w:p w:rsidRPr="00B66F88" w:rsidR="00927D81" w:rsidP="00B66F88" w:rsidRDefault="00927D81" w14:paraId="49AAD911" w14:textId="77777777"/>
    <w:p w:rsidR="00B66F88" w:rsidP="00B66F88" w:rsidRDefault="00B66F88" w14:paraId="7F2E903E" w14:textId="77777777">
      <w:r w:rsidRPr="00B66F88">
        <w:t xml:space="preserve">The two-tier BMI stratification may inflate the effect size associated with BMI. This is particularly important because BMI is reported as the single strongest predictor of on-time CRC screening. Using 25 kg/m² as the cutoff for two-tier stratification is clinically nonstandard and masks clinically meaningful variability within BMI categories. Many participants have HbA1c values &gt;8.0 and are likely to have very high BMIs but are grouped together with individuals who may have BMIs ≤30 kg/m² and relatively good metabolic control. I recommend sensitivity analyses using three- or four-level BMI stratification, particularly given that other variables are already stratified into multiple levels. If a two-tier approach is retained, the cutoff should be set at 30 kg/m². </w:t>
      </w:r>
    </w:p>
    <w:p w:rsidRPr="002C36E1" w:rsidR="00B128DB" w:rsidP="00B66F88" w:rsidRDefault="00B128DB" w14:paraId="0C7B8E1E" w14:textId="2024436B">
      <w:pPr>
        <w:rPr>
          <w:b/>
          <w:bCs/>
        </w:rPr>
      </w:pPr>
      <w:r w:rsidRPr="002C36E1">
        <w:rPr>
          <w:b/>
          <w:bCs/>
        </w:rPr>
        <w:t xml:space="preserve">We have </w:t>
      </w:r>
      <w:r w:rsidRPr="002C36E1" w:rsidR="00AF3AD4">
        <w:rPr>
          <w:b/>
          <w:bCs/>
        </w:rPr>
        <w:t xml:space="preserve">revised the BMI variable to </w:t>
      </w:r>
      <w:r w:rsidRPr="002C36E1" w:rsidR="00396106">
        <w:rPr>
          <w:b/>
          <w:bCs/>
        </w:rPr>
        <w:t xml:space="preserve">a three-tier </w:t>
      </w:r>
      <w:r w:rsidRPr="002C36E1" w:rsidR="002C36E1">
        <w:rPr>
          <w:b/>
          <w:bCs/>
        </w:rPr>
        <w:t>variable.</w:t>
      </w:r>
      <w:r w:rsidRPr="002C36E1" w:rsidR="00AF3AD4">
        <w:rPr>
          <w:b/>
          <w:bCs/>
        </w:rPr>
        <w:t xml:space="preserve"> </w:t>
      </w:r>
    </w:p>
    <w:p w:rsidR="00B66F88" w:rsidP="00B66F88" w:rsidRDefault="00B66F88" w14:paraId="386083F3" w14:textId="77777777">
      <w:r w:rsidRPr="00B66F88">
        <w:t xml:space="preserve">Because neither a comorbidity index nor hospitalization data are reported, the healthcare utilization variable is difficult to interpret. Increased visit frequency could reflect preventive </w:t>
      </w:r>
      <w:r w:rsidRPr="00B66F88">
        <w:t xml:space="preserve">engagement or, alternatively, a high burden of illness. Under these conditions, the conclusion that increased utilization reflects preventive engagement is speculative. </w:t>
      </w:r>
    </w:p>
    <w:p w:rsidRPr="0032625A" w:rsidR="00392494" w:rsidP="00B66F88" w:rsidRDefault="00FD25FF" w14:paraId="32840D60" w14:textId="18271951">
      <w:pPr>
        <w:rPr>
          <w:b/>
          <w:bCs/>
        </w:rPr>
      </w:pPr>
      <w:r>
        <w:rPr>
          <w:b/>
          <w:bCs/>
        </w:rPr>
        <w:t xml:space="preserve">We </w:t>
      </w:r>
      <w:r w:rsidR="00211850">
        <w:rPr>
          <w:b/>
          <w:bCs/>
        </w:rPr>
        <w:t xml:space="preserve">don’t </w:t>
      </w:r>
      <w:r>
        <w:rPr>
          <w:b/>
          <w:bCs/>
        </w:rPr>
        <w:t>make the conclusion that visit frequency reflects preventative engagement</w:t>
      </w:r>
      <w:r w:rsidR="00C02A97">
        <w:rPr>
          <w:b/>
          <w:bCs/>
        </w:rPr>
        <w:t>;</w:t>
      </w:r>
      <w:r w:rsidR="00ED7970">
        <w:rPr>
          <w:b/>
          <w:bCs/>
        </w:rPr>
        <w:t xml:space="preserve"> w</w:t>
      </w:r>
      <w:r w:rsidRPr="0032625A" w:rsidR="00D67C62">
        <w:rPr>
          <w:b/>
          <w:bCs/>
        </w:rPr>
        <w:t>e agree that visit frequency may reflect a high disease burden</w:t>
      </w:r>
      <w:r w:rsidR="00C02A97">
        <w:rPr>
          <w:b/>
          <w:bCs/>
        </w:rPr>
        <w:t xml:space="preserve"> and </w:t>
      </w:r>
      <w:r w:rsidRPr="0032625A" w:rsidR="0032625A">
        <w:rPr>
          <w:b/>
          <w:bCs/>
        </w:rPr>
        <w:t>in fact think this is</w:t>
      </w:r>
      <w:r w:rsidR="00C02A97">
        <w:rPr>
          <w:b/>
          <w:bCs/>
        </w:rPr>
        <w:t xml:space="preserve"> most</w:t>
      </w:r>
      <w:r w:rsidRPr="0032625A" w:rsidR="0032625A">
        <w:rPr>
          <w:b/>
          <w:bCs/>
        </w:rPr>
        <w:t xml:space="preserve"> likely. O</w:t>
      </w:r>
      <w:r w:rsidRPr="0032625A" w:rsidR="00D37509">
        <w:rPr>
          <w:b/>
          <w:bCs/>
        </w:rPr>
        <w:t xml:space="preserve">ur assertion is that </w:t>
      </w:r>
      <w:r w:rsidRPr="0032625A" w:rsidR="0032625A">
        <w:rPr>
          <w:b/>
          <w:bCs/>
        </w:rPr>
        <w:t xml:space="preserve">regardless of the reason for a visit, it offers an opportunity for providers to intervene and offer </w:t>
      </w:r>
      <w:r w:rsidR="008515CB">
        <w:rPr>
          <w:b/>
          <w:bCs/>
        </w:rPr>
        <w:t xml:space="preserve">education and </w:t>
      </w:r>
      <w:r w:rsidRPr="0032625A" w:rsidR="0032625A">
        <w:rPr>
          <w:b/>
          <w:bCs/>
        </w:rPr>
        <w:t>screening.</w:t>
      </w:r>
      <w:r w:rsidRPr="0032625A" w:rsidR="00F33C0A">
        <w:rPr>
          <w:b/>
          <w:bCs/>
        </w:rPr>
        <w:t xml:space="preserve"> </w:t>
      </w:r>
    </w:p>
    <w:p w:rsidRPr="00B66F88" w:rsidR="00392494" w:rsidP="00B66F88" w:rsidRDefault="00392494" w14:paraId="54E6B112" w14:textId="77777777"/>
    <w:p w:rsidRPr="00B66F88" w:rsidR="00B66F88" w:rsidP="00B66F88" w:rsidRDefault="00B66F88" w14:paraId="69B2CAA1" w14:textId="77777777">
      <w:r w:rsidRPr="00B66F88">
        <w:rPr>
          <w:b/>
          <w:bCs/>
        </w:rPr>
        <w:t xml:space="preserve">Minor Limitations </w:t>
      </w:r>
    </w:p>
    <w:p w:rsidR="00B66F88" w:rsidP="00B66F88" w:rsidRDefault="00B66F88" w14:paraId="0B147C07" w14:textId="77777777">
      <w:r w:rsidRPr="00B66F88">
        <w:t xml:space="preserve">Only 13–14% of study participants reported their highest educational attainment; thus, 86–87% of the sample did not provide this information. This variable should be removed from the analysis due to excessive missingness. </w:t>
      </w:r>
    </w:p>
    <w:p w:rsidRPr="00384DEF" w:rsidR="00B23A45" w:rsidP="00B66F88" w:rsidRDefault="00B23A45" w14:paraId="0B5FACE7" w14:textId="3909B158">
      <w:pPr>
        <w:rPr>
          <w:b/>
          <w:bCs/>
        </w:rPr>
      </w:pPr>
      <w:r w:rsidRPr="00384DEF">
        <w:rPr>
          <w:b/>
          <w:bCs/>
        </w:rPr>
        <w:t xml:space="preserve">We </w:t>
      </w:r>
      <w:r w:rsidRPr="00384DEF" w:rsidR="0038318F">
        <w:rPr>
          <w:b/>
          <w:bCs/>
        </w:rPr>
        <w:t xml:space="preserve">prefer to report </w:t>
      </w:r>
      <w:r w:rsidRPr="00384DEF" w:rsidR="00A11BB4">
        <w:rPr>
          <w:b/>
          <w:bCs/>
        </w:rPr>
        <w:t xml:space="preserve">the </w:t>
      </w:r>
      <w:r w:rsidRPr="00384DEF" w:rsidR="0066183A">
        <w:rPr>
          <w:b/>
          <w:bCs/>
        </w:rPr>
        <w:t>information</w:t>
      </w:r>
      <w:r w:rsidRPr="00384DEF" w:rsidR="00A11BB4">
        <w:rPr>
          <w:b/>
          <w:bCs/>
        </w:rPr>
        <w:t xml:space="preserve"> that are available</w:t>
      </w:r>
      <w:r w:rsidRPr="00384DEF" w:rsidR="00EF796E">
        <w:rPr>
          <w:b/>
          <w:bCs/>
        </w:rPr>
        <w:t xml:space="preserve"> to the best of our ability; we did not use this variable for any additional analysis beyond </w:t>
      </w:r>
      <w:r w:rsidRPr="00384DEF" w:rsidR="00951CDD">
        <w:rPr>
          <w:b/>
          <w:bCs/>
        </w:rPr>
        <w:t>description</w:t>
      </w:r>
      <w:r w:rsidRPr="00384DEF" w:rsidR="00EF796E">
        <w:rPr>
          <w:b/>
          <w:bCs/>
        </w:rPr>
        <w:t xml:space="preserve"> of the patient population</w:t>
      </w:r>
      <w:r w:rsidRPr="00384DEF" w:rsidR="00A11BB4">
        <w:rPr>
          <w:b/>
          <w:bCs/>
        </w:rPr>
        <w:t xml:space="preserve">. </w:t>
      </w:r>
      <w:r w:rsidRPr="00384DEF" w:rsidR="009E73BC">
        <w:rPr>
          <w:b/>
          <w:bCs/>
        </w:rPr>
        <w:t xml:space="preserve">It is </w:t>
      </w:r>
      <w:r w:rsidR="00384DEF">
        <w:rPr>
          <w:b/>
          <w:bCs/>
        </w:rPr>
        <w:t>apparent from the counts</w:t>
      </w:r>
      <w:r w:rsidRPr="00384DEF" w:rsidR="009E73BC">
        <w:rPr>
          <w:b/>
          <w:bCs/>
        </w:rPr>
        <w:t xml:space="preserve"> that there are missing values, so </w:t>
      </w:r>
      <w:r w:rsidRPr="00384DEF" w:rsidR="0066183A">
        <w:rPr>
          <w:b/>
          <w:bCs/>
        </w:rPr>
        <w:t>readers are free to ignore the information if they choose.</w:t>
      </w:r>
    </w:p>
    <w:p w:rsidRPr="00B66F88" w:rsidR="00B23A45" w:rsidP="00B66F88" w:rsidRDefault="00B23A45" w14:paraId="7E0CC2FD" w14:textId="77777777"/>
    <w:p w:rsidR="00B66F88" w:rsidP="00B66F88" w:rsidRDefault="00B66F88" w14:paraId="2BE6BD7C" w14:textId="77777777">
      <w:r w:rsidRPr="00B66F88">
        <w:t xml:space="preserve">CRC screening rates require additional contextualization. California operates a state health insurance program like those in Massachusetts and Rhode Island, with differences related to mandates, penalties, and implementation. CRC screening is included as a preventive care requirement. In 2024, California’s statewide CRC screening rate was approximately 65.1%. While this trails Massachusetts, Rhode Island, and the national average (~71%), it remains substantially higher than rates observed in states such as Texas. The 36.1% screening rate reported in this manuscript falls well below the California average and should be discussed within these broader structural and policy contexts, particularly given known system-level barriers such as lack of referral. </w:t>
      </w:r>
    </w:p>
    <w:p w:rsidRPr="003B02E4" w:rsidR="009E16F4" w:rsidP="00B66F88" w:rsidRDefault="009E16F4" w14:paraId="28103234" w14:textId="7E766E10">
      <w:pPr>
        <w:rPr>
          <w:b/>
          <w:bCs/>
        </w:rPr>
      </w:pPr>
      <w:r w:rsidRPr="003B02E4">
        <w:rPr>
          <w:b/>
          <w:bCs/>
        </w:rPr>
        <w:t>We have added additional information about national screening rates</w:t>
      </w:r>
      <w:r w:rsidRPr="003B02E4" w:rsidR="003B02E4">
        <w:rPr>
          <w:b/>
          <w:bCs/>
        </w:rPr>
        <w:t xml:space="preserve"> overall and in other safety-net clinics to provide context for the rates we observed.</w:t>
      </w:r>
    </w:p>
    <w:p w:rsidRPr="00B66F88" w:rsidR="00526910" w:rsidP="00B66F88" w:rsidRDefault="00526910" w14:paraId="069DED31" w14:textId="77777777"/>
    <w:p w:rsidR="00B66F88" w:rsidP="00B66F88" w:rsidRDefault="00B66F88" w14:paraId="4E000694" w14:textId="77777777">
      <w:r w:rsidRPr="00B66F88">
        <w:t xml:space="preserve">Table 1 is difficult to interpret. Counts are presented by rows, whereas percentages are presented by columns, creating unnecessary confusion. </w:t>
      </w:r>
    </w:p>
    <w:p w:rsidRPr="00526910" w:rsidR="00110DAC" w:rsidP="00B66F88" w:rsidRDefault="00C65D2A" w14:paraId="79A59170" w14:textId="662E5E82">
      <w:pPr>
        <w:rPr>
          <w:b/>
          <w:bCs/>
        </w:rPr>
      </w:pPr>
      <w:r>
        <w:rPr>
          <w:b/>
          <w:bCs/>
        </w:rPr>
        <w:t>W</w:t>
      </w:r>
      <w:r w:rsidRPr="00526910" w:rsidR="005D3BD8">
        <w:rPr>
          <w:b/>
          <w:bCs/>
        </w:rPr>
        <w:t xml:space="preserve">e agree that the table should have presented </w:t>
      </w:r>
      <w:r w:rsidRPr="00526910" w:rsidR="00526910">
        <w:rPr>
          <w:b/>
          <w:bCs/>
        </w:rPr>
        <w:t>row percentages and have corrected this issue.</w:t>
      </w:r>
    </w:p>
    <w:p w:rsidRPr="00B66F88" w:rsidR="00110DAC" w:rsidP="00B66F88" w:rsidRDefault="00110DAC" w14:paraId="4B6F6399" w14:textId="77777777"/>
    <w:p w:rsidRPr="00B66F88" w:rsidR="00B66F88" w:rsidP="00B66F88" w:rsidRDefault="00B66F88" w14:paraId="72092F02" w14:textId="77777777">
      <w:r w:rsidRPr="00B66F88">
        <w:t xml:space="preserve">References 15–21 are missing corresponding in-text citations. </w:t>
      </w:r>
    </w:p>
    <w:p w:rsidR="00B66F88" w:rsidP="00B66F88" w:rsidRDefault="00B66F88" w14:paraId="655D585C" w14:textId="77777777">
      <w:r w:rsidRPr="00B66F88">
        <w:t xml:space="preserve">References 21 and 22 appear out of order in the text. </w:t>
      </w:r>
    </w:p>
    <w:p w:rsidRPr="00BB6B00" w:rsidR="00BB6B00" w:rsidP="00B66F88" w:rsidRDefault="00BB6B00" w14:paraId="3998DEB1" w14:textId="0D7CE96F">
      <w:pPr>
        <w:rPr>
          <w:b/>
          <w:bCs/>
        </w:rPr>
      </w:pPr>
      <w:r w:rsidRPr="00BB6B00">
        <w:rPr>
          <w:b/>
          <w:bCs/>
        </w:rPr>
        <w:t>The issues with references have been corrected.</w:t>
      </w:r>
    </w:p>
    <w:p w:rsidRPr="00B66F88" w:rsidR="00BB6B00" w:rsidP="00B66F88" w:rsidRDefault="00BB6B00" w14:paraId="76DF6CC0" w14:textId="77777777"/>
    <w:p w:rsidR="00B66F88" w:rsidP="00B66F88" w:rsidRDefault="00B66F88" w14:paraId="4913AC58" w14:textId="77777777">
      <w:r w:rsidRPr="00B66F88">
        <w:t xml:space="preserve">Given that gastrointestinal conditions were positively associated with CRC screening, readers would benefit from additional detail regarding the specific GI diagnoses included (e.g., via a table or appendix). </w:t>
      </w:r>
    </w:p>
    <w:p w:rsidRPr="0000053A" w:rsidR="0000053A" w:rsidP="00B66F88" w:rsidRDefault="0000053A" w14:paraId="15169B0D" w14:textId="6DFF2E17">
      <w:pPr>
        <w:rPr>
          <w:b/>
          <w:bCs/>
        </w:rPr>
      </w:pPr>
      <w:r w:rsidRPr="0000053A">
        <w:rPr>
          <w:b/>
          <w:bCs/>
        </w:rPr>
        <w:t>We have added the specific ICD codes that were used to identify GI diagnoses.</w:t>
      </w:r>
    </w:p>
    <w:p w:rsidRPr="00B66F88" w:rsidR="00BB6B00" w:rsidP="00B66F88" w:rsidRDefault="00BB6B00" w14:paraId="604EB2D9" w14:textId="77777777"/>
    <w:p w:rsidR="00B66F88" w:rsidP="00B66F88" w:rsidRDefault="00B66F88" w14:paraId="12C78D87" w14:textId="77777777">
      <w:r w:rsidRPr="00B66F88">
        <w:t xml:space="preserve">In-text citations should be presented in brackets and placed before punctuation rather than as superscripts, in accordance with journal style. </w:t>
      </w:r>
    </w:p>
    <w:p w:rsidRPr="00B66F88" w:rsidR="00B66F88" w:rsidP="00B66F88" w:rsidRDefault="00B66F88" w14:paraId="0C8D3A8E" w14:textId="77777777">
      <w:r w:rsidRPr="00B66F88">
        <w:t xml:space="preserve">The reference for </w:t>
      </w:r>
      <w:r w:rsidRPr="00B66F88">
        <w:rPr>
          <w:i/>
          <w:iCs/>
        </w:rPr>
        <w:t xml:space="preserve">The association between cigarette smoking, cancer screening, and cancer stage </w:t>
      </w:r>
      <w:r w:rsidRPr="00B66F88">
        <w:t>(</w:t>
      </w:r>
      <w:r w:rsidRPr="00B66F88">
        <w:rPr>
          <w:i/>
          <w:iCs/>
        </w:rPr>
        <w:t>BMJ Open</w:t>
      </w:r>
      <w:r w:rsidRPr="00B66F88">
        <w:t xml:space="preserve">) appears multiple times in the reference list. </w:t>
      </w:r>
    </w:p>
    <w:p w:rsidR="00B66F88" w:rsidP="00B66F88" w:rsidRDefault="00B66F88" w14:paraId="1E13CB33" w14:textId="210C0A24">
      <w:r w:rsidRPr="00B66F88">
        <w:t xml:space="preserve">The reference for </w:t>
      </w:r>
      <w:r w:rsidRPr="00B66F88">
        <w:rPr>
          <w:i/>
          <w:iCs/>
        </w:rPr>
        <w:t xml:space="preserve">Racial and ethnic disparities in use of colorectal cancer screening among adults with chronic medical conditions </w:t>
      </w:r>
      <w:r w:rsidRPr="00B66F88">
        <w:t>is duplicated (references on pages 25 and 35).</w:t>
      </w:r>
    </w:p>
    <w:p w:rsidRPr="00BB6B00" w:rsidR="00BB6B00" w:rsidP="00BB6B00" w:rsidRDefault="00BB6B00" w14:paraId="07FF93CA" w14:textId="77777777">
      <w:pPr>
        <w:rPr>
          <w:b/>
          <w:bCs/>
        </w:rPr>
      </w:pPr>
      <w:r w:rsidRPr="00BB6B00">
        <w:rPr>
          <w:b/>
          <w:bCs/>
        </w:rPr>
        <w:t>The issues with references have been corrected.</w:t>
      </w:r>
    </w:p>
    <w:p w:rsidR="00BB6B00" w:rsidP="00B66F88" w:rsidRDefault="00BB6B00" w14:paraId="33315E68" w14:textId="77777777"/>
    <w:sectPr w:rsidR="00BB6B00">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1">
    <w:nsid w:val="1dad84ae"/>
    <w:multiLevelType xmlns:w="http://schemas.openxmlformats.org/wordprocessingml/2006/main" w:val="hybridMultilevel"/>
    <w:lvl xmlns:w="http://schemas.openxmlformats.org/wordprocessingml/2006/main" w:ilvl="0">
      <w:start w:val="1"/>
      <w:numFmt w:val="upperLetter"/>
      <w:lvlText w:val="%1."/>
      <w:lvlJc w:val="left"/>
      <w:pPr>
        <w:ind w:left="720" w:hanging="360"/>
      </w:pPr>
      <w:rPr>
        <w:rFonts w:hint="default" w:ascii="Times New Roman" w:hAnsi="Times New Roman"/>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F88"/>
    <w:rsid w:val="0000053A"/>
    <w:rsid w:val="00097E41"/>
    <w:rsid w:val="000B0B9C"/>
    <w:rsid w:val="000B41A3"/>
    <w:rsid w:val="000B7B25"/>
    <w:rsid w:val="000C1716"/>
    <w:rsid w:val="000D4E6C"/>
    <w:rsid w:val="00110DAC"/>
    <w:rsid w:val="0014084A"/>
    <w:rsid w:val="00157B77"/>
    <w:rsid w:val="001D2295"/>
    <w:rsid w:val="001D7D8E"/>
    <w:rsid w:val="00211850"/>
    <w:rsid w:val="00251133"/>
    <w:rsid w:val="00295DA4"/>
    <w:rsid w:val="002A564D"/>
    <w:rsid w:val="002C22E5"/>
    <w:rsid w:val="002C36E1"/>
    <w:rsid w:val="002C6293"/>
    <w:rsid w:val="002F7C8B"/>
    <w:rsid w:val="00300E5B"/>
    <w:rsid w:val="00303A18"/>
    <w:rsid w:val="00320CC0"/>
    <w:rsid w:val="003240C4"/>
    <w:rsid w:val="0032625A"/>
    <w:rsid w:val="0038318F"/>
    <w:rsid w:val="00384DEF"/>
    <w:rsid w:val="00392494"/>
    <w:rsid w:val="00396106"/>
    <w:rsid w:val="003B02E4"/>
    <w:rsid w:val="003D28B6"/>
    <w:rsid w:val="003E36A5"/>
    <w:rsid w:val="004638BF"/>
    <w:rsid w:val="00477266"/>
    <w:rsid w:val="00485E9A"/>
    <w:rsid w:val="00526910"/>
    <w:rsid w:val="00566F54"/>
    <w:rsid w:val="0059528A"/>
    <w:rsid w:val="005A3DB2"/>
    <w:rsid w:val="005B0404"/>
    <w:rsid w:val="005B45B9"/>
    <w:rsid w:val="005D3BD8"/>
    <w:rsid w:val="0066183A"/>
    <w:rsid w:val="007747B7"/>
    <w:rsid w:val="008515CB"/>
    <w:rsid w:val="008919AB"/>
    <w:rsid w:val="00927D81"/>
    <w:rsid w:val="00951CDD"/>
    <w:rsid w:val="009A01C8"/>
    <w:rsid w:val="009D7453"/>
    <w:rsid w:val="009E16F4"/>
    <w:rsid w:val="009E73BC"/>
    <w:rsid w:val="00A11BB4"/>
    <w:rsid w:val="00A371D2"/>
    <w:rsid w:val="00A50F98"/>
    <w:rsid w:val="00A846A3"/>
    <w:rsid w:val="00AC17B3"/>
    <w:rsid w:val="00AC18D2"/>
    <w:rsid w:val="00AC4C1F"/>
    <w:rsid w:val="00AF1DB0"/>
    <w:rsid w:val="00AF3AD4"/>
    <w:rsid w:val="00B128DB"/>
    <w:rsid w:val="00B23A45"/>
    <w:rsid w:val="00B45F94"/>
    <w:rsid w:val="00B65BFE"/>
    <w:rsid w:val="00B66F88"/>
    <w:rsid w:val="00BB6B00"/>
    <w:rsid w:val="00C02A97"/>
    <w:rsid w:val="00C32BFB"/>
    <w:rsid w:val="00C4382F"/>
    <w:rsid w:val="00C659AD"/>
    <w:rsid w:val="00C65D2A"/>
    <w:rsid w:val="00C83A31"/>
    <w:rsid w:val="00CA464B"/>
    <w:rsid w:val="00D21607"/>
    <w:rsid w:val="00D37509"/>
    <w:rsid w:val="00D626DA"/>
    <w:rsid w:val="00D67C62"/>
    <w:rsid w:val="00D73D1C"/>
    <w:rsid w:val="00DF5FE7"/>
    <w:rsid w:val="00E40E90"/>
    <w:rsid w:val="00E85731"/>
    <w:rsid w:val="00EB1419"/>
    <w:rsid w:val="00EB237A"/>
    <w:rsid w:val="00EB467D"/>
    <w:rsid w:val="00ED7970"/>
    <w:rsid w:val="00EF156B"/>
    <w:rsid w:val="00EF796E"/>
    <w:rsid w:val="00F2234E"/>
    <w:rsid w:val="00F33C0A"/>
    <w:rsid w:val="00F84051"/>
    <w:rsid w:val="00FD1A52"/>
    <w:rsid w:val="00FD25FF"/>
    <w:rsid w:val="00FE762B"/>
    <w:rsid w:val="00FE7F66"/>
    <w:rsid w:val="35878937"/>
    <w:rsid w:val="570276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4A57A"/>
  <w15:chartTrackingRefBased/>
  <w15:docId w15:val="{DB3C1571-4161-41E3-8719-835B3491D94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B66F88"/>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6F88"/>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6F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6F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6F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6F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6F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6F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6F88"/>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66F88"/>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B66F88"/>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B66F88"/>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B66F88"/>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B66F88"/>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66F88"/>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66F88"/>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66F88"/>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66F88"/>
    <w:rPr>
      <w:rFonts w:eastAsiaTheme="majorEastAsia" w:cstheme="majorBidi"/>
      <w:color w:val="272727" w:themeColor="text1" w:themeTint="D8"/>
    </w:rPr>
  </w:style>
  <w:style w:type="paragraph" w:styleId="Title">
    <w:name w:val="Title"/>
    <w:basedOn w:val="Normal"/>
    <w:next w:val="Normal"/>
    <w:link w:val="TitleChar"/>
    <w:uiPriority w:val="10"/>
    <w:qFormat/>
    <w:rsid w:val="00B66F88"/>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66F88"/>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66F88"/>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66F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6F88"/>
    <w:pPr>
      <w:spacing w:before="160"/>
      <w:jc w:val="center"/>
    </w:pPr>
    <w:rPr>
      <w:i/>
      <w:iCs/>
      <w:color w:val="404040" w:themeColor="text1" w:themeTint="BF"/>
    </w:rPr>
  </w:style>
  <w:style w:type="character" w:styleId="QuoteChar" w:customStyle="1">
    <w:name w:val="Quote Char"/>
    <w:basedOn w:val="DefaultParagraphFont"/>
    <w:link w:val="Quote"/>
    <w:uiPriority w:val="29"/>
    <w:rsid w:val="00B66F88"/>
    <w:rPr>
      <w:i/>
      <w:iCs/>
      <w:color w:val="404040" w:themeColor="text1" w:themeTint="BF"/>
    </w:rPr>
  </w:style>
  <w:style w:type="paragraph" w:styleId="ListParagraph">
    <w:name w:val="List Paragraph"/>
    <w:basedOn w:val="Normal"/>
    <w:uiPriority w:val="34"/>
    <w:qFormat/>
    <w:rsid w:val="00B66F88"/>
    <w:pPr>
      <w:ind w:left="720"/>
      <w:contextualSpacing/>
    </w:pPr>
  </w:style>
  <w:style w:type="character" w:styleId="IntenseEmphasis">
    <w:name w:val="Intense Emphasis"/>
    <w:basedOn w:val="DefaultParagraphFont"/>
    <w:uiPriority w:val="21"/>
    <w:qFormat/>
    <w:rsid w:val="00B66F88"/>
    <w:rPr>
      <w:i/>
      <w:iCs/>
      <w:color w:val="0F4761" w:themeColor="accent1" w:themeShade="BF"/>
    </w:rPr>
  </w:style>
  <w:style w:type="paragraph" w:styleId="IntenseQuote">
    <w:name w:val="Intense Quote"/>
    <w:basedOn w:val="Normal"/>
    <w:next w:val="Normal"/>
    <w:link w:val="IntenseQuoteChar"/>
    <w:uiPriority w:val="30"/>
    <w:qFormat/>
    <w:rsid w:val="00B66F88"/>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66F88"/>
    <w:rPr>
      <w:i/>
      <w:iCs/>
      <w:color w:val="0F4761" w:themeColor="accent1" w:themeShade="BF"/>
    </w:rPr>
  </w:style>
  <w:style w:type="character" w:styleId="IntenseReference">
    <w:name w:val="Intense Reference"/>
    <w:basedOn w:val="DefaultParagraphFont"/>
    <w:uiPriority w:val="32"/>
    <w:qFormat/>
    <w:rsid w:val="00B66F88"/>
    <w:rPr>
      <w:b/>
      <w:bCs/>
      <w:smallCaps/>
      <w:color w:val="0F4761" w:themeColor="accent1" w:themeShade="BF"/>
      <w:spacing w:val="5"/>
    </w:rPr>
  </w:style>
  <w:style w:type="character" w:styleId="Hyperlink">
    <w:uiPriority w:val="99"/>
    <w:name w:val="Hyperlink"/>
    <w:basedOn w:val="DefaultParagraphFont"/>
    <w:unhideWhenUsed/>
    <w:rsid w:val="57027647"/>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 Type="http://schemas.openxmlformats.org/officeDocument/2006/relationships/numbering" Target="numbering.xml" Id="Rc941666e5fb9444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47CA985BC8AC40A82C4B56884CFB07" ma:contentTypeVersion="14" ma:contentTypeDescription="Create a new document." ma:contentTypeScope="" ma:versionID="cae37cb079aa3d2a3704cf7c7183ecf0">
  <xsd:schema xmlns:xsd="http://www.w3.org/2001/XMLSchema" xmlns:xs="http://www.w3.org/2001/XMLSchema" xmlns:p="http://schemas.microsoft.com/office/2006/metadata/properties" xmlns:ns2="00107d59-d79f-48bd-bcf4-ac0a09720a98" xmlns:ns3="acb15e31-5e82-45b1-8a82-95914508f4f4" targetNamespace="http://schemas.microsoft.com/office/2006/metadata/properties" ma:root="true" ma:fieldsID="8385fb5e21a7c996dc36f09bb421a721" ns2:_="" ns3:_="">
    <xsd:import namespace="00107d59-d79f-48bd-bcf4-ac0a09720a98"/>
    <xsd:import namespace="acb15e31-5e82-45b1-8a82-95914508f4f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107d59-d79f-48bd-bcf4-ac0a09720a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6b010be-04b3-40b8-8990-b4661bfef674"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b15e31-5e82-45b1-8a82-95914508f4f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9389e30-fa1b-4ba0-b243-577ff9d82454}" ma:internalName="TaxCatchAll" ma:showField="CatchAllData" ma:web="acb15e31-5e82-45b1-8a82-95914508f4f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0107d59-d79f-48bd-bcf4-ac0a09720a98">
      <Terms xmlns="http://schemas.microsoft.com/office/infopath/2007/PartnerControls"/>
    </lcf76f155ced4ddcb4097134ff3c332f>
    <TaxCatchAll xmlns="acb15e31-5e82-45b1-8a82-95914508f4f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543FAB-C3E7-412E-8E7C-E66E488C18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107d59-d79f-48bd-bcf4-ac0a09720a98"/>
    <ds:schemaRef ds:uri="acb15e31-5e82-45b1-8a82-95914508f4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4ECFCF-76D5-4B91-BCF3-95348ECBF463}">
  <ds:schemaRefs>
    <ds:schemaRef ds:uri="http://schemas.microsoft.com/office/2006/metadata/properties"/>
    <ds:schemaRef ds:uri="http://schemas.microsoft.com/office/infopath/2007/PartnerControls"/>
    <ds:schemaRef ds:uri="00107d59-d79f-48bd-bcf4-ac0a09720a98"/>
    <ds:schemaRef ds:uri="acb15e31-5e82-45b1-8a82-95914508f4f4"/>
  </ds:schemaRefs>
</ds:datastoreItem>
</file>

<file path=customXml/itemProps3.xml><?xml version="1.0" encoding="utf-8"?>
<ds:datastoreItem xmlns:ds="http://schemas.openxmlformats.org/officeDocument/2006/customXml" ds:itemID="{E40D3402-10EC-4B6E-A046-695B427B537C}">
  <ds:schemaRefs>
    <ds:schemaRef ds:uri="http://schemas.microsoft.com/sharepoint/v3/contenttype/forms"/>
  </ds:schemaRefs>
</ds:datastoreItem>
</file>

<file path=docMetadata/LabelInfo.xml><?xml version="1.0" encoding="utf-8"?>
<clbl:labelList xmlns:clbl="http://schemas.microsoft.com/office/2020/mipLabelMetadata">
  <clbl:label id="{8960f408-033c-4344-9676-6208277ae353}" enabled="0" method="" siteId="{8960f408-033c-4344-9676-6208277ae353}"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Katrina Schrode</dc:creator>
  <cp:keywords/>
  <dc:description/>
  <cp:lastModifiedBy>Lucy Kibe</cp:lastModifiedBy>
  <cp:revision>88</cp:revision>
  <dcterms:created xsi:type="dcterms:W3CDTF">2026-06-23T17:30:00Z</dcterms:created>
  <dcterms:modified xsi:type="dcterms:W3CDTF">2026-06-27T00:21:07Z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0x0101003447CA985BC8AC40A82C4B56884CFB07</vt:lpwstr>
  </property>
  <property fmtid="{D5CDD505-2E9C-101B-9397-08002B2CF9AE}" pid="3" name="MediaServiceImageTags">
    <vt:lpwstr/>
  </property>
</Properties>
</file>