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35D9696" w:rsidP="635D9696" w:rsidRDefault="635D9696" w14:paraId="78F8C918" w14:textId="16C1D5C2">
      <w:pPr>
        <w:ind w:left="709" w:hanging="709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635D969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</w:t>
      </w:r>
      <w:r w:rsidR="000F2BB0">
        <w:rPr>
          <w:rFonts w:ascii="Times New Roman" w:hAnsi="Times New Roman" w:cs="Times New Roman"/>
          <w:b/>
          <w:bCs/>
          <w:noProof/>
          <w:sz w:val="24"/>
          <w:szCs w:val="24"/>
        </w:rPr>
        <w:t>Material</w:t>
      </w:r>
    </w:p>
    <w:p w:rsidRPr="00172F9E" w:rsidR="635D9696" w:rsidP="50A3D309" w:rsidRDefault="635D9696" w14:paraId="6EBED042" w14:textId="2B741265">
      <w:pPr>
        <w:rPr>
          <w:rFonts w:ascii="Calibri" w:hAnsi="Calibri" w:eastAsia="Yu Mincho" w:cs="Arial"/>
          <w:i w:val="1"/>
          <w:iCs w:val="1"/>
          <w:noProof/>
          <w:sz w:val="24"/>
          <w:szCs w:val="24"/>
        </w:rPr>
      </w:pPr>
      <w:r w:rsidRPr="50A3D309" w:rsidR="635D9696">
        <w:rPr>
          <w:rFonts w:ascii="Calibri" w:hAnsi="Calibri" w:eastAsia="Yu Mincho" w:cs="Arial"/>
          <w:noProof/>
          <w:sz w:val="24"/>
          <w:szCs w:val="24"/>
        </w:rPr>
        <w:t>The following figure</w:t>
      </w:r>
      <w:r w:rsidRPr="50A3D309" w:rsidR="000F2BB0">
        <w:rPr>
          <w:rFonts w:ascii="Calibri" w:hAnsi="Calibri" w:eastAsia="Yu Mincho" w:cs="Arial"/>
          <w:noProof/>
          <w:sz w:val="24"/>
          <w:szCs w:val="24"/>
        </w:rPr>
        <w:t>s</w:t>
      </w:r>
      <w:r w:rsidRPr="50A3D309" w:rsidR="635D9696">
        <w:rPr>
          <w:rFonts w:ascii="Calibri" w:hAnsi="Calibri" w:eastAsia="Yu Mincho" w:cs="Arial"/>
          <w:noProof/>
          <w:sz w:val="24"/>
          <w:szCs w:val="24"/>
        </w:rPr>
        <w:t xml:space="preserve"> are </w:t>
      </w:r>
      <w:r w:rsidRPr="50A3D309" w:rsidR="000F2BB0">
        <w:rPr>
          <w:rFonts w:ascii="Calibri" w:hAnsi="Calibri" w:eastAsia="Yu Mincho" w:cs="Arial"/>
          <w:noProof/>
          <w:sz w:val="24"/>
          <w:szCs w:val="24"/>
        </w:rPr>
        <w:t>supplementary</w:t>
      </w:r>
      <w:r w:rsidRPr="50A3D309" w:rsidR="635D9696">
        <w:rPr>
          <w:rFonts w:ascii="Calibri" w:hAnsi="Calibri" w:eastAsia="Yu Mincho" w:cs="Arial"/>
          <w:noProof/>
          <w:sz w:val="24"/>
          <w:szCs w:val="24"/>
        </w:rPr>
        <w:t xml:space="preserve"> material for the paper by Wooderson, J.R., Bizo, L. A., &amp; Young, K. A systematic review of emergent learning outcomes produced by foreign language tact training. </w:t>
      </w:r>
      <w:r w:rsidRPr="50A3D309" w:rsidR="635D9696">
        <w:rPr>
          <w:rFonts w:ascii="Calibri" w:hAnsi="Calibri" w:eastAsia="Yu Mincho" w:cs="Arial"/>
          <w:i w:val="1"/>
          <w:iCs w:val="1"/>
          <w:noProof/>
          <w:sz w:val="24"/>
          <w:szCs w:val="24"/>
        </w:rPr>
        <w:t>The Analysis of Verbal Behavior.</w:t>
      </w:r>
    </w:p>
    <w:p w:rsidRPr="00B714F8" w:rsidR="000A3676" w:rsidP="000A3676" w:rsidRDefault="000A3676" w14:paraId="2CDB3C3A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name="_Hlk102903942" w:id="0"/>
      <w:r w:rsidRPr="00B714F8">
        <w:rPr>
          <w:rFonts w:ascii="Times New Roman" w:hAnsi="Times New Roman" w:cs="Times New Roman"/>
          <w:b/>
          <w:bCs/>
          <w:noProof/>
          <w:sz w:val="24"/>
          <w:szCs w:val="24"/>
        </w:rPr>
        <w:t>Figure 1</w:t>
      </w:r>
    </w:p>
    <w:p w:rsidRPr="00BE5091" w:rsidR="000A3676" w:rsidP="000A3676" w:rsidRDefault="000A3676" w14:paraId="71A23A6F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(Part A) Adapted from Cortez et al. (2020) </w:t>
      </w:r>
    </w:p>
    <w:bookmarkEnd w:id="0"/>
    <w:p w:rsidRPr="00BE5091" w:rsidR="000A3676" w:rsidP="000A3676" w:rsidRDefault="000A3676" w14:paraId="77A8AB75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EC4F3" wp14:editId="1B56950B">
            <wp:extent cx="5715000" cy="592981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14" cy="5965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BE5091" w:rsidR="00EF0A20" w:rsidP="000A3676" w:rsidRDefault="000A3676" w14:paraId="4E782F2B" w14:textId="65A586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 w:rsidRPr="00BE5091">
        <w:rPr>
          <w:rFonts w:ascii="Times New Roman" w:hAnsi="Times New Roman" w:cs="Times New Roman"/>
          <w:sz w:val="24"/>
          <w:szCs w:val="24"/>
        </w:rPr>
        <w:t xml:space="preserve">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the differences in acquisition rates across tact and listener training conditions for Tina, Mary, and Steve in </w:t>
      </w:r>
      <w:bookmarkStart w:name="_Hlk102903333" w:id="1"/>
      <w:r w:rsidRPr="00BE5091">
        <w:rPr>
          <w:rFonts w:ascii="Times New Roman" w:hAnsi="Times New Roman" w:cs="Times New Roman"/>
          <w:sz w:val="24"/>
          <w:szCs w:val="24"/>
        </w:rPr>
        <w:t>Cortez et al. (2020)</w:t>
      </w:r>
      <w:bookmarkEnd w:id="1"/>
      <w:r w:rsidRPr="00BE5091">
        <w:rPr>
          <w:rFonts w:ascii="Times New Roman" w:hAnsi="Times New Roman" w:cs="Times New Roman"/>
          <w:sz w:val="24"/>
          <w:szCs w:val="24"/>
        </w:rPr>
        <w:t xml:space="preserve">. 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BE5091">
        <w:rPr>
          <w:rFonts w:ascii="Times New Roman" w:hAnsi="Times New Roman" w:cs="Times New Roman"/>
          <w:sz w:val="24"/>
          <w:szCs w:val="24"/>
        </w:rPr>
        <w:lastRenderedPageBreak/>
        <w:t xml:space="preserve">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6-trial blocks—one trial per target word. The mastery criterion was 100% correct responses in three consecutive trial blocks.</w:t>
      </w:r>
    </w:p>
    <w:p w:rsidRPr="00B714F8" w:rsidR="000A3676" w:rsidP="000A3676" w:rsidRDefault="000A3676" w14:paraId="00EB4091" w14:textId="7777777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4F8">
        <w:rPr>
          <w:rFonts w:ascii="Times New Roman" w:hAnsi="Times New Roman" w:cs="Times New Roman"/>
          <w:b/>
          <w:bCs/>
          <w:sz w:val="24"/>
          <w:szCs w:val="24"/>
        </w:rPr>
        <w:t>Figure 2</w:t>
      </w:r>
    </w:p>
    <w:p w:rsidRPr="00BE5091" w:rsidR="000A3676" w:rsidP="000A3676" w:rsidRDefault="000A3676" w14:paraId="5C18993F" w14:textId="77777777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E4D73">
        <w:rPr>
          <w:rFonts w:ascii="Times New Roman" w:hAnsi="Times New Roman" w:cs="Times New Roman"/>
          <w:i/>
          <w:iCs/>
          <w:sz w:val="24"/>
          <w:szCs w:val="24"/>
        </w:rPr>
        <w:t xml:space="preserve">Acquisition Curves (Part </w:t>
      </w:r>
      <w:r w:rsidRPr="00BE5091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DE4D73">
        <w:rPr>
          <w:rFonts w:ascii="Times New Roman" w:hAnsi="Times New Roman" w:cs="Times New Roman"/>
          <w:i/>
          <w:iCs/>
          <w:sz w:val="24"/>
          <w:szCs w:val="24"/>
        </w:rPr>
        <w:t xml:space="preserve">) Adapted from Cortez et al. (2020) </w:t>
      </w:r>
    </w:p>
    <w:p w:rsidR="00EF0A20" w:rsidP="000A3676" w:rsidRDefault="000A3676" w14:paraId="03D17513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A076B9" wp14:editId="1DF78C19">
            <wp:extent cx="5715000" cy="589416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69" cy="5910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name="_Hlk102904056" w:id="2"/>
      <w:r w:rsidRPr="00BE5091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the differences in acquisition rates across tact and listener training conditions for Ian, Amy, and Adam in Cortez et al. (2020). 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6-trial blocks—one trial per target word. The mastery criterion was 100% correct responses in three consecutive trial blocks.</w:t>
      </w:r>
      <w:bookmarkEnd w:id="2"/>
    </w:p>
    <w:p w:rsidRPr="00EF0A20" w:rsidR="000A3676" w:rsidP="000A3676" w:rsidRDefault="000A3676" w14:paraId="6DB6BEDB" w14:textId="5CF0253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14F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Figure 3</w:t>
      </w:r>
    </w:p>
    <w:p w:rsidRPr="00BE5091" w:rsidR="000A3676" w:rsidP="000A3676" w:rsidRDefault="000A3676" w14:paraId="16C4D73D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A3B36">
        <w:rPr>
          <w:rFonts w:ascii="Times New Roman" w:hAnsi="Times New Roman" w:cs="Times New Roman"/>
          <w:i/>
          <w:iCs/>
          <w:noProof/>
          <w:sz w:val="24"/>
          <w:szCs w:val="24"/>
        </w:rPr>
        <w:t>Acquisition Curves Adapted from Cortez et al. (202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AA3B3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) </w:t>
      </w:r>
    </w:p>
    <w:p w:rsidRPr="00BE5091" w:rsidR="000A3676" w:rsidP="000A3676" w:rsidRDefault="000A3676" w14:paraId="1882066B" w14:textId="37DD8B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C65C58" wp14:editId="20D17DD4">
            <wp:extent cx="5715000" cy="7731217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426" cy="7784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name="_Hlk102904213" w:id="3"/>
      <w:r w:rsidRPr="00BE5091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the differences in acquisition rates across tact and listener training </w:t>
      </w:r>
      <w:r w:rsidRPr="00BE5091">
        <w:rPr>
          <w:rFonts w:ascii="Times New Roman" w:hAnsi="Times New Roman" w:cs="Times New Roman"/>
          <w:sz w:val="24"/>
          <w:szCs w:val="24"/>
        </w:rPr>
        <w:lastRenderedPageBreak/>
        <w:t xml:space="preserve">conditions for Participants 1-4 in Cortez et al. (2021). 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6-trial blocks—one trial per target word. The mastery criterion was 100% correct responses in three consecutive trial blocks.</w:t>
      </w:r>
    </w:p>
    <w:bookmarkEnd w:id="3"/>
    <w:p w:rsidRPr="0047032F" w:rsidR="000A3676" w:rsidP="000A3676" w:rsidRDefault="000A3676" w14:paraId="4F3D06BE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noProof/>
          <w:sz w:val="24"/>
          <w:szCs w:val="24"/>
        </w:rPr>
        <w:t>Figure 4</w:t>
      </w:r>
    </w:p>
    <w:p w:rsidRPr="00BE5091" w:rsidR="000A3676" w:rsidP="000A3676" w:rsidRDefault="000A3676" w14:paraId="733898FD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A3B3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Adapted from </w:t>
      </w:r>
      <w:r w:rsidRPr="00BE5091">
        <w:rPr>
          <w:rFonts w:ascii="Times New Roman" w:hAnsi="Times New Roman" w:cs="Times New Roman"/>
          <w:i/>
          <w:iCs/>
          <w:sz w:val="24"/>
          <w:szCs w:val="24"/>
        </w:rPr>
        <w:t>Dounavi (2011)</w:t>
      </w:r>
    </w:p>
    <w:p w:rsidRPr="00BE5091" w:rsidR="000A3676" w:rsidP="000A3676" w:rsidRDefault="000A3676" w14:paraId="5D520650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D4EA09" wp14:editId="462321B4">
            <wp:extent cx="5715000" cy="3940797"/>
            <wp:effectExtent l="0" t="0" r="0" b="317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17" cy="3958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BE5091" w:rsidR="000A3676" w:rsidP="000A3676" w:rsidRDefault="000A3676" w14:paraId="2EC91430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73184934" w14:textId="5247C27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name="_Hlk102904583" w:id="4"/>
      <w:r w:rsidRPr="00BE5091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BE5091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intraverbal (FNI), and native-foreign intraverbal (NFI) training conditions for Jonás and Enrique in Dounavi (2011). The author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30-trial blocks—one trial per target word. The mastery criterion was 100% correct responses in two consecutive trial blocks.</w:t>
      </w:r>
    </w:p>
    <w:bookmarkEnd w:id="4"/>
    <w:p w:rsidRPr="00BE5091" w:rsidR="000A3676" w:rsidP="000A3676" w:rsidRDefault="000A3676" w14:paraId="05BD52F2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4B23B58D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33F8BF6F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47032F" w:rsidR="000A3676" w:rsidP="000A3676" w:rsidRDefault="000A3676" w14:paraId="4948A284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Figure 5</w:t>
      </w:r>
    </w:p>
    <w:p w:rsidRPr="00BE5091" w:rsidR="000A3676" w:rsidP="000A3676" w:rsidRDefault="000A3676" w14:paraId="028F810B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AA3B36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Adapted from </w:t>
      </w:r>
      <w:r w:rsidRPr="00BE5091">
        <w:rPr>
          <w:rFonts w:ascii="Times New Roman" w:hAnsi="Times New Roman" w:cs="Times New Roman"/>
          <w:i/>
          <w:iCs/>
          <w:sz w:val="24"/>
          <w:szCs w:val="24"/>
        </w:rPr>
        <w:t>Dounavi (2014)</w:t>
      </w:r>
    </w:p>
    <w:p w:rsidRPr="00BE5091" w:rsidR="000A3676" w:rsidP="000A3676" w:rsidRDefault="000A3676" w14:paraId="5656235D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D0C657" wp14:editId="0055CA2E">
            <wp:extent cx="5715000" cy="3881068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20" cy="390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7F25AA" w:rsidR="000A3676" w:rsidP="000A3676" w:rsidRDefault="000A3676" w14:paraId="4197929C" w14:textId="379BDAA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25AA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7F25AA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7F25AA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intraverbal (FNI), and native-foreign intraverbal (NFI) training conditions for </w:t>
      </w:r>
      <w:r w:rsidRPr="00BE5091">
        <w:rPr>
          <w:rFonts w:ascii="Times New Roman" w:hAnsi="Times New Roman" w:cs="Times New Roman"/>
          <w:sz w:val="24"/>
          <w:szCs w:val="24"/>
        </w:rPr>
        <w:t>Pedro</w:t>
      </w:r>
      <w:r w:rsidRPr="007F25AA">
        <w:rPr>
          <w:rFonts w:ascii="Times New Roman" w:hAnsi="Times New Roman" w:cs="Times New Roman"/>
          <w:sz w:val="24"/>
          <w:szCs w:val="24"/>
        </w:rPr>
        <w:t xml:space="preserve"> and </w:t>
      </w:r>
      <w:r w:rsidRPr="00BE5091">
        <w:rPr>
          <w:rFonts w:ascii="Times New Roman" w:hAnsi="Times New Roman" w:cs="Times New Roman"/>
          <w:sz w:val="24"/>
          <w:szCs w:val="24"/>
        </w:rPr>
        <w:t>Carlota</w:t>
      </w:r>
      <w:r w:rsidRPr="007F25AA">
        <w:rPr>
          <w:rFonts w:ascii="Times New Roman" w:hAnsi="Times New Roman" w:cs="Times New Roman"/>
          <w:sz w:val="24"/>
          <w:szCs w:val="24"/>
        </w:rPr>
        <w:t xml:space="preserve"> in Dounavi (201</w:t>
      </w:r>
      <w:r w:rsidRPr="00BE5091">
        <w:rPr>
          <w:rFonts w:ascii="Times New Roman" w:hAnsi="Times New Roman" w:cs="Times New Roman"/>
          <w:sz w:val="24"/>
          <w:szCs w:val="24"/>
        </w:rPr>
        <w:t>4</w:t>
      </w:r>
      <w:r w:rsidRPr="007F25AA">
        <w:rPr>
          <w:rFonts w:ascii="Times New Roman" w:hAnsi="Times New Roman" w:cs="Times New Roman"/>
          <w:sz w:val="24"/>
          <w:szCs w:val="24"/>
        </w:rPr>
        <w:t xml:space="preserve">). </w:t>
      </w:r>
      <w:r w:rsidRPr="00BE5091">
        <w:rPr>
          <w:rFonts w:ascii="Times New Roman" w:hAnsi="Times New Roman" w:cs="Times New Roman"/>
          <w:sz w:val="24"/>
          <w:szCs w:val="24"/>
        </w:rPr>
        <w:t xml:space="preserve">The author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7F25AA">
        <w:rPr>
          <w:rFonts w:ascii="Times New Roman" w:hAnsi="Times New Roman" w:cs="Times New Roman"/>
          <w:sz w:val="24"/>
          <w:szCs w:val="24"/>
        </w:rPr>
        <w:t>30-trial blocks—one trial per target word. The mastery criterion was 100% correct responses in two consecutive trial blocks.</w:t>
      </w:r>
    </w:p>
    <w:p w:rsidRPr="00BE5091" w:rsidR="000A3676" w:rsidP="000A3676" w:rsidRDefault="000A3676" w14:paraId="6EE043C2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2C94688E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547BEBD2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3112C822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389488F5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3556F938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64A3A77E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47032F" w:rsidR="000A3676" w:rsidP="000A3676" w:rsidRDefault="000A3676" w14:paraId="1DCE68D6" w14:textId="7777777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6</w:t>
      </w:r>
    </w:p>
    <w:p w:rsidRPr="00BE5091" w:rsidR="000A3676" w:rsidP="000A3676" w:rsidRDefault="000A3676" w14:paraId="129893F7" w14:textId="77777777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670AB">
        <w:rPr>
          <w:rFonts w:ascii="Times New Roman" w:hAnsi="Times New Roman" w:cs="Times New Roman"/>
          <w:i/>
          <w:iCs/>
          <w:sz w:val="24"/>
          <w:szCs w:val="24"/>
        </w:rPr>
        <w:t xml:space="preserve">Acquisition Curves Adapted from </w:t>
      </w:r>
      <w:r w:rsidRPr="00BE5091">
        <w:rPr>
          <w:rFonts w:ascii="Times New Roman" w:hAnsi="Times New Roman" w:cs="Times New Roman"/>
          <w:i/>
          <w:iCs/>
          <w:sz w:val="24"/>
          <w:szCs w:val="24"/>
        </w:rPr>
        <w:t>Daly &amp; Dounavi</w:t>
      </w:r>
      <w:r w:rsidRPr="006670AB">
        <w:rPr>
          <w:rFonts w:ascii="Times New Roman" w:hAnsi="Times New Roman" w:cs="Times New Roman"/>
          <w:i/>
          <w:iCs/>
          <w:sz w:val="24"/>
          <w:szCs w:val="24"/>
        </w:rPr>
        <w:t xml:space="preserve"> (20</w:t>
      </w:r>
      <w:r w:rsidRPr="00BE5091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6670A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Pr="00BE5091" w:rsidR="000A3676" w:rsidP="000A3676" w:rsidRDefault="000A3676" w14:paraId="02712361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3A00A1" wp14:editId="2A3709FE">
            <wp:extent cx="5715000" cy="58680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84" cy="589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BE5091" w:rsidR="000A3676" w:rsidP="000A3676" w:rsidRDefault="000A3676" w14:paraId="49670001" w14:textId="68B4753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name="_Hlk102905209" w:id="5"/>
      <w:r w:rsidRPr="006670AB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6670AB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6670AB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intraverbal (FNI), and native-foreign intraverbal (NFI) training conditions for</w:t>
      </w:r>
      <w:r w:rsidRPr="00BE5091">
        <w:rPr>
          <w:rFonts w:ascii="Times New Roman" w:hAnsi="Times New Roman" w:cs="Times New Roman"/>
          <w:sz w:val="24"/>
          <w:szCs w:val="24"/>
        </w:rPr>
        <w:t xml:space="preserve"> Niall, Brandy, and Catriona</w:t>
      </w:r>
      <w:r w:rsidRPr="006670AB">
        <w:rPr>
          <w:rFonts w:ascii="Times New Roman" w:hAnsi="Times New Roman" w:cs="Times New Roman"/>
          <w:sz w:val="24"/>
          <w:szCs w:val="24"/>
        </w:rPr>
        <w:t xml:space="preserve"> in </w:t>
      </w:r>
      <w:r w:rsidRPr="00BE5091">
        <w:rPr>
          <w:rFonts w:ascii="Times New Roman" w:hAnsi="Times New Roman" w:cs="Times New Roman"/>
          <w:sz w:val="24"/>
          <w:szCs w:val="24"/>
        </w:rPr>
        <w:t xml:space="preserve">Daly &amp; </w:t>
      </w:r>
      <w:r w:rsidRPr="006670AB">
        <w:rPr>
          <w:rFonts w:ascii="Times New Roman" w:hAnsi="Times New Roman" w:cs="Times New Roman"/>
          <w:sz w:val="24"/>
          <w:szCs w:val="24"/>
        </w:rPr>
        <w:t>Dounavi (20</w:t>
      </w:r>
      <w:r w:rsidRPr="00BE5091">
        <w:rPr>
          <w:rFonts w:ascii="Times New Roman" w:hAnsi="Times New Roman" w:cs="Times New Roman"/>
          <w:sz w:val="24"/>
          <w:szCs w:val="24"/>
        </w:rPr>
        <w:t>20</w:t>
      </w:r>
      <w:r w:rsidRPr="006670AB">
        <w:rPr>
          <w:rFonts w:ascii="Times New Roman" w:hAnsi="Times New Roman" w:cs="Times New Roman"/>
          <w:sz w:val="24"/>
          <w:szCs w:val="24"/>
        </w:rPr>
        <w:t xml:space="preserve">). </w:t>
      </w:r>
      <w:r w:rsidRPr="00BE5091">
        <w:rPr>
          <w:rFonts w:ascii="Times New Roman" w:hAnsi="Times New Roman" w:cs="Times New Roman"/>
          <w:sz w:val="24"/>
          <w:szCs w:val="24"/>
        </w:rPr>
        <w:t xml:space="preserve">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10</w:t>
      </w:r>
      <w:r w:rsidRPr="006670AB">
        <w:rPr>
          <w:rFonts w:ascii="Times New Roman" w:hAnsi="Times New Roman" w:cs="Times New Roman"/>
          <w:sz w:val="24"/>
          <w:szCs w:val="24"/>
        </w:rPr>
        <w:t>-trial blocks—one trial per target word. The mastery criterion was 100% correct responses in two consecutive trial blocks.</w:t>
      </w:r>
      <w:bookmarkEnd w:id="5"/>
    </w:p>
    <w:p w:rsidR="00EF0A20" w:rsidP="000A3676" w:rsidRDefault="00EF0A20" w14:paraId="7ADD1295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47032F" w:rsidR="000A3676" w:rsidP="000A3676" w:rsidRDefault="000A3676" w14:paraId="073CEFA2" w14:textId="1021C70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Figure 7</w:t>
      </w:r>
    </w:p>
    <w:p w:rsidRPr="00BE5091" w:rsidR="000A3676" w:rsidP="000A3676" w:rsidRDefault="000A3676" w14:paraId="47C1CFBA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Adapted from 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>Wu et al.</w:t>
      </w: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(20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>19</w:t>
      </w: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>)</w:t>
      </w:r>
    </w:p>
    <w:p w:rsidRPr="00366AD9" w:rsidR="000A3676" w:rsidP="000A3676" w:rsidRDefault="000A3676" w14:paraId="714ADD0C" w14:textId="4EBA2C6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870D8C" wp14:editId="041F7726">
            <wp:extent cx="5722196" cy="7658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46" cy="7681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AD9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366AD9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366AD9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</w:t>
      </w:r>
      <w:r w:rsidRPr="00366AD9">
        <w:rPr>
          <w:rFonts w:ascii="Times New Roman" w:hAnsi="Times New Roman" w:cs="Times New Roman"/>
          <w:sz w:val="24"/>
          <w:szCs w:val="24"/>
        </w:rPr>
        <w:lastRenderedPageBreak/>
        <w:t>intraverbal (FNI), native-foreign intraverbal (NFI)</w:t>
      </w:r>
      <w:r w:rsidRPr="00BE5091">
        <w:rPr>
          <w:rFonts w:ascii="Times New Roman" w:hAnsi="Times New Roman" w:cs="Times New Roman"/>
          <w:sz w:val="24"/>
          <w:szCs w:val="24"/>
        </w:rPr>
        <w:t>, and mand</w:t>
      </w:r>
      <w:r w:rsidRPr="00366AD9">
        <w:rPr>
          <w:rFonts w:ascii="Times New Roman" w:hAnsi="Times New Roman" w:cs="Times New Roman"/>
          <w:sz w:val="24"/>
          <w:szCs w:val="24"/>
        </w:rPr>
        <w:t xml:space="preserve"> training conditions for </w:t>
      </w:r>
      <w:r w:rsidRPr="00BE5091">
        <w:rPr>
          <w:rFonts w:ascii="Times New Roman" w:hAnsi="Times New Roman" w:cs="Times New Roman"/>
          <w:sz w:val="24"/>
          <w:szCs w:val="24"/>
        </w:rPr>
        <w:t>Jesus, Eobard, Kip, and Lily</w:t>
      </w:r>
      <w:r w:rsidRPr="00366AD9">
        <w:rPr>
          <w:rFonts w:ascii="Times New Roman" w:hAnsi="Times New Roman" w:cs="Times New Roman"/>
          <w:sz w:val="24"/>
          <w:szCs w:val="24"/>
        </w:rPr>
        <w:t xml:space="preserve"> in </w:t>
      </w:r>
      <w:r w:rsidRPr="00BE5091">
        <w:rPr>
          <w:rFonts w:ascii="Times New Roman" w:hAnsi="Times New Roman" w:cs="Times New Roman"/>
          <w:sz w:val="24"/>
          <w:szCs w:val="24"/>
        </w:rPr>
        <w:t>Wu et al.</w:t>
      </w:r>
      <w:r w:rsidRPr="00366AD9">
        <w:rPr>
          <w:rFonts w:ascii="Times New Roman" w:hAnsi="Times New Roman" w:cs="Times New Roman"/>
          <w:sz w:val="24"/>
          <w:szCs w:val="24"/>
        </w:rPr>
        <w:t xml:space="preserve"> (20</w:t>
      </w:r>
      <w:r w:rsidRPr="00BE5091">
        <w:rPr>
          <w:rFonts w:ascii="Times New Roman" w:hAnsi="Times New Roman" w:cs="Times New Roman"/>
          <w:sz w:val="24"/>
          <w:szCs w:val="24"/>
        </w:rPr>
        <w:t>19</w:t>
      </w:r>
      <w:r w:rsidRPr="00366AD9">
        <w:rPr>
          <w:rFonts w:ascii="Times New Roman" w:hAnsi="Times New Roman" w:cs="Times New Roman"/>
          <w:sz w:val="24"/>
          <w:szCs w:val="24"/>
        </w:rPr>
        <w:t xml:space="preserve">). </w:t>
      </w:r>
      <w:r w:rsidRPr="00BE5091">
        <w:rPr>
          <w:rFonts w:ascii="Times New Roman" w:hAnsi="Times New Roman" w:cs="Times New Roman"/>
          <w:sz w:val="24"/>
          <w:szCs w:val="24"/>
        </w:rPr>
        <w:t xml:space="preserve">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9</w:t>
      </w:r>
      <w:r w:rsidRPr="00366AD9">
        <w:rPr>
          <w:rFonts w:ascii="Times New Roman" w:hAnsi="Times New Roman" w:cs="Times New Roman"/>
          <w:sz w:val="24"/>
          <w:szCs w:val="24"/>
        </w:rPr>
        <w:t>-trial blocks—</w:t>
      </w:r>
      <w:r w:rsidRPr="00BE5091">
        <w:rPr>
          <w:rFonts w:ascii="Times New Roman" w:hAnsi="Times New Roman" w:cs="Times New Roman"/>
          <w:sz w:val="24"/>
          <w:szCs w:val="24"/>
        </w:rPr>
        <w:t>three</w:t>
      </w:r>
      <w:r w:rsidRPr="00366AD9">
        <w:rPr>
          <w:rFonts w:ascii="Times New Roman" w:hAnsi="Times New Roman" w:cs="Times New Roman"/>
          <w:sz w:val="24"/>
          <w:szCs w:val="24"/>
        </w:rPr>
        <w:t xml:space="preserve"> trial</w:t>
      </w:r>
      <w:r w:rsidRPr="00BE5091">
        <w:rPr>
          <w:rFonts w:ascii="Times New Roman" w:hAnsi="Times New Roman" w:cs="Times New Roman"/>
          <w:sz w:val="24"/>
          <w:szCs w:val="24"/>
        </w:rPr>
        <w:t>s</w:t>
      </w:r>
      <w:r w:rsidRPr="00366AD9">
        <w:rPr>
          <w:rFonts w:ascii="Times New Roman" w:hAnsi="Times New Roman" w:cs="Times New Roman"/>
          <w:sz w:val="24"/>
          <w:szCs w:val="24"/>
        </w:rPr>
        <w:t xml:space="preserve"> per target word. </w:t>
      </w:r>
      <w:r w:rsidRPr="00BE5091">
        <w:rPr>
          <w:rFonts w:ascii="Times New Roman" w:hAnsi="Times New Roman" w:cs="Times New Roman"/>
          <w:sz w:val="24"/>
          <w:szCs w:val="24"/>
        </w:rPr>
        <w:t xml:space="preserve">We weighted session counts by multiplying the number of sessions by three so that the data </w:t>
      </w:r>
      <w:r w:rsidRPr="00BE5091" w:rsidR="00FD49F2">
        <w:rPr>
          <w:rFonts w:ascii="Times New Roman" w:hAnsi="Times New Roman" w:cs="Times New Roman"/>
          <w:sz w:val="24"/>
          <w:szCs w:val="24"/>
        </w:rPr>
        <w:t>could be compared</w:t>
      </w:r>
      <w:r w:rsidRPr="00BE5091">
        <w:rPr>
          <w:rFonts w:ascii="Times New Roman" w:hAnsi="Times New Roman" w:cs="Times New Roman"/>
          <w:sz w:val="24"/>
          <w:szCs w:val="24"/>
        </w:rPr>
        <w:t xml:space="preserve"> with the other studies in which each session comprised one trial per target word. </w:t>
      </w:r>
      <w:r w:rsidRPr="00BE5091" w:rsidR="00EA39BD">
        <w:rPr>
          <w:rFonts w:ascii="Times New Roman" w:hAnsi="Times New Roman" w:cs="Times New Roman"/>
          <w:sz w:val="24"/>
          <w:szCs w:val="24"/>
        </w:rPr>
        <w:t>The mastery criterion was 83.3% correct responses for two consecutive trial blocks.</w:t>
      </w:r>
    </w:p>
    <w:p w:rsidRPr="0047032F" w:rsidR="000A3676" w:rsidP="000A3676" w:rsidRDefault="000A3676" w14:paraId="600F0454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noProof/>
          <w:sz w:val="24"/>
          <w:szCs w:val="24"/>
        </w:rPr>
        <w:t>Figure 8</w:t>
      </w:r>
    </w:p>
    <w:p w:rsidRPr="00BE5091" w:rsidR="000A3676" w:rsidP="000A3676" w:rsidRDefault="000A3676" w14:paraId="3B25E4CE" w14:textId="77777777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Adapted from 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Petursdottir &amp; Hafliđadóttir, </w:t>
      </w: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>(20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>09</w:t>
      </w:r>
      <w:r w:rsidRPr="00366AD9">
        <w:rPr>
          <w:rFonts w:ascii="Times New Roman" w:hAnsi="Times New Roman" w:cs="Times New Roman"/>
          <w:i/>
          <w:iCs/>
          <w:noProof/>
          <w:sz w:val="24"/>
          <w:szCs w:val="24"/>
        </w:rPr>
        <w:t>)</w:t>
      </w:r>
    </w:p>
    <w:p w:rsidRPr="00BE5091" w:rsidR="009802DF" w:rsidP="004106D5" w:rsidRDefault="000A3676" w14:paraId="6ECC69E8" w14:textId="48DCC7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AA4A0" wp14:editId="6CFA7453">
            <wp:extent cx="5715000" cy="396462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73" cy="398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AD9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366AD9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366AD9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intraverbal (FNI), native-foreign intraverbal (NFI)</w:t>
      </w:r>
      <w:r w:rsidRPr="00BE5091">
        <w:rPr>
          <w:rFonts w:ascii="Times New Roman" w:hAnsi="Times New Roman" w:cs="Times New Roman"/>
          <w:sz w:val="24"/>
          <w:szCs w:val="24"/>
        </w:rPr>
        <w:t>, and listener</w:t>
      </w:r>
      <w:r w:rsidRPr="00366AD9">
        <w:rPr>
          <w:rFonts w:ascii="Times New Roman" w:hAnsi="Times New Roman" w:cs="Times New Roman"/>
          <w:sz w:val="24"/>
          <w:szCs w:val="24"/>
        </w:rPr>
        <w:t xml:space="preserve"> training conditions for </w:t>
      </w:r>
      <w:r w:rsidRPr="00BE5091">
        <w:rPr>
          <w:rFonts w:ascii="Times New Roman" w:hAnsi="Times New Roman" w:cs="Times New Roman"/>
          <w:sz w:val="24"/>
          <w:szCs w:val="24"/>
        </w:rPr>
        <w:t>Dianna and Kamilla</w:t>
      </w:r>
      <w:r w:rsidRPr="00366AD9">
        <w:rPr>
          <w:rFonts w:ascii="Times New Roman" w:hAnsi="Times New Roman" w:cs="Times New Roman"/>
          <w:sz w:val="24"/>
          <w:szCs w:val="24"/>
        </w:rPr>
        <w:t xml:space="preserve"> in </w:t>
      </w:r>
      <w:r w:rsidRPr="00BE5091">
        <w:rPr>
          <w:rFonts w:ascii="Times New Roman" w:hAnsi="Times New Roman" w:cs="Times New Roman"/>
          <w:sz w:val="24"/>
          <w:szCs w:val="24"/>
        </w:rPr>
        <w:t xml:space="preserve">Petursdottir &amp; Hafliđadóttir (2009). The authors </w:t>
      </w:r>
      <w:r w:rsidRPr="00366AD9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training sessions </w:t>
      </w:r>
      <w:r w:rsidRPr="00366AD9">
        <w:rPr>
          <w:rFonts w:ascii="Times New Roman" w:hAnsi="Times New Roman" w:cs="Times New Roman"/>
          <w:sz w:val="24"/>
          <w:szCs w:val="24"/>
        </w:rPr>
        <w:t xml:space="preserve">in </w:t>
      </w:r>
      <w:r w:rsidRPr="00BE5091">
        <w:rPr>
          <w:rFonts w:ascii="Times New Roman" w:hAnsi="Times New Roman" w:cs="Times New Roman"/>
          <w:sz w:val="24"/>
          <w:szCs w:val="24"/>
        </w:rPr>
        <w:t>48</w:t>
      </w:r>
      <w:r w:rsidRPr="00366AD9">
        <w:rPr>
          <w:rFonts w:ascii="Times New Roman" w:hAnsi="Times New Roman" w:cs="Times New Roman"/>
          <w:sz w:val="24"/>
          <w:szCs w:val="24"/>
        </w:rPr>
        <w:t>-trial blocks—</w:t>
      </w:r>
      <w:r w:rsidRPr="00BE5091">
        <w:rPr>
          <w:rFonts w:ascii="Times New Roman" w:hAnsi="Times New Roman" w:cs="Times New Roman"/>
          <w:sz w:val="24"/>
          <w:szCs w:val="24"/>
        </w:rPr>
        <w:t>four</w:t>
      </w:r>
      <w:r w:rsidRPr="00366AD9">
        <w:rPr>
          <w:rFonts w:ascii="Times New Roman" w:hAnsi="Times New Roman" w:cs="Times New Roman"/>
          <w:sz w:val="24"/>
          <w:szCs w:val="24"/>
        </w:rPr>
        <w:t xml:space="preserve"> trial</w:t>
      </w:r>
      <w:r w:rsidRPr="00BE5091">
        <w:rPr>
          <w:rFonts w:ascii="Times New Roman" w:hAnsi="Times New Roman" w:cs="Times New Roman"/>
          <w:sz w:val="24"/>
          <w:szCs w:val="24"/>
        </w:rPr>
        <w:t>s</w:t>
      </w:r>
      <w:r w:rsidRPr="00366AD9">
        <w:rPr>
          <w:rFonts w:ascii="Times New Roman" w:hAnsi="Times New Roman" w:cs="Times New Roman"/>
          <w:sz w:val="24"/>
          <w:szCs w:val="24"/>
        </w:rPr>
        <w:t xml:space="preserve"> per target word. </w:t>
      </w:r>
      <w:r w:rsidRPr="00BE5091">
        <w:rPr>
          <w:rFonts w:ascii="Times New Roman" w:hAnsi="Times New Roman" w:cs="Times New Roman"/>
          <w:sz w:val="24"/>
          <w:szCs w:val="24"/>
        </w:rPr>
        <w:t xml:space="preserve">We weighted session counts by multiplying the number of sessions by four so that the </w:t>
      </w:r>
      <w:r w:rsidRPr="00BE5091" w:rsidR="004106D5">
        <w:rPr>
          <w:rFonts w:ascii="Times New Roman" w:hAnsi="Times New Roman" w:cs="Times New Roman"/>
          <w:sz w:val="24"/>
          <w:szCs w:val="24"/>
        </w:rPr>
        <w:t xml:space="preserve">data could be compared </w:t>
      </w:r>
      <w:r w:rsidRPr="00BE5091">
        <w:rPr>
          <w:rFonts w:ascii="Times New Roman" w:hAnsi="Times New Roman" w:cs="Times New Roman"/>
          <w:sz w:val="24"/>
          <w:szCs w:val="24"/>
        </w:rPr>
        <w:t xml:space="preserve">with the other studies in which </w:t>
      </w:r>
      <w:r w:rsidRPr="00BE5091">
        <w:rPr>
          <w:rFonts w:ascii="Times New Roman" w:hAnsi="Times New Roman" w:cs="Times New Roman"/>
          <w:sz w:val="24"/>
          <w:szCs w:val="24"/>
        </w:rPr>
        <w:lastRenderedPageBreak/>
        <w:t xml:space="preserve">each session comprised one trial per target word. </w:t>
      </w:r>
      <w:r w:rsidRPr="00366AD9">
        <w:rPr>
          <w:rFonts w:ascii="Times New Roman" w:hAnsi="Times New Roman" w:cs="Times New Roman"/>
          <w:sz w:val="24"/>
          <w:szCs w:val="24"/>
        </w:rPr>
        <w:t xml:space="preserve">The mastery criterion was </w:t>
      </w:r>
      <w:r w:rsidRPr="00BE5091">
        <w:rPr>
          <w:rFonts w:ascii="Times New Roman" w:hAnsi="Times New Roman" w:cs="Times New Roman"/>
          <w:sz w:val="24"/>
          <w:szCs w:val="24"/>
        </w:rPr>
        <w:t>83.3% correct responses for two consecutive trial blocks</w:t>
      </w:r>
      <w:r w:rsidRPr="00366AD9">
        <w:rPr>
          <w:rFonts w:ascii="Times New Roman" w:hAnsi="Times New Roman" w:cs="Times New Roman"/>
          <w:sz w:val="24"/>
          <w:szCs w:val="24"/>
        </w:rPr>
        <w:t>.</w:t>
      </w:r>
    </w:p>
    <w:p w:rsidR="00372205" w:rsidP="004106D5" w:rsidRDefault="00372205" w14:paraId="3FBEE696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4B401240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7D7900E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72572F95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672FA06C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53BE1552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70437A21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68EFDC1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338D5C23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9B57E34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2C1FB7D0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8E2B7B9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71816220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54F7BBBB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2E5A4950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25F567C6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ADD40B8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23F31F81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3D20AD1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D62A6B8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33D06315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347D2B44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372205" w:rsidP="004106D5" w:rsidRDefault="00372205" w14:paraId="11F0CBF2" w14:textId="77777777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Pr="0047032F" w:rsidR="004106D5" w:rsidP="004106D5" w:rsidRDefault="004106D5" w14:paraId="781DA414" w14:textId="40F1A91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032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Figure </w:t>
      </w:r>
      <w:r w:rsidRPr="0047032F" w:rsidR="0047032F">
        <w:rPr>
          <w:rFonts w:ascii="Times New Roman" w:hAnsi="Times New Roman" w:cs="Times New Roman"/>
          <w:b/>
          <w:bCs/>
          <w:noProof/>
          <w:sz w:val="24"/>
          <w:szCs w:val="24"/>
        </w:rPr>
        <w:t>9</w:t>
      </w:r>
    </w:p>
    <w:p w:rsidRPr="00BE5091" w:rsidR="000A3676" w:rsidP="000A3676" w:rsidRDefault="00D6560B" w14:paraId="03CF6352" w14:textId="3D3EADCF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Combined </w:t>
      </w:r>
      <w:r w:rsidRPr="00366AD9" w:rsidR="004106D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Acquisition Curves </w:t>
      </w:r>
      <w:r w:rsidRPr="00BE5091">
        <w:rPr>
          <w:rFonts w:ascii="Times New Roman" w:hAnsi="Times New Roman" w:cs="Times New Roman"/>
          <w:i/>
          <w:iCs/>
          <w:noProof/>
          <w:sz w:val="24"/>
          <w:szCs w:val="24"/>
        </w:rPr>
        <w:t>for Each Study</w:t>
      </w:r>
    </w:p>
    <w:p w:rsidRPr="00BE5091" w:rsidR="008D7F2D" w:rsidP="000A3676" w:rsidRDefault="000A3676" w14:paraId="41A7E740" w14:textId="5E90B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4D8B10" wp14:editId="3CDCC8D8">
            <wp:extent cx="5715000" cy="7922206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64" cy="7978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BE5091" w:rsidR="000A3676" w:rsidP="000A3676" w:rsidRDefault="000A3676" w14:paraId="54DE0EBA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50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11CCC0" wp14:editId="2EE8CA20">
            <wp:extent cx="5715000" cy="5908002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98" cy="592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BE5091" w:rsidR="00A70D53" w:rsidP="00A70D53" w:rsidRDefault="00A70D53" w14:paraId="3D216CCF" w14:textId="3E312C9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0D53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A70D53">
        <w:rPr>
          <w:rFonts w:ascii="Times New Roman" w:hAnsi="Times New Roman" w:cs="Times New Roman"/>
          <w:sz w:val="24"/>
          <w:szCs w:val="24"/>
        </w:rPr>
        <w:t xml:space="preserve"> This figure </w:t>
      </w:r>
      <w:r w:rsidR="00FE42FE">
        <w:rPr>
          <w:rFonts w:ascii="Times New Roman" w:hAnsi="Times New Roman" w:cs="Times New Roman"/>
          <w:sz w:val="24"/>
          <w:szCs w:val="24"/>
        </w:rPr>
        <w:t>illustrates</w:t>
      </w:r>
      <w:r w:rsidRPr="00A70D53">
        <w:rPr>
          <w:rFonts w:ascii="Times New Roman" w:hAnsi="Times New Roman" w:cs="Times New Roman"/>
          <w:sz w:val="24"/>
          <w:szCs w:val="24"/>
        </w:rPr>
        <w:t xml:space="preserve"> the differences in acquisition rates across tact, foreign-native intraverbal (FNI), native-foreign intraverbal (NFI), </w:t>
      </w:r>
      <w:r w:rsidRPr="00BE5091">
        <w:rPr>
          <w:rFonts w:ascii="Times New Roman" w:hAnsi="Times New Roman" w:cs="Times New Roman"/>
          <w:sz w:val="24"/>
          <w:szCs w:val="24"/>
        </w:rPr>
        <w:t>mand</w:t>
      </w:r>
      <w:r w:rsidRPr="00BE5091" w:rsidR="00CC575B">
        <w:rPr>
          <w:rFonts w:ascii="Times New Roman" w:hAnsi="Times New Roman" w:cs="Times New Roman"/>
          <w:sz w:val="24"/>
          <w:szCs w:val="24"/>
        </w:rPr>
        <w:t xml:space="preserve">, </w:t>
      </w:r>
      <w:r w:rsidRPr="00A70D53">
        <w:rPr>
          <w:rFonts w:ascii="Times New Roman" w:hAnsi="Times New Roman" w:cs="Times New Roman"/>
          <w:sz w:val="24"/>
          <w:szCs w:val="24"/>
        </w:rPr>
        <w:t xml:space="preserve">and listener training conditions for </w:t>
      </w:r>
      <w:r w:rsidRPr="00BE5091" w:rsidR="00CC575B">
        <w:rPr>
          <w:rFonts w:ascii="Times New Roman" w:hAnsi="Times New Roman" w:cs="Times New Roman"/>
          <w:sz w:val="24"/>
          <w:szCs w:val="24"/>
        </w:rPr>
        <w:t xml:space="preserve">all participants in each of the seven studies </w:t>
      </w:r>
      <w:r w:rsidRPr="00BE5091" w:rsidR="000967FD">
        <w:rPr>
          <w:rFonts w:ascii="Times New Roman" w:hAnsi="Times New Roman" w:cs="Times New Roman"/>
          <w:sz w:val="24"/>
          <w:szCs w:val="24"/>
        </w:rPr>
        <w:t>in the meta-analysis (Cortez et al., 2021; Cortez et al., 2020; Daly &amp; Dounavi, 2020; Dounavi, 2011, 2014; Petursdottir &amp; Hafliđadóttir, 2009; Wu et al., 2019)</w:t>
      </w:r>
      <w:r w:rsidRPr="00A70D53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A70D53" w:rsidR="001E2CEE" w:rsidP="00A70D53" w:rsidRDefault="001E2CEE" w14:paraId="1B0BD484" w14:textId="77777777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Pr="00BE5091" w:rsidR="000A3676" w:rsidP="000A3676" w:rsidRDefault="000A3676" w14:paraId="65E7E49D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0A3676" w:rsidP="000A3676" w:rsidRDefault="000A3676" w14:paraId="3124FA60" w14:textId="777777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Pr="00BE5091" w:rsidR="00517197" w:rsidP="00517197" w:rsidRDefault="00517197" w14:paraId="503B33D4" w14:textId="6FCAFE24">
      <w:pPr>
        <w:pStyle w:val="Heading1"/>
        <w:rPr>
          <w:rFonts w:cs="Times New Roman"/>
          <w:b w:val="0"/>
          <w:szCs w:val="24"/>
        </w:rPr>
      </w:pPr>
      <w:bookmarkStart w:name="_Toc102402440" w:id="6"/>
      <w:r w:rsidRPr="00BE5091">
        <w:rPr>
          <w:rFonts w:cs="Times New Roman"/>
          <w:noProof/>
          <w:szCs w:val="24"/>
        </w:rPr>
        <w:lastRenderedPageBreak/>
        <w:t>References</w:t>
      </w:r>
      <w:bookmarkEnd w:id="6"/>
    </w:p>
    <w:p w:rsidRPr="00BE5091" w:rsidR="0050379F" w:rsidP="0050379F" w:rsidRDefault="0050379F" w14:paraId="3EE27357" w14:textId="0B3375CF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Cortez, M. D., da Silva, L. F., Cengher, M., Mazzoca, R. H., &amp; Miguel, C. F. (2021). Teaching a small foreign language vocabulary to children using tact and listener instruction with a prompt delay. </w:t>
      </w:r>
      <w:r w:rsidRPr="00BE5091">
        <w:rPr>
          <w:i/>
          <w:szCs w:val="24"/>
        </w:rPr>
        <w:t xml:space="preserve">Journal of Applied Behavior Analysis </w:t>
      </w:r>
      <w:r w:rsidRPr="00BE5091">
        <w:rPr>
          <w:szCs w:val="24"/>
        </w:rPr>
        <w:t>(Advance online publication). https://doi.org/10.1002/jaba.885</w:t>
      </w:r>
    </w:p>
    <w:p w:rsidRPr="00BE5091" w:rsidR="006A15FA" w:rsidP="0050379F" w:rsidRDefault="0050379F" w14:paraId="17D1A829" w14:textId="4B754004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Cortez, M. D., dos Santos, L., Quintal, A. E., Silveira, M. V., &amp; Rose, J. C. (2020). Learning a foreign language: Effects of tact and listener instruction on the emergence of bidirectional intraverbals. </w:t>
      </w:r>
      <w:r w:rsidRPr="00BE5091">
        <w:rPr>
          <w:i/>
          <w:szCs w:val="24"/>
        </w:rPr>
        <w:t>Journal of Applied Behavior Analysis, 53</w:t>
      </w:r>
      <w:r w:rsidRPr="00BE5091">
        <w:rPr>
          <w:szCs w:val="24"/>
        </w:rPr>
        <w:t xml:space="preserve">(1), 484-492. </w:t>
      </w:r>
      <w:r w:rsidRPr="00BE5091" w:rsidR="006A15FA">
        <w:rPr>
          <w:szCs w:val="24"/>
        </w:rPr>
        <w:t>https://doi.org/10.1002/jaba.559</w:t>
      </w:r>
    </w:p>
    <w:p w:rsidRPr="00BE5091" w:rsidR="006A15FA" w:rsidP="006A15FA" w:rsidRDefault="006A15FA" w14:paraId="75F27DFE" w14:textId="77777777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Daly, D., &amp; Dounavi, K. (2020). A comparison of tact training and bidirectional intraverbal training in teaching a foreign language: A refined replication. </w:t>
      </w:r>
      <w:r w:rsidRPr="00BE5091">
        <w:rPr>
          <w:i/>
          <w:szCs w:val="24"/>
        </w:rPr>
        <w:t>The Psychological Record, 70</w:t>
      </w:r>
      <w:r w:rsidRPr="00BE5091">
        <w:rPr>
          <w:szCs w:val="24"/>
        </w:rPr>
        <w:t>(2), 243-255. https://doi.org/10.1007/s40732-020-00396-0</w:t>
      </w:r>
    </w:p>
    <w:p w:rsidRPr="00BE5091" w:rsidR="00235BDF" w:rsidP="00235BDF" w:rsidRDefault="00235BDF" w14:paraId="4B1D8E9B" w14:textId="77777777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Dounavi, A. (2011). A comparison between tact and intraverbal training in the acquisition of a foreign language. </w:t>
      </w:r>
      <w:r w:rsidRPr="00BE5091">
        <w:rPr>
          <w:i/>
          <w:szCs w:val="24"/>
        </w:rPr>
        <w:t>European Journal of Behavior Analysis, 12</w:t>
      </w:r>
      <w:r w:rsidRPr="00BE5091">
        <w:rPr>
          <w:szCs w:val="24"/>
        </w:rPr>
        <w:t>(1), 239-248. https://doi.org/10.1080/15021149.2011.11434367</w:t>
      </w:r>
    </w:p>
    <w:p w:rsidRPr="00BE5091" w:rsidR="00235BDF" w:rsidP="00235BDF" w:rsidRDefault="00235BDF" w14:paraId="47F49DEF" w14:textId="77777777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Dounavi, K. (2014). Tact training versus bidirectional intraverbal training in teaching a foreign language. </w:t>
      </w:r>
      <w:r w:rsidRPr="00BE5091">
        <w:rPr>
          <w:i/>
          <w:szCs w:val="24"/>
        </w:rPr>
        <w:t>Journal of Applied Behavior Analysis, 47</w:t>
      </w:r>
      <w:r w:rsidRPr="00BE5091">
        <w:rPr>
          <w:szCs w:val="24"/>
        </w:rPr>
        <w:t>(1), 165-170. https://doi.org/10.1002/jaba.86</w:t>
      </w:r>
    </w:p>
    <w:p w:rsidRPr="00BE5091" w:rsidR="000A269E" w:rsidP="000A269E" w:rsidRDefault="0050379F" w14:paraId="69D39D82" w14:textId="7C8A3F5B">
      <w:pPr>
        <w:pStyle w:val="EndNoteBibliography"/>
        <w:spacing w:after="0"/>
        <w:ind w:left="720" w:hanging="720"/>
        <w:rPr>
          <w:szCs w:val="24"/>
        </w:rPr>
      </w:pPr>
      <w:r w:rsidRPr="00BE5091">
        <w:rPr>
          <w:szCs w:val="24"/>
        </w:rPr>
        <w:t xml:space="preserve"> </w:t>
      </w:r>
      <w:r w:rsidRPr="00BE5091" w:rsidR="000A269E">
        <w:rPr>
          <w:szCs w:val="24"/>
        </w:rPr>
        <w:t xml:space="preserve">Petursdottir, A. I., &amp; Hafliđadóttir, R. D. (2009). A comparison of four strategies for teaching a small foreign‐language vocabulary. </w:t>
      </w:r>
      <w:r w:rsidRPr="00BE5091" w:rsidR="000A269E">
        <w:rPr>
          <w:i/>
          <w:szCs w:val="24"/>
        </w:rPr>
        <w:t>Journal of Applied Behavior Analysis, 42</w:t>
      </w:r>
      <w:r w:rsidRPr="00BE5091" w:rsidR="000A269E">
        <w:rPr>
          <w:szCs w:val="24"/>
        </w:rPr>
        <w:t xml:space="preserve">(3), 685-690. </w:t>
      </w:r>
      <w:r w:rsidRPr="00BE5091" w:rsidR="002D1076">
        <w:rPr>
          <w:szCs w:val="24"/>
        </w:rPr>
        <w:t>https://doi.org/10.1901/jaba.2009.42-685</w:t>
      </w:r>
    </w:p>
    <w:p w:rsidRPr="00BE5091" w:rsidR="0056275C" w:rsidP="00BE5091" w:rsidRDefault="002D1076" w14:paraId="6187B656" w14:textId="1077DC4E">
      <w:pPr>
        <w:pStyle w:val="EndNoteBibliography"/>
        <w:ind w:left="720" w:hanging="720"/>
        <w:rPr>
          <w:szCs w:val="24"/>
        </w:rPr>
      </w:pPr>
      <w:r w:rsidRPr="00BE5091">
        <w:rPr>
          <w:szCs w:val="24"/>
        </w:rPr>
        <w:t xml:space="preserve">Wu, W. L., Lechago, S. A., &amp; Rettig, L. A. (2019). Comparing mand training and other instructional methods to teach a foreign language. </w:t>
      </w:r>
      <w:r w:rsidRPr="00BE5091">
        <w:rPr>
          <w:i/>
          <w:szCs w:val="24"/>
        </w:rPr>
        <w:t>Journal of Applied Behavior Analysis, 52</w:t>
      </w:r>
      <w:r w:rsidRPr="00BE5091">
        <w:rPr>
          <w:szCs w:val="24"/>
        </w:rPr>
        <w:t xml:space="preserve">(3), 652-666. https://doi.org/10.1002/jaba.564 </w:t>
      </w:r>
    </w:p>
    <w:sectPr w:rsidRPr="00BE5091" w:rsidR="0056275C" w:rsidSect="00BC2045">
      <w:headerReference w:type="defaul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0EFB" w:rsidP="00BE5091" w:rsidRDefault="001D0EFB" w14:paraId="30F248CC" w14:textId="77777777">
      <w:pPr>
        <w:spacing w:after="0" w:line="240" w:lineRule="auto"/>
      </w:pPr>
      <w:r>
        <w:separator/>
      </w:r>
    </w:p>
  </w:endnote>
  <w:endnote w:type="continuationSeparator" w:id="0">
    <w:p w:rsidR="001D0EFB" w:rsidP="00BE5091" w:rsidRDefault="001D0EFB" w14:paraId="713023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0EFB" w:rsidP="00BE5091" w:rsidRDefault="001D0EFB" w14:paraId="688573FC" w14:textId="77777777">
      <w:pPr>
        <w:spacing w:after="0" w:line="240" w:lineRule="auto"/>
      </w:pPr>
      <w:r>
        <w:separator/>
      </w:r>
    </w:p>
  </w:footnote>
  <w:footnote w:type="continuationSeparator" w:id="0">
    <w:p w:rsidR="001D0EFB" w:rsidP="00BE5091" w:rsidRDefault="001D0EFB" w14:paraId="66FBD3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E5091" w:rsidR="0028738F" w:rsidP="0028738F" w:rsidRDefault="007B2EA5" w14:paraId="339F0884" w14:textId="3A4AD658">
    <w:pPr>
      <w:pStyle w:val="Header"/>
      <w:jc w:val="center"/>
      <w:rPr>
        <w:rFonts w:ascii="Times New Roman" w:hAnsi="Times New Roman" w:cs="Times New Roman"/>
      </w:rPr>
    </w:pPr>
    <w:r w:rsidRPr="00BE5091">
      <w:rPr>
        <w:rFonts w:ascii="Times New Roman" w:hAnsi="Times New Roman" w:cs="Times New Roman"/>
        <w:szCs w:val="20"/>
      </w:rPr>
      <w:t xml:space="preserve">Regraphed </w:t>
    </w:r>
    <w:r w:rsidRPr="00BE5091" w:rsidR="003E5DF1">
      <w:rPr>
        <w:rFonts w:ascii="Times New Roman" w:hAnsi="Times New Roman" w:cs="Times New Roman"/>
        <w:szCs w:val="20"/>
      </w:rPr>
      <w:t>Acquisition Curves on Standardized Panels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xNTS2NDQ1MLO0sDBQ0lEKTi0uzszPAykwqgUAt2XYXywAAAA="/>
  </w:docVars>
  <w:rsids>
    <w:rsidRoot w:val="000A3676"/>
    <w:rsid w:val="00036E26"/>
    <w:rsid w:val="000967FD"/>
    <w:rsid w:val="000A269E"/>
    <w:rsid w:val="000A3676"/>
    <w:rsid w:val="000F2BB0"/>
    <w:rsid w:val="00172F9E"/>
    <w:rsid w:val="001D0EFB"/>
    <w:rsid w:val="001E2CEE"/>
    <w:rsid w:val="00235BDF"/>
    <w:rsid w:val="002D1076"/>
    <w:rsid w:val="00372205"/>
    <w:rsid w:val="003E5DF1"/>
    <w:rsid w:val="004106D5"/>
    <w:rsid w:val="0047032F"/>
    <w:rsid w:val="0050379F"/>
    <w:rsid w:val="00503827"/>
    <w:rsid w:val="00517197"/>
    <w:rsid w:val="0056275C"/>
    <w:rsid w:val="006A15FA"/>
    <w:rsid w:val="007832B6"/>
    <w:rsid w:val="007B2EA5"/>
    <w:rsid w:val="008D7F2D"/>
    <w:rsid w:val="009802DF"/>
    <w:rsid w:val="00A70D53"/>
    <w:rsid w:val="00B714F8"/>
    <w:rsid w:val="00BE5091"/>
    <w:rsid w:val="00CA2588"/>
    <w:rsid w:val="00CC575B"/>
    <w:rsid w:val="00D26E00"/>
    <w:rsid w:val="00D4148E"/>
    <w:rsid w:val="00D6560B"/>
    <w:rsid w:val="00D86D52"/>
    <w:rsid w:val="00E70736"/>
    <w:rsid w:val="00EA39BD"/>
    <w:rsid w:val="00EF0A20"/>
    <w:rsid w:val="00FD49F2"/>
    <w:rsid w:val="00FE42FE"/>
    <w:rsid w:val="0ADBA7CB"/>
    <w:rsid w:val="50A3D309"/>
    <w:rsid w:val="5B5284B1"/>
    <w:rsid w:val="635D9696"/>
    <w:rsid w:val="737BA7E6"/>
    <w:rsid w:val="75177847"/>
    <w:rsid w:val="76B3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CE8C2"/>
  <w15:chartTrackingRefBased/>
  <w15:docId w15:val="{31E8C6E0-F8B7-4C53-9028-63350FC8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3676"/>
    <w:rPr>
      <w:rFonts w:eastAsiaTheme="minorEastAsia"/>
      <w:lang w:val="en-US"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7197"/>
    <w:pPr>
      <w:keepNext/>
      <w:keepLines/>
      <w:spacing w:before="240" w:after="0" w:line="480" w:lineRule="auto"/>
      <w:jc w:val="center"/>
      <w:outlineLvl w:val="0"/>
    </w:pPr>
    <w:rPr>
      <w:rFonts w:ascii="Times New Roman" w:hAnsi="Times New Roman" w:eastAsiaTheme="majorEastAsia" w:cstheme="majorBidi"/>
      <w:b/>
      <w:bCs/>
      <w:sz w:val="24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67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3676"/>
    <w:rPr>
      <w:rFonts w:eastAsiaTheme="minorEastAsia"/>
      <w:lang w:val="en-US" w:eastAsia="ko-KR"/>
    </w:rPr>
  </w:style>
  <w:style w:type="paragraph" w:styleId="EndNoteBibliography" w:customStyle="1">
    <w:name w:val="EndNote Bibliography"/>
    <w:basedOn w:val="Normal"/>
    <w:link w:val="EndNoteBibliographyChar"/>
    <w:rsid w:val="0050379F"/>
    <w:pPr>
      <w:spacing w:after="200" w:line="480" w:lineRule="auto"/>
    </w:pPr>
    <w:rPr>
      <w:rFonts w:ascii="Times New Roman" w:hAnsi="Times New Roman" w:cs="Times New Roman"/>
      <w:noProof/>
      <w:sz w:val="24"/>
    </w:rPr>
  </w:style>
  <w:style w:type="character" w:styleId="EndNoteBibliographyChar" w:customStyle="1">
    <w:name w:val="EndNote Bibliography Char"/>
    <w:basedOn w:val="DefaultParagraphFont"/>
    <w:link w:val="EndNoteBibliography"/>
    <w:rsid w:val="0050379F"/>
    <w:rPr>
      <w:rFonts w:ascii="Times New Roman" w:hAnsi="Times New Roman" w:cs="Times New Roman" w:eastAsiaTheme="minorEastAsia"/>
      <w:noProof/>
      <w:sz w:val="24"/>
      <w:lang w:val="en-US" w:eastAsia="ko-KR"/>
    </w:rPr>
  </w:style>
  <w:style w:type="character" w:styleId="Heading1Char" w:customStyle="1">
    <w:name w:val="Heading 1 Char"/>
    <w:basedOn w:val="DefaultParagraphFont"/>
    <w:link w:val="Heading1"/>
    <w:uiPriority w:val="9"/>
    <w:rsid w:val="00517197"/>
    <w:rPr>
      <w:rFonts w:ascii="Times New Roman" w:hAnsi="Times New Roman" w:eastAsiaTheme="majorEastAsia" w:cstheme="majorBidi"/>
      <w:b/>
      <w:bCs/>
      <w:sz w:val="24"/>
      <w:szCs w:val="28"/>
      <w:lang w:val="en-US" w:eastAsia="ko-KR"/>
    </w:rPr>
  </w:style>
  <w:style w:type="character" w:styleId="Hyperlink">
    <w:name w:val="Hyperlink"/>
    <w:basedOn w:val="DefaultParagraphFont"/>
    <w:uiPriority w:val="99"/>
    <w:unhideWhenUsed/>
    <w:rsid w:val="006A15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5F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E509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5091"/>
    <w:rPr>
      <w:rFonts w:eastAsiaTheme="minorEastAsia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header" Target="header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10C298392DB41BA70848D671DF0D2" ma:contentTypeVersion="4" ma:contentTypeDescription="Create a new document." ma:contentTypeScope="" ma:versionID="95d2959572e18e2c168c70a19ee1de61">
  <xsd:schema xmlns:xsd="http://www.w3.org/2001/XMLSchema" xmlns:xs="http://www.w3.org/2001/XMLSchema" xmlns:p="http://schemas.microsoft.com/office/2006/metadata/properties" xmlns:ns2="987834e3-acb9-4239-9c90-03ceceb2f379" targetNamespace="http://schemas.microsoft.com/office/2006/metadata/properties" ma:root="true" ma:fieldsID="9c1ef00d601e485a1e57035a0d1714a6" ns2:_="">
    <xsd:import namespace="987834e3-acb9-4239-9c90-03ceceb2f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834e3-acb9-4239-9c90-03ceceb2f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6164BD-9044-4A67-B72D-10A09BEAE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ECB2A-531A-4401-B876-349C68461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834e3-acb9-4239-9c90-03ceceb2f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B0F4C-1D63-4667-AAAD-E42DDB78BB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Wooderson</dc:creator>
  <keywords/>
  <dc:description/>
  <lastModifiedBy>John Wooderson</lastModifiedBy>
  <revision>35</revision>
  <dcterms:created xsi:type="dcterms:W3CDTF">2022-05-20T00:20:00.0000000Z</dcterms:created>
  <dcterms:modified xsi:type="dcterms:W3CDTF">2022-05-21T07:40:36.2042592Z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0x01010093110C298392DB41BA70848D671DF0D2</vt:lpwstr>
  </property>
  <property fmtid="{D5CDD505-2E9C-101B-9397-08002B2CF9AE}" pid="3" name="MSIP_Label_51a6c3db-1667-4f49-995a-8b9973972958_Enabled">
    <vt:lpwstr>true</vt:lpwstr>
  </property>
  <property fmtid="{D5CDD505-2E9C-101B-9397-08002B2CF9AE}" pid="4" name="MSIP_Label_51a6c3db-1667-4f49-995a-8b9973972958_SetDate">
    <vt:lpwstr>2022-05-20T00:20:39Z</vt:lpwstr>
  </property>
  <property fmtid="{D5CDD505-2E9C-101B-9397-08002B2CF9AE}" pid="5" name="MSIP_Label_51a6c3db-1667-4f49-995a-8b9973972958_Method">
    <vt:lpwstr>Standard</vt:lpwstr>
  </property>
  <property fmtid="{D5CDD505-2E9C-101B-9397-08002B2CF9AE}" pid="6" name="MSIP_Label_51a6c3db-1667-4f49-995a-8b9973972958_Name">
    <vt:lpwstr>UTS-Internal</vt:lpwstr>
  </property>
  <property fmtid="{D5CDD505-2E9C-101B-9397-08002B2CF9AE}" pid="7" name="MSIP_Label_51a6c3db-1667-4f49-995a-8b9973972958_SiteId">
    <vt:lpwstr>e8911c26-cf9f-4a9c-878e-527807be8791</vt:lpwstr>
  </property>
  <property fmtid="{D5CDD505-2E9C-101B-9397-08002B2CF9AE}" pid="8" name="MSIP_Label_51a6c3db-1667-4f49-995a-8b9973972958_ActionId">
    <vt:lpwstr>a126d20d-d153-475f-beee-dae153c61135</vt:lpwstr>
  </property>
  <property fmtid="{D5CDD505-2E9C-101B-9397-08002B2CF9AE}" pid="9" name="MSIP_Label_51a6c3db-1667-4f49-995a-8b9973972958_ContentBits">
    <vt:lpwstr>0</vt:lpwstr>
  </property>
</Properties>
</file>