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22E9" w14:textId="77777777" w:rsidR="00556E12" w:rsidRDefault="004A037B" w:rsidP="004A037B">
      <w:pPr>
        <w:rPr>
          <w:rFonts w:cstheme="minorHAnsi"/>
          <w:b/>
          <w:bCs/>
          <w:szCs w:val="24"/>
          <w:lang w:val="en-GB"/>
        </w:rPr>
      </w:pPr>
      <w:r>
        <w:rPr>
          <w:rFonts w:cstheme="minorHAnsi"/>
          <w:b/>
          <w:bCs/>
          <w:szCs w:val="24"/>
          <w:lang w:val="en-GB"/>
        </w:rPr>
        <w:t xml:space="preserve">Supplementary </w:t>
      </w:r>
      <w:r w:rsidRPr="0072718F">
        <w:rPr>
          <w:rFonts w:cstheme="minorHAnsi"/>
          <w:b/>
          <w:bCs/>
          <w:szCs w:val="24"/>
          <w:lang w:val="en-GB"/>
        </w:rPr>
        <w:t xml:space="preserve">Table </w:t>
      </w:r>
      <w:r>
        <w:rPr>
          <w:rFonts w:cstheme="minorHAnsi"/>
          <w:b/>
          <w:bCs/>
          <w:szCs w:val="24"/>
          <w:lang w:val="en-GB"/>
        </w:rPr>
        <w:t>3</w:t>
      </w:r>
      <w:r w:rsidRPr="0072718F">
        <w:rPr>
          <w:rFonts w:cstheme="minorHAnsi"/>
          <w:b/>
          <w:bCs/>
          <w:szCs w:val="24"/>
          <w:lang w:val="en-GB"/>
        </w:rPr>
        <w:t xml:space="preserve">. Risk of </w:t>
      </w:r>
      <w:r w:rsidR="00926D7A">
        <w:rPr>
          <w:rFonts w:cstheme="minorHAnsi"/>
          <w:b/>
          <w:bCs/>
          <w:szCs w:val="24"/>
          <w:lang w:val="en-GB"/>
        </w:rPr>
        <w:t>cardiovascular</w:t>
      </w:r>
      <w:r w:rsidRPr="0072718F">
        <w:rPr>
          <w:rFonts w:cstheme="minorHAnsi"/>
          <w:b/>
          <w:bCs/>
          <w:szCs w:val="24"/>
          <w:lang w:val="en-GB"/>
        </w:rPr>
        <w:t xml:space="preserve"> events or death for nonadherent vs adherent</w:t>
      </w:r>
    </w:p>
    <w:p w14:paraId="07E20819" w14:textId="3583B630" w:rsidR="004A037B" w:rsidRPr="0072718F" w:rsidRDefault="004A037B" w:rsidP="004A037B">
      <w:pPr>
        <w:rPr>
          <w:rFonts w:cstheme="minorHAnsi"/>
          <w:b/>
          <w:bCs/>
          <w:szCs w:val="24"/>
          <w:lang w:val="en-GB"/>
        </w:rPr>
      </w:pPr>
      <w:r w:rsidRPr="0072718F">
        <w:rPr>
          <w:rFonts w:cstheme="minorHAnsi"/>
          <w:b/>
          <w:bCs/>
          <w:szCs w:val="24"/>
          <w:lang w:val="en-GB"/>
        </w:rPr>
        <w:t xml:space="preserve"> to </w:t>
      </w:r>
      <w:proofErr w:type="spellStart"/>
      <w:r w:rsidRPr="0072718F">
        <w:rPr>
          <w:rFonts w:cstheme="minorHAnsi"/>
          <w:b/>
          <w:bCs/>
          <w:szCs w:val="24"/>
          <w:lang w:val="en-GB"/>
        </w:rPr>
        <w:t>RAASi</w:t>
      </w:r>
      <w:proofErr w:type="spellEnd"/>
      <w:r w:rsidRPr="0072718F">
        <w:rPr>
          <w:rFonts w:cstheme="minorHAnsi"/>
          <w:b/>
          <w:bCs/>
          <w:szCs w:val="24"/>
          <w:lang w:val="en-GB"/>
        </w:rPr>
        <w:t xml:space="preserve"> </w:t>
      </w:r>
      <w:r>
        <w:rPr>
          <w:rFonts w:cstheme="minorHAnsi"/>
          <w:b/>
          <w:bCs/>
          <w:szCs w:val="24"/>
          <w:lang w:val="en-GB"/>
        </w:rPr>
        <w:t>Non-</w:t>
      </w:r>
      <w:proofErr w:type="spellStart"/>
      <w:r w:rsidR="00926D7A">
        <w:rPr>
          <w:rFonts w:cstheme="minorHAnsi"/>
          <w:b/>
          <w:bCs/>
          <w:szCs w:val="24"/>
          <w:lang w:val="en-GB"/>
        </w:rPr>
        <w:t>hyperkalemia</w:t>
      </w:r>
      <w:proofErr w:type="spellEnd"/>
      <w:r>
        <w:rPr>
          <w:rFonts w:cstheme="minorHAnsi"/>
          <w:b/>
          <w:bCs/>
          <w:szCs w:val="24"/>
          <w:lang w:val="en-GB"/>
        </w:rPr>
        <w:t xml:space="preserve"> </w:t>
      </w:r>
      <w:r w:rsidRPr="0072718F">
        <w:rPr>
          <w:rFonts w:cstheme="minorHAnsi"/>
          <w:b/>
          <w:bCs/>
          <w:szCs w:val="24"/>
          <w:lang w:val="en-GB"/>
        </w:rPr>
        <w:t xml:space="preserve">patients after </w:t>
      </w:r>
      <w:proofErr w:type="gramStart"/>
      <w:r w:rsidRPr="0072718F">
        <w:rPr>
          <w:rFonts w:cstheme="minorHAnsi"/>
          <w:b/>
          <w:bCs/>
          <w:szCs w:val="24"/>
          <w:lang w:val="en-GB"/>
        </w:rPr>
        <w:t>PSM.*</w:t>
      </w:r>
      <w:proofErr w:type="gramEnd"/>
    </w:p>
    <w:tbl>
      <w:tblPr>
        <w:tblStyle w:val="PlainTable2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802"/>
        <w:gridCol w:w="1944"/>
        <w:gridCol w:w="1174"/>
        <w:gridCol w:w="1789"/>
        <w:gridCol w:w="1711"/>
      </w:tblGrid>
      <w:tr w:rsidR="004A037B" w:rsidRPr="006679E6" w14:paraId="7C6A4D67" w14:textId="77777777" w:rsidTr="00200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0" w:type="dxa"/>
            <w:tcBorders>
              <w:bottom w:val="none" w:sz="0" w:space="0" w:color="auto"/>
            </w:tcBorders>
            <w:hideMark/>
          </w:tcPr>
          <w:p w14:paraId="055D4AAD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0" w:type="dxa"/>
            <w:gridSpan w:val="2"/>
            <w:tcBorders>
              <w:bottom w:val="none" w:sz="0" w:space="0" w:color="auto"/>
            </w:tcBorders>
            <w:hideMark/>
          </w:tcPr>
          <w:p w14:paraId="67068D09" w14:textId="50A7BE12" w:rsidR="004A037B" w:rsidRPr="006679E6" w:rsidRDefault="00926D7A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it-IT"/>
              </w:rPr>
              <w:t>cardiovascular</w:t>
            </w:r>
            <w:r w:rsidR="004A037B" w:rsidRPr="006679E6">
              <w:rPr>
                <w:rFonts w:cstheme="minorHAnsi"/>
                <w:szCs w:val="24"/>
                <w:lang w:val="it-IT"/>
              </w:rPr>
              <w:t xml:space="preserve"> events</w:t>
            </w:r>
          </w:p>
        </w:tc>
        <w:tc>
          <w:tcPr>
            <w:tcW w:w="3500" w:type="dxa"/>
            <w:gridSpan w:val="2"/>
            <w:tcBorders>
              <w:bottom w:val="none" w:sz="0" w:space="0" w:color="auto"/>
            </w:tcBorders>
            <w:hideMark/>
          </w:tcPr>
          <w:p w14:paraId="015D8956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Death</w:t>
            </w:r>
          </w:p>
        </w:tc>
      </w:tr>
      <w:tr w:rsidR="004A037B" w:rsidRPr="006679E6" w14:paraId="323A85E9" w14:textId="77777777" w:rsidTr="002002D4">
        <w:trPr>
          <w:trHeight w:val="526"/>
        </w:trPr>
        <w:tc>
          <w:tcPr>
            <w:tcW w:w="2802" w:type="dxa"/>
            <w:hideMark/>
          </w:tcPr>
          <w:p w14:paraId="15286C39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1944" w:type="dxa"/>
            <w:hideMark/>
          </w:tcPr>
          <w:p w14:paraId="4ACC72D7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HR [95% CI]</w:t>
            </w:r>
          </w:p>
        </w:tc>
        <w:tc>
          <w:tcPr>
            <w:tcW w:w="1174" w:type="dxa"/>
            <w:hideMark/>
          </w:tcPr>
          <w:p w14:paraId="205E7B6C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P value</w:t>
            </w:r>
          </w:p>
        </w:tc>
        <w:tc>
          <w:tcPr>
            <w:tcW w:w="1789" w:type="dxa"/>
            <w:hideMark/>
          </w:tcPr>
          <w:p w14:paraId="63B1A57D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HR [95% CI]</w:t>
            </w:r>
          </w:p>
        </w:tc>
        <w:tc>
          <w:tcPr>
            <w:tcW w:w="1711" w:type="dxa"/>
            <w:hideMark/>
          </w:tcPr>
          <w:p w14:paraId="3126A2A6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P value</w:t>
            </w:r>
          </w:p>
        </w:tc>
      </w:tr>
      <w:tr w:rsidR="004A037B" w:rsidRPr="006679E6" w14:paraId="224BA62B" w14:textId="77777777" w:rsidTr="002002D4">
        <w:trPr>
          <w:trHeight w:val="533"/>
        </w:trPr>
        <w:tc>
          <w:tcPr>
            <w:tcW w:w="2802" w:type="dxa"/>
            <w:hideMark/>
          </w:tcPr>
          <w:p w14:paraId="0A2FF9B0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Adherence</w:t>
            </w:r>
          </w:p>
        </w:tc>
        <w:tc>
          <w:tcPr>
            <w:tcW w:w="1944" w:type="dxa"/>
            <w:hideMark/>
          </w:tcPr>
          <w:p w14:paraId="6D8A97B2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1</w:t>
            </w:r>
          </w:p>
        </w:tc>
        <w:tc>
          <w:tcPr>
            <w:tcW w:w="1174" w:type="dxa"/>
            <w:hideMark/>
          </w:tcPr>
          <w:p w14:paraId="78EA81CB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-</w:t>
            </w:r>
          </w:p>
        </w:tc>
        <w:tc>
          <w:tcPr>
            <w:tcW w:w="1789" w:type="dxa"/>
            <w:hideMark/>
          </w:tcPr>
          <w:p w14:paraId="57824BF2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1</w:t>
            </w:r>
          </w:p>
        </w:tc>
        <w:tc>
          <w:tcPr>
            <w:tcW w:w="1711" w:type="dxa"/>
            <w:hideMark/>
          </w:tcPr>
          <w:p w14:paraId="3CA85EDA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-</w:t>
            </w:r>
          </w:p>
        </w:tc>
      </w:tr>
      <w:tr w:rsidR="004A037B" w:rsidRPr="006679E6" w14:paraId="47964216" w14:textId="77777777" w:rsidTr="002002D4">
        <w:trPr>
          <w:trHeight w:val="533"/>
        </w:trPr>
        <w:tc>
          <w:tcPr>
            <w:tcW w:w="2802" w:type="dxa"/>
            <w:hideMark/>
          </w:tcPr>
          <w:p w14:paraId="4B327259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</w:rPr>
              <w:t>Nonadherence</w:t>
            </w:r>
          </w:p>
        </w:tc>
        <w:tc>
          <w:tcPr>
            <w:tcW w:w="1944" w:type="dxa"/>
            <w:hideMark/>
          </w:tcPr>
          <w:p w14:paraId="6959990C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1.</w:t>
            </w:r>
            <w:r>
              <w:rPr>
                <w:rFonts w:cstheme="minorHAnsi"/>
                <w:szCs w:val="24"/>
                <w:lang w:val="it-IT"/>
              </w:rPr>
              <w:t>11</w:t>
            </w:r>
            <w:r w:rsidRPr="006679E6">
              <w:rPr>
                <w:rFonts w:cstheme="minorHAnsi"/>
                <w:szCs w:val="24"/>
                <w:lang w:val="it-IT"/>
              </w:rPr>
              <w:t xml:space="preserve"> [</w:t>
            </w:r>
            <w:r>
              <w:rPr>
                <w:rFonts w:cstheme="minorHAnsi"/>
                <w:szCs w:val="24"/>
                <w:lang w:val="it-IT"/>
              </w:rPr>
              <w:t>0</w:t>
            </w:r>
            <w:r w:rsidRPr="006679E6">
              <w:rPr>
                <w:rFonts w:cstheme="minorHAnsi"/>
                <w:szCs w:val="24"/>
                <w:lang w:val="it-IT"/>
              </w:rPr>
              <w:t>.</w:t>
            </w:r>
            <w:r>
              <w:rPr>
                <w:rFonts w:cstheme="minorHAnsi"/>
                <w:szCs w:val="24"/>
                <w:lang w:val="it-IT"/>
              </w:rPr>
              <w:t>93</w:t>
            </w:r>
            <w:r w:rsidRPr="006679E6">
              <w:rPr>
                <w:rFonts w:cstheme="minorHAnsi"/>
                <w:szCs w:val="24"/>
                <w:lang w:val="it-IT"/>
              </w:rPr>
              <w:t>-</w:t>
            </w:r>
            <w:r>
              <w:rPr>
                <w:rFonts w:cstheme="minorHAnsi"/>
                <w:szCs w:val="24"/>
                <w:lang w:val="it-IT"/>
              </w:rPr>
              <w:t>1.32</w:t>
            </w:r>
            <w:r w:rsidRPr="006679E6">
              <w:rPr>
                <w:rFonts w:cstheme="minorHAnsi"/>
                <w:szCs w:val="24"/>
                <w:lang w:val="it-IT"/>
              </w:rPr>
              <w:t>]</w:t>
            </w:r>
          </w:p>
        </w:tc>
        <w:tc>
          <w:tcPr>
            <w:tcW w:w="1174" w:type="dxa"/>
            <w:hideMark/>
          </w:tcPr>
          <w:p w14:paraId="2D513D99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6679E6">
              <w:rPr>
                <w:rFonts w:cstheme="minorHAnsi"/>
                <w:szCs w:val="24"/>
                <w:lang w:val="it-IT"/>
              </w:rPr>
              <w:t>0.</w:t>
            </w:r>
            <w:r>
              <w:rPr>
                <w:rFonts w:cstheme="minorHAnsi"/>
                <w:szCs w:val="24"/>
                <w:lang w:val="it-IT"/>
              </w:rPr>
              <w:t>252</w:t>
            </w:r>
          </w:p>
        </w:tc>
        <w:tc>
          <w:tcPr>
            <w:tcW w:w="1789" w:type="dxa"/>
            <w:hideMark/>
          </w:tcPr>
          <w:p w14:paraId="20B4E110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it-IT"/>
              </w:rPr>
              <w:t>1</w:t>
            </w:r>
            <w:r w:rsidRPr="006679E6">
              <w:rPr>
                <w:rFonts w:cstheme="minorHAnsi"/>
                <w:szCs w:val="24"/>
                <w:lang w:val="it-IT"/>
              </w:rPr>
              <w:t>.</w:t>
            </w:r>
            <w:r>
              <w:rPr>
                <w:rFonts w:cstheme="minorHAnsi"/>
                <w:szCs w:val="24"/>
                <w:lang w:val="it-IT"/>
              </w:rPr>
              <w:t>29</w:t>
            </w:r>
            <w:r w:rsidRPr="006679E6">
              <w:rPr>
                <w:rFonts w:cstheme="minorHAnsi"/>
                <w:szCs w:val="24"/>
                <w:lang w:val="it-IT"/>
              </w:rPr>
              <w:t xml:space="preserve"> [1.</w:t>
            </w:r>
            <w:r>
              <w:rPr>
                <w:rFonts w:cstheme="minorHAnsi"/>
                <w:szCs w:val="24"/>
                <w:lang w:val="it-IT"/>
              </w:rPr>
              <w:t>07</w:t>
            </w:r>
            <w:r w:rsidRPr="006679E6">
              <w:rPr>
                <w:rFonts w:cstheme="minorHAnsi"/>
                <w:szCs w:val="24"/>
                <w:lang w:val="it-IT"/>
              </w:rPr>
              <w:t>-</w:t>
            </w:r>
            <w:r>
              <w:rPr>
                <w:rFonts w:cstheme="minorHAnsi"/>
                <w:szCs w:val="24"/>
                <w:lang w:val="it-IT"/>
              </w:rPr>
              <w:t>1.56</w:t>
            </w:r>
            <w:r w:rsidRPr="006679E6">
              <w:rPr>
                <w:rFonts w:cstheme="minorHAnsi"/>
                <w:szCs w:val="24"/>
                <w:lang w:val="it-IT"/>
              </w:rPr>
              <w:t>]</w:t>
            </w:r>
          </w:p>
        </w:tc>
        <w:tc>
          <w:tcPr>
            <w:tcW w:w="1711" w:type="dxa"/>
            <w:hideMark/>
          </w:tcPr>
          <w:p w14:paraId="562AEB6B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it-IT"/>
              </w:rPr>
              <w:t>0.009</w:t>
            </w:r>
          </w:p>
        </w:tc>
      </w:tr>
      <w:tr w:rsidR="004A037B" w:rsidRPr="006679E6" w14:paraId="51D913CA" w14:textId="77777777" w:rsidTr="002002D4">
        <w:trPr>
          <w:trHeight w:val="533"/>
        </w:trPr>
        <w:tc>
          <w:tcPr>
            <w:tcW w:w="2802" w:type="dxa"/>
          </w:tcPr>
          <w:p w14:paraId="6A721424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</w:rPr>
            </w:pPr>
            <w:r w:rsidRPr="006679E6">
              <w:rPr>
                <w:rFonts w:cstheme="minorHAnsi"/>
                <w:szCs w:val="24"/>
              </w:rPr>
              <w:t>Age</w:t>
            </w:r>
          </w:p>
        </w:tc>
        <w:tc>
          <w:tcPr>
            <w:tcW w:w="1944" w:type="dxa"/>
          </w:tcPr>
          <w:p w14:paraId="357B943A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6679E6">
              <w:rPr>
                <w:rFonts w:ascii="Calibri" w:hAnsi="Calibri" w:cs="Calibri"/>
                <w:color w:val="000000"/>
                <w:szCs w:val="24"/>
              </w:rPr>
              <w:t>1.0</w:t>
            </w:r>
            <w:r>
              <w:rPr>
                <w:rFonts w:ascii="Calibri" w:hAnsi="Calibri" w:cs="Calibri"/>
                <w:color w:val="000000"/>
                <w:szCs w:val="24"/>
              </w:rPr>
              <w:t>2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 xml:space="preserve"> [1.0</w:t>
            </w:r>
            <w:r>
              <w:rPr>
                <w:rFonts w:ascii="Calibri" w:hAnsi="Calibri" w:cs="Calibri"/>
                <w:color w:val="000000"/>
                <w:szCs w:val="24"/>
              </w:rPr>
              <w:t>1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>-1.03]</w:t>
            </w:r>
          </w:p>
        </w:tc>
        <w:tc>
          <w:tcPr>
            <w:tcW w:w="1174" w:type="dxa"/>
          </w:tcPr>
          <w:p w14:paraId="60F2452B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&lt;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>0.0</w:t>
            </w:r>
            <w:r>
              <w:rPr>
                <w:rFonts w:ascii="Calibri" w:hAnsi="Calibri" w:cs="Calibri"/>
                <w:color w:val="000000"/>
                <w:szCs w:val="24"/>
              </w:rPr>
              <w:t>01</w:t>
            </w:r>
          </w:p>
        </w:tc>
        <w:tc>
          <w:tcPr>
            <w:tcW w:w="1789" w:type="dxa"/>
          </w:tcPr>
          <w:p w14:paraId="49546321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6679E6">
              <w:rPr>
                <w:rFonts w:cstheme="minorHAnsi"/>
                <w:szCs w:val="24"/>
                <w:lang w:val="it-IT"/>
              </w:rPr>
              <w:t>1.0</w:t>
            </w:r>
            <w:r>
              <w:rPr>
                <w:rFonts w:cstheme="minorHAnsi"/>
                <w:szCs w:val="24"/>
                <w:lang w:val="it-IT"/>
              </w:rPr>
              <w:t>6</w:t>
            </w:r>
            <w:r w:rsidRPr="006679E6">
              <w:rPr>
                <w:rFonts w:cstheme="minorHAnsi"/>
                <w:szCs w:val="24"/>
                <w:lang w:val="it-IT"/>
              </w:rPr>
              <w:t xml:space="preserve"> [1.0</w:t>
            </w:r>
            <w:r>
              <w:rPr>
                <w:rFonts w:cstheme="minorHAnsi"/>
                <w:szCs w:val="24"/>
                <w:lang w:val="it-IT"/>
              </w:rPr>
              <w:t>5</w:t>
            </w:r>
            <w:r w:rsidRPr="006679E6">
              <w:rPr>
                <w:rFonts w:cstheme="minorHAnsi"/>
                <w:szCs w:val="24"/>
                <w:lang w:val="it-IT"/>
              </w:rPr>
              <w:t>-1.0</w:t>
            </w:r>
            <w:r>
              <w:rPr>
                <w:rFonts w:cstheme="minorHAnsi"/>
                <w:szCs w:val="24"/>
                <w:lang w:val="it-IT"/>
              </w:rPr>
              <w:t>7</w:t>
            </w:r>
            <w:r w:rsidRPr="006679E6">
              <w:rPr>
                <w:rFonts w:cstheme="minorHAnsi"/>
                <w:szCs w:val="24"/>
                <w:lang w:val="it-IT"/>
              </w:rPr>
              <w:t>]</w:t>
            </w:r>
          </w:p>
        </w:tc>
        <w:tc>
          <w:tcPr>
            <w:tcW w:w="1711" w:type="dxa"/>
          </w:tcPr>
          <w:p w14:paraId="456BC107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6679E6">
              <w:rPr>
                <w:rFonts w:ascii="Calibri" w:hAnsi="Calibri" w:cs="Calibri"/>
                <w:color w:val="000000"/>
                <w:szCs w:val="24"/>
              </w:rPr>
              <w:t>&lt;0.001</w:t>
            </w:r>
          </w:p>
        </w:tc>
      </w:tr>
      <w:tr w:rsidR="004A037B" w:rsidRPr="006679E6" w14:paraId="216E5EA5" w14:textId="77777777" w:rsidTr="002002D4">
        <w:trPr>
          <w:trHeight w:val="533"/>
        </w:trPr>
        <w:tc>
          <w:tcPr>
            <w:tcW w:w="2802" w:type="dxa"/>
          </w:tcPr>
          <w:p w14:paraId="0FD91BF4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</w:rPr>
            </w:pPr>
            <w:r w:rsidRPr="006679E6">
              <w:rPr>
                <w:rFonts w:cstheme="minorHAnsi"/>
                <w:szCs w:val="24"/>
              </w:rPr>
              <w:t>Male gender</w:t>
            </w:r>
          </w:p>
        </w:tc>
        <w:tc>
          <w:tcPr>
            <w:tcW w:w="1944" w:type="dxa"/>
          </w:tcPr>
          <w:p w14:paraId="171224E1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6679E6">
              <w:rPr>
                <w:rFonts w:ascii="Calibri" w:hAnsi="Calibri" w:cs="Calibri"/>
                <w:color w:val="000000"/>
                <w:szCs w:val="24"/>
              </w:rPr>
              <w:t>1.</w:t>
            </w:r>
            <w:r>
              <w:rPr>
                <w:rFonts w:ascii="Calibri" w:hAnsi="Calibri" w:cs="Calibri"/>
                <w:color w:val="000000"/>
                <w:szCs w:val="24"/>
              </w:rPr>
              <w:t>34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 xml:space="preserve"> [1.</w:t>
            </w:r>
            <w:r>
              <w:rPr>
                <w:rFonts w:ascii="Calibri" w:hAnsi="Calibri" w:cs="Calibri"/>
                <w:color w:val="000000"/>
                <w:szCs w:val="24"/>
              </w:rPr>
              <w:t>11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>-</w:t>
            </w:r>
            <w:r>
              <w:rPr>
                <w:rFonts w:ascii="Calibri" w:hAnsi="Calibri" w:cs="Calibri"/>
                <w:color w:val="000000"/>
                <w:szCs w:val="24"/>
              </w:rPr>
              <w:t>1.61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>]</w:t>
            </w:r>
          </w:p>
        </w:tc>
        <w:tc>
          <w:tcPr>
            <w:tcW w:w="1174" w:type="dxa"/>
          </w:tcPr>
          <w:p w14:paraId="2E1D78EC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6679E6">
              <w:rPr>
                <w:rFonts w:ascii="Calibri" w:hAnsi="Calibri" w:cs="Calibri"/>
                <w:color w:val="000000"/>
                <w:szCs w:val="24"/>
              </w:rPr>
              <w:t>0.00</w:t>
            </w:r>
            <w:r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1789" w:type="dxa"/>
          </w:tcPr>
          <w:p w14:paraId="3BB4BD84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6679E6">
              <w:rPr>
                <w:rFonts w:cstheme="minorHAnsi"/>
                <w:szCs w:val="24"/>
                <w:lang w:val="it-IT"/>
              </w:rPr>
              <w:t>1.</w:t>
            </w:r>
            <w:r>
              <w:rPr>
                <w:rFonts w:cstheme="minorHAnsi"/>
                <w:szCs w:val="24"/>
                <w:lang w:val="it-IT"/>
              </w:rPr>
              <w:t>18</w:t>
            </w:r>
            <w:r w:rsidRPr="006679E6">
              <w:rPr>
                <w:rFonts w:cstheme="minorHAnsi"/>
                <w:szCs w:val="24"/>
                <w:lang w:val="it-IT"/>
              </w:rPr>
              <w:t xml:space="preserve"> [0.</w:t>
            </w:r>
            <w:r>
              <w:rPr>
                <w:rFonts w:cstheme="minorHAnsi"/>
                <w:szCs w:val="24"/>
                <w:lang w:val="it-IT"/>
              </w:rPr>
              <w:t>97</w:t>
            </w:r>
            <w:r w:rsidRPr="006679E6">
              <w:rPr>
                <w:rFonts w:cstheme="minorHAnsi"/>
                <w:szCs w:val="24"/>
                <w:lang w:val="it-IT"/>
              </w:rPr>
              <w:t>-1.4</w:t>
            </w:r>
            <w:r>
              <w:rPr>
                <w:rFonts w:cstheme="minorHAnsi"/>
                <w:szCs w:val="24"/>
                <w:lang w:val="it-IT"/>
              </w:rPr>
              <w:t>4</w:t>
            </w:r>
            <w:r w:rsidRPr="006679E6">
              <w:rPr>
                <w:rFonts w:cstheme="minorHAnsi"/>
                <w:szCs w:val="24"/>
                <w:lang w:val="it-IT"/>
              </w:rPr>
              <w:t>]</w:t>
            </w:r>
          </w:p>
        </w:tc>
        <w:tc>
          <w:tcPr>
            <w:tcW w:w="1711" w:type="dxa"/>
          </w:tcPr>
          <w:p w14:paraId="1FD74B3E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6679E6">
              <w:rPr>
                <w:rFonts w:ascii="Calibri" w:hAnsi="Calibri" w:cs="Calibri"/>
                <w:color w:val="000000"/>
                <w:szCs w:val="24"/>
              </w:rPr>
              <w:t>0.</w:t>
            </w:r>
            <w:r>
              <w:rPr>
                <w:rFonts w:ascii="Calibri" w:hAnsi="Calibri" w:cs="Calibri"/>
                <w:color w:val="000000"/>
                <w:szCs w:val="24"/>
              </w:rPr>
              <w:t>097</w:t>
            </w:r>
          </w:p>
        </w:tc>
      </w:tr>
      <w:tr w:rsidR="004A037B" w:rsidRPr="006679E6" w14:paraId="118C029A" w14:textId="77777777" w:rsidTr="002002D4">
        <w:trPr>
          <w:trHeight w:val="533"/>
        </w:trPr>
        <w:tc>
          <w:tcPr>
            <w:tcW w:w="2802" w:type="dxa"/>
          </w:tcPr>
          <w:p w14:paraId="2231A09B" w14:textId="54E94FD6" w:rsidR="004A037B" w:rsidRPr="006679E6" w:rsidRDefault="004A037B" w:rsidP="002002D4">
            <w:pPr>
              <w:jc w:val="center"/>
              <w:rPr>
                <w:rFonts w:cstheme="minorHAnsi"/>
                <w:szCs w:val="24"/>
              </w:rPr>
            </w:pPr>
            <w:proofErr w:type="spellStart"/>
            <w:r w:rsidRPr="006679E6">
              <w:rPr>
                <w:rFonts w:cstheme="minorHAnsi"/>
                <w:szCs w:val="24"/>
              </w:rPr>
              <w:t>C</w:t>
            </w:r>
            <w:r w:rsidR="00926D7A">
              <w:rPr>
                <w:rFonts w:cstheme="minorHAnsi"/>
                <w:szCs w:val="24"/>
              </w:rPr>
              <w:t>harlson</w:t>
            </w:r>
            <w:proofErr w:type="spellEnd"/>
            <w:r w:rsidR="00926D7A">
              <w:rPr>
                <w:rFonts w:cstheme="minorHAnsi"/>
                <w:szCs w:val="24"/>
              </w:rPr>
              <w:t xml:space="preserve"> Comorbidity Index</w:t>
            </w:r>
          </w:p>
        </w:tc>
        <w:tc>
          <w:tcPr>
            <w:tcW w:w="1944" w:type="dxa"/>
          </w:tcPr>
          <w:p w14:paraId="64EB2AC8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1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Cs w:val="24"/>
              </w:rPr>
              <w:t>06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 xml:space="preserve"> [</w:t>
            </w:r>
            <w:r>
              <w:rPr>
                <w:rFonts w:ascii="Calibri" w:hAnsi="Calibri" w:cs="Calibri"/>
                <w:color w:val="000000"/>
                <w:szCs w:val="24"/>
              </w:rPr>
              <w:t>1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Cs w:val="24"/>
              </w:rPr>
              <w:t>00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>-1.</w:t>
            </w:r>
            <w:r>
              <w:rPr>
                <w:rFonts w:ascii="Calibri" w:hAnsi="Calibri" w:cs="Calibri"/>
                <w:color w:val="000000"/>
                <w:szCs w:val="24"/>
              </w:rPr>
              <w:t>11</w:t>
            </w:r>
            <w:r w:rsidRPr="006679E6">
              <w:rPr>
                <w:rFonts w:ascii="Calibri" w:hAnsi="Calibri" w:cs="Calibri"/>
                <w:color w:val="000000"/>
                <w:szCs w:val="24"/>
              </w:rPr>
              <w:t>]</w:t>
            </w:r>
          </w:p>
        </w:tc>
        <w:tc>
          <w:tcPr>
            <w:tcW w:w="1174" w:type="dxa"/>
          </w:tcPr>
          <w:p w14:paraId="2CD517A5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6679E6">
              <w:rPr>
                <w:rFonts w:ascii="Calibri" w:hAnsi="Calibri" w:cs="Calibri"/>
                <w:color w:val="000000"/>
                <w:szCs w:val="24"/>
              </w:rPr>
              <w:t>0.</w:t>
            </w:r>
            <w:r>
              <w:rPr>
                <w:rFonts w:ascii="Calibri" w:hAnsi="Calibri" w:cs="Calibri"/>
                <w:color w:val="000000"/>
                <w:szCs w:val="24"/>
              </w:rPr>
              <w:t>032</w:t>
            </w:r>
          </w:p>
        </w:tc>
        <w:tc>
          <w:tcPr>
            <w:tcW w:w="1789" w:type="dxa"/>
          </w:tcPr>
          <w:p w14:paraId="05F8D861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6679E6">
              <w:rPr>
                <w:rFonts w:cstheme="minorHAnsi"/>
                <w:szCs w:val="24"/>
                <w:lang w:val="it-IT"/>
              </w:rPr>
              <w:t>1.</w:t>
            </w:r>
            <w:r>
              <w:rPr>
                <w:rFonts w:cstheme="minorHAnsi"/>
                <w:szCs w:val="24"/>
                <w:lang w:val="it-IT"/>
              </w:rPr>
              <w:t>17</w:t>
            </w:r>
            <w:r w:rsidRPr="006679E6">
              <w:rPr>
                <w:rFonts w:cstheme="minorHAnsi"/>
                <w:szCs w:val="24"/>
                <w:lang w:val="it-IT"/>
              </w:rPr>
              <w:t xml:space="preserve"> [1.1</w:t>
            </w:r>
            <w:r>
              <w:rPr>
                <w:rFonts w:cstheme="minorHAnsi"/>
                <w:szCs w:val="24"/>
                <w:lang w:val="it-IT"/>
              </w:rPr>
              <w:t>1</w:t>
            </w:r>
            <w:r w:rsidRPr="006679E6">
              <w:rPr>
                <w:rFonts w:cstheme="minorHAnsi"/>
                <w:szCs w:val="24"/>
                <w:lang w:val="it-IT"/>
              </w:rPr>
              <w:t>-1.2</w:t>
            </w:r>
            <w:r>
              <w:rPr>
                <w:rFonts w:cstheme="minorHAnsi"/>
                <w:szCs w:val="24"/>
                <w:lang w:val="it-IT"/>
              </w:rPr>
              <w:t>3</w:t>
            </w:r>
            <w:r w:rsidRPr="006679E6">
              <w:rPr>
                <w:rFonts w:cstheme="minorHAnsi"/>
                <w:szCs w:val="24"/>
                <w:lang w:val="it-IT"/>
              </w:rPr>
              <w:t>]</w:t>
            </w:r>
          </w:p>
        </w:tc>
        <w:tc>
          <w:tcPr>
            <w:tcW w:w="1711" w:type="dxa"/>
          </w:tcPr>
          <w:p w14:paraId="3691C6FF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6679E6">
              <w:rPr>
                <w:rFonts w:ascii="Calibri" w:hAnsi="Calibri" w:cs="Calibri"/>
                <w:color w:val="000000"/>
                <w:szCs w:val="24"/>
              </w:rPr>
              <w:t>&lt;0.001</w:t>
            </w:r>
          </w:p>
        </w:tc>
      </w:tr>
      <w:tr w:rsidR="004A037B" w:rsidRPr="006679E6" w14:paraId="00194AA9" w14:textId="77777777" w:rsidTr="002002D4">
        <w:trPr>
          <w:trHeight w:val="533"/>
        </w:trPr>
        <w:tc>
          <w:tcPr>
            <w:tcW w:w="2802" w:type="dxa"/>
          </w:tcPr>
          <w:p w14:paraId="434C78E1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CKD stage</w:t>
            </w:r>
          </w:p>
        </w:tc>
        <w:tc>
          <w:tcPr>
            <w:tcW w:w="1944" w:type="dxa"/>
          </w:tcPr>
          <w:p w14:paraId="67C62CA6" w14:textId="77777777" w:rsidR="004A037B" w:rsidRDefault="004A037B" w:rsidP="002002D4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1.19 [0.95-1.47]</w:t>
            </w:r>
          </w:p>
        </w:tc>
        <w:tc>
          <w:tcPr>
            <w:tcW w:w="1174" w:type="dxa"/>
          </w:tcPr>
          <w:p w14:paraId="38ABBF23" w14:textId="77777777" w:rsidR="004A037B" w:rsidRPr="006679E6" w:rsidRDefault="004A037B" w:rsidP="002002D4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0.125</w:t>
            </w:r>
          </w:p>
        </w:tc>
        <w:tc>
          <w:tcPr>
            <w:tcW w:w="1789" w:type="dxa"/>
          </w:tcPr>
          <w:p w14:paraId="2FD06B98" w14:textId="77777777" w:rsidR="004A037B" w:rsidRPr="006679E6" w:rsidRDefault="004A037B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>
              <w:rPr>
                <w:rFonts w:cstheme="minorHAnsi"/>
                <w:szCs w:val="24"/>
                <w:lang w:val="it-IT"/>
              </w:rPr>
              <w:t>1.66 [1.33-2.07]</w:t>
            </w:r>
          </w:p>
        </w:tc>
        <w:tc>
          <w:tcPr>
            <w:tcW w:w="1711" w:type="dxa"/>
          </w:tcPr>
          <w:p w14:paraId="69BC83CD" w14:textId="77777777" w:rsidR="004A037B" w:rsidRPr="006679E6" w:rsidRDefault="004A037B" w:rsidP="002002D4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6679E6">
              <w:rPr>
                <w:rFonts w:ascii="Calibri" w:hAnsi="Calibri" w:cs="Calibri"/>
                <w:color w:val="000000"/>
                <w:szCs w:val="24"/>
              </w:rPr>
              <w:t>&lt;0.001</w:t>
            </w:r>
          </w:p>
        </w:tc>
      </w:tr>
    </w:tbl>
    <w:p w14:paraId="597D2527" w14:textId="77777777" w:rsidR="004A037B" w:rsidRDefault="004A037B"/>
    <w:sectPr w:rsidR="004A0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7B"/>
    <w:rsid w:val="004A037B"/>
    <w:rsid w:val="00556E12"/>
    <w:rsid w:val="00926D7A"/>
    <w:rsid w:val="00AA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932BC"/>
  <w15:chartTrackingRefBased/>
  <w15:docId w15:val="{6EA4AD10-47BF-4316-9F5C-E6F5EA35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37B"/>
    <w:pPr>
      <w:spacing w:after="0" w:line="360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4A03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Santoro</dc:creator>
  <cp:keywords/>
  <dc:description/>
  <cp:lastModifiedBy>Antonio Santoro</cp:lastModifiedBy>
  <cp:revision>3</cp:revision>
  <dcterms:created xsi:type="dcterms:W3CDTF">2021-04-08T04:58:00Z</dcterms:created>
  <dcterms:modified xsi:type="dcterms:W3CDTF">2021-04-25T02:49:00Z</dcterms:modified>
</cp:coreProperties>
</file>