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445" w:rsidRPr="006E085B" w:rsidRDefault="00DF5445" w:rsidP="00DF5445">
      <w:pPr>
        <w:jc w:val="both"/>
        <w:rPr>
          <w:rFonts w:ascii="Times New Roman" w:hAnsi="Times New Roman" w:cs="Times New Roman"/>
          <w:sz w:val="24"/>
          <w:szCs w:val="24"/>
          <w:lang w:val="en-GB"/>
        </w:rPr>
      </w:pPr>
      <w:bookmarkStart w:id="0" w:name="_GoBack"/>
      <w:r w:rsidRPr="006E085B">
        <w:rPr>
          <w:rFonts w:ascii="Times New Roman" w:hAnsi="Times New Roman" w:cs="Times New Roman"/>
          <w:sz w:val="24"/>
          <w:szCs w:val="24"/>
          <w:lang w:val="en-GB"/>
        </w:rPr>
        <w:t>Supplemental Table 1: Search query</w:t>
      </w:r>
    </w:p>
    <w:tbl>
      <w:tblPr>
        <w:tblW w:w="0" w:type="auto"/>
        <w:tblCellMar>
          <w:top w:w="15" w:type="dxa"/>
          <w:left w:w="15" w:type="dxa"/>
          <w:bottom w:w="15" w:type="dxa"/>
          <w:right w:w="15" w:type="dxa"/>
        </w:tblCellMar>
        <w:tblLook w:val="04A0" w:firstRow="1" w:lastRow="0" w:firstColumn="1" w:lastColumn="0" w:noHBand="0" w:noVBand="1"/>
      </w:tblPr>
      <w:tblGrid>
        <w:gridCol w:w="1376"/>
        <w:gridCol w:w="5749"/>
        <w:gridCol w:w="1369"/>
      </w:tblGrid>
      <w:tr w:rsidR="00DF5445" w:rsidRPr="006E085B" w:rsidTr="00723AF6">
        <w:trPr>
          <w:trHeight w:val="66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sz w:val="20"/>
                <w:lang w:val="en-US"/>
              </w:rPr>
            </w:pPr>
            <w:r w:rsidRPr="006E085B">
              <w:rPr>
                <w:b/>
                <w:bCs/>
                <w:sz w:val="20"/>
                <w:lang w:val="en-US"/>
              </w:rPr>
              <w:t>Bibliographic source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sz w:val="20"/>
                <w:lang w:val="en-US"/>
              </w:rPr>
            </w:pPr>
            <w:r w:rsidRPr="006E085B">
              <w:rPr>
                <w:b/>
                <w:bCs/>
                <w:sz w:val="20"/>
                <w:lang w:val="en-US"/>
              </w:rPr>
              <w:t>Search term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sz w:val="20"/>
                <w:lang w:val="en-US"/>
              </w:rPr>
            </w:pPr>
            <w:r w:rsidRPr="006E085B">
              <w:rPr>
                <w:b/>
                <w:bCs/>
                <w:sz w:val="20"/>
                <w:lang w:val="en-US"/>
              </w:rPr>
              <w:t>No of reports at 31/12/2024</w:t>
            </w:r>
          </w:p>
        </w:tc>
      </w:tr>
      <w:tr w:rsidR="00DF5445" w:rsidRPr="006E085B" w:rsidTr="00723AF6">
        <w:trPr>
          <w:trHeight w:val="158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Pubmed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pStyle w:val="NormalWeb"/>
              <w:spacing w:before="0" w:beforeAutospacing="0" w:after="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(“arteriovenous fistula” OR “AV fistula” OR “radiocephalic fistula” OR “Cimino fistula” Or “Cimino-Brescia fistula” OR “Cimino radiocephalic fistula” OR “forearm arteriovenous fistula” OR “forearm AVF” OR “intravascular techniques” OR “percutaneous arteriovenous fistula” OR Ellipsys OR everlin Or “hemodialysis shunt” OR or "Forearm basilic*" OR "Forearm loop graft*")</w:t>
            </w:r>
          </w:p>
          <w:p w:rsidR="00DF5445" w:rsidRPr="006E085B" w:rsidRDefault="00DF5445" w:rsidP="00723AF6">
            <w:pPr>
              <w:pStyle w:val="NormalWeb"/>
              <w:spacing w:before="0" w:beforeAutospacing="0" w:after="0" w:afterAutospacing="0"/>
              <w:rPr>
                <w:rFonts w:asciiTheme="minorHAnsi" w:eastAsiaTheme="minorHAnsi" w:hAnsiTheme="minorHAnsi" w:cstheme="minorBidi"/>
                <w:sz w:val="22"/>
                <w:szCs w:val="22"/>
                <w:lang w:val="en-US" w:eastAsia="en-US"/>
                <w14:ligatures w14:val="standardContextual"/>
              </w:rPr>
            </w:pPr>
          </w:p>
          <w:p w:rsidR="00DF5445" w:rsidRPr="006E085B" w:rsidRDefault="00DF5445" w:rsidP="00723AF6">
            <w:pPr>
              <w:pStyle w:val="NormalWeb"/>
              <w:spacing w:before="0" w:beforeAutospacing="0" w:after="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 xml:space="preserve">AND </w:t>
            </w:r>
          </w:p>
          <w:p w:rsidR="00DF5445" w:rsidRPr="006E085B" w:rsidRDefault="00DF5445" w:rsidP="00723AF6">
            <w:pPr>
              <w:pStyle w:val="NormalWeb"/>
              <w:spacing w:before="0" w:beforeAutospacing="0" w:after="0" w:afterAutospacing="0"/>
              <w:rPr>
                <w:rFonts w:asciiTheme="minorHAnsi" w:eastAsiaTheme="minorHAnsi" w:hAnsiTheme="minorHAnsi" w:cstheme="minorBidi"/>
                <w:sz w:val="22"/>
                <w:szCs w:val="22"/>
                <w:lang w:val="en-US" w:eastAsia="en-US"/>
                <w14:ligatures w14:val="standardContextual"/>
              </w:rPr>
            </w:pPr>
          </w:p>
          <w:p w:rsidR="00DF5445" w:rsidRPr="006E085B" w:rsidRDefault="00DF5445" w:rsidP="00723AF6">
            <w:pPr>
              <w:pStyle w:val="NormalWeb"/>
              <w:spacing w:before="0" w:beforeAutospacing="0" w:after="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(“chronic kidney disease” OR “CKD” OR “chronic kidney failure” OR “end stage renal disease” OR “ESRD” OR “end stage kidney disease” OR “ESKD” OR “haemodialysis” OR “hemodialysis” OR “renal dialysis” OR “dialysis” OR “dialysis extracorporeal” OR “hemodialysis access” OR “hemodialyses” OR “renal dialyses” OR “dialyses” OR “dialyses extracorporeal” OR “hemodialyses access” OR “kidney replacement 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 xml:space="preserve">51 </w:t>
            </w:r>
          </w:p>
        </w:tc>
      </w:tr>
      <w:tr w:rsidR="00DF5445" w:rsidRPr="006E085B" w:rsidTr="00723AF6">
        <w:trPr>
          <w:trHeight w:val="158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ISI - Web of science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 "maturation rates" OR "maturation" OR "patency rates" OR "patency" OR "primary patency" OR "secondary patency" )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AND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("radiocephalic fistula" OR "Cimino fistula" OR "Cimino-Brescia fistula" OR "Cimino radiocephalic fistula" OR "forearm arteriovenous fistula" OR "forearm AVF" OR "intravascular techniques" OR "percutaneous arteriovenous fistula" OR "Ellipsys" OR "everlin" OR "hemodialysis shunt" OR "Forearm basilic*" OR "Forearm loop graft" )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AND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 "chronic kidney disease" OR "CKD" OR "chronic kidney failure" OR "end stage renal disease" OR "ESRD" OR "end stage kidney disease" OR "ESKD" OR "haemodialysis" OR "hemodialysis" OR "renal dialysis" OR "dialysis" OR "dialysis extracorporeal" OR "hemodialysis access" OR "hemodialyses" OR "renal dialyses" OR "dialyses" OR "dialyses extracorporeal" OR "hemodialyses access" OR "kidney replacement therapy"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 xml:space="preserve">194 </w:t>
            </w:r>
          </w:p>
        </w:tc>
      </w:tr>
      <w:tr w:rsidR="00DF5445" w:rsidRPr="006E085B" w:rsidTr="00723AF6">
        <w:trPr>
          <w:trHeight w:val="158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Cochrane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 "maturation rates" OR "maturation" OR "patency rates" OR "patency" OR "primary patency" OR "secondary patency" )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AND</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("radiocephalic fistula" OR "Cimino fistula" OR "Cimino-Brescia fistula" OR "Cimino radiocephalic fistula" OR "forearm arteriovenous fistula" OR "forearm AVF" OR "intravascular techniques" OR "percutaneous arteriovenous fistula" OR "Ellipsys" OR "everlin" OR "hemodialysis shunt" OR "Forearm basilic*" OR "Forearm loop graft" ) </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AND</w:t>
            </w:r>
          </w:p>
          <w:p w:rsidR="00DF5445" w:rsidRPr="006E085B" w:rsidRDefault="00DF5445" w:rsidP="00723AF6">
            <w:pPr>
              <w:pStyle w:val="NormalWeb"/>
              <w:spacing w:before="240" w:beforeAutospacing="0" w:after="240" w:afterAutospacing="0"/>
              <w:rPr>
                <w:rFonts w:asciiTheme="minorHAnsi" w:eastAsiaTheme="minorHAnsi" w:hAnsiTheme="minorHAnsi" w:cstheme="minorBidi"/>
                <w:sz w:val="22"/>
                <w:szCs w:val="22"/>
                <w:lang w:val="en-US" w:eastAsia="en-US"/>
                <w14:ligatures w14:val="standardContextual"/>
              </w:rPr>
            </w:pPr>
            <w:r w:rsidRPr="006E085B">
              <w:rPr>
                <w:rFonts w:asciiTheme="minorHAnsi" w:eastAsiaTheme="minorHAnsi" w:hAnsiTheme="minorHAnsi" w:cstheme="minorBidi"/>
                <w:sz w:val="22"/>
                <w:szCs w:val="22"/>
                <w:lang w:val="en-US" w:eastAsia="en-US"/>
                <w14:ligatures w14:val="standardContextual"/>
              </w:rPr>
              <w:t>( "chronic kidney disease" OR "CKD" OR "chronic kidney failure" OR "end stage renal disease" OR "ESRD" OR "end stage kidney disease" OR "ESKD" OR "haemodialysis" OR "hemodialysis" OR "renal dialysis" OR "dialysis" OR "dialysis extracorporeal" OR "hemodialysis access" OR "hemodialyses" OR "renal dialyses" OR "dialyses" OR "dialyses extracorporeal" OR "hemodialyses access" OR "kidney replacement therapy"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DF5445" w:rsidRPr="006E085B" w:rsidRDefault="00DF5445" w:rsidP="00723AF6">
            <w:pPr>
              <w:rPr>
                <w:lang w:val="en-US"/>
              </w:rPr>
            </w:pPr>
            <w:r w:rsidRPr="006E085B">
              <w:rPr>
                <w:lang w:val="en-US"/>
              </w:rPr>
              <w:t xml:space="preserve">59 </w:t>
            </w:r>
          </w:p>
        </w:tc>
      </w:tr>
    </w:tbl>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DF5445">
      <w:pPr>
        <w:jc w:val="both"/>
        <w:rPr>
          <w:rFonts w:ascii="Times New Roman" w:hAnsi="Times New Roman" w:cs="Times New Roman"/>
          <w:sz w:val="24"/>
          <w:szCs w:val="24"/>
          <w:lang w:val="en-GB"/>
        </w:rPr>
        <w:sectPr w:rsidR="00DF5445" w:rsidRPr="006E085B" w:rsidSect="009B7EE0">
          <w:footerReference w:type="default" r:id="rId8"/>
          <w:type w:val="nextPage"/>
          <w:pgSz w:w="11906" w:h="16838"/>
          <w:pgMar w:top="1418" w:right="1701" w:bottom="1418" w:left="1701" w:header="709" w:footer="709" w:gutter="0"/>
          <w:cols w:space="708"/>
          <w:docGrid w:linePitch="360"/>
        </w:sectPr>
      </w:pPr>
    </w:p>
    <w:p w:rsidR="00DF5445" w:rsidRPr="006E085B" w:rsidRDefault="00DF5445" w:rsidP="00DF5445">
      <w:pPr>
        <w:jc w:val="both"/>
        <w:rPr>
          <w:rFonts w:ascii="Times New Roman" w:hAnsi="Times New Roman" w:cs="Times New Roman"/>
          <w:sz w:val="24"/>
          <w:szCs w:val="24"/>
          <w:lang w:val="en-GB"/>
        </w:rPr>
      </w:pPr>
      <w:r w:rsidRPr="006E085B">
        <w:rPr>
          <w:rFonts w:ascii="Times New Roman" w:hAnsi="Times New Roman" w:cs="Times New Roman"/>
          <w:sz w:val="24"/>
          <w:szCs w:val="24"/>
          <w:lang w:val="en-GB"/>
        </w:rPr>
        <w:t>Supplemental Table 2: Characteristics of the studies and summary clinical data of the patients included in the systematic revision and meta-analysis</w:t>
      </w:r>
    </w:p>
    <w:tbl>
      <w:tblPr>
        <w:tblStyle w:val="TableGrid"/>
        <w:tblW w:w="16161" w:type="dxa"/>
        <w:jc w:val="center"/>
        <w:tblLayout w:type="fixed"/>
        <w:tblLook w:val="04A0" w:firstRow="1" w:lastRow="0" w:firstColumn="1" w:lastColumn="0" w:noHBand="0" w:noVBand="1"/>
      </w:tblPr>
      <w:tblGrid>
        <w:gridCol w:w="2269"/>
        <w:gridCol w:w="1559"/>
        <w:gridCol w:w="1276"/>
        <w:gridCol w:w="851"/>
        <w:gridCol w:w="1559"/>
        <w:gridCol w:w="992"/>
        <w:gridCol w:w="851"/>
        <w:gridCol w:w="850"/>
        <w:gridCol w:w="851"/>
        <w:gridCol w:w="850"/>
        <w:gridCol w:w="851"/>
        <w:gridCol w:w="850"/>
        <w:gridCol w:w="851"/>
        <w:gridCol w:w="850"/>
        <w:gridCol w:w="851"/>
      </w:tblGrid>
      <w:tr w:rsidR="00DF5445" w:rsidRPr="006E085B" w:rsidTr="00723AF6">
        <w:trPr>
          <w:trHeight w:val="274"/>
          <w:jc w:val="center"/>
        </w:trPr>
        <w:tc>
          <w:tcPr>
            <w:tcW w:w="2269"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Author</w:t>
            </w:r>
          </w:p>
        </w:tc>
        <w:tc>
          <w:tcPr>
            <w:tcW w:w="1559"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Study Design</w:t>
            </w:r>
          </w:p>
        </w:tc>
        <w:tc>
          <w:tcPr>
            <w:tcW w:w="1276"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Continent</w:t>
            </w:r>
          </w:p>
        </w:tc>
        <w:tc>
          <w:tcPr>
            <w:tcW w:w="851"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Pub. Year</w:t>
            </w:r>
          </w:p>
        </w:tc>
        <w:tc>
          <w:tcPr>
            <w:tcW w:w="1559"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Sample Size (patients)</w:t>
            </w:r>
          </w:p>
        </w:tc>
        <w:tc>
          <w:tcPr>
            <w:tcW w:w="992"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No. Interv.</w:t>
            </w:r>
          </w:p>
        </w:tc>
        <w:tc>
          <w:tcPr>
            <w:tcW w:w="851"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Mean age</w:t>
            </w:r>
          </w:p>
        </w:tc>
        <w:tc>
          <w:tcPr>
            <w:tcW w:w="850" w:type="dxa"/>
            <w:vAlign w:val="center"/>
          </w:tcPr>
          <w:p w:rsidR="00DF5445" w:rsidRPr="006E085B" w:rsidRDefault="00DF5445" w:rsidP="00723AF6">
            <w:pPr>
              <w:spacing w:line="480" w:lineRule="auto"/>
              <w:jc w:val="center"/>
              <w:rPr>
                <w:rFonts w:ascii="Times New Roman" w:hAnsi="Times New Roman" w:cs="Times New Roman"/>
                <w:b/>
                <w:sz w:val="24"/>
                <w:szCs w:val="24"/>
              </w:rPr>
            </w:pPr>
            <w:r w:rsidRPr="006E085B">
              <w:rPr>
                <w:rFonts w:ascii="Times New Roman" w:hAnsi="Times New Roman" w:cs="Times New Roman"/>
                <w:b/>
                <w:sz w:val="24"/>
                <w:szCs w:val="24"/>
              </w:rPr>
              <w:t>Male (%)</w:t>
            </w:r>
          </w:p>
        </w:tc>
        <w:tc>
          <w:tcPr>
            <w:tcW w:w="851"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AHT (%)</w:t>
            </w:r>
          </w:p>
        </w:tc>
        <w:tc>
          <w:tcPr>
            <w:tcW w:w="850"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DLD (%)</w:t>
            </w:r>
          </w:p>
        </w:tc>
        <w:tc>
          <w:tcPr>
            <w:tcW w:w="851"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DM (%)</w:t>
            </w:r>
          </w:p>
        </w:tc>
        <w:tc>
          <w:tcPr>
            <w:tcW w:w="850"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SH (%)</w:t>
            </w:r>
          </w:p>
        </w:tc>
        <w:tc>
          <w:tcPr>
            <w:tcW w:w="851"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CAD (%)</w:t>
            </w:r>
          </w:p>
        </w:tc>
        <w:tc>
          <w:tcPr>
            <w:tcW w:w="850"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CG (%)</w:t>
            </w:r>
          </w:p>
        </w:tc>
        <w:tc>
          <w:tcPr>
            <w:tcW w:w="851" w:type="dxa"/>
            <w:vAlign w:val="center"/>
          </w:tcPr>
          <w:p w:rsidR="00DF5445" w:rsidRPr="006E085B" w:rsidRDefault="00DF5445" w:rsidP="00723AF6">
            <w:pPr>
              <w:spacing w:line="480" w:lineRule="auto"/>
              <w:jc w:val="center"/>
              <w:rPr>
                <w:rFonts w:asciiTheme="majorBidi" w:hAnsiTheme="majorBidi" w:cstheme="majorBidi"/>
                <w:b/>
                <w:bCs/>
                <w:sz w:val="24"/>
                <w:szCs w:val="24"/>
              </w:rPr>
            </w:pPr>
            <w:r w:rsidRPr="006E085B">
              <w:rPr>
                <w:rFonts w:asciiTheme="majorBidi" w:hAnsiTheme="majorBidi" w:cstheme="majorBidi"/>
                <w:b/>
                <w:bCs/>
                <w:sz w:val="24"/>
                <w:szCs w:val="24"/>
              </w:rPr>
              <w:t>PDA (%)</w:t>
            </w:r>
          </w:p>
        </w:tc>
      </w:tr>
      <w:tr w:rsidR="00DF5445" w:rsidRPr="006E085B" w:rsidTr="00723AF6">
        <w:trPr>
          <w:trHeight w:val="370"/>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Wetzig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Oceania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1985</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85</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lang w:val="en-US"/>
              </w:rPr>
              <w:t>100</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50.5</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48.2%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22.9%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27.1%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17.6%</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Wang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2008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113</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113</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67.3%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77.9%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37.2%</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31%</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Weale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361</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361</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65.9%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27.4%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18%</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Zeebregts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150</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153</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37.3%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16%</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43.3%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Prischl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1995</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139</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145</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54.2</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62.6%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20.9%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Alm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1977</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67</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92</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48</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47.8%</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52.2%</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lang w:val="es-ES"/>
              </w:rPr>
            </w:pPr>
            <w:r w:rsidRPr="006E085B">
              <w:rPr>
                <w:rFonts w:ascii="Times New Roman" w:hAnsi="Times New Roman" w:cs="Times New Roman"/>
                <w:i/>
                <w:sz w:val="24"/>
                <w:szCs w:val="24"/>
                <w:lang w:val="es-ES"/>
              </w:rPr>
              <w:t>Lindfors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s-ES"/>
              </w:rPr>
            </w:pPr>
            <w:r w:rsidRPr="006E085B">
              <w:rPr>
                <w:rFonts w:ascii="Times New Roman" w:hAnsi="Times New Roman" w:cs="Times New Roman"/>
                <w:sz w:val="24"/>
                <w:szCs w:val="24"/>
                <w:lang w:val="es-E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s-E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s-ES"/>
              </w:rPr>
            </w:pPr>
            <w:r w:rsidRPr="006E085B">
              <w:rPr>
                <w:rFonts w:ascii="Times New Roman" w:hAnsi="Times New Roman" w:cs="Times New Roman"/>
                <w:sz w:val="24"/>
                <w:szCs w:val="24"/>
                <w:lang w:val="es-ES"/>
              </w:rPr>
              <w:t>1976</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45</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45</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42</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66.6%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4.4%</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Wong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1996</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60</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60</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58</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11.7%</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Lin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176</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176</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57.8</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44.9%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lang w:val="en-US"/>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40.9%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28.4%</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Miller et a</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1999</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116</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126</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36.2%</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45.7%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Golledge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107</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107</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68.2%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75.7%</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28%</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11.2%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37.4%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18.7%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Huseynova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63.9</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74.6%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59.3%</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Prasad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2019</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500</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500</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39.9</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82.4%</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31.8%</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Ramanathan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Oceania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57</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57</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54.1</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77.2%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82.5%</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43.9%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56.1%</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21.1%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Anil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2021</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32</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32</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41.5</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81.3%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96.9%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31.2%</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25%</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Xu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2023</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124</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124</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54.5</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47.6%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71.8%</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48.4%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39.5%</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26.6%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Srivastava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173</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173</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43.3</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69.9%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19.1%</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4.6%</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Jemcov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2013</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122</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122</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55.5</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98.4%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18.9%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46.7%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O’Banion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2015</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57</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77.2%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96.7%</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78.7%</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42.6%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1.6%</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Won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2000</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41</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54.3</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68.3%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46.3%</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22%</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lang w:val="en-US"/>
              </w:rPr>
            </w:pPr>
            <w:r w:rsidRPr="006E085B">
              <w:rPr>
                <w:rFonts w:ascii="Times New Roman" w:hAnsi="Times New Roman" w:cs="Times New Roman"/>
                <w:i/>
                <w:sz w:val="24"/>
                <w:szCs w:val="24"/>
                <w:lang w:val="en-US"/>
              </w:rPr>
              <w:t xml:space="preserve"> Elsayed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2022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18</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18</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lang w:val="en-US"/>
              </w:rPr>
            </w:pPr>
            <w:r w:rsidRPr="006E085B">
              <w:rPr>
                <w:rFonts w:ascii="Times New Roman" w:hAnsi="Times New Roman" w:cs="Times New Roman"/>
                <w:i/>
                <w:sz w:val="24"/>
                <w:szCs w:val="24"/>
                <w:lang w:val="en-US"/>
              </w:rPr>
              <w:t>Bhalodia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2011</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58</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58</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74.1%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98.3%</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56.9%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15.5%</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27.6%</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Mehigan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1982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154</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154</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Wolowczyk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2000</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199</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208</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10.6%</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Bonalumi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1982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177</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177</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46.6</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59.9%</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Twine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2012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218</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218</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75.2%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23.9%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16.1%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62.4%</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13.8%</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vertAlign w:val="superscript"/>
              </w:rPr>
            </w:pPr>
            <w:r w:rsidRPr="006E085B">
              <w:rPr>
                <w:rFonts w:ascii="Times New Roman" w:hAnsi="Times New Roman" w:cs="Times New Roman"/>
                <w:i/>
                <w:sz w:val="24"/>
                <w:szCs w:val="24"/>
              </w:rPr>
              <w:t>Horimi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1996</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139</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139</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81.3%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66.2%</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Cassioumis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173</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173</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11.5%</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Reilly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1982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145</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145</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40.2</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59.3%</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0%</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Thompson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1972</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77</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Kherlakian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1988</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100</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100</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23%</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Bender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1994</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Burt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2001</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53</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62</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59.2</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22.6%</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Lok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North America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2005</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230</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Mishra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Prospective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Asia</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2021</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53</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53</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50.9</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91%</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60%</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70%</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r>
      <w:tr w:rsidR="00DF5445" w:rsidRPr="006E085B" w:rsidTr="00723AF6">
        <w:trPr>
          <w:jc w:val="center"/>
        </w:trPr>
        <w:tc>
          <w:tcPr>
            <w:tcW w:w="2269" w:type="dxa"/>
            <w:vAlign w:val="center"/>
          </w:tcPr>
          <w:p w:rsidR="00DF5445" w:rsidRPr="006E085B" w:rsidRDefault="00DF5445" w:rsidP="00723AF6">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Elshikhawoda et al</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Retrospective</w:t>
            </w:r>
          </w:p>
        </w:tc>
        <w:tc>
          <w:tcPr>
            <w:tcW w:w="1276"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Europe</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2024</w:t>
            </w:r>
          </w:p>
        </w:tc>
        <w:tc>
          <w:tcPr>
            <w:tcW w:w="1559"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179</w:t>
            </w:r>
          </w:p>
        </w:tc>
        <w:tc>
          <w:tcPr>
            <w:tcW w:w="992"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179</w:t>
            </w:r>
          </w:p>
        </w:tc>
        <w:tc>
          <w:tcPr>
            <w:tcW w:w="851"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68.7</w:t>
            </w:r>
          </w:p>
        </w:tc>
        <w:tc>
          <w:tcPr>
            <w:tcW w:w="850" w:type="dxa"/>
            <w:vAlign w:val="center"/>
          </w:tcPr>
          <w:p w:rsidR="00DF5445" w:rsidRPr="006E085B" w:rsidRDefault="00DF5445" w:rsidP="00723AF6">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57%</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69%</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70%</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50%</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0"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N/A</w:t>
            </w:r>
          </w:p>
        </w:tc>
        <w:tc>
          <w:tcPr>
            <w:tcW w:w="851" w:type="dxa"/>
            <w:vAlign w:val="center"/>
          </w:tcPr>
          <w:p w:rsidR="00DF5445" w:rsidRPr="006E085B" w:rsidRDefault="00DF5445" w:rsidP="00723AF6">
            <w:pPr>
              <w:spacing w:line="480" w:lineRule="auto"/>
              <w:jc w:val="center"/>
              <w:rPr>
                <w:rFonts w:asciiTheme="majorBidi" w:hAnsiTheme="majorBidi" w:cstheme="majorBidi"/>
                <w:sz w:val="24"/>
                <w:szCs w:val="24"/>
              </w:rPr>
            </w:pPr>
            <w:r w:rsidRPr="006E085B">
              <w:rPr>
                <w:rFonts w:asciiTheme="majorBidi" w:hAnsiTheme="majorBidi" w:cstheme="majorBidi"/>
                <w:sz w:val="24"/>
                <w:szCs w:val="24"/>
              </w:rPr>
              <w:t>17%</w:t>
            </w:r>
          </w:p>
        </w:tc>
      </w:tr>
    </w:tbl>
    <w:p w:rsidR="00DF5445" w:rsidRPr="006E085B" w:rsidRDefault="00DF5445" w:rsidP="00DF5445">
      <w:pPr>
        <w:rPr>
          <w:rFonts w:ascii="Times New Roman" w:hAnsi="Times New Roman" w:cs="Times New Roman"/>
          <w:sz w:val="24"/>
        </w:rPr>
      </w:pPr>
    </w:p>
    <w:p w:rsidR="00DF5445" w:rsidRPr="006E085B" w:rsidRDefault="00DF5445" w:rsidP="00DF5445">
      <w:pPr>
        <w:rPr>
          <w:rFonts w:ascii="Times New Roman" w:hAnsi="Times New Roman" w:cs="Times New Roman"/>
          <w:sz w:val="24"/>
          <w:szCs w:val="24"/>
          <w:lang w:val="en-GB"/>
        </w:rPr>
      </w:pPr>
      <w:r w:rsidRPr="006E085B">
        <w:rPr>
          <w:rFonts w:ascii="Times New Roman" w:hAnsi="Times New Roman" w:cs="Times New Roman"/>
          <w:sz w:val="24"/>
          <w:szCs w:val="24"/>
          <w:lang w:val="en-GB"/>
        </w:rPr>
        <w:t>Pub. Year – publication year; No. Interv. – number of interventions; AHT – arterial hypertension; DM – diabetes mellitus; DLD - dyslipidemia; SH – smoking history; CAD – coronary artery disease; CG – chronic glomerulonephritis; PDA – patient with previous dialysis access</w:t>
      </w:r>
    </w:p>
    <w:p w:rsidR="00DF5445" w:rsidRPr="006E085B" w:rsidRDefault="00DF5445" w:rsidP="00DF5445">
      <w:pPr>
        <w:spacing w:line="480" w:lineRule="auto"/>
        <w:jc w:val="both"/>
        <w:rPr>
          <w:rFonts w:ascii="Times New Roman" w:hAnsi="Times New Roman" w:cs="Times New Roman"/>
          <w:sz w:val="24"/>
          <w:szCs w:val="24"/>
        </w:rPr>
      </w:pPr>
    </w:p>
    <w:p w:rsidR="00DF5445" w:rsidRPr="006E085B" w:rsidRDefault="00DF5445" w:rsidP="00393EBE">
      <w:pPr>
        <w:rPr>
          <w:rFonts w:ascii="Times New Roman" w:hAnsi="Times New Roman" w:cs="Times New Roman"/>
          <w:sz w:val="24"/>
          <w:szCs w:val="24"/>
          <w:lang w:val="en-US"/>
        </w:rPr>
      </w:pPr>
    </w:p>
    <w:p w:rsidR="00A05BFB" w:rsidRPr="006E085B" w:rsidRDefault="00A05BFB" w:rsidP="00393EBE"/>
    <w:p w:rsidR="00DF5445" w:rsidRPr="006E085B" w:rsidRDefault="00DF5445" w:rsidP="00393EBE"/>
    <w:p w:rsidR="00DF5445" w:rsidRPr="006E085B" w:rsidRDefault="00DF5445" w:rsidP="00393EBE"/>
    <w:p w:rsidR="00DF5445" w:rsidRPr="006E085B" w:rsidRDefault="00DF5445" w:rsidP="00393EBE"/>
    <w:p w:rsidR="00DF5445" w:rsidRPr="006E085B" w:rsidRDefault="00DF5445" w:rsidP="00393EBE"/>
    <w:p w:rsidR="00DF5445" w:rsidRPr="006E085B" w:rsidRDefault="00DF5445" w:rsidP="00393EBE"/>
    <w:p w:rsidR="00DF5445" w:rsidRPr="006E085B" w:rsidRDefault="00DF5445" w:rsidP="00393EBE"/>
    <w:p w:rsidR="00DF5445" w:rsidRPr="006E085B" w:rsidRDefault="00DF5445" w:rsidP="000E5559">
      <w:pPr>
        <w:jc w:val="both"/>
      </w:pPr>
    </w:p>
    <w:p w:rsidR="00861657" w:rsidRPr="006E085B" w:rsidRDefault="00DF5445" w:rsidP="000E5559">
      <w:pPr>
        <w:jc w:val="both"/>
        <w:rPr>
          <w:rFonts w:ascii="Times New Roman" w:hAnsi="Times New Roman" w:cs="Times New Roman"/>
          <w:sz w:val="24"/>
          <w:szCs w:val="24"/>
          <w:lang w:val="en-GB"/>
        </w:rPr>
      </w:pPr>
      <w:r w:rsidRPr="006E085B">
        <w:rPr>
          <w:rFonts w:ascii="Times New Roman" w:hAnsi="Times New Roman" w:cs="Times New Roman"/>
          <w:sz w:val="24"/>
          <w:szCs w:val="24"/>
          <w:lang w:val="en-GB"/>
        </w:rPr>
        <w:t>Supplemental Table 3:</w:t>
      </w:r>
      <w:r w:rsidR="00861657" w:rsidRPr="006E085B">
        <w:rPr>
          <w:rFonts w:ascii="Times New Roman" w:hAnsi="Times New Roman" w:cs="Times New Roman"/>
          <w:sz w:val="24"/>
          <w:szCs w:val="24"/>
          <w:lang w:val="en-GB"/>
        </w:rPr>
        <w:t xml:space="preserve"> Patency rates</w:t>
      </w:r>
    </w:p>
    <w:tbl>
      <w:tblPr>
        <w:tblStyle w:val="TableGrid"/>
        <w:tblpPr w:leftFromText="141" w:rightFromText="141" w:vertAnchor="text" w:tblpXSpec="center" w:tblpY="1"/>
        <w:tblOverlap w:val="never"/>
        <w:tblW w:w="15588" w:type="dxa"/>
        <w:jc w:val="center"/>
        <w:tblLayout w:type="fixed"/>
        <w:tblLook w:val="04A0" w:firstRow="1" w:lastRow="0" w:firstColumn="1" w:lastColumn="0" w:noHBand="0" w:noVBand="1"/>
      </w:tblPr>
      <w:tblGrid>
        <w:gridCol w:w="1979"/>
        <w:gridCol w:w="2269"/>
        <w:gridCol w:w="2269"/>
        <w:gridCol w:w="2126"/>
        <w:gridCol w:w="2268"/>
        <w:gridCol w:w="2268"/>
        <w:gridCol w:w="2409"/>
      </w:tblGrid>
      <w:tr w:rsidR="00744C51" w:rsidRPr="006E085B" w:rsidTr="00744C51">
        <w:trPr>
          <w:jc w:val="center"/>
        </w:trPr>
        <w:tc>
          <w:tcPr>
            <w:tcW w:w="1979"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Author</w:t>
            </w:r>
          </w:p>
        </w:tc>
        <w:tc>
          <w:tcPr>
            <w:tcW w:w="2269"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Primary Patency Rates of Fistulas at 30 days</w:t>
            </w:r>
          </w:p>
        </w:tc>
        <w:tc>
          <w:tcPr>
            <w:tcW w:w="2269"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Primary Patency Rates of Fistulas at 1 Year</w:t>
            </w:r>
          </w:p>
        </w:tc>
        <w:tc>
          <w:tcPr>
            <w:tcW w:w="2126"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Primary Patency Rates of Fistula at 2 Years</w:t>
            </w:r>
          </w:p>
        </w:tc>
        <w:tc>
          <w:tcPr>
            <w:tcW w:w="2268"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Primary Patency Rates of  Fistulas at 3 Years</w:t>
            </w:r>
          </w:p>
        </w:tc>
        <w:tc>
          <w:tcPr>
            <w:tcW w:w="2268"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Secondary Patency Rates of  Fistulas at 1 Year</w:t>
            </w:r>
          </w:p>
        </w:tc>
        <w:tc>
          <w:tcPr>
            <w:tcW w:w="2409" w:type="dxa"/>
          </w:tcPr>
          <w:p w:rsidR="00744C51" w:rsidRPr="006E085B" w:rsidRDefault="00744C51" w:rsidP="00744C51">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Secondary Patency Rates of  Fistulas at 2 Years</w:t>
            </w:r>
          </w:p>
        </w:tc>
      </w:tr>
      <w:tr w:rsidR="00935882" w:rsidRPr="006E085B" w:rsidTr="00744C51">
        <w:trPr>
          <w:jc w:val="center"/>
        </w:trPr>
        <w:tc>
          <w:tcPr>
            <w:tcW w:w="1979" w:type="dxa"/>
          </w:tcPr>
          <w:p w:rsidR="00935882" w:rsidRPr="006E085B" w:rsidRDefault="00935882" w:rsidP="00744C51">
            <w:pPr>
              <w:spacing w:line="480" w:lineRule="auto"/>
              <w:rPr>
                <w:rFonts w:ascii="Times New Roman" w:hAnsi="Times New Roman" w:cs="Times New Roman"/>
                <w:b/>
                <w:sz w:val="24"/>
                <w:szCs w:val="24"/>
              </w:rPr>
            </w:pPr>
            <w:r w:rsidRPr="006E085B">
              <w:rPr>
                <w:rFonts w:ascii="Times New Roman" w:hAnsi="Times New Roman" w:cs="Times New Roman"/>
                <w:i/>
                <w:sz w:val="24"/>
                <w:szCs w:val="24"/>
              </w:rPr>
              <w:t>Wong el al</w:t>
            </w:r>
          </w:p>
        </w:tc>
        <w:tc>
          <w:tcPr>
            <w:tcW w:w="2269"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86.54%</w:t>
            </w:r>
          </w:p>
        </w:tc>
        <w:tc>
          <w:tcPr>
            <w:tcW w:w="2269"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N/A</w:t>
            </w:r>
          </w:p>
        </w:tc>
        <w:tc>
          <w:tcPr>
            <w:tcW w:w="2126"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N/A</w:t>
            </w:r>
          </w:p>
        </w:tc>
        <w:tc>
          <w:tcPr>
            <w:tcW w:w="2268"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N/A</w:t>
            </w:r>
          </w:p>
        </w:tc>
        <w:tc>
          <w:tcPr>
            <w:tcW w:w="2268"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N/A</w:t>
            </w:r>
          </w:p>
        </w:tc>
        <w:tc>
          <w:tcPr>
            <w:tcW w:w="2409" w:type="dxa"/>
          </w:tcPr>
          <w:p w:rsidR="00935882" w:rsidRPr="006E085B" w:rsidRDefault="00935882" w:rsidP="00935882">
            <w:pPr>
              <w:spacing w:line="480" w:lineRule="auto"/>
              <w:jc w:val="center"/>
              <w:rPr>
                <w:rFonts w:ascii="Times New Roman" w:hAnsi="Times New Roman" w:cs="Times New Roman"/>
                <w:b/>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Wetzig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76%</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73%</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Weale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46,4%</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32,1%</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46,4%</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32,1%</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Zeebregts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86.93%</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54%</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50%</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Prischl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48%</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39%</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36%</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Lin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86,4%</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Miller et a</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38%</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Golledge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82.24%</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69%</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70%</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Huseynova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Prasad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73%</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78%</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Ramanathan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69,2%</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36,9%</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87.6%</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83.9%</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Xu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70,4%</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color w:val="B4C6E7" w:themeColor="accent5" w:themeTint="66"/>
                <w:sz w:val="24"/>
                <w:szCs w:val="24"/>
              </w:rPr>
            </w:pPr>
            <w:r w:rsidRPr="006E085B">
              <w:rPr>
                <w:rFonts w:ascii="Times New Roman" w:hAnsi="Times New Roman" w:cs="Times New Roman"/>
                <w:sz w:val="24"/>
                <w:szCs w:val="24"/>
              </w:rPr>
              <w:t>86.8%</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lang w:val="en-US"/>
              </w:rPr>
              <w:t>Bhalodia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88%</w:t>
            </w:r>
          </w:p>
        </w:tc>
        <w:tc>
          <w:tcPr>
            <w:tcW w:w="2126" w:type="dxa"/>
          </w:tcPr>
          <w:p w:rsidR="00744C51" w:rsidRPr="006E085B" w:rsidRDefault="00744C51" w:rsidP="00744C51">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lang w:val="en-US"/>
              </w:rPr>
              <w:t>74,1%</w:t>
            </w:r>
          </w:p>
        </w:tc>
        <w:tc>
          <w:tcPr>
            <w:tcW w:w="2268" w:type="dxa"/>
          </w:tcPr>
          <w:p w:rsidR="00744C51" w:rsidRPr="006E085B" w:rsidRDefault="00744C51" w:rsidP="00744C51">
            <w:pPr>
              <w:spacing w:line="480" w:lineRule="auto"/>
              <w:jc w:val="center"/>
              <w:rPr>
                <w:rFonts w:ascii="Times New Roman" w:hAnsi="Times New Roman" w:cs="Times New Roman"/>
                <w:sz w:val="24"/>
                <w:szCs w:val="24"/>
                <w:lang w:val="en-US"/>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Wolowczyk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82.21%</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65%</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58%</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58%</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Bonalumi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83,1%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Twine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53%</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Horimi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96%</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89%</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87%</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Cassioumis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79,1%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Reilly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80%</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Kherlakian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66%</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64%</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Bender et al</w:t>
            </w:r>
          </w:p>
        </w:tc>
        <w:tc>
          <w:tcPr>
            <w:tcW w:w="2269" w:type="dxa"/>
          </w:tcPr>
          <w:p w:rsidR="00744C51" w:rsidRPr="006E085B" w:rsidRDefault="00935882" w:rsidP="00744C51">
            <w:pPr>
              <w:spacing w:line="480" w:lineRule="auto"/>
              <w:jc w:val="center"/>
              <w:rPr>
                <w:rFonts w:ascii="Times New Roman" w:hAnsi="Times New Roman" w:cs="Times New Roman"/>
                <w:color w:val="000000" w:themeColor="text1"/>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color w:val="000000" w:themeColor="text1"/>
                <w:sz w:val="24"/>
                <w:szCs w:val="24"/>
              </w:rPr>
              <w:t>76</w:t>
            </w:r>
            <w:r w:rsidRPr="006E085B">
              <w:rPr>
                <w:rFonts w:ascii="Times New Roman" w:hAnsi="Times New Roman" w:cs="Times New Roman"/>
                <w:sz w:val="24"/>
                <w:szCs w:val="24"/>
              </w:rPr>
              <w:t>%</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67%</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65%</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Burt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71,5%</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56,6%</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76,1%</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63%</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rPr>
            </w:pPr>
            <w:r w:rsidRPr="006E085B">
              <w:rPr>
                <w:rFonts w:ascii="Times New Roman" w:hAnsi="Times New Roman" w:cs="Times New Roman"/>
                <w:i/>
                <w:sz w:val="24"/>
                <w:szCs w:val="24"/>
              </w:rPr>
              <w:t>Lok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61,2%</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48,6%</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38,4%</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r w:rsidR="00744C51" w:rsidRPr="006E085B" w:rsidTr="00744C51">
        <w:trPr>
          <w:jc w:val="center"/>
        </w:trPr>
        <w:tc>
          <w:tcPr>
            <w:tcW w:w="1979" w:type="dxa"/>
            <w:vAlign w:val="center"/>
          </w:tcPr>
          <w:p w:rsidR="00744C51" w:rsidRPr="006E085B" w:rsidRDefault="00744C51" w:rsidP="00744C51">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Mishra et al</w:t>
            </w:r>
          </w:p>
        </w:tc>
        <w:tc>
          <w:tcPr>
            <w:tcW w:w="2269" w:type="dxa"/>
          </w:tcPr>
          <w:p w:rsidR="00744C51" w:rsidRPr="006E085B" w:rsidRDefault="00935882"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81%</w:t>
            </w:r>
          </w:p>
        </w:tc>
        <w:tc>
          <w:tcPr>
            <w:tcW w:w="2126"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268"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c>
          <w:tcPr>
            <w:tcW w:w="2409" w:type="dxa"/>
          </w:tcPr>
          <w:p w:rsidR="00744C51" w:rsidRPr="006E085B" w:rsidRDefault="00744C51" w:rsidP="00744C51">
            <w:pPr>
              <w:spacing w:line="480" w:lineRule="auto"/>
              <w:jc w:val="center"/>
              <w:rPr>
                <w:rFonts w:ascii="Times New Roman" w:hAnsi="Times New Roman" w:cs="Times New Roman"/>
                <w:sz w:val="24"/>
                <w:szCs w:val="24"/>
              </w:rPr>
            </w:pPr>
            <w:r w:rsidRPr="006E085B">
              <w:rPr>
                <w:rFonts w:ascii="Times New Roman" w:hAnsi="Times New Roman" w:cs="Times New Roman"/>
                <w:sz w:val="24"/>
                <w:szCs w:val="24"/>
              </w:rPr>
              <w:t>N/A</w:t>
            </w:r>
          </w:p>
        </w:tc>
      </w:tr>
    </w:tbl>
    <w:p w:rsidR="006C6097" w:rsidRPr="006E085B" w:rsidRDefault="00861657" w:rsidP="007E2047">
      <w:pPr>
        <w:jc w:val="both"/>
        <w:rPr>
          <w:rFonts w:ascii="Times New Roman" w:hAnsi="Times New Roman" w:cs="Times New Roman"/>
          <w:sz w:val="24"/>
        </w:rPr>
      </w:pPr>
      <w:r w:rsidRPr="006E085B">
        <w:br w:type="textWrapping" w:clear="all"/>
      </w:r>
      <w:r w:rsidRPr="006E085B">
        <w:rPr>
          <w:rFonts w:ascii="Times New Roman" w:hAnsi="Times New Roman" w:cs="Times New Roman"/>
          <w:sz w:val="24"/>
          <w:szCs w:val="24"/>
          <w:lang w:val="en-GB"/>
        </w:rPr>
        <w:t>NA – unavailable data</w:t>
      </w:r>
    </w:p>
    <w:p w:rsidR="00B22694" w:rsidRPr="006E085B" w:rsidRDefault="00B22694" w:rsidP="000E5559">
      <w:pPr>
        <w:jc w:val="both"/>
      </w:pPr>
    </w:p>
    <w:p w:rsidR="00861657" w:rsidRPr="006E085B" w:rsidRDefault="00DF5445" w:rsidP="000E5559">
      <w:pPr>
        <w:jc w:val="both"/>
        <w:rPr>
          <w:rFonts w:ascii="Times New Roman" w:hAnsi="Times New Roman" w:cs="Times New Roman"/>
          <w:sz w:val="24"/>
          <w:szCs w:val="24"/>
          <w:lang w:val="en-GB"/>
        </w:rPr>
      </w:pPr>
      <w:r w:rsidRPr="006E085B">
        <w:rPr>
          <w:rFonts w:ascii="Times New Roman" w:hAnsi="Times New Roman" w:cs="Times New Roman"/>
          <w:sz w:val="24"/>
          <w:szCs w:val="24"/>
          <w:lang w:val="en-GB"/>
        </w:rPr>
        <w:t>Supplemental table 4</w:t>
      </w:r>
      <w:r w:rsidR="00861657" w:rsidRPr="006E085B">
        <w:rPr>
          <w:rFonts w:ascii="Times New Roman" w:hAnsi="Times New Roman" w:cs="Times New Roman"/>
          <w:sz w:val="24"/>
          <w:szCs w:val="24"/>
          <w:lang w:val="en-GB"/>
        </w:rPr>
        <w:t>: Maturation rates and secondary variables</w:t>
      </w:r>
    </w:p>
    <w:tbl>
      <w:tblPr>
        <w:tblStyle w:val="TableGrid"/>
        <w:tblpPr w:leftFromText="141" w:rightFromText="141" w:vertAnchor="text" w:tblpXSpec="center" w:tblpY="1"/>
        <w:tblOverlap w:val="never"/>
        <w:tblW w:w="15027" w:type="dxa"/>
        <w:jc w:val="center"/>
        <w:tblLayout w:type="fixed"/>
        <w:tblLook w:val="04A0" w:firstRow="1" w:lastRow="0" w:firstColumn="1" w:lastColumn="0" w:noHBand="0" w:noVBand="1"/>
      </w:tblPr>
      <w:tblGrid>
        <w:gridCol w:w="1980"/>
        <w:gridCol w:w="2693"/>
        <w:gridCol w:w="2693"/>
        <w:gridCol w:w="1707"/>
        <w:gridCol w:w="2977"/>
        <w:gridCol w:w="2977"/>
      </w:tblGrid>
      <w:tr w:rsidR="00861657" w:rsidRPr="006E085B" w:rsidTr="00684A27">
        <w:trPr>
          <w:jc w:val="center"/>
        </w:trPr>
        <w:tc>
          <w:tcPr>
            <w:tcW w:w="1980" w:type="dxa"/>
          </w:tcPr>
          <w:p w:rsidR="00861657" w:rsidRPr="006E085B" w:rsidRDefault="00861657" w:rsidP="00684A27">
            <w:pPr>
              <w:spacing w:line="480" w:lineRule="auto"/>
              <w:rPr>
                <w:rFonts w:ascii="Times New Roman" w:hAnsi="Times New Roman" w:cs="Times New Roman"/>
                <w:b/>
                <w:sz w:val="24"/>
                <w:szCs w:val="24"/>
              </w:rPr>
            </w:pPr>
            <w:r w:rsidRPr="006E085B">
              <w:rPr>
                <w:rFonts w:ascii="Times New Roman" w:hAnsi="Times New Roman" w:cs="Times New Roman"/>
                <w:b/>
                <w:sz w:val="24"/>
                <w:szCs w:val="24"/>
              </w:rPr>
              <w:t>Author</w:t>
            </w:r>
          </w:p>
        </w:tc>
        <w:tc>
          <w:tcPr>
            <w:tcW w:w="2693" w:type="dxa"/>
          </w:tcPr>
          <w:p w:rsidR="00861657" w:rsidRPr="006E085B" w:rsidRDefault="00861657" w:rsidP="00684A27">
            <w:pPr>
              <w:spacing w:line="480" w:lineRule="auto"/>
              <w:jc w:val="center"/>
              <w:rPr>
                <w:rFonts w:ascii="Times New Roman" w:hAnsi="Times New Roman" w:cs="Times New Roman"/>
                <w:b/>
                <w:sz w:val="24"/>
                <w:szCs w:val="24"/>
              </w:rPr>
            </w:pPr>
            <w:r w:rsidRPr="006E085B">
              <w:rPr>
                <w:rFonts w:ascii="Times New Roman" w:hAnsi="Times New Roman" w:cs="Times New Roman"/>
                <w:b/>
                <w:bCs/>
                <w:color w:val="000000"/>
                <w:sz w:val="24"/>
                <w:szCs w:val="24"/>
              </w:rPr>
              <w:t>Maturation Failure rate</w:t>
            </w:r>
          </w:p>
        </w:tc>
        <w:tc>
          <w:tcPr>
            <w:tcW w:w="2693" w:type="dxa"/>
          </w:tcPr>
          <w:p w:rsidR="00861657" w:rsidRPr="006E085B" w:rsidRDefault="00861657" w:rsidP="00684A27">
            <w:pPr>
              <w:spacing w:line="480" w:lineRule="auto"/>
              <w:jc w:val="center"/>
              <w:rPr>
                <w:rFonts w:ascii="Times New Roman" w:hAnsi="Times New Roman" w:cs="Times New Roman"/>
                <w:b/>
                <w:sz w:val="24"/>
                <w:szCs w:val="24"/>
                <w:lang w:val="en-GB"/>
              </w:rPr>
            </w:pPr>
            <w:r w:rsidRPr="006E085B">
              <w:rPr>
                <w:rFonts w:ascii="Times New Roman" w:hAnsi="Times New Roman" w:cs="Times New Roman"/>
                <w:b/>
                <w:bCs/>
                <w:color w:val="000000"/>
                <w:sz w:val="24"/>
                <w:szCs w:val="24"/>
                <w:lang w:val="en-GB"/>
              </w:rPr>
              <w:t>Thrombosis rate (at 24 hours after surgery)</w:t>
            </w:r>
          </w:p>
        </w:tc>
        <w:tc>
          <w:tcPr>
            <w:tcW w:w="1707" w:type="dxa"/>
          </w:tcPr>
          <w:p w:rsidR="00861657" w:rsidRPr="006E085B" w:rsidRDefault="00861657" w:rsidP="00684A27">
            <w:pPr>
              <w:spacing w:line="480" w:lineRule="auto"/>
              <w:jc w:val="center"/>
              <w:rPr>
                <w:rFonts w:ascii="Times New Roman" w:hAnsi="Times New Roman" w:cs="Times New Roman"/>
                <w:b/>
                <w:bCs/>
                <w:color w:val="000000"/>
                <w:sz w:val="24"/>
                <w:szCs w:val="24"/>
                <w:lang w:val="en-GB"/>
              </w:rPr>
            </w:pPr>
            <w:r w:rsidRPr="006E085B">
              <w:rPr>
                <w:rFonts w:ascii="Times New Roman" w:hAnsi="Times New Roman" w:cs="Times New Roman"/>
                <w:b/>
                <w:bCs/>
                <w:color w:val="000000"/>
                <w:sz w:val="24"/>
                <w:szCs w:val="24"/>
                <w:lang w:val="en-GB"/>
              </w:rPr>
              <w:t>Infection rate</w:t>
            </w:r>
          </w:p>
        </w:tc>
        <w:tc>
          <w:tcPr>
            <w:tcW w:w="2977" w:type="dxa"/>
          </w:tcPr>
          <w:p w:rsidR="00861657" w:rsidRPr="006E085B" w:rsidRDefault="007E2047" w:rsidP="00684A27">
            <w:pPr>
              <w:spacing w:line="480" w:lineRule="auto"/>
              <w:jc w:val="center"/>
              <w:rPr>
                <w:rFonts w:ascii="Times New Roman" w:hAnsi="Times New Roman" w:cs="Times New Roman"/>
                <w:b/>
                <w:sz w:val="24"/>
                <w:szCs w:val="24"/>
                <w:lang w:val="en-GB"/>
              </w:rPr>
            </w:pPr>
            <w:r w:rsidRPr="006E085B">
              <w:rPr>
                <w:rFonts w:ascii="Times New Roman" w:hAnsi="Times New Roman" w:cs="Times New Roman"/>
                <w:b/>
                <w:bCs/>
                <w:color w:val="000000"/>
                <w:sz w:val="24"/>
                <w:szCs w:val="24"/>
              </w:rPr>
              <w:t>Aneurysm degeneration</w:t>
            </w:r>
            <w:r w:rsidR="00861657" w:rsidRPr="006E085B">
              <w:rPr>
                <w:rFonts w:ascii="Times New Roman" w:hAnsi="Times New Roman" w:cs="Times New Roman"/>
                <w:b/>
                <w:bCs/>
                <w:color w:val="000000"/>
                <w:sz w:val="24"/>
                <w:szCs w:val="24"/>
              </w:rPr>
              <w:t xml:space="preserve"> rate</w:t>
            </w:r>
            <w:r w:rsidRPr="006E085B">
              <w:rPr>
                <w:rFonts w:ascii="Times New Roman" w:hAnsi="Times New Roman" w:cs="Times New Roman"/>
                <w:b/>
                <w:bCs/>
                <w:color w:val="000000"/>
                <w:sz w:val="24"/>
                <w:szCs w:val="24"/>
              </w:rPr>
              <w:t>s</w:t>
            </w:r>
          </w:p>
        </w:tc>
        <w:tc>
          <w:tcPr>
            <w:tcW w:w="2977" w:type="dxa"/>
          </w:tcPr>
          <w:p w:rsidR="00861657" w:rsidRPr="006E085B" w:rsidRDefault="00861657" w:rsidP="00684A27">
            <w:pPr>
              <w:spacing w:line="480" w:lineRule="auto"/>
              <w:jc w:val="center"/>
              <w:rPr>
                <w:rFonts w:ascii="Times New Roman" w:hAnsi="Times New Roman" w:cs="Times New Roman"/>
                <w:b/>
                <w:sz w:val="24"/>
                <w:szCs w:val="24"/>
              </w:rPr>
            </w:pPr>
            <w:r w:rsidRPr="006E085B">
              <w:rPr>
                <w:rFonts w:ascii="Times New Roman" w:hAnsi="Times New Roman" w:cs="Times New Roman"/>
                <w:b/>
                <w:bCs/>
                <w:color w:val="000000"/>
                <w:sz w:val="24"/>
                <w:szCs w:val="24"/>
              </w:rPr>
              <w:t>Local Reintervention rate</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Wetzig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13%</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0,5%</w:t>
            </w:r>
          </w:p>
        </w:tc>
        <w:tc>
          <w:tcPr>
            <w:tcW w:w="297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Wang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37,2%</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Zeebregts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27,5%</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5,9%</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c>
          <w:tcPr>
            <w:tcW w:w="2977" w:type="dxa"/>
          </w:tcPr>
          <w:p w:rsidR="00861657" w:rsidRPr="006E085B" w:rsidRDefault="00C6078B"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18,3</w:t>
            </w:r>
            <w:r w:rsidR="00861657" w:rsidRPr="006E085B">
              <w:rPr>
                <w:rFonts w:ascii="Times New Roman" w:hAnsi="Times New Roman" w:cs="Times New Roman"/>
                <w:color w:val="000000"/>
              </w:rPr>
              <w:t>%</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Prischl et al</w:t>
            </w:r>
          </w:p>
        </w:tc>
        <w:tc>
          <w:tcPr>
            <w:tcW w:w="2693"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38,1%</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Alm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6,5%</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1,1%</w:t>
            </w:r>
          </w:p>
        </w:tc>
        <w:tc>
          <w:tcPr>
            <w:tcW w:w="2977" w:type="dxa"/>
          </w:tcPr>
          <w:p w:rsidR="00861657" w:rsidRPr="006E085B" w:rsidRDefault="00B939B2"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27,2</w:t>
            </w:r>
            <w:r w:rsidR="00861657" w:rsidRPr="006E085B">
              <w:rPr>
                <w:rFonts w:ascii="Times New Roman" w:hAnsi="Times New Roman" w:cs="Times New Roman"/>
                <w:color w:val="000000"/>
              </w:rPr>
              <w:t>%</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lang w:val="es-ES"/>
              </w:rPr>
              <w:t>Lindfors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26,7%</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8,9%</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Wong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20%</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3,3%</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Lin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13,6%</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Miller et a</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25,4%</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C6078B"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7,9</w:t>
            </w:r>
            <w:r w:rsidR="00861657" w:rsidRPr="006E085B">
              <w:rPr>
                <w:rFonts w:ascii="Times New Roman" w:hAnsi="Times New Roman" w:cs="Times New Roman"/>
                <w:color w:val="000000"/>
              </w:rPr>
              <w:t>%</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Golledge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23,4%</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Huseynova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20,3%</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0,8%</w:t>
            </w:r>
          </w:p>
        </w:tc>
        <w:tc>
          <w:tcPr>
            <w:tcW w:w="2977"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22%</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Prasad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16,6%</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Ramanathan et al</w:t>
            </w:r>
          </w:p>
        </w:tc>
        <w:tc>
          <w:tcPr>
            <w:tcW w:w="2693"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22,8%</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1,8%</w:t>
            </w:r>
          </w:p>
        </w:tc>
        <w:tc>
          <w:tcPr>
            <w:tcW w:w="297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29,8%</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rPr>
            </w:pPr>
            <w:r w:rsidRPr="006E085B">
              <w:rPr>
                <w:rFonts w:ascii="Times New Roman" w:hAnsi="Times New Roman" w:cs="Times New Roman"/>
                <w:i/>
                <w:sz w:val="24"/>
                <w:szCs w:val="24"/>
              </w:rPr>
              <w:t>Srivastava et al</w:t>
            </w:r>
          </w:p>
        </w:tc>
        <w:tc>
          <w:tcPr>
            <w:tcW w:w="2693"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20,2%</w:t>
            </w:r>
          </w:p>
        </w:tc>
        <w:tc>
          <w:tcPr>
            <w:tcW w:w="2693" w:type="dxa"/>
          </w:tcPr>
          <w:p w:rsidR="00861657" w:rsidRPr="006E085B" w:rsidRDefault="00861657" w:rsidP="00684A27">
            <w:pPr>
              <w:spacing w:line="480" w:lineRule="auto"/>
              <w:jc w:val="center"/>
              <w:rPr>
                <w:rFonts w:ascii="Times New Roman" w:hAnsi="Times New Roman" w:cs="Times New Roman"/>
                <w:lang w:val="en-GB"/>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lang w:val="en-US"/>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Jemcov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10,7%</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O’Banion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Won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28%</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lang w:val="en-US"/>
              </w:rPr>
              <w:t>Elsayed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33,3%</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lang w:val="en-US"/>
              </w:rPr>
              <w:t>Bhalodia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50%</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Mehigan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14,3%</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Wolowczyk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36,5%</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10,6%</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Bonalumi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0%</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11,3%</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Twine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20,2%</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7E204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20,2%</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Horimi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0,7%</w:t>
            </w:r>
          </w:p>
        </w:tc>
        <w:tc>
          <w:tcPr>
            <w:tcW w:w="170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0,7%</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Reilly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7E204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73,</w:t>
            </w:r>
            <w:r w:rsidR="00861657" w:rsidRPr="006E085B">
              <w:rPr>
                <w:rFonts w:ascii="Times New Roman" w:hAnsi="Times New Roman" w:cs="Times New Roman"/>
                <w:color w:val="000000"/>
              </w:rPr>
              <w:t>8%</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Kherlakian et al</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7E204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r>
      <w:tr w:rsidR="00B939B2" w:rsidRPr="006E085B" w:rsidTr="00684A27">
        <w:trPr>
          <w:jc w:val="center"/>
        </w:trPr>
        <w:tc>
          <w:tcPr>
            <w:tcW w:w="1980" w:type="dxa"/>
            <w:vAlign w:val="center"/>
          </w:tcPr>
          <w:p w:rsidR="00B939B2" w:rsidRPr="006E085B" w:rsidRDefault="00B939B2"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Bender et al</w:t>
            </w:r>
          </w:p>
        </w:tc>
        <w:tc>
          <w:tcPr>
            <w:tcW w:w="2693" w:type="dxa"/>
          </w:tcPr>
          <w:p w:rsidR="00B939B2" w:rsidRPr="006E085B" w:rsidRDefault="00B939B2"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B939B2" w:rsidRPr="006E085B" w:rsidRDefault="00B939B2"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B939B2" w:rsidRPr="006E085B" w:rsidRDefault="00B939B2"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B939B2" w:rsidRPr="006E085B" w:rsidRDefault="00B939B2"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B939B2" w:rsidRPr="006E085B" w:rsidRDefault="00B939B2"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25%</w:t>
            </w:r>
          </w:p>
        </w:tc>
      </w:tr>
      <w:tr w:rsidR="00C6078B" w:rsidRPr="006E085B" w:rsidTr="00684A27">
        <w:trPr>
          <w:jc w:val="center"/>
        </w:trPr>
        <w:tc>
          <w:tcPr>
            <w:tcW w:w="1980" w:type="dxa"/>
            <w:vAlign w:val="center"/>
          </w:tcPr>
          <w:p w:rsidR="00C6078B" w:rsidRPr="006E085B" w:rsidRDefault="00C6078B"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Burt et al</w:t>
            </w:r>
          </w:p>
        </w:tc>
        <w:tc>
          <w:tcPr>
            <w:tcW w:w="2693" w:type="dxa"/>
          </w:tcPr>
          <w:p w:rsidR="00C6078B"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693" w:type="dxa"/>
          </w:tcPr>
          <w:p w:rsidR="00C6078B"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C6078B"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C6078B"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C6078B" w:rsidRPr="006E085B" w:rsidRDefault="00C6078B" w:rsidP="00684A27">
            <w:pPr>
              <w:spacing w:line="480" w:lineRule="auto"/>
              <w:jc w:val="center"/>
              <w:rPr>
                <w:rFonts w:ascii="Times New Roman" w:hAnsi="Times New Roman" w:cs="Times New Roman"/>
                <w:color w:val="000000"/>
              </w:rPr>
            </w:pPr>
            <w:r w:rsidRPr="006E085B">
              <w:rPr>
                <w:rFonts w:ascii="Times New Roman" w:hAnsi="Times New Roman" w:cs="Times New Roman"/>
                <w:color w:val="000000"/>
              </w:rPr>
              <w:t>14,5%</w:t>
            </w:r>
          </w:p>
        </w:tc>
      </w:tr>
      <w:tr w:rsidR="00861657" w:rsidRPr="006E085B" w:rsidTr="00684A27">
        <w:trPr>
          <w:jc w:val="center"/>
        </w:trPr>
        <w:tc>
          <w:tcPr>
            <w:tcW w:w="1980" w:type="dxa"/>
            <w:vAlign w:val="center"/>
          </w:tcPr>
          <w:p w:rsidR="00861657" w:rsidRPr="006E085B" w:rsidRDefault="00861657" w:rsidP="00684A27">
            <w:pPr>
              <w:spacing w:line="480" w:lineRule="auto"/>
              <w:rPr>
                <w:rFonts w:ascii="Times New Roman" w:hAnsi="Times New Roman" w:cs="Times New Roman"/>
                <w:i/>
                <w:sz w:val="24"/>
                <w:szCs w:val="24"/>
              </w:rPr>
            </w:pPr>
            <w:r w:rsidRPr="006E085B">
              <w:rPr>
                <w:rFonts w:ascii="Times New Roman" w:hAnsi="Times New Roman" w:cs="Times New Roman"/>
                <w:i/>
                <w:sz w:val="24"/>
                <w:szCs w:val="24"/>
              </w:rPr>
              <w:t>Elshikhawoda et al</w:t>
            </w:r>
          </w:p>
        </w:tc>
        <w:tc>
          <w:tcPr>
            <w:tcW w:w="2693" w:type="dxa"/>
          </w:tcPr>
          <w:p w:rsidR="00861657" w:rsidRPr="006E085B" w:rsidRDefault="00861657" w:rsidP="00C6078B">
            <w:pPr>
              <w:spacing w:line="480" w:lineRule="auto"/>
              <w:jc w:val="center"/>
              <w:rPr>
                <w:rFonts w:ascii="Times New Roman" w:hAnsi="Times New Roman" w:cs="Times New Roman"/>
                <w:color w:val="000000"/>
              </w:rPr>
            </w:pPr>
            <w:r w:rsidRPr="006E085B">
              <w:rPr>
                <w:rFonts w:ascii="Times New Roman" w:hAnsi="Times New Roman" w:cs="Times New Roman"/>
                <w:color w:val="000000"/>
              </w:rPr>
              <w:t>37,4%</w:t>
            </w:r>
          </w:p>
        </w:tc>
        <w:tc>
          <w:tcPr>
            <w:tcW w:w="2693" w:type="dxa"/>
          </w:tcPr>
          <w:p w:rsidR="00861657" w:rsidRPr="006E085B" w:rsidRDefault="00861657" w:rsidP="00C6078B">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1707" w:type="dxa"/>
          </w:tcPr>
          <w:p w:rsidR="00861657" w:rsidRPr="006E085B" w:rsidRDefault="00861657" w:rsidP="00C6078B">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861657" w:rsidP="00C6078B">
            <w:pPr>
              <w:spacing w:line="480" w:lineRule="auto"/>
              <w:jc w:val="center"/>
              <w:rPr>
                <w:rFonts w:ascii="Times New Roman" w:hAnsi="Times New Roman" w:cs="Times New Roman"/>
                <w:color w:val="000000"/>
              </w:rPr>
            </w:pPr>
            <w:r w:rsidRPr="006E085B">
              <w:rPr>
                <w:rFonts w:ascii="Times New Roman" w:hAnsi="Times New Roman" w:cs="Times New Roman"/>
                <w:color w:val="000000"/>
              </w:rPr>
              <w:t>N/A</w:t>
            </w:r>
          </w:p>
        </w:tc>
        <w:tc>
          <w:tcPr>
            <w:tcW w:w="2977" w:type="dxa"/>
          </w:tcPr>
          <w:p w:rsidR="00861657" w:rsidRPr="006E085B" w:rsidRDefault="00C6078B" w:rsidP="00C6078B">
            <w:pPr>
              <w:spacing w:line="480" w:lineRule="auto"/>
              <w:jc w:val="center"/>
              <w:rPr>
                <w:rFonts w:ascii="Times New Roman" w:hAnsi="Times New Roman" w:cs="Times New Roman"/>
                <w:color w:val="000000"/>
              </w:rPr>
            </w:pPr>
            <w:r w:rsidRPr="006E085B">
              <w:rPr>
                <w:rFonts w:ascii="Times New Roman" w:hAnsi="Times New Roman" w:cs="Times New Roman"/>
                <w:color w:val="000000"/>
              </w:rPr>
              <w:t>43,6%</w:t>
            </w:r>
          </w:p>
        </w:tc>
      </w:tr>
    </w:tbl>
    <w:p w:rsidR="00861657" w:rsidRPr="006E085B" w:rsidRDefault="00861657" w:rsidP="00861657">
      <w:pPr>
        <w:rPr>
          <w:rFonts w:ascii="Times New Roman" w:hAnsi="Times New Roman" w:cs="Times New Roman"/>
          <w:sz w:val="24"/>
        </w:rPr>
      </w:pPr>
      <w:r w:rsidRPr="006E085B">
        <w:br w:type="textWrapping" w:clear="all"/>
      </w:r>
      <w:r w:rsidRPr="006E085B">
        <w:rPr>
          <w:rFonts w:ascii="Times New Roman" w:hAnsi="Times New Roman" w:cs="Times New Roman"/>
          <w:sz w:val="24"/>
        </w:rPr>
        <w:t>NA – unavailable data</w:t>
      </w:r>
    </w:p>
    <w:p w:rsidR="00861657" w:rsidRPr="006E085B" w:rsidRDefault="00861657" w:rsidP="00861657">
      <w:pPr>
        <w:rPr>
          <w:lang w:val="en-GB"/>
        </w:rPr>
      </w:pPr>
    </w:p>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6C6097" w:rsidRPr="006E085B" w:rsidRDefault="006C6097" w:rsidP="00393EBE"/>
    <w:p w:rsidR="00861657" w:rsidRPr="006E085B" w:rsidRDefault="00861657" w:rsidP="00393EBE"/>
    <w:p w:rsidR="00861657" w:rsidRPr="006E085B" w:rsidRDefault="00861657" w:rsidP="00393EBE"/>
    <w:p w:rsidR="00861657" w:rsidRPr="006E085B" w:rsidRDefault="00861657" w:rsidP="00861657">
      <w:pPr>
        <w:rPr>
          <w:lang w:val="en-US"/>
        </w:rPr>
        <w:sectPr w:rsidR="00861657" w:rsidRPr="006E085B" w:rsidSect="009B7EE0">
          <w:type w:val="nextPage"/>
          <w:pgSz w:w="16838" w:h="11906" w:orient="landscape"/>
          <w:pgMar w:top="1701" w:right="1418" w:bottom="1701" w:left="1418" w:header="709" w:footer="709" w:gutter="0"/>
          <w:cols w:space="708"/>
          <w:docGrid w:linePitch="360"/>
        </w:sectPr>
      </w:pPr>
    </w:p>
    <w:p w:rsidR="00861657" w:rsidRPr="006E085B" w:rsidRDefault="00DF5445" w:rsidP="00861657">
      <w:pPr>
        <w:rPr>
          <w:rFonts w:ascii="Times New Roman" w:hAnsi="Times New Roman" w:cs="Times New Roman"/>
          <w:sz w:val="24"/>
          <w:szCs w:val="24"/>
          <w:lang w:val="en-US"/>
        </w:rPr>
      </w:pPr>
      <w:r w:rsidRPr="006E085B">
        <w:rPr>
          <w:rFonts w:ascii="Times New Roman" w:hAnsi="Times New Roman" w:cs="Times New Roman"/>
          <w:sz w:val="24"/>
          <w:szCs w:val="24"/>
        </w:rPr>
        <w:t>Supplemental Table 5</w:t>
      </w:r>
      <w:r w:rsidR="00861657" w:rsidRPr="006E085B">
        <w:rPr>
          <w:rFonts w:ascii="Times New Roman" w:hAnsi="Times New Roman" w:cs="Times New Roman"/>
          <w:sz w:val="24"/>
          <w:szCs w:val="24"/>
        </w:rPr>
        <w:t xml:space="preserve"> – Metaregression for Maturation failure</w:t>
      </w:r>
      <w:r w:rsidR="00861657" w:rsidRPr="006E085B">
        <w:rPr>
          <w:rFonts w:ascii="Times New Roman" w:hAnsi="Times New Roman" w:cs="Times New Roman"/>
          <w:sz w:val="24"/>
          <w:szCs w:val="24"/>
        </w:rPr>
        <w:br/>
      </w:r>
    </w:p>
    <w:tbl>
      <w:tblPr>
        <w:tblStyle w:val="TableGrid"/>
        <w:tblW w:w="7010" w:type="dxa"/>
        <w:tblInd w:w="5" w:type="dxa"/>
        <w:tblLook w:val="04A0" w:firstRow="1" w:lastRow="0" w:firstColumn="1" w:lastColumn="0" w:noHBand="0" w:noVBand="1"/>
      </w:tblPr>
      <w:tblGrid>
        <w:gridCol w:w="1679"/>
        <w:gridCol w:w="2633"/>
        <w:gridCol w:w="1784"/>
        <w:gridCol w:w="914"/>
      </w:tblGrid>
      <w:tr w:rsidR="00861657" w:rsidRPr="006E085B" w:rsidTr="00861657">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Variable</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Odds Ratio (Exp(Coefficient))</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Confidence Interval</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p-Value</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Age</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1.007</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(1.001, 1.013)</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0.028</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Gender (Male)</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(-0.001, 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0.206</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Hypertension</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(-0.001, 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0.179</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DM</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(0.999, 1.002)</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0.711</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Smoking</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1.002</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(0.999, 1.005)</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0.184</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CAD</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0.998</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(0.997, 0.999)</w:t>
            </w:r>
          </w:p>
        </w:tc>
        <w:tc>
          <w:tcPr>
            <w:tcW w:w="0" w:type="auto"/>
            <w:hideMark/>
          </w:tcPr>
          <w:p w:rsidR="00861657" w:rsidRPr="006E085B" w:rsidRDefault="00861657" w:rsidP="00861657">
            <w:pPr>
              <w:rPr>
                <w:rFonts w:ascii="Times New Roman" w:eastAsia="Times New Roman" w:hAnsi="Times New Roman" w:cs="Times New Roman"/>
                <w:b/>
                <w:bCs/>
                <w:sz w:val="24"/>
                <w:szCs w:val="24"/>
                <w:lang w:eastAsia="pt-PT"/>
              </w:rPr>
            </w:pPr>
            <w:r w:rsidRPr="006E085B">
              <w:rPr>
                <w:rFonts w:ascii="Times New Roman" w:hAnsi="Times New Roman" w:cs="Times New Roman"/>
                <w:b/>
                <w:bCs/>
                <w:sz w:val="24"/>
                <w:szCs w:val="24"/>
              </w:rPr>
              <w:t>&lt; 0.001</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PAD</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0.994</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(0.988, 1.000)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0.061</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Previous Surgery</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1.006</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(1.000, 1.011)</w:t>
            </w:r>
          </w:p>
        </w:tc>
        <w:tc>
          <w:tcPr>
            <w:tcW w:w="0" w:type="auto"/>
            <w:hideMark/>
          </w:tcPr>
          <w:p w:rsidR="00861657" w:rsidRPr="006E085B" w:rsidRDefault="00861657" w:rsidP="00861657">
            <w:pPr>
              <w:rPr>
                <w:rFonts w:ascii="Times New Roman" w:eastAsia="Times New Roman" w:hAnsi="Times New Roman" w:cs="Times New Roman"/>
                <w:b/>
                <w:bCs/>
                <w:sz w:val="24"/>
                <w:szCs w:val="24"/>
                <w:lang w:eastAsia="pt-PT"/>
              </w:rPr>
            </w:pPr>
            <w:r w:rsidRPr="006E085B">
              <w:rPr>
                <w:rFonts w:ascii="Times New Roman" w:hAnsi="Times New Roman" w:cs="Times New Roman"/>
                <w:b/>
                <w:bCs/>
                <w:sz w:val="24"/>
                <w:szCs w:val="24"/>
              </w:rPr>
              <w:t>0.051</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Cefalic Diameter</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1.076</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(0.961, 1.211)</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0.197</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TL</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(-0.001, 0.000)</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0.223</w:t>
            </w:r>
          </w:p>
        </w:tc>
      </w:tr>
      <w:tr w:rsidR="00861657" w:rsidRPr="006E085B" w:rsidTr="00861657">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LL</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1.004</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(1.001, 1.008)</w:t>
            </w:r>
          </w:p>
        </w:tc>
        <w:tc>
          <w:tcPr>
            <w:tcW w:w="0" w:type="auto"/>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hAnsi="Times New Roman" w:cs="Times New Roman"/>
                <w:sz w:val="24"/>
                <w:szCs w:val="24"/>
              </w:rPr>
              <w:t>0.023</w:t>
            </w:r>
          </w:p>
        </w:tc>
      </w:tr>
    </w:tbl>
    <w:p w:rsidR="00861657" w:rsidRPr="006E085B" w:rsidRDefault="00861657" w:rsidP="00393EBE">
      <w:pPr>
        <w:rPr>
          <w:rFonts w:ascii="Times New Roman" w:hAnsi="Times New Roman" w:cs="Times New Roman"/>
          <w:sz w:val="24"/>
          <w:szCs w:val="24"/>
        </w:rPr>
      </w:pPr>
    </w:p>
    <w:p w:rsidR="00DF5445" w:rsidRPr="006E085B" w:rsidRDefault="000E5559" w:rsidP="00861657">
      <w:pPr>
        <w:rPr>
          <w:rFonts w:ascii="Times New Roman" w:hAnsi="Times New Roman" w:cs="Times New Roman"/>
          <w:sz w:val="24"/>
          <w:szCs w:val="24"/>
        </w:rPr>
      </w:pPr>
      <w:r w:rsidRPr="006E085B">
        <w:rPr>
          <w:rFonts w:ascii="Times New Roman" w:hAnsi="Times New Roman" w:cs="Times New Roman"/>
          <w:sz w:val="24"/>
          <w:szCs w:val="24"/>
          <w:lang w:val="en-GB"/>
        </w:rPr>
        <w:t>DM – diabetes mellitus; CAD – coronary artery disease; PAD – periferic artery disease</w:t>
      </w:r>
      <w:r w:rsidR="00DC1C62" w:rsidRPr="006E085B">
        <w:rPr>
          <w:rFonts w:ascii="Times New Roman" w:hAnsi="Times New Roman" w:cs="Times New Roman"/>
          <w:sz w:val="24"/>
          <w:szCs w:val="24"/>
          <w:lang w:val="en-GB"/>
        </w:rPr>
        <w:t>; TL (termino-lateral (</w:t>
      </w:r>
      <w:r w:rsidR="00DC1C62" w:rsidRPr="006E085B">
        <w:rPr>
          <w:rFonts w:ascii="Times New Roman" w:hAnsi="Times New Roman" w:cs="Times New Roman"/>
          <w:sz w:val="24"/>
          <w:szCs w:val="24"/>
          <w:lang w:val="en-US"/>
        </w:rPr>
        <w:t>End-to-Side</w:t>
      </w:r>
      <w:r w:rsidR="00DC1C62" w:rsidRPr="006E085B">
        <w:rPr>
          <w:rFonts w:ascii="Times New Roman" w:hAnsi="Times New Roman" w:cs="Times New Roman"/>
          <w:sz w:val="24"/>
          <w:szCs w:val="24"/>
          <w:lang w:val="en-GB"/>
        </w:rPr>
        <w:t>) anastomosis); LL (latero-lateral (</w:t>
      </w:r>
      <w:r w:rsidR="00DC1C62" w:rsidRPr="006E085B">
        <w:rPr>
          <w:rFonts w:ascii="Times New Roman" w:hAnsi="Times New Roman" w:cs="Times New Roman"/>
          <w:sz w:val="24"/>
          <w:szCs w:val="24"/>
          <w:lang w:val="en-US"/>
        </w:rPr>
        <w:t>Side-to-Side</w:t>
      </w:r>
      <w:r w:rsidR="00DC1C62" w:rsidRPr="006E085B">
        <w:rPr>
          <w:rFonts w:ascii="Times New Roman" w:hAnsi="Times New Roman" w:cs="Times New Roman"/>
          <w:sz w:val="24"/>
          <w:szCs w:val="24"/>
          <w:lang w:val="en-GB"/>
        </w:rPr>
        <w:t>) anastomosis)</w:t>
      </w: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DF5445" w:rsidRPr="006E085B" w:rsidRDefault="00DF5445" w:rsidP="00861657">
      <w:pPr>
        <w:rPr>
          <w:rFonts w:ascii="Times New Roman" w:hAnsi="Times New Roman" w:cs="Times New Roman"/>
          <w:sz w:val="24"/>
          <w:szCs w:val="24"/>
        </w:rPr>
      </w:pPr>
    </w:p>
    <w:p w:rsidR="00861657" w:rsidRPr="006E085B" w:rsidRDefault="00DF5445" w:rsidP="00861657">
      <w:pPr>
        <w:rPr>
          <w:rFonts w:ascii="Times New Roman" w:hAnsi="Times New Roman" w:cs="Times New Roman"/>
          <w:sz w:val="24"/>
          <w:szCs w:val="24"/>
        </w:rPr>
      </w:pPr>
      <w:r w:rsidRPr="006E085B">
        <w:rPr>
          <w:rFonts w:ascii="Times New Roman" w:hAnsi="Times New Roman" w:cs="Times New Roman"/>
          <w:sz w:val="24"/>
          <w:szCs w:val="24"/>
        </w:rPr>
        <w:t>Supplemental table 6</w:t>
      </w:r>
      <w:r w:rsidR="00861657" w:rsidRPr="006E085B">
        <w:rPr>
          <w:rFonts w:ascii="Times New Roman" w:hAnsi="Times New Roman" w:cs="Times New Roman"/>
          <w:sz w:val="24"/>
          <w:szCs w:val="24"/>
        </w:rPr>
        <w:t xml:space="preserve"> – Metaregression for Thrombosis</w:t>
      </w:r>
      <w:r w:rsidR="00861657" w:rsidRPr="006E085B">
        <w:rPr>
          <w:rFonts w:ascii="Times New Roman" w:hAnsi="Times New Roman" w:cs="Times New Roman"/>
          <w:sz w:val="24"/>
          <w:szCs w:val="24"/>
        </w:rPr>
        <w:br/>
      </w:r>
    </w:p>
    <w:tbl>
      <w:tblPr>
        <w:tblStyle w:val="TableGrid"/>
        <w:tblW w:w="7010" w:type="dxa"/>
        <w:tblInd w:w="5" w:type="dxa"/>
        <w:tblLook w:val="04A0" w:firstRow="1" w:lastRow="0" w:firstColumn="1" w:lastColumn="0" w:noHBand="0" w:noVBand="1"/>
      </w:tblPr>
      <w:tblGrid>
        <w:gridCol w:w="1679"/>
        <w:gridCol w:w="2633"/>
        <w:gridCol w:w="1784"/>
        <w:gridCol w:w="914"/>
      </w:tblGrid>
      <w:tr w:rsidR="00861657" w:rsidRPr="006E085B" w:rsidTr="00861657">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Variable</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Odds Ratio (Exp(Coefficient))</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Confidence Interval</w:t>
            </w:r>
          </w:p>
        </w:tc>
        <w:tc>
          <w:tcPr>
            <w:tcW w:w="0" w:type="auto"/>
            <w:hideMark/>
          </w:tcPr>
          <w:p w:rsidR="00861657" w:rsidRPr="006E085B" w:rsidRDefault="00861657" w:rsidP="00861657">
            <w:pPr>
              <w:jc w:val="center"/>
              <w:rPr>
                <w:rFonts w:ascii="Times New Roman" w:eastAsia="Times New Roman" w:hAnsi="Times New Roman" w:cs="Times New Roman"/>
                <w:b/>
                <w:bCs/>
                <w:sz w:val="24"/>
                <w:szCs w:val="24"/>
                <w:lang w:eastAsia="pt-PT"/>
              </w:rPr>
            </w:pPr>
            <w:r w:rsidRPr="006E085B">
              <w:rPr>
                <w:rStyle w:val="Strong"/>
                <w:rFonts w:ascii="Times New Roman" w:hAnsi="Times New Roman" w:cs="Times New Roman"/>
                <w:sz w:val="24"/>
                <w:szCs w:val="24"/>
              </w:rPr>
              <w:t>p-Value</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Age</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1.003</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(0.997, 1.009)</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0.300</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Gender (Male)</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(0.999, 1.000)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0.746</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Hypertension</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(0.999, 1.000)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0.707</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DM</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1.001</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(0.999, 1.002)</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0.389</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Smoking</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1.002</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(0.999, 1.004)</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0.151</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CAD</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(0.998, 1.003)</w:t>
            </w:r>
          </w:p>
        </w:tc>
        <w:tc>
          <w:tcPr>
            <w:tcW w:w="0" w:type="auto"/>
            <w:vAlign w:val="center"/>
            <w:hideMark/>
          </w:tcPr>
          <w:p w:rsidR="00861657" w:rsidRPr="006E085B" w:rsidRDefault="00861657" w:rsidP="00861657">
            <w:pPr>
              <w:rPr>
                <w:rFonts w:ascii="Times New Roman" w:eastAsia="Times New Roman" w:hAnsi="Times New Roman" w:cs="Times New Roman"/>
                <w:b/>
                <w:bCs/>
                <w:sz w:val="24"/>
                <w:szCs w:val="24"/>
                <w:lang w:eastAsia="pt-PT"/>
              </w:rPr>
            </w:pPr>
            <w:r w:rsidRPr="006E085B">
              <w:rPr>
                <w:rFonts w:ascii="Times New Roman" w:eastAsia="Times New Roman" w:hAnsi="Times New Roman" w:cs="Times New Roman"/>
                <w:sz w:val="24"/>
                <w:szCs w:val="24"/>
                <w:lang w:eastAsia="pt-PT"/>
              </w:rPr>
              <w:t>0.749</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PAD</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1.004</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(0.996, 1.013)</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0.297</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Previous Surgery</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1.003</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(0.995, 1.010)</w:t>
            </w:r>
          </w:p>
        </w:tc>
        <w:tc>
          <w:tcPr>
            <w:tcW w:w="0" w:type="auto"/>
            <w:vAlign w:val="center"/>
            <w:hideMark/>
          </w:tcPr>
          <w:p w:rsidR="00861657" w:rsidRPr="006E085B" w:rsidRDefault="00861657" w:rsidP="00861657">
            <w:pPr>
              <w:rPr>
                <w:rFonts w:ascii="Times New Roman" w:eastAsia="Times New Roman" w:hAnsi="Times New Roman" w:cs="Times New Roman"/>
                <w:b/>
                <w:bCs/>
                <w:sz w:val="24"/>
                <w:szCs w:val="24"/>
                <w:lang w:eastAsia="pt-PT"/>
              </w:rPr>
            </w:pPr>
            <w:r w:rsidRPr="006E085B">
              <w:rPr>
                <w:rFonts w:ascii="Times New Roman" w:eastAsia="Times New Roman" w:hAnsi="Times New Roman" w:cs="Times New Roman"/>
                <w:sz w:val="24"/>
                <w:szCs w:val="24"/>
                <w:lang w:eastAsia="pt-PT"/>
              </w:rPr>
              <w:t>0.496</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Cefalic Diameter</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1.081</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(0.969, 1.207)</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0.163</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TL</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(1.000, 1.000)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0.678</w:t>
            </w:r>
          </w:p>
        </w:tc>
      </w:tr>
      <w:tr w:rsidR="00861657" w:rsidRPr="006E085B" w:rsidTr="00861657">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LL</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0.999</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(0.998, 1.000)</w:t>
            </w:r>
          </w:p>
        </w:tc>
        <w:tc>
          <w:tcPr>
            <w:tcW w:w="0" w:type="auto"/>
            <w:vAlign w:val="center"/>
            <w:hideMark/>
          </w:tcPr>
          <w:p w:rsidR="00861657" w:rsidRPr="006E085B" w:rsidRDefault="00861657" w:rsidP="00861657">
            <w:pPr>
              <w:rPr>
                <w:rFonts w:ascii="Times New Roman" w:eastAsia="Times New Roman" w:hAnsi="Times New Roman" w:cs="Times New Roman"/>
                <w:sz w:val="24"/>
                <w:szCs w:val="24"/>
                <w:lang w:eastAsia="pt-PT"/>
              </w:rPr>
            </w:pPr>
            <w:r w:rsidRPr="006E085B">
              <w:rPr>
                <w:rFonts w:ascii="Times New Roman" w:eastAsia="Times New Roman" w:hAnsi="Times New Roman" w:cs="Times New Roman"/>
                <w:sz w:val="24"/>
                <w:szCs w:val="24"/>
                <w:lang w:eastAsia="pt-PT"/>
              </w:rPr>
              <w:t>0.137</w:t>
            </w:r>
          </w:p>
        </w:tc>
      </w:tr>
    </w:tbl>
    <w:p w:rsidR="00861657" w:rsidRPr="006E085B" w:rsidRDefault="00861657" w:rsidP="00861657">
      <w:pPr>
        <w:rPr>
          <w:rFonts w:ascii="Times New Roman" w:hAnsi="Times New Roman" w:cs="Times New Roman"/>
          <w:sz w:val="24"/>
          <w:szCs w:val="24"/>
        </w:rPr>
      </w:pPr>
    </w:p>
    <w:p w:rsidR="00DF5445" w:rsidRPr="00DC5D73" w:rsidRDefault="00DC1C62" w:rsidP="00393EBE">
      <w:pPr>
        <w:rPr>
          <w:rFonts w:ascii="Times New Roman" w:hAnsi="Times New Roman" w:cs="Times New Roman"/>
          <w:sz w:val="24"/>
          <w:szCs w:val="24"/>
          <w:lang w:val="en-GB"/>
        </w:rPr>
        <w:sectPr w:rsidR="00DF5445" w:rsidRPr="00DC5D73" w:rsidSect="009B7EE0">
          <w:type w:val="nextPage"/>
          <w:pgSz w:w="11906" w:h="16838"/>
          <w:pgMar w:top="1418" w:right="1701" w:bottom="1418" w:left="1701" w:header="709" w:footer="709" w:gutter="0"/>
          <w:cols w:space="708"/>
          <w:docGrid w:linePitch="360"/>
        </w:sectPr>
      </w:pPr>
      <w:r w:rsidRPr="006E085B">
        <w:rPr>
          <w:rFonts w:ascii="Times New Roman" w:hAnsi="Times New Roman" w:cs="Times New Roman"/>
          <w:sz w:val="24"/>
          <w:szCs w:val="24"/>
          <w:lang w:val="en-GB"/>
        </w:rPr>
        <w:t>DM – diabetes mellitus; CAD – coronary artery disease; PAD – periferic artery disease; TL (termino-lateral (</w:t>
      </w:r>
      <w:r w:rsidRPr="006E085B">
        <w:rPr>
          <w:rFonts w:ascii="Times New Roman" w:hAnsi="Times New Roman" w:cs="Times New Roman"/>
          <w:sz w:val="24"/>
          <w:szCs w:val="24"/>
          <w:lang w:val="en-US"/>
        </w:rPr>
        <w:t>End-to-Side</w:t>
      </w:r>
      <w:r w:rsidRPr="006E085B">
        <w:rPr>
          <w:rFonts w:ascii="Times New Roman" w:hAnsi="Times New Roman" w:cs="Times New Roman"/>
          <w:sz w:val="24"/>
          <w:szCs w:val="24"/>
          <w:lang w:val="en-GB"/>
        </w:rPr>
        <w:t>) anastomosis); LL (latero-lateral (</w:t>
      </w:r>
      <w:r w:rsidRPr="006E085B">
        <w:rPr>
          <w:rFonts w:ascii="Times New Roman" w:hAnsi="Times New Roman" w:cs="Times New Roman"/>
          <w:sz w:val="24"/>
          <w:szCs w:val="24"/>
          <w:lang w:val="en-US"/>
        </w:rPr>
        <w:t>Side-to-Side</w:t>
      </w:r>
      <w:r w:rsidR="00DF5445" w:rsidRPr="006E085B">
        <w:rPr>
          <w:rFonts w:ascii="Times New Roman" w:hAnsi="Times New Roman" w:cs="Times New Roman"/>
          <w:sz w:val="24"/>
          <w:szCs w:val="24"/>
          <w:lang w:val="en-GB"/>
        </w:rPr>
        <w:t>) anastomosis</w:t>
      </w:r>
    </w:p>
    <w:p w:rsidR="003717A7" w:rsidRPr="002C5F7E" w:rsidRDefault="003717A7" w:rsidP="002C5F7E">
      <w:pPr>
        <w:sectPr w:rsidR="003717A7" w:rsidRPr="002C5F7E" w:rsidSect="009B7EE0">
          <w:type w:val="nextPage"/>
          <w:pgSz w:w="11906" w:h="16838"/>
          <w:pgMar w:top="1418" w:right="1701" w:bottom="1418" w:left="1701" w:header="709" w:footer="709" w:gutter="0"/>
          <w:cols w:space="708"/>
          <w:docGrid w:linePitch="360"/>
        </w:sectPr>
      </w:pPr>
    </w:p>
    <w:p w:rsidR="003717A7" w:rsidRDefault="003717A7" w:rsidP="006C36E2">
      <w:pPr>
        <w:spacing w:line="480" w:lineRule="auto"/>
        <w:jc w:val="both"/>
        <w:rPr>
          <w:rFonts w:ascii="Times New Roman" w:hAnsi="Times New Roman" w:cs="Times New Roman"/>
          <w:b/>
          <w:color w:val="000000" w:themeColor="text1"/>
          <w:sz w:val="24"/>
          <w:szCs w:val="24"/>
        </w:rPr>
        <w:sectPr w:rsidR="003717A7" w:rsidSect="009B7EE0">
          <w:type w:val="nextPage"/>
          <w:pgSz w:w="11906" w:h="16838"/>
          <w:pgMar w:top="1418" w:right="1701" w:bottom="1418" w:left="1701" w:header="709" w:footer="709" w:gutter="0"/>
          <w:cols w:space="708"/>
          <w:docGrid w:linePitch="360"/>
        </w:sectPr>
      </w:pPr>
    </w:p>
    <w:bookmarkEnd w:id="0"/>
    <w:p w:rsidR="00A004F3" w:rsidRPr="00393EBE" w:rsidRDefault="00A004F3" w:rsidP="00393EBE"/>
    <w:sectPr w:rsidR="00A004F3" w:rsidRPr="00393EBE" w:rsidSect="009B7EE0">
      <w:type w:val="nextPage"/>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F0B" w:rsidRDefault="003D0F0B" w:rsidP="006C6097">
      <w:pPr>
        <w:spacing w:after="0" w:line="240" w:lineRule="auto"/>
      </w:pPr>
      <w:r>
        <w:separator/>
      </w:r>
    </w:p>
  </w:endnote>
  <w:endnote w:type="continuationSeparator" w:id="0">
    <w:p w:rsidR="003D0F0B" w:rsidRDefault="003D0F0B" w:rsidP="006C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764781"/>
      <w:docPartObj>
        <w:docPartGallery w:val="Page Numbers (Bottom of Page)"/>
        <w:docPartUnique/>
      </w:docPartObj>
    </w:sdtPr>
    <w:sdtEndPr/>
    <w:sdtContent>
      <w:p w:rsidR="00723AF6" w:rsidRDefault="00723AF6">
        <w:pPr>
          <w:pStyle w:val="Footer"/>
          <w:jc w:val="right"/>
        </w:pPr>
        <w:r>
          <w:fldChar w:fldCharType="begin"/>
        </w:r>
        <w:r>
          <w:instrText>PAGE   \* MERGEFORMAT</w:instrText>
        </w:r>
        <w:r>
          <w:fldChar w:fldCharType="separate"/>
        </w:r>
        <w:r w:rsidR="00E8775D">
          <w:rPr>
            <w:noProof/>
          </w:rPr>
          <w:t>2</w:t>
        </w:r>
        <w:r>
          <w:fldChar w:fldCharType="end"/>
        </w:r>
      </w:p>
    </w:sdtContent>
  </w:sdt>
  <w:p w:rsidR="00723AF6" w:rsidRDefault="00723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F0B" w:rsidRDefault="003D0F0B" w:rsidP="006C6097">
      <w:pPr>
        <w:spacing w:after="0" w:line="240" w:lineRule="auto"/>
      </w:pPr>
      <w:r>
        <w:separator/>
      </w:r>
    </w:p>
  </w:footnote>
  <w:footnote w:type="continuationSeparator" w:id="0">
    <w:p w:rsidR="003D0F0B" w:rsidRDefault="003D0F0B" w:rsidP="006C60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2BBB"/>
    <w:multiLevelType w:val="multilevel"/>
    <w:tmpl w:val="DE74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B1A95"/>
    <w:multiLevelType w:val="multilevel"/>
    <w:tmpl w:val="E7B8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50F34"/>
    <w:multiLevelType w:val="multilevel"/>
    <w:tmpl w:val="DBD4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A4BA2"/>
    <w:multiLevelType w:val="hybridMultilevel"/>
    <w:tmpl w:val="9280A0D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91317F1"/>
    <w:multiLevelType w:val="multilevel"/>
    <w:tmpl w:val="5748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85370"/>
    <w:multiLevelType w:val="multilevel"/>
    <w:tmpl w:val="6348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A0A2F"/>
    <w:multiLevelType w:val="multilevel"/>
    <w:tmpl w:val="B43C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16AD1"/>
    <w:multiLevelType w:val="multilevel"/>
    <w:tmpl w:val="67C8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048EB"/>
    <w:multiLevelType w:val="multilevel"/>
    <w:tmpl w:val="4F0A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D24990"/>
    <w:multiLevelType w:val="multilevel"/>
    <w:tmpl w:val="C79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93C6C"/>
    <w:multiLevelType w:val="hybridMultilevel"/>
    <w:tmpl w:val="A5CE403C"/>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71F20BD"/>
    <w:multiLevelType w:val="multilevel"/>
    <w:tmpl w:val="54B8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15B27"/>
    <w:multiLevelType w:val="multilevel"/>
    <w:tmpl w:val="84F6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02725"/>
    <w:multiLevelType w:val="multilevel"/>
    <w:tmpl w:val="D728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B798D"/>
    <w:multiLevelType w:val="multilevel"/>
    <w:tmpl w:val="D582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D30B9"/>
    <w:multiLevelType w:val="multilevel"/>
    <w:tmpl w:val="CFDC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37039"/>
    <w:multiLevelType w:val="multilevel"/>
    <w:tmpl w:val="0BA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B436C9"/>
    <w:multiLevelType w:val="multilevel"/>
    <w:tmpl w:val="1BFE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E07C0C"/>
    <w:multiLevelType w:val="multilevel"/>
    <w:tmpl w:val="6E52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2718D0"/>
    <w:multiLevelType w:val="multilevel"/>
    <w:tmpl w:val="158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C6080"/>
    <w:multiLevelType w:val="multilevel"/>
    <w:tmpl w:val="B6CE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D347DF"/>
    <w:multiLevelType w:val="multilevel"/>
    <w:tmpl w:val="CFE6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152FFE"/>
    <w:multiLevelType w:val="multilevel"/>
    <w:tmpl w:val="9AC6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D658EE"/>
    <w:multiLevelType w:val="multilevel"/>
    <w:tmpl w:val="E08E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B05AC1"/>
    <w:multiLevelType w:val="hybridMultilevel"/>
    <w:tmpl w:val="E076A7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33A5621"/>
    <w:multiLevelType w:val="multilevel"/>
    <w:tmpl w:val="EB80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1F3160"/>
    <w:multiLevelType w:val="multilevel"/>
    <w:tmpl w:val="F70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683CC1"/>
    <w:multiLevelType w:val="multilevel"/>
    <w:tmpl w:val="CC72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C85D5F"/>
    <w:multiLevelType w:val="multilevel"/>
    <w:tmpl w:val="A0EE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234E56"/>
    <w:multiLevelType w:val="multilevel"/>
    <w:tmpl w:val="D9E6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3"/>
  </w:num>
  <w:num w:numId="4">
    <w:abstractNumId w:val="27"/>
  </w:num>
  <w:num w:numId="5">
    <w:abstractNumId w:val="26"/>
  </w:num>
  <w:num w:numId="6">
    <w:abstractNumId w:val="7"/>
  </w:num>
  <w:num w:numId="7">
    <w:abstractNumId w:val="13"/>
  </w:num>
  <w:num w:numId="8">
    <w:abstractNumId w:val="28"/>
  </w:num>
  <w:num w:numId="9">
    <w:abstractNumId w:val="1"/>
  </w:num>
  <w:num w:numId="10">
    <w:abstractNumId w:val="25"/>
  </w:num>
  <w:num w:numId="11">
    <w:abstractNumId w:val="5"/>
  </w:num>
  <w:num w:numId="12">
    <w:abstractNumId w:val="8"/>
  </w:num>
  <w:num w:numId="13">
    <w:abstractNumId w:val="23"/>
  </w:num>
  <w:num w:numId="14">
    <w:abstractNumId w:val="14"/>
  </w:num>
  <w:num w:numId="15">
    <w:abstractNumId w:val="22"/>
  </w:num>
  <w:num w:numId="16">
    <w:abstractNumId w:val="21"/>
  </w:num>
  <w:num w:numId="17">
    <w:abstractNumId w:val="17"/>
  </w:num>
  <w:num w:numId="18">
    <w:abstractNumId w:val="9"/>
  </w:num>
  <w:num w:numId="19">
    <w:abstractNumId w:val="2"/>
  </w:num>
  <w:num w:numId="20">
    <w:abstractNumId w:val="6"/>
  </w:num>
  <w:num w:numId="21">
    <w:abstractNumId w:val="20"/>
  </w:num>
  <w:num w:numId="22">
    <w:abstractNumId w:val="18"/>
  </w:num>
  <w:num w:numId="23">
    <w:abstractNumId w:val="11"/>
  </w:num>
  <w:num w:numId="24">
    <w:abstractNumId w:val="15"/>
  </w:num>
  <w:num w:numId="25">
    <w:abstractNumId w:val="4"/>
  </w:num>
  <w:num w:numId="26">
    <w:abstractNumId w:val="0"/>
  </w:num>
  <w:num w:numId="27">
    <w:abstractNumId w:val="29"/>
  </w:num>
  <w:num w:numId="28">
    <w:abstractNumId w:val="19"/>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295zr9s2dew9ezt9l5x2tnrsez9z05tp9t&quot;&gt;My EndNote Library&lt;record-ids&gt;&lt;item&gt;329&lt;/item&gt;&lt;item&gt;330&lt;/item&gt;&lt;item&gt;331&lt;/item&gt;&lt;item&gt;332&lt;/item&gt;&lt;item&gt;333&lt;/item&gt;&lt;item&gt;334&lt;/item&gt;&lt;/record-ids&gt;&lt;/item&gt;&lt;/Libraries&gt;"/>
    <w:docVar w:name="EN.UseJSCitationFormat" w:val="False"/>
  </w:docVars>
  <w:rsids>
    <w:rsidRoot w:val="00557C37"/>
    <w:rsid w:val="000355FA"/>
    <w:rsid w:val="00041CC3"/>
    <w:rsid w:val="00052AA0"/>
    <w:rsid w:val="0006405C"/>
    <w:rsid w:val="000B2372"/>
    <w:rsid w:val="000E1557"/>
    <w:rsid w:val="000E5559"/>
    <w:rsid w:val="000F73DB"/>
    <w:rsid w:val="00181E71"/>
    <w:rsid w:val="00186501"/>
    <w:rsid w:val="001C7EEB"/>
    <w:rsid w:val="001E6A3D"/>
    <w:rsid w:val="00200AC7"/>
    <w:rsid w:val="002044A6"/>
    <w:rsid w:val="002129D8"/>
    <w:rsid w:val="002612BE"/>
    <w:rsid w:val="00276688"/>
    <w:rsid w:val="002906AF"/>
    <w:rsid w:val="002A220C"/>
    <w:rsid w:val="002A550C"/>
    <w:rsid w:val="002C1640"/>
    <w:rsid w:val="002C5F7E"/>
    <w:rsid w:val="002F282A"/>
    <w:rsid w:val="003019DA"/>
    <w:rsid w:val="003045F9"/>
    <w:rsid w:val="003051F0"/>
    <w:rsid w:val="003500F3"/>
    <w:rsid w:val="0035411F"/>
    <w:rsid w:val="003548A6"/>
    <w:rsid w:val="00356B3C"/>
    <w:rsid w:val="00360AA0"/>
    <w:rsid w:val="00363F29"/>
    <w:rsid w:val="003717A7"/>
    <w:rsid w:val="00371EE4"/>
    <w:rsid w:val="00393EBE"/>
    <w:rsid w:val="003D0F0B"/>
    <w:rsid w:val="003E644D"/>
    <w:rsid w:val="003F2FE3"/>
    <w:rsid w:val="0040021C"/>
    <w:rsid w:val="0040101B"/>
    <w:rsid w:val="00416D70"/>
    <w:rsid w:val="004508B5"/>
    <w:rsid w:val="0047140D"/>
    <w:rsid w:val="004A2419"/>
    <w:rsid w:val="004B0849"/>
    <w:rsid w:val="004B6F5D"/>
    <w:rsid w:val="004C5860"/>
    <w:rsid w:val="004D0F56"/>
    <w:rsid w:val="004E2E1C"/>
    <w:rsid w:val="004E440C"/>
    <w:rsid w:val="004F1A27"/>
    <w:rsid w:val="004F31F6"/>
    <w:rsid w:val="004F34AA"/>
    <w:rsid w:val="00520638"/>
    <w:rsid w:val="0052552A"/>
    <w:rsid w:val="00546B2C"/>
    <w:rsid w:val="00557C37"/>
    <w:rsid w:val="005623EE"/>
    <w:rsid w:val="00581D55"/>
    <w:rsid w:val="00582B26"/>
    <w:rsid w:val="00583965"/>
    <w:rsid w:val="00593E15"/>
    <w:rsid w:val="005947B2"/>
    <w:rsid w:val="005B3973"/>
    <w:rsid w:val="005F42EB"/>
    <w:rsid w:val="00663025"/>
    <w:rsid w:val="00673907"/>
    <w:rsid w:val="00684A27"/>
    <w:rsid w:val="006865C4"/>
    <w:rsid w:val="00691FE7"/>
    <w:rsid w:val="006C36E2"/>
    <w:rsid w:val="006C6097"/>
    <w:rsid w:val="006C7408"/>
    <w:rsid w:val="006E085B"/>
    <w:rsid w:val="00722FE1"/>
    <w:rsid w:val="00723AF6"/>
    <w:rsid w:val="00744C51"/>
    <w:rsid w:val="007523D0"/>
    <w:rsid w:val="00756479"/>
    <w:rsid w:val="00760B00"/>
    <w:rsid w:val="00762682"/>
    <w:rsid w:val="00763836"/>
    <w:rsid w:val="00776001"/>
    <w:rsid w:val="00794990"/>
    <w:rsid w:val="007B1E07"/>
    <w:rsid w:val="007D0F79"/>
    <w:rsid w:val="007E2047"/>
    <w:rsid w:val="007E70BD"/>
    <w:rsid w:val="00810A44"/>
    <w:rsid w:val="008125DB"/>
    <w:rsid w:val="00836031"/>
    <w:rsid w:val="00850ACD"/>
    <w:rsid w:val="00852C22"/>
    <w:rsid w:val="00861657"/>
    <w:rsid w:val="00876EBE"/>
    <w:rsid w:val="00877BF8"/>
    <w:rsid w:val="00880619"/>
    <w:rsid w:val="00902079"/>
    <w:rsid w:val="00935882"/>
    <w:rsid w:val="009361E9"/>
    <w:rsid w:val="009A3500"/>
    <w:rsid w:val="009A6376"/>
    <w:rsid w:val="009B7EE0"/>
    <w:rsid w:val="009E01E8"/>
    <w:rsid w:val="009E707E"/>
    <w:rsid w:val="009E7AE1"/>
    <w:rsid w:val="009F6A23"/>
    <w:rsid w:val="00A004F3"/>
    <w:rsid w:val="00A00D08"/>
    <w:rsid w:val="00A05BFB"/>
    <w:rsid w:val="00A07831"/>
    <w:rsid w:val="00A22352"/>
    <w:rsid w:val="00A65DDF"/>
    <w:rsid w:val="00A916F9"/>
    <w:rsid w:val="00A9360C"/>
    <w:rsid w:val="00A95CF9"/>
    <w:rsid w:val="00AC21AB"/>
    <w:rsid w:val="00AC2EBB"/>
    <w:rsid w:val="00AC3481"/>
    <w:rsid w:val="00AF77AB"/>
    <w:rsid w:val="00B22694"/>
    <w:rsid w:val="00B37362"/>
    <w:rsid w:val="00B47048"/>
    <w:rsid w:val="00B939B2"/>
    <w:rsid w:val="00BB79FA"/>
    <w:rsid w:val="00BD3ACB"/>
    <w:rsid w:val="00BD3E49"/>
    <w:rsid w:val="00BE6C40"/>
    <w:rsid w:val="00C15953"/>
    <w:rsid w:val="00C17946"/>
    <w:rsid w:val="00C27F96"/>
    <w:rsid w:val="00C4027D"/>
    <w:rsid w:val="00C6078B"/>
    <w:rsid w:val="00CA21A8"/>
    <w:rsid w:val="00CE2F66"/>
    <w:rsid w:val="00D116D4"/>
    <w:rsid w:val="00D27293"/>
    <w:rsid w:val="00DC1C62"/>
    <w:rsid w:val="00DC5D73"/>
    <w:rsid w:val="00DE1EEF"/>
    <w:rsid w:val="00DE3260"/>
    <w:rsid w:val="00DF4192"/>
    <w:rsid w:val="00DF5445"/>
    <w:rsid w:val="00E0236F"/>
    <w:rsid w:val="00E141AF"/>
    <w:rsid w:val="00E15359"/>
    <w:rsid w:val="00E17F95"/>
    <w:rsid w:val="00E61017"/>
    <w:rsid w:val="00E63EB5"/>
    <w:rsid w:val="00E70EE9"/>
    <w:rsid w:val="00E8628A"/>
    <w:rsid w:val="00E8775D"/>
    <w:rsid w:val="00EA688F"/>
    <w:rsid w:val="00EC772B"/>
    <w:rsid w:val="00EE06A5"/>
    <w:rsid w:val="00F30599"/>
    <w:rsid w:val="00F4045B"/>
    <w:rsid w:val="00F53591"/>
    <w:rsid w:val="00F7228F"/>
    <w:rsid w:val="00F76BCA"/>
    <w:rsid w:val="00F77D22"/>
    <w:rsid w:val="00F90172"/>
    <w:rsid w:val="00FB24B5"/>
    <w:rsid w:val="00FC530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A0732A9-445D-4CB2-A060-F52BBB80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3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paragraph" w:styleId="Heading3">
    <w:name w:val="heading 3"/>
    <w:basedOn w:val="Normal"/>
    <w:next w:val="Normal"/>
    <w:link w:val="Heading3Char"/>
    <w:uiPriority w:val="9"/>
    <w:semiHidden/>
    <w:unhideWhenUsed/>
    <w:qFormat/>
    <w:rsid w:val="006C36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93EBE"/>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GB"/>
    </w:rPr>
  </w:style>
  <w:style w:type="paragraph" w:styleId="NormalWeb">
    <w:name w:val="Normal (Web)"/>
    <w:basedOn w:val="Normal"/>
    <w:uiPriority w:val="99"/>
    <w:unhideWhenUsed/>
    <w:rsid w:val="006C6097"/>
    <w:pPr>
      <w:spacing w:before="100" w:beforeAutospacing="1" w:after="100" w:afterAutospacing="1" w:line="240" w:lineRule="auto"/>
    </w:pPr>
    <w:rPr>
      <w:rFonts w:ascii="Times New Roman" w:eastAsia="Times New Roman" w:hAnsi="Times New Roman" w:cs="Times New Roman"/>
      <w:sz w:val="24"/>
      <w:szCs w:val="24"/>
      <w:lang w:eastAsia="pt-PT"/>
    </w:rPr>
  </w:style>
  <w:style w:type="table" w:styleId="TableGrid">
    <w:name w:val="Table Grid"/>
    <w:basedOn w:val="TableNormal"/>
    <w:uiPriority w:val="59"/>
    <w:rsid w:val="006C6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97"/>
    <w:pPr>
      <w:tabs>
        <w:tab w:val="center" w:pos="4252"/>
        <w:tab w:val="right" w:pos="8504"/>
      </w:tabs>
      <w:spacing w:after="0" w:line="240" w:lineRule="auto"/>
    </w:pPr>
  </w:style>
  <w:style w:type="character" w:customStyle="1" w:styleId="HeaderChar">
    <w:name w:val="Header Char"/>
    <w:basedOn w:val="DefaultParagraphFont"/>
    <w:link w:val="Header"/>
    <w:uiPriority w:val="99"/>
    <w:rsid w:val="006C6097"/>
  </w:style>
  <w:style w:type="paragraph" w:styleId="Footer">
    <w:name w:val="footer"/>
    <w:basedOn w:val="Normal"/>
    <w:link w:val="FooterChar"/>
    <w:uiPriority w:val="99"/>
    <w:unhideWhenUsed/>
    <w:rsid w:val="006C6097"/>
    <w:pPr>
      <w:tabs>
        <w:tab w:val="center" w:pos="4252"/>
        <w:tab w:val="right" w:pos="8504"/>
      </w:tabs>
      <w:spacing w:after="0" w:line="240" w:lineRule="auto"/>
    </w:pPr>
  </w:style>
  <w:style w:type="character" w:customStyle="1" w:styleId="FooterChar">
    <w:name w:val="Footer Char"/>
    <w:basedOn w:val="DefaultParagraphFont"/>
    <w:link w:val="Footer"/>
    <w:uiPriority w:val="99"/>
    <w:rsid w:val="006C6097"/>
  </w:style>
  <w:style w:type="character" w:styleId="Strong">
    <w:name w:val="Strong"/>
    <w:basedOn w:val="DefaultParagraphFont"/>
    <w:uiPriority w:val="22"/>
    <w:qFormat/>
    <w:rsid w:val="00861657"/>
    <w:rPr>
      <w:b/>
      <w:bCs/>
    </w:rPr>
  </w:style>
  <w:style w:type="paragraph" w:styleId="CommentText">
    <w:name w:val="annotation text"/>
    <w:basedOn w:val="Normal"/>
    <w:link w:val="CommentTextChar"/>
    <w:uiPriority w:val="99"/>
    <w:unhideWhenUsed/>
    <w:rsid w:val="009E01E8"/>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9E01E8"/>
    <w:rPr>
      <w:rFonts w:eastAsiaTheme="minorEastAsia"/>
      <w:sz w:val="20"/>
      <w:szCs w:val="20"/>
      <w:lang w:val="en-AU" w:eastAsia="zh-CN"/>
    </w:rPr>
  </w:style>
  <w:style w:type="paragraph" w:customStyle="1" w:styleId="Default">
    <w:name w:val="Default"/>
    <w:rsid w:val="009E01E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9E01E8"/>
    <w:rPr>
      <w:rFonts w:cs="Times New Roman"/>
      <w:color w:val="auto"/>
    </w:rPr>
  </w:style>
  <w:style w:type="character" w:styleId="Hyperlink">
    <w:name w:val="Hyperlink"/>
    <w:rsid w:val="009E01E8"/>
    <w:rPr>
      <w:color w:val="0563C1"/>
      <w:u w:val="single"/>
    </w:rPr>
  </w:style>
  <w:style w:type="character" w:customStyle="1" w:styleId="Heading1Char">
    <w:name w:val="Heading 1 Char"/>
    <w:basedOn w:val="DefaultParagraphFont"/>
    <w:link w:val="Heading1"/>
    <w:uiPriority w:val="9"/>
    <w:rsid w:val="00BD3ACB"/>
    <w:rPr>
      <w:rFonts w:ascii="Times New Roman" w:eastAsia="Times New Roman" w:hAnsi="Times New Roman" w:cs="Times New Roman"/>
      <w:b/>
      <w:bCs/>
      <w:kern w:val="36"/>
      <w:sz w:val="48"/>
      <w:szCs w:val="48"/>
      <w:lang w:eastAsia="pt-PT"/>
    </w:rPr>
  </w:style>
  <w:style w:type="character" w:customStyle="1" w:styleId="MenoNoResolvida1">
    <w:name w:val="Menção Não Resolvida1"/>
    <w:basedOn w:val="DefaultParagraphFont"/>
    <w:uiPriority w:val="99"/>
    <w:semiHidden/>
    <w:unhideWhenUsed/>
    <w:rsid w:val="00BD3ACB"/>
    <w:rPr>
      <w:color w:val="605E5C"/>
      <w:shd w:val="clear" w:color="auto" w:fill="E1DFDD"/>
    </w:rPr>
  </w:style>
  <w:style w:type="paragraph" w:customStyle="1" w:styleId="EndNoteBibliographyTitle">
    <w:name w:val="EndNote Bibliography Title"/>
    <w:basedOn w:val="Normal"/>
    <w:link w:val="EndNoteBibliographyTitleCarter"/>
    <w:rsid w:val="00BD3ACB"/>
    <w:pPr>
      <w:spacing w:after="0"/>
      <w:jc w:val="center"/>
    </w:pPr>
    <w:rPr>
      <w:rFonts w:ascii="Calibri" w:hAnsi="Calibri" w:cs="Calibri"/>
      <w:noProof/>
      <w:lang w:val="en-US"/>
    </w:rPr>
  </w:style>
  <w:style w:type="character" w:customStyle="1" w:styleId="EndNoteBibliographyTitleCarter">
    <w:name w:val="EndNote Bibliography Title Caráter"/>
    <w:basedOn w:val="DefaultParagraphFont"/>
    <w:link w:val="EndNoteBibliographyTitle"/>
    <w:rsid w:val="00BD3ACB"/>
    <w:rPr>
      <w:rFonts w:ascii="Calibri" w:hAnsi="Calibri" w:cs="Calibri"/>
      <w:noProof/>
      <w:lang w:val="en-US"/>
    </w:rPr>
  </w:style>
  <w:style w:type="paragraph" w:customStyle="1" w:styleId="EndNoteBibliography">
    <w:name w:val="EndNote Bibliography"/>
    <w:basedOn w:val="Normal"/>
    <w:link w:val="EndNoteBibliographyCarter"/>
    <w:rsid w:val="00BD3ACB"/>
    <w:pPr>
      <w:spacing w:line="240" w:lineRule="auto"/>
      <w:jc w:val="both"/>
    </w:pPr>
    <w:rPr>
      <w:rFonts w:ascii="Calibri" w:hAnsi="Calibri" w:cs="Calibri"/>
      <w:noProof/>
      <w:lang w:val="en-US"/>
    </w:rPr>
  </w:style>
  <w:style w:type="character" w:customStyle="1" w:styleId="EndNoteBibliographyCarter">
    <w:name w:val="EndNote Bibliography Caráter"/>
    <w:basedOn w:val="DefaultParagraphFont"/>
    <w:link w:val="EndNoteBibliography"/>
    <w:rsid w:val="00BD3ACB"/>
    <w:rPr>
      <w:rFonts w:ascii="Calibri" w:hAnsi="Calibri" w:cs="Calibri"/>
      <w:noProof/>
      <w:lang w:val="en-US"/>
    </w:rPr>
  </w:style>
  <w:style w:type="paragraph" w:styleId="Revision">
    <w:name w:val="Revision"/>
    <w:hidden/>
    <w:uiPriority w:val="99"/>
    <w:semiHidden/>
    <w:rsid w:val="00BD3ACB"/>
    <w:pPr>
      <w:spacing w:after="0" w:line="240" w:lineRule="auto"/>
    </w:pPr>
    <w:rPr>
      <w:lang w:val="en-GB"/>
    </w:rPr>
  </w:style>
  <w:style w:type="paragraph" w:styleId="ListParagraph">
    <w:name w:val="List Paragraph"/>
    <w:basedOn w:val="Normal"/>
    <w:uiPriority w:val="34"/>
    <w:qFormat/>
    <w:rsid w:val="00BD3ACB"/>
    <w:pPr>
      <w:ind w:left="720"/>
      <w:contextualSpacing/>
    </w:pPr>
    <w:rPr>
      <w:lang w:val="en-GB"/>
    </w:rPr>
  </w:style>
  <w:style w:type="character" w:styleId="CommentReference">
    <w:name w:val="annotation reference"/>
    <w:basedOn w:val="DefaultParagraphFont"/>
    <w:uiPriority w:val="99"/>
    <w:semiHidden/>
    <w:unhideWhenUsed/>
    <w:rsid w:val="00BD3ACB"/>
    <w:rPr>
      <w:sz w:val="16"/>
      <w:szCs w:val="16"/>
    </w:rPr>
  </w:style>
  <w:style w:type="paragraph" w:styleId="CommentSubject">
    <w:name w:val="annotation subject"/>
    <w:basedOn w:val="CommentText"/>
    <w:next w:val="CommentText"/>
    <w:link w:val="CommentSubjectChar"/>
    <w:uiPriority w:val="99"/>
    <w:semiHidden/>
    <w:unhideWhenUsed/>
    <w:rsid w:val="00BD3ACB"/>
    <w:rPr>
      <w:rFonts w:eastAsiaTheme="minorHAnsi"/>
      <w:b/>
      <w:bCs/>
      <w:lang w:val="en-GB" w:eastAsia="en-US"/>
    </w:rPr>
  </w:style>
  <w:style w:type="character" w:customStyle="1" w:styleId="CommentSubjectChar">
    <w:name w:val="Comment Subject Char"/>
    <w:basedOn w:val="CommentTextChar"/>
    <w:link w:val="CommentSubject"/>
    <w:uiPriority w:val="99"/>
    <w:semiHidden/>
    <w:rsid w:val="00BD3ACB"/>
    <w:rPr>
      <w:rFonts w:eastAsiaTheme="minorEastAsia"/>
      <w:b/>
      <w:bCs/>
      <w:sz w:val="20"/>
      <w:szCs w:val="20"/>
      <w:lang w:val="en-GB" w:eastAsia="zh-CN"/>
    </w:rPr>
  </w:style>
  <w:style w:type="character" w:customStyle="1" w:styleId="field">
    <w:name w:val="field"/>
    <w:basedOn w:val="DefaultParagraphFont"/>
    <w:rsid w:val="00BD3ACB"/>
  </w:style>
  <w:style w:type="paragraph" w:styleId="BalloonText">
    <w:name w:val="Balloon Text"/>
    <w:basedOn w:val="Normal"/>
    <w:link w:val="BalloonTextChar"/>
    <w:uiPriority w:val="99"/>
    <w:semiHidden/>
    <w:unhideWhenUsed/>
    <w:rsid w:val="00BD3AC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BD3ACB"/>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BD3ACB"/>
    <w:rPr>
      <w:color w:val="605E5C"/>
      <w:shd w:val="clear" w:color="auto" w:fill="E1DFDD"/>
    </w:rPr>
  </w:style>
  <w:style w:type="character" w:styleId="Emphasis">
    <w:name w:val="Emphasis"/>
    <w:basedOn w:val="DefaultParagraphFont"/>
    <w:uiPriority w:val="20"/>
    <w:qFormat/>
    <w:rsid w:val="00BD3ACB"/>
    <w:rPr>
      <w:i/>
      <w:iCs/>
    </w:rPr>
  </w:style>
  <w:style w:type="character" w:customStyle="1" w:styleId="anchor-text">
    <w:name w:val="anchor-text"/>
    <w:basedOn w:val="DefaultParagraphFont"/>
    <w:rsid w:val="00BD3ACB"/>
  </w:style>
  <w:style w:type="character" w:customStyle="1" w:styleId="Heading3Char">
    <w:name w:val="Heading 3 Char"/>
    <w:basedOn w:val="DefaultParagraphFont"/>
    <w:link w:val="Heading3"/>
    <w:uiPriority w:val="9"/>
    <w:semiHidden/>
    <w:rsid w:val="006C36E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00804">
      <w:bodyDiv w:val="1"/>
      <w:marLeft w:val="0"/>
      <w:marRight w:val="0"/>
      <w:marTop w:val="0"/>
      <w:marBottom w:val="0"/>
      <w:divBdr>
        <w:top w:val="none" w:sz="0" w:space="0" w:color="auto"/>
        <w:left w:val="none" w:sz="0" w:space="0" w:color="auto"/>
        <w:bottom w:val="none" w:sz="0" w:space="0" w:color="auto"/>
        <w:right w:val="none" w:sz="0" w:space="0" w:color="auto"/>
      </w:divBdr>
    </w:div>
    <w:div w:id="123041161">
      <w:bodyDiv w:val="1"/>
      <w:marLeft w:val="0"/>
      <w:marRight w:val="0"/>
      <w:marTop w:val="0"/>
      <w:marBottom w:val="0"/>
      <w:divBdr>
        <w:top w:val="none" w:sz="0" w:space="0" w:color="auto"/>
        <w:left w:val="none" w:sz="0" w:space="0" w:color="auto"/>
        <w:bottom w:val="none" w:sz="0" w:space="0" w:color="auto"/>
        <w:right w:val="none" w:sz="0" w:space="0" w:color="auto"/>
      </w:divBdr>
    </w:div>
    <w:div w:id="202140782">
      <w:bodyDiv w:val="1"/>
      <w:marLeft w:val="0"/>
      <w:marRight w:val="0"/>
      <w:marTop w:val="0"/>
      <w:marBottom w:val="0"/>
      <w:divBdr>
        <w:top w:val="none" w:sz="0" w:space="0" w:color="auto"/>
        <w:left w:val="none" w:sz="0" w:space="0" w:color="auto"/>
        <w:bottom w:val="none" w:sz="0" w:space="0" w:color="auto"/>
        <w:right w:val="none" w:sz="0" w:space="0" w:color="auto"/>
      </w:divBdr>
    </w:div>
    <w:div w:id="258878808">
      <w:bodyDiv w:val="1"/>
      <w:marLeft w:val="0"/>
      <w:marRight w:val="0"/>
      <w:marTop w:val="0"/>
      <w:marBottom w:val="0"/>
      <w:divBdr>
        <w:top w:val="none" w:sz="0" w:space="0" w:color="auto"/>
        <w:left w:val="none" w:sz="0" w:space="0" w:color="auto"/>
        <w:bottom w:val="none" w:sz="0" w:space="0" w:color="auto"/>
        <w:right w:val="none" w:sz="0" w:space="0" w:color="auto"/>
      </w:divBdr>
    </w:div>
    <w:div w:id="323627479">
      <w:bodyDiv w:val="1"/>
      <w:marLeft w:val="0"/>
      <w:marRight w:val="0"/>
      <w:marTop w:val="0"/>
      <w:marBottom w:val="0"/>
      <w:divBdr>
        <w:top w:val="none" w:sz="0" w:space="0" w:color="auto"/>
        <w:left w:val="none" w:sz="0" w:space="0" w:color="auto"/>
        <w:bottom w:val="none" w:sz="0" w:space="0" w:color="auto"/>
        <w:right w:val="none" w:sz="0" w:space="0" w:color="auto"/>
      </w:divBdr>
    </w:div>
    <w:div w:id="376005247">
      <w:bodyDiv w:val="1"/>
      <w:marLeft w:val="0"/>
      <w:marRight w:val="0"/>
      <w:marTop w:val="0"/>
      <w:marBottom w:val="0"/>
      <w:divBdr>
        <w:top w:val="none" w:sz="0" w:space="0" w:color="auto"/>
        <w:left w:val="none" w:sz="0" w:space="0" w:color="auto"/>
        <w:bottom w:val="none" w:sz="0" w:space="0" w:color="auto"/>
        <w:right w:val="none" w:sz="0" w:space="0" w:color="auto"/>
      </w:divBdr>
    </w:div>
    <w:div w:id="410352129">
      <w:bodyDiv w:val="1"/>
      <w:marLeft w:val="0"/>
      <w:marRight w:val="0"/>
      <w:marTop w:val="0"/>
      <w:marBottom w:val="0"/>
      <w:divBdr>
        <w:top w:val="none" w:sz="0" w:space="0" w:color="auto"/>
        <w:left w:val="none" w:sz="0" w:space="0" w:color="auto"/>
        <w:bottom w:val="none" w:sz="0" w:space="0" w:color="auto"/>
        <w:right w:val="none" w:sz="0" w:space="0" w:color="auto"/>
      </w:divBdr>
    </w:div>
    <w:div w:id="618953668">
      <w:bodyDiv w:val="1"/>
      <w:marLeft w:val="0"/>
      <w:marRight w:val="0"/>
      <w:marTop w:val="0"/>
      <w:marBottom w:val="0"/>
      <w:divBdr>
        <w:top w:val="none" w:sz="0" w:space="0" w:color="auto"/>
        <w:left w:val="none" w:sz="0" w:space="0" w:color="auto"/>
        <w:bottom w:val="none" w:sz="0" w:space="0" w:color="auto"/>
        <w:right w:val="none" w:sz="0" w:space="0" w:color="auto"/>
      </w:divBdr>
    </w:div>
    <w:div w:id="636036186">
      <w:bodyDiv w:val="1"/>
      <w:marLeft w:val="0"/>
      <w:marRight w:val="0"/>
      <w:marTop w:val="0"/>
      <w:marBottom w:val="0"/>
      <w:divBdr>
        <w:top w:val="none" w:sz="0" w:space="0" w:color="auto"/>
        <w:left w:val="none" w:sz="0" w:space="0" w:color="auto"/>
        <w:bottom w:val="none" w:sz="0" w:space="0" w:color="auto"/>
        <w:right w:val="none" w:sz="0" w:space="0" w:color="auto"/>
      </w:divBdr>
    </w:div>
    <w:div w:id="636304118">
      <w:bodyDiv w:val="1"/>
      <w:marLeft w:val="0"/>
      <w:marRight w:val="0"/>
      <w:marTop w:val="0"/>
      <w:marBottom w:val="0"/>
      <w:divBdr>
        <w:top w:val="none" w:sz="0" w:space="0" w:color="auto"/>
        <w:left w:val="none" w:sz="0" w:space="0" w:color="auto"/>
        <w:bottom w:val="none" w:sz="0" w:space="0" w:color="auto"/>
        <w:right w:val="none" w:sz="0" w:space="0" w:color="auto"/>
      </w:divBdr>
    </w:div>
    <w:div w:id="751389469">
      <w:bodyDiv w:val="1"/>
      <w:marLeft w:val="0"/>
      <w:marRight w:val="0"/>
      <w:marTop w:val="0"/>
      <w:marBottom w:val="0"/>
      <w:divBdr>
        <w:top w:val="none" w:sz="0" w:space="0" w:color="auto"/>
        <w:left w:val="none" w:sz="0" w:space="0" w:color="auto"/>
        <w:bottom w:val="none" w:sz="0" w:space="0" w:color="auto"/>
        <w:right w:val="none" w:sz="0" w:space="0" w:color="auto"/>
      </w:divBdr>
    </w:div>
    <w:div w:id="759178877">
      <w:bodyDiv w:val="1"/>
      <w:marLeft w:val="0"/>
      <w:marRight w:val="0"/>
      <w:marTop w:val="0"/>
      <w:marBottom w:val="0"/>
      <w:divBdr>
        <w:top w:val="none" w:sz="0" w:space="0" w:color="auto"/>
        <w:left w:val="none" w:sz="0" w:space="0" w:color="auto"/>
        <w:bottom w:val="none" w:sz="0" w:space="0" w:color="auto"/>
        <w:right w:val="none" w:sz="0" w:space="0" w:color="auto"/>
      </w:divBdr>
    </w:div>
    <w:div w:id="795753018">
      <w:bodyDiv w:val="1"/>
      <w:marLeft w:val="0"/>
      <w:marRight w:val="0"/>
      <w:marTop w:val="0"/>
      <w:marBottom w:val="0"/>
      <w:divBdr>
        <w:top w:val="none" w:sz="0" w:space="0" w:color="auto"/>
        <w:left w:val="none" w:sz="0" w:space="0" w:color="auto"/>
        <w:bottom w:val="none" w:sz="0" w:space="0" w:color="auto"/>
        <w:right w:val="none" w:sz="0" w:space="0" w:color="auto"/>
      </w:divBdr>
    </w:div>
    <w:div w:id="875116663">
      <w:bodyDiv w:val="1"/>
      <w:marLeft w:val="0"/>
      <w:marRight w:val="0"/>
      <w:marTop w:val="0"/>
      <w:marBottom w:val="0"/>
      <w:divBdr>
        <w:top w:val="none" w:sz="0" w:space="0" w:color="auto"/>
        <w:left w:val="none" w:sz="0" w:space="0" w:color="auto"/>
        <w:bottom w:val="none" w:sz="0" w:space="0" w:color="auto"/>
        <w:right w:val="none" w:sz="0" w:space="0" w:color="auto"/>
      </w:divBdr>
    </w:div>
    <w:div w:id="952175933">
      <w:bodyDiv w:val="1"/>
      <w:marLeft w:val="0"/>
      <w:marRight w:val="0"/>
      <w:marTop w:val="0"/>
      <w:marBottom w:val="0"/>
      <w:divBdr>
        <w:top w:val="none" w:sz="0" w:space="0" w:color="auto"/>
        <w:left w:val="none" w:sz="0" w:space="0" w:color="auto"/>
        <w:bottom w:val="none" w:sz="0" w:space="0" w:color="auto"/>
        <w:right w:val="none" w:sz="0" w:space="0" w:color="auto"/>
      </w:divBdr>
    </w:div>
    <w:div w:id="1144854787">
      <w:bodyDiv w:val="1"/>
      <w:marLeft w:val="0"/>
      <w:marRight w:val="0"/>
      <w:marTop w:val="0"/>
      <w:marBottom w:val="0"/>
      <w:divBdr>
        <w:top w:val="none" w:sz="0" w:space="0" w:color="auto"/>
        <w:left w:val="none" w:sz="0" w:space="0" w:color="auto"/>
        <w:bottom w:val="none" w:sz="0" w:space="0" w:color="auto"/>
        <w:right w:val="none" w:sz="0" w:space="0" w:color="auto"/>
      </w:divBdr>
    </w:div>
    <w:div w:id="1187985014">
      <w:bodyDiv w:val="1"/>
      <w:marLeft w:val="0"/>
      <w:marRight w:val="0"/>
      <w:marTop w:val="0"/>
      <w:marBottom w:val="0"/>
      <w:divBdr>
        <w:top w:val="none" w:sz="0" w:space="0" w:color="auto"/>
        <w:left w:val="none" w:sz="0" w:space="0" w:color="auto"/>
        <w:bottom w:val="none" w:sz="0" w:space="0" w:color="auto"/>
        <w:right w:val="none" w:sz="0" w:space="0" w:color="auto"/>
      </w:divBdr>
    </w:div>
    <w:div w:id="1332368438">
      <w:bodyDiv w:val="1"/>
      <w:marLeft w:val="0"/>
      <w:marRight w:val="0"/>
      <w:marTop w:val="0"/>
      <w:marBottom w:val="0"/>
      <w:divBdr>
        <w:top w:val="none" w:sz="0" w:space="0" w:color="auto"/>
        <w:left w:val="none" w:sz="0" w:space="0" w:color="auto"/>
        <w:bottom w:val="none" w:sz="0" w:space="0" w:color="auto"/>
        <w:right w:val="none" w:sz="0" w:space="0" w:color="auto"/>
      </w:divBdr>
    </w:div>
    <w:div w:id="1387266305">
      <w:bodyDiv w:val="1"/>
      <w:marLeft w:val="0"/>
      <w:marRight w:val="0"/>
      <w:marTop w:val="0"/>
      <w:marBottom w:val="0"/>
      <w:divBdr>
        <w:top w:val="none" w:sz="0" w:space="0" w:color="auto"/>
        <w:left w:val="none" w:sz="0" w:space="0" w:color="auto"/>
        <w:bottom w:val="none" w:sz="0" w:space="0" w:color="auto"/>
        <w:right w:val="none" w:sz="0" w:space="0" w:color="auto"/>
      </w:divBdr>
    </w:div>
    <w:div w:id="1411923234">
      <w:bodyDiv w:val="1"/>
      <w:marLeft w:val="0"/>
      <w:marRight w:val="0"/>
      <w:marTop w:val="0"/>
      <w:marBottom w:val="0"/>
      <w:divBdr>
        <w:top w:val="none" w:sz="0" w:space="0" w:color="auto"/>
        <w:left w:val="none" w:sz="0" w:space="0" w:color="auto"/>
        <w:bottom w:val="none" w:sz="0" w:space="0" w:color="auto"/>
        <w:right w:val="none" w:sz="0" w:space="0" w:color="auto"/>
      </w:divBdr>
    </w:div>
    <w:div w:id="1463385696">
      <w:bodyDiv w:val="1"/>
      <w:marLeft w:val="0"/>
      <w:marRight w:val="0"/>
      <w:marTop w:val="0"/>
      <w:marBottom w:val="0"/>
      <w:divBdr>
        <w:top w:val="none" w:sz="0" w:space="0" w:color="auto"/>
        <w:left w:val="none" w:sz="0" w:space="0" w:color="auto"/>
        <w:bottom w:val="none" w:sz="0" w:space="0" w:color="auto"/>
        <w:right w:val="none" w:sz="0" w:space="0" w:color="auto"/>
      </w:divBdr>
    </w:div>
    <w:div w:id="1547372644">
      <w:bodyDiv w:val="1"/>
      <w:marLeft w:val="0"/>
      <w:marRight w:val="0"/>
      <w:marTop w:val="0"/>
      <w:marBottom w:val="0"/>
      <w:divBdr>
        <w:top w:val="none" w:sz="0" w:space="0" w:color="auto"/>
        <w:left w:val="none" w:sz="0" w:space="0" w:color="auto"/>
        <w:bottom w:val="none" w:sz="0" w:space="0" w:color="auto"/>
        <w:right w:val="none" w:sz="0" w:space="0" w:color="auto"/>
      </w:divBdr>
    </w:div>
    <w:div w:id="1552156332">
      <w:bodyDiv w:val="1"/>
      <w:marLeft w:val="0"/>
      <w:marRight w:val="0"/>
      <w:marTop w:val="0"/>
      <w:marBottom w:val="0"/>
      <w:divBdr>
        <w:top w:val="none" w:sz="0" w:space="0" w:color="auto"/>
        <w:left w:val="none" w:sz="0" w:space="0" w:color="auto"/>
        <w:bottom w:val="none" w:sz="0" w:space="0" w:color="auto"/>
        <w:right w:val="none" w:sz="0" w:space="0" w:color="auto"/>
      </w:divBdr>
    </w:div>
    <w:div w:id="1570967453">
      <w:bodyDiv w:val="1"/>
      <w:marLeft w:val="0"/>
      <w:marRight w:val="0"/>
      <w:marTop w:val="0"/>
      <w:marBottom w:val="0"/>
      <w:divBdr>
        <w:top w:val="none" w:sz="0" w:space="0" w:color="auto"/>
        <w:left w:val="none" w:sz="0" w:space="0" w:color="auto"/>
        <w:bottom w:val="none" w:sz="0" w:space="0" w:color="auto"/>
        <w:right w:val="none" w:sz="0" w:space="0" w:color="auto"/>
      </w:divBdr>
    </w:div>
    <w:div w:id="1697074199">
      <w:bodyDiv w:val="1"/>
      <w:marLeft w:val="0"/>
      <w:marRight w:val="0"/>
      <w:marTop w:val="0"/>
      <w:marBottom w:val="0"/>
      <w:divBdr>
        <w:top w:val="none" w:sz="0" w:space="0" w:color="auto"/>
        <w:left w:val="none" w:sz="0" w:space="0" w:color="auto"/>
        <w:bottom w:val="none" w:sz="0" w:space="0" w:color="auto"/>
        <w:right w:val="none" w:sz="0" w:space="0" w:color="auto"/>
      </w:divBdr>
    </w:div>
    <w:div w:id="1746150250">
      <w:bodyDiv w:val="1"/>
      <w:marLeft w:val="0"/>
      <w:marRight w:val="0"/>
      <w:marTop w:val="0"/>
      <w:marBottom w:val="0"/>
      <w:divBdr>
        <w:top w:val="none" w:sz="0" w:space="0" w:color="auto"/>
        <w:left w:val="none" w:sz="0" w:space="0" w:color="auto"/>
        <w:bottom w:val="none" w:sz="0" w:space="0" w:color="auto"/>
        <w:right w:val="none" w:sz="0" w:space="0" w:color="auto"/>
      </w:divBdr>
    </w:div>
    <w:div w:id="1806894037">
      <w:bodyDiv w:val="1"/>
      <w:marLeft w:val="0"/>
      <w:marRight w:val="0"/>
      <w:marTop w:val="0"/>
      <w:marBottom w:val="0"/>
      <w:divBdr>
        <w:top w:val="none" w:sz="0" w:space="0" w:color="auto"/>
        <w:left w:val="none" w:sz="0" w:space="0" w:color="auto"/>
        <w:bottom w:val="none" w:sz="0" w:space="0" w:color="auto"/>
        <w:right w:val="none" w:sz="0" w:space="0" w:color="auto"/>
      </w:divBdr>
    </w:div>
    <w:div w:id="1846049148">
      <w:bodyDiv w:val="1"/>
      <w:marLeft w:val="0"/>
      <w:marRight w:val="0"/>
      <w:marTop w:val="0"/>
      <w:marBottom w:val="0"/>
      <w:divBdr>
        <w:top w:val="none" w:sz="0" w:space="0" w:color="auto"/>
        <w:left w:val="none" w:sz="0" w:space="0" w:color="auto"/>
        <w:bottom w:val="none" w:sz="0" w:space="0" w:color="auto"/>
        <w:right w:val="none" w:sz="0" w:space="0" w:color="auto"/>
      </w:divBdr>
    </w:div>
    <w:div w:id="1880512443">
      <w:bodyDiv w:val="1"/>
      <w:marLeft w:val="0"/>
      <w:marRight w:val="0"/>
      <w:marTop w:val="0"/>
      <w:marBottom w:val="0"/>
      <w:divBdr>
        <w:top w:val="none" w:sz="0" w:space="0" w:color="auto"/>
        <w:left w:val="none" w:sz="0" w:space="0" w:color="auto"/>
        <w:bottom w:val="none" w:sz="0" w:space="0" w:color="auto"/>
        <w:right w:val="none" w:sz="0" w:space="0" w:color="auto"/>
      </w:divBdr>
    </w:div>
    <w:div w:id="1898474137">
      <w:bodyDiv w:val="1"/>
      <w:marLeft w:val="0"/>
      <w:marRight w:val="0"/>
      <w:marTop w:val="0"/>
      <w:marBottom w:val="0"/>
      <w:divBdr>
        <w:top w:val="none" w:sz="0" w:space="0" w:color="auto"/>
        <w:left w:val="none" w:sz="0" w:space="0" w:color="auto"/>
        <w:bottom w:val="none" w:sz="0" w:space="0" w:color="auto"/>
        <w:right w:val="none" w:sz="0" w:space="0" w:color="auto"/>
      </w:divBdr>
    </w:div>
    <w:div w:id="2004770576">
      <w:bodyDiv w:val="1"/>
      <w:marLeft w:val="0"/>
      <w:marRight w:val="0"/>
      <w:marTop w:val="0"/>
      <w:marBottom w:val="0"/>
      <w:divBdr>
        <w:top w:val="none" w:sz="0" w:space="0" w:color="auto"/>
        <w:left w:val="none" w:sz="0" w:space="0" w:color="auto"/>
        <w:bottom w:val="none" w:sz="0" w:space="0" w:color="auto"/>
        <w:right w:val="none" w:sz="0" w:space="0" w:color="auto"/>
      </w:divBdr>
    </w:div>
    <w:div w:id="2038042306">
      <w:bodyDiv w:val="1"/>
      <w:marLeft w:val="0"/>
      <w:marRight w:val="0"/>
      <w:marTop w:val="0"/>
      <w:marBottom w:val="0"/>
      <w:divBdr>
        <w:top w:val="none" w:sz="0" w:space="0" w:color="auto"/>
        <w:left w:val="none" w:sz="0" w:space="0" w:color="auto"/>
        <w:bottom w:val="none" w:sz="0" w:space="0" w:color="auto"/>
        <w:right w:val="none" w:sz="0" w:space="0" w:color="auto"/>
      </w:divBdr>
    </w:div>
    <w:div w:id="211053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7D4D7-EA5F-4687-AAF5-AE34E32CA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1568</Words>
  <Characters>8942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Cristino</dc:creator>
  <cp:keywords/>
  <dc:description/>
  <cp:lastModifiedBy>Aswini Vijayakumar</cp:lastModifiedBy>
  <cp:revision>5</cp:revision>
  <cp:lastPrinted>2025-02-28T11:04:00Z</cp:lastPrinted>
  <dcterms:created xsi:type="dcterms:W3CDTF">2025-04-25T17:23:00Z</dcterms:created>
  <dcterms:modified xsi:type="dcterms:W3CDTF">2025-07-14T05:08:00Z</dcterms:modified>
</cp:coreProperties>
</file>