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C6EAE" w14:textId="5C673142" w:rsidR="00F35A19" w:rsidRPr="005E164E" w:rsidRDefault="00F35A19" w:rsidP="005A2CC9">
      <w:pPr>
        <w:spacing w:line="276" w:lineRule="auto"/>
        <w:rPr>
          <w:b/>
          <w:bCs/>
        </w:rPr>
      </w:pPr>
      <w:r w:rsidRPr="005E164E">
        <w:rPr>
          <w:b/>
          <w:bCs/>
        </w:rPr>
        <w:t>Supplementary Material</w:t>
      </w:r>
      <w:r w:rsidR="004B6A72" w:rsidRPr="005E164E">
        <w:rPr>
          <w:b/>
          <w:bCs/>
        </w:rPr>
        <w:t xml:space="preserve"> 1</w:t>
      </w:r>
      <w:r w:rsidR="00CC125C" w:rsidRPr="005E164E">
        <w:rPr>
          <w:b/>
          <w:bCs/>
        </w:rPr>
        <w:t>:</w:t>
      </w:r>
      <w:r w:rsidR="006A191A" w:rsidRPr="005E164E">
        <w:rPr>
          <w:b/>
          <w:bCs/>
        </w:rPr>
        <w:t xml:space="preserve"> </w:t>
      </w:r>
    </w:p>
    <w:p w14:paraId="382AF7DD" w14:textId="6373B7B1" w:rsidR="001D19EA" w:rsidRDefault="001D19EA" w:rsidP="005A2CC9">
      <w:pPr>
        <w:pStyle w:val="Heading1"/>
        <w:spacing w:line="276" w:lineRule="auto"/>
        <w:rPr>
          <w:rFonts w:eastAsia="MS Gothic"/>
        </w:rPr>
      </w:pPr>
      <w:r w:rsidRPr="00F35A19">
        <w:rPr>
          <w:rFonts w:eastAsia="MS Gothic"/>
        </w:rPr>
        <w:t>Method</w:t>
      </w:r>
    </w:p>
    <w:p w14:paraId="7176C5C1" w14:textId="257C08F5" w:rsidR="00A919F5" w:rsidRDefault="00F35A19" w:rsidP="005A2CC9">
      <w:pPr>
        <w:spacing w:line="276" w:lineRule="auto"/>
      </w:pPr>
      <w:r w:rsidRPr="006A7E4A">
        <w:t xml:space="preserve">This paper analyses the options to broaden the </w:t>
      </w:r>
      <w:r>
        <w:t xml:space="preserve">base of </w:t>
      </w:r>
      <w:r w:rsidRPr="006A7E4A">
        <w:t>climate finance provid</w:t>
      </w:r>
      <w:r>
        <w:t xml:space="preserve">ing countries </w:t>
      </w:r>
      <w:r w:rsidR="001431EC">
        <w:t xml:space="preserve">under the UNFCCC </w:t>
      </w:r>
      <w:r>
        <w:t xml:space="preserve">in a </w:t>
      </w:r>
      <w:r w:rsidR="005D0347" w:rsidRPr="00971798">
        <w:t>mixed methods</w:t>
      </w:r>
      <w:r w:rsidRPr="00971798">
        <w:t xml:space="preserve"> review</w:t>
      </w:r>
      <w:r w:rsidR="00101A4E">
        <w:t xml:space="preserve"> (See </w:t>
      </w:r>
      <w:r w:rsidR="00001C13">
        <w:t>section 3)</w:t>
      </w:r>
      <w:r w:rsidRPr="006A7E4A">
        <w:t xml:space="preserve">. </w:t>
      </w:r>
      <w:r w:rsidR="0064697F">
        <w:t xml:space="preserve">This online Supplementary Material </w:t>
      </w:r>
      <w:r w:rsidR="003E078D">
        <w:t>explains the four review methods used in Section 3.1-3.4</w:t>
      </w:r>
      <w:r w:rsidR="00BD2B6E">
        <w:t>.</w:t>
      </w:r>
    </w:p>
    <w:p w14:paraId="25AC5C61" w14:textId="05A603C6" w:rsidR="00F35A19" w:rsidRDefault="00C17951" w:rsidP="005A2CC9">
      <w:pPr>
        <w:pStyle w:val="Heading1"/>
        <w:numPr>
          <w:ilvl w:val="0"/>
          <w:numId w:val="7"/>
        </w:numPr>
        <w:spacing w:before="240" w:after="0" w:line="276" w:lineRule="auto"/>
        <w:rPr>
          <w:rFonts w:ascii="Calibri Light" w:eastAsia="MS Gothic" w:hAnsi="Calibri Light" w:cs="Times New Roman"/>
          <w:color w:val="2F5496"/>
          <w:kern w:val="0"/>
          <w:sz w:val="32"/>
          <w:szCs w:val="32"/>
          <w14:ligatures w14:val="none"/>
        </w:rPr>
      </w:pPr>
      <w:r w:rsidRPr="00F35A19">
        <w:rPr>
          <w:rFonts w:ascii="Calibri Light" w:eastAsia="MS Gothic" w:hAnsi="Calibri Light" w:cs="Times New Roman"/>
          <w:color w:val="2F5496"/>
          <w:kern w:val="0"/>
          <w:sz w:val="32"/>
          <w:szCs w:val="32"/>
          <w14:ligatures w14:val="none"/>
        </w:rPr>
        <w:t>Changing commitments</w:t>
      </w:r>
      <w:r>
        <w:rPr>
          <w:rFonts w:ascii="Calibri Light" w:eastAsia="MS Gothic" w:hAnsi="Calibri Light" w:cs="Times New Roman"/>
          <w:color w:val="2F5496"/>
          <w:kern w:val="0"/>
          <w:sz w:val="32"/>
          <w:szCs w:val="32"/>
          <w14:ligatures w14:val="none"/>
        </w:rPr>
        <w:t xml:space="preserve"> </w:t>
      </w:r>
      <w:r w:rsidRPr="00A919F5">
        <w:rPr>
          <w:rFonts w:ascii="Calibri Light" w:eastAsia="MS Gothic" w:hAnsi="Calibri Light" w:cs="Times New Roman"/>
          <w:color w:val="2F5496"/>
          <w:kern w:val="0"/>
          <w:sz w:val="32"/>
          <w:szCs w:val="32"/>
          <w14:ligatures w14:val="none"/>
        </w:rPr>
        <w:t xml:space="preserve">under international </w:t>
      </w:r>
      <w:r w:rsidR="003669DF">
        <w:rPr>
          <w:rFonts w:ascii="Calibri Light" w:eastAsia="MS Gothic" w:hAnsi="Calibri Light" w:cs="Times New Roman"/>
          <w:color w:val="2F5496"/>
          <w:kern w:val="0"/>
          <w:sz w:val="32"/>
          <w:szCs w:val="32"/>
          <w14:ligatures w14:val="none"/>
        </w:rPr>
        <w:t>instruments</w:t>
      </w:r>
    </w:p>
    <w:p w14:paraId="1ACF6EBF" w14:textId="37E65C2A" w:rsidR="00872607" w:rsidRDefault="007211C9" w:rsidP="005A2CC9">
      <w:pPr>
        <w:spacing w:after="120" w:line="276" w:lineRule="auto"/>
        <w:jc w:val="both"/>
      </w:pPr>
      <w:r>
        <w:t xml:space="preserve">This review compares eight </w:t>
      </w:r>
      <w:r w:rsidR="00F35A19" w:rsidRPr="006A7E4A">
        <w:t>international agreements</w:t>
      </w:r>
      <w:r w:rsidR="00872607">
        <w:rPr>
          <w:rFonts w:cstheme="minorHAnsi"/>
        </w:rPr>
        <w:t>, declarations and agendas</w:t>
      </w:r>
      <w:r w:rsidR="00872607" w:rsidRPr="005E47FE">
        <w:rPr>
          <w:rFonts w:cstheme="minorHAnsi"/>
        </w:rPr>
        <w:t xml:space="preserve"> on climate, environment and development</w:t>
      </w:r>
      <w:r w:rsidR="00306E9C" w:rsidRPr="00306E9C">
        <w:t xml:space="preserve"> </w:t>
      </w:r>
      <w:r w:rsidR="00306E9C">
        <w:t xml:space="preserve">on the commitments of Non-Annex II </w:t>
      </w:r>
      <w:r w:rsidR="00340295">
        <w:t>countries</w:t>
      </w:r>
      <w:r w:rsidR="00306E9C">
        <w:t xml:space="preserve"> to provide finance.</w:t>
      </w:r>
      <w:r w:rsidR="00872607" w:rsidRPr="005E47FE">
        <w:rPr>
          <w:rFonts w:cstheme="minorHAnsi"/>
        </w:rPr>
        <w:t xml:space="preserve"> </w:t>
      </w:r>
      <w:r w:rsidR="00872607">
        <w:rPr>
          <w:rFonts w:cstheme="minorHAnsi"/>
        </w:rPr>
        <w:t xml:space="preserve">While differing on </w:t>
      </w:r>
      <w:r w:rsidR="001D1234">
        <w:rPr>
          <w:rFonts w:cstheme="minorHAnsi"/>
        </w:rPr>
        <w:t xml:space="preserve">whether they are legally binding </w:t>
      </w:r>
      <w:r w:rsidR="00872607">
        <w:rPr>
          <w:rFonts w:cstheme="minorHAnsi"/>
        </w:rPr>
        <w:t xml:space="preserve">and </w:t>
      </w:r>
      <w:r w:rsidR="00C246D7">
        <w:rPr>
          <w:rFonts w:cstheme="minorHAnsi"/>
        </w:rPr>
        <w:t>although countries attach different weights to them</w:t>
      </w:r>
      <w:r w:rsidR="00872607">
        <w:rPr>
          <w:rFonts w:cstheme="minorHAnsi"/>
        </w:rPr>
        <w:t xml:space="preserve">, the chosen documents represent instruments that have built on each other with </w:t>
      </w:r>
      <w:r w:rsidR="00872607" w:rsidRPr="004D2C92">
        <w:rPr>
          <w:rFonts w:cstheme="minorHAnsi"/>
        </w:rPr>
        <w:t>openness to a global participation, unlike smaller and more closed groups such as the G20, the EU, the OECD and</w:t>
      </w:r>
      <w:r w:rsidR="00872607">
        <w:rPr>
          <w:rFonts w:cstheme="minorHAnsi"/>
        </w:rPr>
        <w:t xml:space="preserve"> other bilateral, regional and interregional arrangements.</w:t>
      </w:r>
    </w:p>
    <w:p w14:paraId="74D577A9" w14:textId="2FF0B798" w:rsidR="0002492D" w:rsidRDefault="00860C9E" w:rsidP="005A2CC9">
      <w:pPr>
        <w:spacing w:after="120" w:line="276" w:lineRule="auto"/>
        <w:jc w:val="both"/>
      </w:pPr>
      <w:r>
        <w:t xml:space="preserve">We believe </w:t>
      </w:r>
      <w:r w:rsidR="00712C70">
        <w:t xml:space="preserve">these </w:t>
      </w:r>
      <w:r w:rsidR="00B907A2">
        <w:t xml:space="preserve">eight </w:t>
      </w:r>
      <w:r w:rsidR="00B907A2" w:rsidRPr="006A7E4A">
        <w:t>agreements</w:t>
      </w:r>
      <w:r w:rsidR="00B907A2">
        <w:rPr>
          <w:rFonts w:cstheme="minorHAnsi"/>
        </w:rPr>
        <w:t>, declarations and agendas</w:t>
      </w:r>
      <w:r w:rsidR="00B907A2" w:rsidRPr="005E47FE">
        <w:rPr>
          <w:rFonts w:cstheme="minorHAnsi"/>
        </w:rPr>
        <w:t xml:space="preserve"> </w:t>
      </w:r>
      <w:r w:rsidR="00B907A2">
        <w:t xml:space="preserve">represent the </w:t>
      </w:r>
      <w:r w:rsidR="002F50D6">
        <w:t xml:space="preserve">most important ones on climate, environment and development </w:t>
      </w:r>
      <w:r w:rsidR="00CB26F7">
        <w:t>in the last 15 years.</w:t>
      </w:r>
      <w:r w:rsidR="007C1685">
        <w:t xml:space="preserve"> This short time frame is chosen to indicate that: 1) the </w:t>
      </w:r>
      <w:r w:rsidR="00F573FE">
        <w:t xml:space="preserve">dichotomy </w:t>
      </w:r>
      <w:r w:rsidR="007C1685">
        <w:t xml:space="preserve">between developed and developing countries is not as strong as it </w:t>
      </w:r>
      <w:r w:rsidR="00C23024">
        <w:t xml:space="preserve">was in older agreements (see e.g. </w:t>
      </w:r>
      <w:r w:rsidR="00852F8B">
        <w:fldChar w:fldCharType="begin" w:fldLock="1"/>
      </w:r>
      <w:r w:rsidR="00083339">
        <w:instrText>ADDIN CSL_CITATION {"citationItems":[{"id":"ITEM-1","itemData":{"author":[{"dropping-particle":"","family":"Depledge","given":"Joanna","non-dropping-particle":"","parse-names":false,"suffix":""},{"dropping-particle":"","family":"Yamin","given":"Farhanna","non-dropping-particle":"","parse-names":false,"suffix":""}],"chapter-number":"21","container-title":"The economics and politics of climate change","editor":[{"dropping-particle":"","family":"Helm","given":"Dieter","non-dropping-particle":"","parse-names":false,"suffix":""},{"dropping-particle":"","family":"Hepburn","given":"Cameron","non-dropping-particle":"","parse-names":false,"suffix":""}],"id":"ITEM-1","issued":{"date-parts":[["2009"]]},"page":"433-453","publisher":"Oxford University Press","publisher-place":"Oxford, UK","title":"The global climate change regime : a defence","type":"chapter"},"uris":["http://www.mendeley.com/documents/?uuid=1d6a2f82-b25a-47d8-b447-2cb73cbd9d07"]},{"id":"ITEM-2","itemData":{"DOI":"10.1007/s10784-011-9161-y","ISSN":"15679764","abstract":"In this paper, we discuss a range of issues concerning developing country participation in current global climate change mitigation negotiations, especially India and China. We argue that the problem of redefining 'common yet differentiated responsibilities' in a way which allows developing countries room to pursue their individual development goals while still achieving the necessary level of carbon mitigation is central to the debate. The choice of negotiating instruments, effective technology transfer and financial support, and other related issues have been raised principally by China and India, and may also be raised by several other countries. Kyoto non-compliance by Annex 1 countries will also greatly impact the negotiating power of China and India and other developing countries. We conclude that, once basic principles are clearly defined, the greatest incentive for China and India to participate in climate change negotiations is the prospect of future negotiating rounds that can be linked to a large number of climate change related issues, such as intellectual property, the potential for financial transfers and trade/market access. © 2011 Springer Science+Business Media B.V.","author":[{"dropping-particle":"","family":"Walsh","given":"Sean","non-dropping-particle":"","parse-names":false,"suffix":""},{"dropping-particle":"","family":"Tian","given":"Huifang","non-dropping-particle":"","parse-names":false,"suffix":""},{"dropping-particle":"","family":"Whalley","given":"John","non-dropping-particle":"","parse-names":false,"suffix":""},{"dropping-particle":"","family":"Agarwal","given":"Manmohan","non-dropping-particle":"","parse-names":false,"suffix":""}],"container-title":"International Environmental Agreements: Politics, Law and Economics","id":"ITEM-2","issue":"3","issued":{"date-parts":[["2011"]]},"page":"261-273","title":"China and India's participation in global climate negotiations","type":"article-journal","volume":"11"},"uris":["http://www.mendeley.com/documents/?uuid=d828d5d7-ff40-4542-85f1-e6bcbebdaa32"]}],"mendeley":{"formattedCitation":"[1,2]","plainTextFormattedCitation":"[1,2]","previouslyFormattedCitation":"[1,2]"},"properties":{"noteIndex":0},"schema":"https://github.com/citation-style-language/schema/raw/master/csl-citation.json"}</w:instrText>
      </w:r>
      <w:r w:rsidR="00852F8B">
        <w:fldChar w:fldCharType="separate"/>
      </w:r>
      <w:r w:rsidR="00F46E19" w:rsidRPr="00F46E19">
        <w:rPr>
          <w:noProof/>
        </w:rPr>
        <w:t>[1,2]</w:t>
      </w:r>
      <w:r w:rsidR="00852F8B">
        <w:fldChar w:fldCharType="end"/>
      </w:r>
      <w:r w:rsidR="00C23024">
        <w:t xml:space="preserve">; </w:t>
      </w:r>
      <w:r w:rsidR="003F4B7C">
        <w:t xml:space="preserve">) and 2) </w:t>
      </w:r>
      <w:r w:rsidR="006B598B">
        <w:t xml:space="preserve">the bifurcation, to the extent that it still exists, </w:t>
      </w:r>
      <w:r w:rsidR="002D384D">
        <w:t>is not always the same as under the UNFCCC.</w:t>
      </w:r>
    </w:p>
    <w:p w14:paraId="22E0A426" w14:textId="67C96AE2" w:rsidR="00F35A19" w:rsidRDefault="007A00AB" w:rsidP="005A2CC9">
      <w:pPr>
        <w:spacing w:after="120" w:line="276" w:lineRule="auto"/>
        <w:jc w:val="both"/>
      </w:pPr>
      <w:r>
        <w:t xml:space="preserve">To source the right information, all agreements, declarations and agendas were </w:t>
      </w:r>
      <w:r w:rsidR="006758DD">
        <w:t xml:space="preserve">scanned </w:t>
      </w:r>
      <w:r>
        <w:t xml:space="preserve">in their entirety with a particular focus on </w:t>
      </w:r>
      <w:r w:rsidR="006758DD">
        <w:t xml:space="preserve">arrangements around </w:t>
      </w:r>
      <w:r w:rsidR="00257045">
        <w:t>financing</w:t>
      </w:r>
      <w:r w:rsidR="006758DD">
        <w:t xml:space="preserve"> and responsibility</w:t>
      </w:r>
      <w:r>
        <w:t>.</w:t>
      </w:r>
      <w:r w:rsidR="00257045">
        <w:t xml:space="preserve"> </w:t>
      </w:r>
      <w:r w:rsidR="00A063C7">
        <w:t xml:space="preserve">Finance sections were read and analysed in their entirety. </w:t>
      </w:r>
      <w:r>
        <w:t xml:space="preserve">In addition, a keyword search was conducted to make sure all parts of the </w:t>
      </w:r>
      <w:r w:rsidR="00257045">
        <w:t xml:space="preserve">documents </w:t>
      </w:r>
      <w:r>
        <w:t>were considered that might relate to</w:t>
      </w:r>
      <w:r w:rsidR="006355B8">
        <w:t xml:space="preserve"> financing arrangements</w:t>
      </w:r>
      <w:r>
        <w:t>. Searched words</w:t>
      </w:r>
      <w:r w:rsidR="00172961">
        <w:t xml:space="preserve"> </w:t>
      </w:r>
      <w:r>
        <w:t xml:space="preserve">included </w:t>
      </w:r>
      <w:r w:rsidR="006758DD">
        <w:t>‘</w:t>
      </w:r>
      <w:r w:rsidR="00172961">
        <w:t>finance[e/ing</w:t>
      </w:r>
      <w:r w:rsidR="006758DD">
        <w:t>’, ‘invest[ing/ment]</w:t>
      </w:r>
      <w:r w:rsidR="00F41016">
        <w:t>’, ‘</w:t>
      </w:r>
      <w:r w:rsidR="006355B8">
        <w:t>develop[ed/ing</w:t>
      </w:r>
      <w:r w:rsidR="00F41016">
        <w:t xml:space="preserve">’, ‘support’, </w:t>
      </w:r>
      <w:r w:rsidR="0005317E">
        <w:t>‘South’, ‘</w:t>
      </w:r>
      <w:r w:rsidR="00F003E7">
        <w:t xml:space="preserve">donor’, </w:t>
      </w:r>
      <w:r w:rsidR="000012C4">
        <w:t>‘aid’</w:t>
      </w:r>
      <w:r w:rsidR="00726E1F">
        <w:t>, ‘provid</w:t>
      </w:r>
      <w:r w:rsidR="007C2D63">
        <w:t>[er/ing]’, ‘contribut[e/ing]</w:t>
      </w:r>
      <w:r w:rsidR="00080E79">
        <w:t>’ and  ‘recipient’</w:t>
      </w:r>
      <w:r w:rsidR="007C2D63">
        <w:t>.</w:t>
      </w:r>
      <w:r w:rsidR="00A063C7">
        <w:t xml:space="preserve"> </w:t>
      </w:r>
    </w:p>
    <w:p w14:paraId="56BB5167" w14:textId="647EA1DF" w:rsidR="00F35A19" w:rsidRDefault="00F35A19" w:rsidP="00D311BD">
      <w:pPr>
        <w:pStyle w:val="Heading1"/>
        <w:numPr>
          <w:ilvl w:val="0"/>
          <w:numId w:val="7"/>
        </w:numPr>
        <w:spacing w:before="240" w:after="0" w:line="276" w:lineRule="auto"/>
        <w:rPr>
          <w:rFonts w:ascii="Calibri Light" w:eastAsia="MS Gothic" w:hAnsi="Calibri Light" w:cs="Times New Roman"/>
          <w:color w:val="2F5496"/>
          <w:kern w:val="0"/>
          <w:sz w:val="32"/>
          <w:szCs w:val="32"/>
          <w14:ligatures w14:val="none"/>
        </w:rPr>
      </w:pPr>
      <w:bookmarkStart w:id="0" w:name="_Ref154156450"/>
      <w:r w:rsidRPr="00F35A19">
        <w:rPr>
          <w:rFonts w:ascii="Calibri Light" w:eastAsia="MS Gothic" w:hAnsi="Calibri Light" w:cs="Times New Roman"/>
          <w:color w:val="2F5496"/>
          <w:kern w:val="0"/>
          <w:sz w:val="32"/>
          <w:szCs w:val="32"/>
          <w14:ligatures w14:val="none"/>
        </w:rPr>
        <w:t>Responsibilit</w:t>
      </w:r>
      <w:r w:rsidR="005463DF">
        <w:rPr>
          <w:rFonts w:ascii="Calibri Light" w:eastAsia="MS Gothic" w:hAnsi="Calibri Light" w:cs="Times New Roman"/>
          <w:color w:val="2F5496"/>
          <w:kern w:val="0"/>
          <w:sz w:val="32"/>
          <w:szCs w:val="32"/>
          <w14:ligatures w14:val="none"/>
        </w:rPr>
        <w:t>ies</w:t>
      </w:r>
      <w:r w:rsidRPr="00F35A19">
        <w:rPr>
          <w:rFonts w:ascii="Calibri Light" w:eastAsia="MS Gothic" w:hAnsi="Calibri Light" w:cs="Times New Roman"/>
          <w:color w:val="2F5496"/>
          <w:kern w:val="0"/>
          <w:sz w:val="32"/>
          <w:szCs w:val="32"/>
          <w14:ligatures w14:val="none"/>
        </w:rPr>
        <w:t xml:space="preserve"> and </w:t>
      </w:r>
      <w:bookmarkEnd w:id="0"/>
      <w:r w:rsidRPr="00F35A19">
        <w:rPr>
          <w:rFonts w:ascii="Calibri Light" w:eastAsia="MS Gothic" w:hAnsi="Calibri Light" w:cs="Times New Roman"/>
          <w:color w:val="2F5496"/>
          <w:kern w:val="0"/>
          <w:sz w:val="32"/>
          <w:szCs w:val="32"/>
          <w14:ligatures w14:val="none"/>
        </w:rPr>
        <w:t>capabilities</w:t>
      </w:r>
    </w:p>
    <w:p w14:paraId="2E1E4DC7" w14:textId="0DF5486E" w:rsidR="00DA0AB5" w:rsidRDefault="00AA490A" w:rsidP="00487C7F">
      <w:pPr>
        <w:spacing w:after="120" w:line="276" w:lineRule="auto"/>
        <w:jc w:val="both"/>
      </w:pPr>
      <w:bookmarkStart w:id="1" w:name="_Ref157542152"/>
      <w:r>
        <w:t>T</w:t>
      </w:r>
      <w:r w:rsidR="00141E0B" w:rsidRPr="00EE23C4">
        <w:t>his review</w:t>
      </w:r>
      <w:r w:rsidR="00F02F0C" w:rsidRPr="00EE23C4">
        <w:t xml:space="preserve"> </w:t>
      </w:r>
      <w:r w:rsidR="008624CD">
        <w:t xml:space="preserve">analyses </w:t>
      </w:r>
      <w:r w:rsidR="00C85550">
        <w:t>and applies</w:t>
      </w:r>
      <w:r w:rsidR="00F02F0C" w:rsidRPr="00EE23C4">
        <w:t xml:space="preserve"> criteria to identify countries’ responsibilit</w:t>
      </w:r>
      <w:r w:rsidR="008624CD">
        <w:t>ies</w:t>
      </w:r>
      <w:r w:rsidR="00F02F0C" w:rsidRPr="00EE23C4">
        <w:t xml:space="preserve"> and capacities to provide climate finance. </w:t>
      </w:r>
      <w:r w:rsidR="003F514F" w:rsidRPr="00EE23C4">
        <w:t>While i</w:t>
      </w:r>
      <w:r w:rsidR="00F02F0C" w:rsidRPr="00EE23C4">
        <w:t>n the climate finance literature, hardly any studies on this exist (notable exception</w:t>
      </w:r>
      <w:r w:rsidR="00083339">
        <w:t>s</w:t>
      </w:r>
      <w:r w:rsidR="00F02F0C" w:rsidRPr="00EE23C4">
        <w:t xml:space="preserve"> include</w:t>
      </w:r>
      <w:r w:rsidR="005A2CC9">
        <w:t xml:space="preserve"> </w:t>
      </w:r>
      <w:r w:rsidR="005A2CC9">
        <w:fldChar w:fldCharType="begin" w:fldLock="1"/>
      </w:r>
      <w:r w:rsidR="005A2CC9">
        <w:instrText>ADDIN CSL_CITATION {"citationItems":[{"id":"ITEM-1","itemData":{"author":[{"dropping-particle":"","family":"Colenbrander","given":"Sarah","non-dropping-particle":"","parse-names":false,"suffix":""},{"dropping-particle":"","family":"Pettinotti","given":"Laetitia","non-dropping-particle":"","parse-names":false,"suffix":""},{"dropping-particle":"","family":"Cao","given":"Yue","non-dropping-particle":"","parse-names":false,"suffix":""},{"dropping-particle":"","family":"Robertson","given":"Michai","non-dropping-particle":"","parse-names":false,"suffix":""},{"dropping-particle":"","family":"Hedger","given":"Merylyn","non-dropping-particle":"","parse-names":false,"suffix":""},{"dropping-particle":"","family":"Gonzalez","given":"Lorena","non-dropping-particle":"","parse-names":false,"suffix":""}],"id":"ITEM-1","issued":{"date-parts":[["2023"]]},"publisher-place":"London, UK","title":"The New Collective Quantified Goal and its Sources of Funding - How could a ‘collective effort’ be operationalized in the NCQG?","type":"report"},"uris":["http://www.mendeley.com/documents/?uuid=c07dbdb9-1bac-4b3b-bcbf-4f2bf71d60c3"]},{"id":"ITEM-2","itemData":{"DOI":"10.1007/s43979-023-00071-7","ISSN":"27313948","abstract":"The failure of the USD 100-billion climate finance pledge under the United Nations Framework Convention on Climate Change (UNFCCC) could be attributed to a series of reasons: the inconsistent rules, the ambiguity of accountability issues, the political and economic motivations of donor countries, the weak governance capability of developing countries, etc. In addition to the predicament of climate finance commitments made by industrialized nations, South-South cooperation is becoming an important supplemental approach and is acknowledged by the Paris Agreement as an essential means of support. Through studying a broad set of literature on climate finance governance, the study aims to provide a clear picture of the current muddle in climate finance and China’s new role in the architecture. We do this by first looking into the disjointed system of reporting and accounting standards for climate finance as well as what causes the international climate finance gap. On the one hand, the self-interests and geopolitical concerns of donor countries led to considerable challenges to distributive justice in climate finance allocation. On the other hand, climate finance from rich countries has yet to make a substantial dent in enhancing developing countries’ resilience to climate change. Finally, we argue that China-led climate-related development assistance and South-South cooperation on climate change has a tremendous potential for vulnerable countries to realize their climate action priorities and address the climate injustice.","author":[{"dropping-particle":"","family":"Qi","given":"Ji","non-dropping-particle":"","parse-names":false,"suffix":""},{"dropping-particle":"","family":"Qian","given":"Haoqi","non-dropping-particle":"","parse-names":false,"suffix":""}],"container-title":"Carbon Neutrality","id":"ITEM-2","issue":"1","issued":{"date-parts":[["2023"]]},"title":"Climate finance at a crossroads: it is high time to use the global solution for global problems","type":"article-journal","volume":"2"},"uris":["http://www.mendeley.com/documents/?uuid=f32695bf-348a-47c1-a692-4b96adcdc2ec"]},{"id":"ITEM-3","itemData":{"author":[{"dropping-particle":"","family":"Beynon","given":"Jonathan","non-dropping-particle":"","parse-names":false,"suffix":""}],"id":"ITEM-3","issued":{"date-parts":[["2023"]]},"number-of-pages":"43","publisher-place":"Washington D.C.","title":"Who Should Pay? Climate Finance Fair Shares","type":"report"},"uris":["http://www.mendeley.com/documents/?uuid=b3163102-f2c7-4f89-b183-a8e9d2849552"]}],"mendeley":{"formattedCitation":"[3–5]","plainTextFormattedCitation":"[3–5]","previouslyFormattedCitation":"[3–5]"},"properties":{"noteIndex":0},"schema":"https://github.com/citation-style-language/schema/raw/master/csl-citation.json"}</w:instrText>
      </w:r>
      <w:r w:rsidR="005A2CC9">
        <w:fldChar w:fldCharType="separate"/>
      </w:r>
      <w:r w:rsidR="005A2CC9" w:rsidRPr="005A2CC9">
        <w:rPr>
          <w:noProof/>
        </w:rPr>
        <w:t>[3–5]</w:t>
      </w:r>
      <w:r w:rsidR="005A2CC9">
        <w:fldChar w:fldCharType="end"/>
      </w:r>
      <w:r w:rsidR="00774548">
        <w:t>)</w:t>
      </w:r>
      <w:r w:rsidR="005A2CC9">
        <w:t>,</w:t>
      </w:r>
      <w:r w:rsidR="00083339">
        <w:t xml:space="preserve"> </w:t>
      </w:r>
      <w:r w:rsidR="00F02F0C" w:rsidRPr="00EE23C4">
        <w:t xml:space="preserve">a substantive number of assessments are available on countries’ fair shares to reduce </w:t>
      </w:r>
      <w:r w:rsidR="003F514F" w:rsidRPr="00EE23C4">
        <w:t>GHG</w:t>
      </w:r>
      <w:r w:rsidR="00F02F0C" w:rsidRPr="00EE23C4">
        <w:t xml:space="preserve"> emissions.</w:t>
      </w:r>
    </w:p>
    <w:p w14:paraId="0B5F08D4" w14:textId="6C0714F3" w:rsidR="00492EFA" w:rsidRDefault="00DA0AB5" w:rsidP="00487C7F">
      <w:pPr>
        <w:pStyle w:val="ListParagraph"/>
        <w:numPr>
          <w:ilvl w:val="0"/>
          <w:numId w:val="11"/>
        </w:numPr>
        <w:spacing w:after="120" w:line="276" w:lineRule="auto"/>
        <w:jc w:val="both"/>
      </w:pPr>
      <w:r>
        <w:t xml:space="preserve">First, </w:t>
      </w:r>
      <w:r w:rsidR="005F777C">
        <w:t xml:space="preserve">the </w:t>
      </w:r>
      <w:r w:rsidR="00B76A57">
        <w:t xml:space="preserve">assessed </w:t>
      </w:r>
      <w:r w:rsidR="005F777C">
        <w:t xml:space="preserve">literature </w:t>
      </w:r>
      <w:r w:rsidR="00AA490A" w:rsidRPr="00AA490A">
        <w:t>highlights the most common approaches and indicators</w:t>
      </w:r>
      <w:r w:rsidR="004D4B90">
        <w:t xml:space="preserve"> </w:t>
      </w:r>
      <w:r w:rsidR="00B76A57">
        <w:t>by objective, indicator, and identified countries.</w:t>
      </w:r>
      <w:r w:rsidR="00492EFA">
        <w:t xml:space="preserve"> As</w:t>
      </w:r>
      <w:r w:rsidR="00492EFA" w:rsidRPr="00AA490A">
        <w:t xml:space="preserve"> different dimensions account for different aspects </w:t>
      </w:r>
      <w:r w:rsidR="00492EFA">
        <w:t xml:space="preserve">and </w:t>
      </w:r>
      <w:r w:rsidR="00487C7F">
        <w:t xml:space="preserve">as </w:t>
      </w:r>
      <w:r w:rsidR="00492EFA" w:rsidRPr="00AA490A">
        <w:t>no indicator is covering all facet</w:t>
      </w:r>
      <w:r w:rsidR="00492EFA">
        <w:t>s, a set of indicators has been developed</w:t>
      </w:r>
      <w:r w:rsidR="00492EFA" w:rsidRPr="00AA490A">
        <w:t>.</w:t>
      </w:r>
    </w:p>
    <w:p w14:paraId="712FD5FD" w14:textId="01C7C334" w:rsidR="00EB05D0" w:rsidRPr="00EE23C4" w:rsidRDefault="00DA0AB5" w:rsidP="00487C7F">
      <w:pPr>
        <w:pStyle w:val="ListParagraph"/>
        <w:numPr>
          <w:ilvl w:val="0"/>
          <w:numId w:val="11"/>
        </w:numPr>
        <w:spacing w:after="120" w:line="276" w:lineRule="auto"/>
        <w:jc w:val="both"/>
      </w:pPr>
      <w:r>
        <w:t>Second</w:t>
      </w:r>
      <w:r w:rsidR="00AA490A">
        <w:t>, b</w:t>
      </w:r>
      <w:r w:rsidR="003F514F" w:rsidRPr="00EE23C4">
        <w:t xml:space="preserve">ased on the identified indicators for </w:t>
      </w:r>
      <w:r w:rsidR="00FE3C7A">
        <w:t>countries’ responsibility and capacities</w:t>
      </w:r>
      <w:r w:rsidR="003F514F" w:rsidRPr="00EE23C4">
        <w:t>,</w:t>
      </w:r>
      <w:r w:rsidR="00F02F0C" w:rsidRPr="00EE23C4">
        <w:t xml:space="preserve"> </w:t>
      </w:r>
      <w:r w:rsidR="00FE3C7A">
        <w:t>threshold</w:t>
      </w:r>
      <w:r w:rsidR="000C5DC5">
        <w:t xml:space="preserve"> values </w:t>
      </w:r>
      <w:r w:rsidR="00FE3C7A">
        <w:t>are calculated</w:t>
      </w:r>
      <w:r w:rsidR="00BF348C" w:rsidRPr="00EE23C4">
        <w:t xml:space="preserve">. The underlying assumption </w:t>
      </w:r>
      <w:r w:rsidR="00EB05D0" w:rsidRPr="00EE23C4">
        <w:t xml:space="preserve">for this approach </w:t>
      </w:r>
      <w:r w:rsidR="00F50FDA">
        <w:t>builds on</w:t>
      </w:r>
      <w:r w:rsidR="00BF348C" w:rsidRPr="00EE23C4">
        <w:t xml:space="preserve"> </w:t>
      </w:r>
      <w:r w:rsidR="000C5DC5">
        <w:t>relevant</w:t>
      </w:r>
      <w:r w:rsidR="00EB05D0" w:rsidRPr="00EE23C4">
        <w:t xml:space="preserve"> studies </w:t>
      </w:r>
      <w:r w:rsidR="005A2CC9">
        <w:fldChar w:fldCharType="begin" w:fldLock="1"/>
      </w:r>
      <w:r w:rsidR="00D87F92">
        <w:instrText>ADDIN CSL_CITATION {"citationItems":[{"id":"ITEM-1","itemData":{"ISBN":"0000000291989","author":[{"dropping-particle":"","family":"Colenbrander","given":"Sarah","non-dropping-particle":"","parse-names":false,"suffix":""},{"dropping-particle":"","family":"Pettinotti","given":"Laetitia","non-dropping-particle":"","parse-names":false,"suffix":""},{"dropping-particle":"","family":"Cao","given":"Yue","non-dropping-particle":"","parse-names":false,"suffix":""}],"id":"ITEM-1","issued":{"date-parts":[["2022"]]},"number-of-pages":"64","publisher":"ODI","publisher-place":"London, UK","title":"A fair share of climate finance? An appraisal of past performance, future pledges and prospective contributors","type":"book"},"uris":["http://www.mendeley.com/documents/?uuid=5c9b1886-9b4e-433e-8fd8-32da3fa03e20"]},{"id":"ITEM-2","itemData":{"ISBN":"3936191034","author":[{"dropping-particle":"","family":"Michaelowa","given":"A","non-dropping-particle":"","parse-names":false,"suffix":""},{"dropping-particle":"","family":"Butzengeiger","given":"S","non-dropping-particle":"","parse-names":false,"suffix":""},{"dropping-particle":"","family":"Jung","given":"M","non-dropping-particle":"","parse-names":false,"suffix":""},{"dropping-particle":"","family":"Dutschke","given":"M","non-dropping-particle":"","parse-names":false,"suffix":""}],"id":"ITEM-2","issued":{"date-parts":[["2003"]]},"publisher-place":"Berlin","title":"Beyond 2012–Evolution of the Kyoto Protocol Regime","type":"report"},"uris":["http://www.mendeley.com/documents/?uuid=f88f8613-5d36-4fc2-a464-758a581f77ed"]}],"mendeley":{"formattedCitation":"[6,7]","plainTextFormattedCitation":"[6,7]","previouslyFormattedCitation":"[6,7]"},"properties":{"noteIndex":0},"schema":"https://github.com/citation-style-language/schema/raw/master/csl-citation.json"}</w:instrText>
      </w:r>
      <w:r w:rsidR="005A2CC9">
        <w:fldChar w:fldCharType="separate"/>
      </w:r>
      <w:r w:rsidR="005A2CC9" w:rsidRPr="005A2CC9">
        <w:rPr>
          <w:noProof/>
        </w:rPr>
        <w:t>[6,7]</w:t>
      </w:r>
      <w:r w:rsidR="005A2CC9">
        <w:fldChar w:fldCharType="end"/>
      </w:r>
      <w:r w:rsidR="00EB05D0" w:rsidRPr="00EE23C4">
        <w:t xml:space="preserve">. </w:t>
      </w:r>
    </w:p>
    <w:p w14:paraId="5BB7AF1A" w14:textId="51905298" w:rsidR="00AA490A" w:rsidRDefault="00DA0AB5" w:rsidP="00487C7F">
      <w:pPr>
        <w:pStyle w:val="ListParagraph"/>
        <w:numPr>
          <w:ilvl w:val="0"/>
          <w:numId w:val="11"/>
        </w:numPr>
        <w:spacing w:after="120" w:line="276" w:lineRule="auto"/>
        <w:jc w:val="both"/>
      </w:pPr>
      <w:r>
        <w:t>Third</w:t>
      </w:r>
      <w:r w:rsidR="00EB05D0" w:rsidRPr="00EE23C4">
        <w:t xml:space="preserve">, the analysis </w:t>
      </w:r>
      <w:r w:rsidR="000C5DC5">
        <w:t>put</w:t>
      </w:r>
      <w:r w:rsidR="00DF1E10">
        <w:t>s</w:t>
      </w:r>
      <w:r w:rsidR="00EB05D0" w:rsidRPr="00EE23C4">
        <w:t xml:space="preserve"> country level data </w:t>
      </w:r>
      <w:r w:rsidR="006715A5" w:rsidRPr="00EE23C4">
        <w:t xml:space="preserve">into practice </w:t>
      </w:r>
      <w:r w:rsidR="000C5DC5">
        <w:t xml:space="preserve">by comparing </w:t>
      </w:r>
      <w:r w:rsidR="00492EFA">
        <w:t>with</w:t>
      </w:r>
      <w:r w:rsidR="00EB05D0" w:rsidRPr="00EE23C4">
        <w:t xml:space="preserve"> the identified thresholds (e.g., </w:t>
      </w:r>
      <w:r w:rsidR="00B01368">
        <w:t xml:space="preserve">median </w:t>
      </w:r>
      <w:r w:rsidR="00EB05D0" w:rsidRPr="00EE23C4">
        <w:t>Annex</w:t>
      </w:r>
      <w:r w:rsidR="00B01368">
        <w:t xml:space="preserve"> </w:t>
      </w:r>
      <w:r w:rsidR="007B3BCF">
        <w:t>2</w:t>
      </w:r>
      <w:r w:rsidR="00EB05D0" w:rsidRPr="00EE23C4">
        <w:t xml:space="preserve"> country </w:t>
      </w:r>
      <w:r w:rsidR="00B01368">
        <w:t>values</w:t>
      </w:r>
      <w:r w:rsidR="00EB05D0" w:rsidRPr="00EE23C4">
        <w:t>)</w:t>
      </w:r>
      <w:r w:rsidR="00492EFA">
        <w:t xml:space="preserve">. </w:t>
      </w:r>
      <w:r w:rsidR="006715A5" w:rsidRPr="00EE23C4">
        <w:t xml:space="preserve">A positive decision is </w:t>
      </w:r>
      <w:r w:rsidR="00EE23C4" w:rsidRPr="00EE23C4">
        <w:t>defined as country value that is higher than the threshold</w:t>
      </w:r>
      <w:r w:rsidR="00C84B85">
        <w:t xml:space="preserve"> and shown in Table 2</w:t>
      </w:r>
      <w:r w:rsidR="00EE23C4" w:rsidRPr="00EE23C4">
        <w:t xml:space="preserve">. </w:t>
      </w:r>
    </w:p>
    <w:p w14:paraId="130A1DF8" w14:textId="5042A12E" w:rsidR="00735005" w:rsidRDefault="00DA0AB5" w:rsidP="00D62E17">
      <w:pPr>
        <w:pStyle w:val="ListParagraph"/>
        <w:numPr>
          <w:ilvl w:val="0"/>
          <w:numId w:val="11"/>
        </w:numPr>
        <w:spacing w:after="120" w:line="276" w:lineRule="auto"/>
        <w:jc w:val="both"/>
      </w:pPr>
      <w:r>
        <w:t>Fo</w:t>
      </w:r>
      <w:r w:rsidR="00ED1899">
        <w:t>u</w:t>
      </w:r>
      <w:r>
        <w:t>rth</w:t>
      </w:r>
      <w:r w:rsidR="00AA490A">
        <w:t>, a</w:t>
      </w:r>
      <w:r w:rsidR="00EE23C4" w:rsidRPr="00EE23C4">
        <w:t xml:space="preserve">ggregating positive decisions supports the identification of </w:t>
      </w:r>
      <w:r w:rsidR="00F02F0C" w:rsidRPr="00EE23C4">
        <w:t xml:space="preserve">potential </w:t>
      </w:r>
      <w:r w:rsidR="00C84B85">
        <w:t xml:space="preserve">countries to broaden the </w:t>
      </w:r>
      <w:r w:rsidR="00F02F0C" w:rsidRPr="00EE23C4">
        <w:t xml:space="preserve">climate finance provider </w:t>
      </w:r>
      <w:r w:rsidR="00C84B85">
        <w:t>base with</w:t>
      </w:r>
      <w:r w:rsidR="00EE23C4" w:rsidRPr="00EE23C4">
        <w:t>.</w:t>
      </w:r>
      <w:r w:rsidR="00AA490A">
        <w:t xml:space="preserve"> </w:t>
      </w:r>
    </w:p>
    <w:p w14:paraId="704C6F38" w14:textId="46B44DB2" w:rsidR="00DA0AB5" w:rsidRDefault="00503041" w:rsidP="00D62E17">
      <w:pPr>
        <w:pStyle w:val="Heading2"/>
        <w:numPr>
          <w:ilvl w:val="1"/>
          <w:numId w:val="7"/>
        </w:numPr>
        <w:spacing w:line="276" w:lineRule="auto"/>
      </w:pPr>
      <w:r>
        <w:lastRenderedPageBreak/>
        <w:t>Reviewed literature</w:t>
      </w:r>
    </w:p>
    <w:p w14:paraId="1B3D7122" w14:textId="20254207" w:rsidR="00F03EB4" w:rsidRDefault="00991030" w:rsidP="00F03EB4">
      <w:pPr>
        <w:jc w:val="both"/>
      </w:pPr>
      <w:r>
        <w:t>S</w:t>
      </w:r>
      <w:r w:rsidR="00051B53">
        <w:t>tudies quantif</w:t>
      </w:r>
      <w:r w:rsidR="00134FFF">
        <w:t xml:space="preserve">y </w:t>
      </w:r>
      <w:r w:rsidR="00F03EB4">
        <w:t>recent und historical national GHG emissions</w:t>
      </w:r>
      <w:r w:rsidR="008E456A">
        <w:t xml:space="preserve"> </w:t>
      </w:r>
      <w:r w:rsidR="00D87F92">
        <w:t xml:space="preserve">of countries </w:t>
      </w:r>
      <w:r w:rsidR="008E456A">
        <w:t>using differen</w:t>
      </w:r>
      <w:r w:rsidR="008D5CF2">
        <w:t>t indicators</w:t>
      </w:r>
      <w:r w:rsidR="00660D40">
        <w:t xml:space="preserve">. This includes </w:t>
      </w:r>
      <w:r w:rsidR="008D5CF2">
        <w:t>c</w:t>
      </w:r>
      <w:r w:rsidR="008D5CF2" w:rsidRPr="008D5CF2">
        <w:t>umulative CO</w:t>
      </w:r>
      <w:r w:rsidR="008D5CF2" w:rsidRPr="0066286C">
        <w:rPr>
          <w:vertAlign w:val="subscript"/>
        </w:rPr>
        <w:t>2</w:t>
      </w:r>
      <w:r w:rsidR="008D5CF2" w:rsidRPr="008D5CF2">
        <w:t>-eq p.c. emissions</w:t>
      </w:r>
      <w:r w:rsidR="00660D40">
        <w:t xml:space="preserve">, </w:t>
      </w:r>
      <w:r w:rsidR="00F00BDC">
        <w:t xml:space="preserve">partly </w:t>
      </w:r>
      <w:r w:rsidR="008D5CF2" w:rsidRPr="008D5CF2">
        <w:t>weighted CO</w:t>
      </w:r>
      <w:r w:rsidR="008D5CF2" w:rsidRPr="0066286C">
        <w:rPr>
          <w:vertAlign w:val="subscript"/>
        </w:rPr>
        <w:t>2</w:t>
      </w:r>
      <w:r w:rsidR="008D5CF2" w:rsidRPr="008D5CF2">
        <w:t>, CH</w:t>
      </w:r>
      <w:r w:rsidR="008D5CF2" w:rsidRPr="0066286C">
        <w:rPr>
          <w:vertAlign w:val="subscript"/>
        </w:rPr>
        <w:t>4</w:t>
      </w:r>
      <w:r w:rsidR="008D5CF2" w:rsidRPr="008D5CF2">
        <w:t>, N</w:t>
      </w:r>
      <w:r w:rsidR="008D5CF2" w:rsidRPr="0066286C">
        <w:rPr>
          <w:vertAlign w:val="subscript"/>
        </w:rPr>
        <w:t>2</w:t>
      </w:r>
      <w:r w:rsidR="008D5CF2" w:rsidRPr="008D5CF2">
        <w:t>O, SO</w:t>
      </w:r>
      <w:r w:rsidR="008D5CF2" w:rsidRPr="0066286C">
        <w:rPr>
          <w:vertAlign w:val="subscript"/>
        </w:rPr>
        <w:t>2</w:t>
      </w:r>
      <w:r w:rsidR="00F00BDC">
        <w:t xml:space="preserve"> emissions</w:t>
      </w:r>
      <w:r w:rsidR="006A0BBD">
        <w:t>.</w:t>
      </w:r>
      <w:r w:rsidR="008D5CF2" w:rsidRPr="008D5CF2">
        <w:t xml:space="preserve"> </w:t>
      </w:r>
      <w:r w:rsidR="006A0BBD">
        <w:t>C</w:t>
      </w:r>
      <w:r w:rsidR="00F00BA6">
        <w:t>alculating</w:t>
      </w:r>
      <w:r w:rsidR="009F2EF1">
        <w:t xml:space="preserve"> national </w:t>
      </w:r>
      <w:r w:rsidR="00B27254">
        <w:t>responsibilities</w:t>
      </w:r>
      <w:r w:rsidR="00037F85">
        <w:t xml:space="preserve"> </w:t>
      </w:r>
      <w:r w:rsidR="006A0BBD">
        <w:t xml:space="preserve">includes </w:t>
      </w:r>
      <w:r w:rsidR="009F2EF1" w:rsidRPr="009F2EF1">
        <w:t>funding of mitigation</w:t>
      </w:r>
      <w:r w:rsidR="00037F85">
        <w:t xml:space="preserve"> and</w:t>
      </w:r>
      <w:r w:rsidR="009F2EF1" w:rsidRPr="009F2EF1">
        <w:t xml:space="preserve"> adaptation </w:t>
      </w:r>
      <w:r w:rsidR="00037F85">
        <w:t>among nati</w:t>
      </w:r>
      <w:r w:rsidR="00BE562A">
        <w:t>o</w:t>
      </w:r>
      <w:r w:rsidR="00037F85">
        <w:t xml:space="preserve">ns </w:t>
      </w:r>
      <w:r w:rsidR="00D87F92">
        <w:fldChar w:fldCharType="begin" w:fldLock="1"/>
      </w:r>
      <w:r w:rsidR="0069407B">
        <w:instrText>ADDIN CSL_CITATION {"citationItems":[{"id":"ITEM-1","itemData":{"DOI":"10.1038/nclimate3255","ISSN":"17586798","abstract":"The urgency of estimating the impact of climate risks on the financial system is increasingly recognized among scholars and practitioners. By adopting a network approach to financial dependencies, we look at how climate policy risk might propagate through the financial system. We develop a network-based climate stress-test methodology and apply it to large Euro Area banks in a 'green' and a 'brown' scenario. We find that direct and indirect exposures to climate-policy-relevant sectors represent a large portion of investors' equity portfolios, especially for investment and pension funds. Additionally, the portion of banks' loan portfolios exposed to these sectors is comparable to banks' capital. Our results suggest that climate policy timing matters. An early and stable policy framework would allow for smooth asset value adjustments and lead to potential net winners and losers. In contrast, a late and abrupt policy framework could have adverse systemic consequences.","author":[{"dropping-particle":"","family":"Battiston","given":"Stefano","non-dropping-particle":"","parse-names":false,"suffix":""},{"dropping-particle":"","family":"Mandel","given":"Antoine","non-dropping-particle":"","parse-names":false,"suffix":""},{"dropping-particle":"","family":"Monasterolo","given":"Irene","non-dropping-particle":"","parse-names":false,"suffix":""},{"dropping-particle":"","family":"Schütze","given":"Franziska","non-dropping-particle":"","parse-names":false,"suffix":""},{"dropping-particle":"","family":"Visentin","given":"Gabriele","non-dropping-particle":"","parse-names":false,"suffix":""}],"container-title":"Nature Climate Change","id":"ITEM-1","issue":"4","issued":{"date-parts":[["2017"]]},"page":"283-288","title":"A climate stress-test of the financial system","type":"article-journal","volume":"7"},"uris":["http://www.mendeley.com/documents/?uuid=8ac36279-644f-44a0-a94b-98e7cbb5e3b4"]}],"mendeley":{"formattedCitation":"[8]","plainTextFormattedCitation":"[8]","previouslyFormattedCitation":"[8]"},"properties":{"noteIndex":0},"schema":"https://github.com/citation-style-language/schema/raw/master/csl-citation.json"}</w:instrText>
      </w:r>
      <w:r w:rsidR="00D87F92">
        <w:fldChar w:fldCharType="separate"/>
      </w:r>
      <w:r w:rsidR="00D87F92" w:rsidRPr="00D87F92">
        <w:rPr>
          <w:noProof/>
        </w:rPr>
        <w:t>[8]</w:t>
      </w:r>
      <w:r w:rsidR="00D87F92">
        <w:fldChar w:fldCharType="end"/>
      </w:r>
      <w:r w:rsidR="001028FB">
        <w:t xml:space="preserve">, </w:t>
      </w:r>
      <w:r w:rsidRPr="00D62E17">
        <w:t xml:space="preserve">caused income losses by top emitters </w:t>
      </w:r>
      <w:r w:rsidR="0069407B">
        <w:fldChar w:fldCharType="begin" w:fldLock="1"/>
      </w:r>
      <w:r w:rsidR="0069407B">
        <w:instrText>ADDIN CSL_CITATION {"citationItems":[{"id":"ITEM-1","itemData":{"DOI":"10.1007/s10584-022-03387-y","ISSN":"1573-1480","abstract":"Quantifying which nations are culpable for the economic impacts of anthropogenic warming is central to informing climate litigation and restitution claims for climate damages. However, for countries seeking legal redress, the magnitude of economic losses from warming attributable to individual emitters is not known, undermining their standing for climate liability claims. Uncertainties compound at each step from emissions to global greenhouse gas (GHG) concentrations, GHG concentrations to global temperature changes, global temperature changes to country-level temperature changes, and country-level temperature changes to economic losses, providing emitters with plausible deniability for damage claims. Here we lift that veil of deniability, combining historical data with climate models of varying complexity in an integrated framework to quantify each nation’s culpability for historical temperature-driven income changes in every other country. We find that the top five emitters (the United States, China, Russia, Brazil, and India) have collectively caused US$6 trillion in income losses from warming since 1990, comparable to 11% of annual global gross domestic product; many other countries are responsible for billions in losses. Yet the distribution of warming impacts from emitters is highly unequal: high-income, high-emitting countries have benefited themselves while harming low-income, low-emitting countries, emphasizing the inequities embedded in the causes and consequences of historical warming. By linking individual emitters to country-level income losses from warming, our results provide critical insight into climate liability and national accountability for climate policy.","author":[{"dropping-particle":"","family":"Callahan","given":"Christopher W","non-dropping-particle":"","parse-names":false,"suffix":""},{"dropping-particle":"","family":"Mankin","given":"Justin S","non-dropping-particle":"","parse-names":false,"suffix":""}],"container-title":"Climatic Change","id":"ITEM-1","issue":"3","issued":{"date-parts":[["2022"]]},"page":"40","title":"National attribution of historical climate damages","type":"article-journal","volume":"172"},"uris":["http://www.mendeley.com/documents/?uuid=a2c3d505-39d4-407b-9f57-c238a853cc16"]}],"mendeley":{"formattedCitation":"[9]","plainTextFormattedCitation":"[9]","previouslyFormattedCitation":"[9]"},"properties":{"noteIndex":0},"schema":"https://github.com/citation-style-language/schema/raw/master/csl-citation.json"}</w:instrText>
      </w:r>
      <w:r w:rsidR="0069407B">
        <w:fldChar w:fldCharType="separate"/>
      </w:r>
      <w:r w:rsidR="0069407B" w:rsidRPr="0069407B">
        <w:rPr>
          <w:noProof/>
        </w:rPr>
        <w:t>[9]</w:t>
      </w:r>
      <w:r w:rsidR="0069407B">
        <w:fldChar w:fldCharType="end"/>
      </w:r>
      <w:r w:rsidR="00F00BDC" w:rsidRPr="00D62E17">
        <w:t xml:space="preserve">, </w:t>
      </w:r>
      <w:r w:rsidR="00F00BA6" w:rsidRPr="00D62E17">
        <w:t xml:space="preserve">financial compensation </w:t>
      </w:r>
      <w:r w:rsidR="00727B37" w:rsidRPr="00D62E17">
        <w:t xml:space="preserve">owed to the undershooting </w:t>
      </w:r>
      <w:r w:rsidR="00B27254">
        <w:t xml:space="preserve">of </w:t>
      </w:r>
      <w:r w:rsidR="00727B37" w:rsidRPr="00D62E17">
        <w:t xml:space="preserve">countries of the </w:t>
      </w:r>
      <w:r w:rsidR="00486820">
        <w:t>G</w:t>
      </w:r>
      <w:r w:rsidR="00727B37" w:rsidRPr="00D62E17">
        <w:t xml:space="preserve">lobal South </w:t>
      </w:r>
      <w:r w:rsidR="0069407B">
        <w:fldChar w:fldCharType="begin" w:fldLock="1"/>
      </w:r>
      <w:r w:rsidR="003A4849">
        <w:instrText>ADDIN CSL_CITATION {"citationItems":[{"id":"ITEM-1","itemData":{"DOI":"10.1038/s41893-023-01130-8","ISSN":"2398-9629","abstract":"Research on carbon inequalities shows that some countries are overshooting their fair share of the remaining carbon budget and hold disproportionate responsibility for climate breakdown. Scholars argue that overshooting countries owe compensation or reparations to undershooting countries for atmospheric appropriation and climate-related damages. Here we develop a procedure to quantify the level of compensation owed in a ‘net zero’ scenario where all countries decarbonize by 2050, using carbon prices from IPCC scenarios that limit global warming to 1.5</w:instrText>
      </w:r>
      <w:r w:rsidR="003A4849">
        <w:rPr>
          <w:rFonts w:ascii="Arial" w:hAnsi="Arial" w:cs="Arial"/>
        </w:rPr>
        <w:instrText> </w:instrText>
      </w:r>
      <w:r w:rsidR="003A4849">
        <w:rPr>
          <w:rFonts w:ascii="Aptos" w:hAnsi="Aptos" w:cs="Aptos"/>
        </w:rPr>
        <w:instrText>°</w:instrText>
      </w:r>
      <w:r w:rsidR="003A4849">
        <w:instrText>C and tracking cumulative emissions from 1960 across 168 countries. We find that even in this ambitious scenario, the global North would overshoot its collective equality-based share of the 1.5</w:instrText>
      </w:r>
      <w:r w:rsidR="003A4849">
        <w:rPr>
          <w:rFonts w:ascii="Arial" w:hAnsi="Arial" w:cs="Arial"/>
        </w:rPr>
        <w:instrText> </w:instrText>
      </w:r>
      <w:r w:rsidR="003A4849">
        <w:rPr>
          <w:rFonts w:ascii="Aptos" w:hAnsi="Aptos" w:cs="Aptos"/>
        </w:rPr>
        <w:instrText>°</w:instrText>
      </w:r>
      <w:r w:rsidR="003A4849">
        <w:instrText>C carbon budget by a factor of three, appropriating half of the global South</w:instrText>
      </w:r>
      <w:r w:rsidR="003A4849">
        <w:rPr>
          <w:rFonts w:ascii="Aptos" w:hAnsi="Aptos" w:cs="Aptos"/>
        </w:rPr>
        <w:instrText>’</w:instrText>
      </w:r>
      <w:r w:rsidR="003A4849">
        <w:instrText>s share in the process. We calculate that compensation of US$192 trillion would be owed to the undershooting countries of the global South for the appropriation of their atmospheric fair shares by 2050, with an average disbursement to those countries of US$940 per capita per year. We also examine countries’ overshoot of equality-based shares of 350</w:instrText>
      </w:r>
      <w:r w:rsidR="003A4849">
        <w:rPr>
          <w:rFonts w:ascii="Arial" w:hAnsi="Arial" w:cs="Arial"/>
        </w:rPr>
        <w:instrText> </w:instrText>
      </w:r>
      <w:r w:rsidR="003A4849">
        <w:instrText>ppm and 2</w:instrText>
      </w:r>
      <w:r w:rsidR="003A4849">
        <w:rPr>
          <w:rFonts w:ascii="Arial" w:hAnsi="Arial" w:cs="Arial"/>
        </w:rPr>
        <w:instrText> </w:instrText>
      </w:r>
      <w:r w:rsidR="003A4849">
        <w:rPr>
          <w:rFonts w:ascii="Aptos" w:hAnsi="Aptos" w:cs="Aptos"/>
        </w:rPr>
        <w:instrText>°</w:instrText>
      </w:r>
      <w:r w:rsidR="003A4849">
        <w:instrText>C carbon budgets and quantify the level of compensation owed using earlier and later starting years (1850 and 1992) for comparison.","author":[{"dropping-particle":"","family":"Fanning","given":"Andrew L","non-dropping-particle":"","parse-names":false,"suffix":""},{"dropping-particle":"","family":"Hickel","given":"Jason","non-dropping-particle":"","parse-names":false,"suffix":""}],"container-title":"Nature Sustainability","id":"ITEM-1","issue":"9","issued":{"date-parts":[["2023"]]},"page":"1077-1086","title":"Compensation for atmospheric appropriation","type":"article-journal","volume":"6"},"uris":["http://www.mendeley.com/documents/?uuid=2bd45ae3-73da-4be5-8000-7772b2ee5274"]}],"mendeley":{"formattedCitation":"[10]","plainTextFormattedCitation":"[10]","previouslyFormattedCitation":"[10]"},"properties":{"noteIndex":0},"schema":"https://github.com/citation-style-language/schema/raw/master/csl-citation.json"}</w:instrText>
      </w:r>
      <w:r w:rsidR="0069407B">
        <w:fldChar w:fldCharType="separate"/>
      </w:r>
      <w:r w:rsidR="0069407B" w:rsidRPr="0069407B">
        <w:rPr>
          <w:noProof/>
        </w:rPr>
        <w:t>[10]</w:t>
      </w:r>
      <w:r w:rsidR="0069407B">
        <w:fldChar w:fldCharType="end"/>
      </w:r>
      <w:r w:rsidR="006A0BBD">
        <w:t>,</w:t>
      </w:r>
      <w:r w:rsidR="00F00BDC" w:rsidRPr="00D62E17">
        <w:t xml:space="preserve"> </w:t>
      </w:r>
      <w:r w:rsidR="00727B37" w:rsidRPr="00D62E17">
        <w:t xml:space="preserve">cost of climate damages and financial compensation </w:t>
      </w:r>
      <w:r w:rsidR="003A4849">
        <w:fldChar w:fldCharType="begin" w:fldLock="1"/>
      </w:r>
      <w:r w:rsidR="003A4849">
        <w:instrText>ADDIN CSL_CITATION {"citationItems":[{"id":"ITEM-1","itemData":{"DOI":"10.1016/j.oneear.2023.04.012","ISSN":"25903322","abstract":"The calls for climate reparations are rapidly growing in the scientific literature, among climate movements, and in the policy debate. This article proposes morally based reparations for oil, gas, and coal producers, presents a methodological approach for their implementation, and quantifies reparations for the top twenty-one fossil fuel companies.","author":[{"dropping-particle":"","family":"Grasso","given":"Marco","non-dropping-particle":"","parse-names":false,"suffix":""},{"dropping-particle":"","family":"Heede","given":"Richard","non-dropping-particle":"","parse-names":false,"suffix":""}],"container-title":"One Earth","id":"ITEM-1","issue":"5","issued":{"date-parts":[["2023"]]},"page":"459-463","publisher":"The Authors","title":"Time to pay the piper: Fossil fuel companies’ reparations for climate damages","type":"article-journal","volume":"6"},"uris":["http://www.mendeley.com/documents/?uuid=10dec66f-c28c-4915-a34f-48542f213290"]}],"mendeley":{"formattedCitation":"[11]","plainTextFormattedCitation":"[11]","previouslyFormattedCitation":"[11]"},"properties":{"noteIndex":0},"schema":"https://github.com/citation-style-language/schema/raw/master/csl-citation.json"}</w:instrText>
      </w:r>
      <w:r w:rsidR="003A4849">
        <w:fldChar w:fldCharType="separate"/>
      </w:r>
      <w:r w:rsidR="003A4849" w:rsidRPr="003A4849">
        <w:rPr>
          <w:noProof/>
        </w:rPr>
        <w:t>[11]</w:t>
      </w:r>
      <w:r w:rsidR="003A4849">
        <w:fldChar w:fldCharType="end"/>
      </w:r>
      <w:r w:rsidR="00F00BDC" w:rsidRPr="00D62E17">
        <w:t xml:space="preserve">, or NDC </w:t>
      </w:r>
      <w:r w:rsidR="0092030C">
        <w:t xml:space="preserve">finance </w:t>
      </w:r>
      <w:r w:rsidR="00F00BDC" w:rsidRPr="00D62E17">
        <w:t xml:space="preserve">fairness justifications </w:t>
      </w:r>
      <w:r w:rsidR="005E1207">
        <w:fldChar w:fldCharType="begin" w:fldLock="1"/>
      </w:r>
      <w:r w:rsidR="0076456F">
        <w:instrText>ADDIN CSL_CITATION {"citationItems":[{"id":"ITEM-1","itemData":{"DOI":"10.1080/14693062.2021.1970504","ISSN":"17527457","abstract":"This article tests fairness justifications offered in 168 nationally determined contributions (NDCs) to the 2015 Paris Agreement against the touchstone of principles of international environmental law. It finds that while many NDCs refer to elements and indicators that are backed by principles of international law in determining fair shares (sustainable development, special circumstances, common but differentiated responsibilities and equity), some NDCs justify their contributions on the basis of indicators not backed by such principles (indicators including small share of global emissions (for states that are not LDCs and SIDSs), least cost pathways, and emissions per GDP). These insights are used to select a sub-set of approaches to the quantification of national fair share emissions targets among approaches previously surveyed in the literature. This leads to the exclusion of approaches based on cost and grandfathering. Next, the principles of harm prevention and precaution, and the normative pillars of the climate change regime, including its objective, ‘progression’, and ‘highest possible ambition,’ and the norms relating to human rights, are engaged to argue for further narrowing the range of national fair shares such that the sum of individual contributions is collectively compatible with the Paris Agreement’s long-term temperature goal. This leads to the finding that developed states have a Paris temperature goal compatible emission level in 2030 that is net-negative. Of the G20 states, only India and Indonesia can temporarily increase their emissions relative to 2010, only India relative to today. Around half the G20 states have increased emissions over the 2010s, and those decreasing emissions have done so too slowly. Key policy insightsStates’ fairness justifications for their contributions to the Paris Agreement should be scrutinized for compatibility with widely-accepted principles of international environmental law as well as the normative pillars of the climate change regime. Fair share ranges consistent with international environmental law principles offer a benchmark for existing and new nationally determined contributions under the Paris Agreement, for peer-to-peer comparisons, and to feed into the global stocktakes. Such fair share ranges can inform climate litigation in which the adequacy of national contributions, and thus a state’s fair share, is at issue.","author":[{"dropping-particle":"","family":"Rajamani","given":"Lavanya","non-dropping-particle":"","parse-names":false,"suffix":""},{"dropping-particle":"","family":"Jeffery","given":"Louise","non-dropping-particle":"","parse-names":false,"suffix":""},{"dropping-particle":"","family":"Höhne","given":"Niklas","non-dropping-particle":"","parse-names":false,"suffix":""},{"dropping-particle":"","family":"Hans","given":"Frederic","non-dropping-particle":"","parse-names":false,"suffix":""},{"dropping-particle":"","family":"Glass","given":"Alyssa","non-dropping-particle":"","parse-names":false,"suffix":""},{"dropping-particle":"","family":"Ganti","given":"Gaurav","non-dropping-particle":"","parse-names":false,"suffix":""},{"dropping-particle":"","family":"Geiges","given":"Andreas","non-dropping-particle":"","parse-names":false,"suffix":""}],"container-title":"Climate Policy","id":"ITEM-1","issue":"8","issued":{"date-parts":[["2021"]]},"page":"983-1004","publisher":"Taylor &amp; Francis","title":"National ‘fair shares’ in reducing greenhouse gas emissions within the principled framework of international environmental law","type":"article-journal","volume":"21"},"uris":["http://www.mendeley.com/documents/?uuid=8fcbaeab-a05b-4bf5-883f-40f0e58f0aa8"]}],"mendeley":{"formattedCitation":"[12]","plainTextFormattedCitation":"[12]","previouslyFormattedCitation":"[12]"},"properties":{"noteIndex":0},"schema":"https://github.com/citation-style-language/schema/raw/master/csl-citation.json"}</w:instrText>
      </w:r>
      <w:r w:rsidR="005E1207">
        <w:fldChar w:fldCharType="separate"/>
      </w:r>
      <w:r w:rsidR="005E1207" w:rsidRPr="005E1207">
        <w:rPr>
          <w:noProof/>
        </w:rPr>
        <w:t>[12]</w:t>
      </w:r>
      <w:r w:rsidR="005E1207">
        <w:fldChar w:fldCharType="end"/>
      </w:r>
      <w:r w:rsidR="00F00BDC" w:rsidRPr="00D62E17">
        <w:t>.</w:t>
      </w:r>
      <w:r w:rsidR="005D5FEC">
        <w:t xml:space="preserve"> </w:t>
      </w:r>
      <w:r w:rsidR="00F03EB4">
        <w:t xml:space="preserve">Underlying frameworks to calculate </w:t>
      </w:r>
      <w:r w:rsidR="005D5FEC">
        <w:t xml:space="preserve">‘fair share’ level of emissions </w:t>
      </w:r>
      <w:r w:rsidR="00F03EB4">
        <w:t xml:space="preserve">are based on various </w:t>
      </w:r>
      <w:r w:rsidR="005D5FEC">
        <w:t>principles such as equality and other principles of environmental law</w:t>
      </w:r>
      <w:r w:rsidR="005D5FEC" w:rsidRPr="0076056A">
        <w:t xml:space="preserve"> </w:t>
      </w:r>
      <w:r w:rsidR="005D5FEC">
        <w:fldChar w:fldCharType="begin" w:fldLock="1"/>
      </w:r>
      <w:r w:rsidR="005E1207">
        <w:instrText>ADDIN CSL_CITATION {"citationItems":[{"id":"ITEM-1","itemData":{"DOI":"10.1007/s10784-017-9371-z","ISSN":"1573-1553","abstract":"The problem of fairly distributing the global mitigation effort is particularly important for the 1.5 °C temperature limitation objective, due to its rapidly depleting global carbon budget. Here, we present methodology and results of the first study examining national mitigation pledges presented at the 2015 Paris climate summit, relative to equity benchmarks and 1.5 °C-compliant global mitigation. Uniquely, pertinent ethical choices were made via deliberative processes of civil society organizations, resulting in an agreed range of effort-sharing parameters. Based on this, we quantified each country’s range of fair shares of 1.5 °C-compliant mitigation, using the Climate Equity Reference Project’s allocation framework. Contrasting this with national 2025/2030 mitigation pledges reveals a large global mitigation gap, within which wealthier countries’ mitigation pledges fall far short, while poorer countries’ pledges, collectively, meet their fair share. We also present results for individual countries (e.g. China exceeding; India meeting; EU, USA, Japan, and Brazil falling short). We outline ethical considerations and choices arising when deliberating fair effort sharing and discuss the importance of separating this choice making from the scholarly work of quantitative “equity modelling” itself. Second, we elaborate our approach for quantifying countries’ fair shares of a global mitigation effort, the Climate Equity Reference Framework. Third, we present and discuss the results of this analysis with emphasis on the role of mitigation support. In concluding, we identify twofold obligations for all countries in a justice-centred implementation of 1.5 °C-compliant mitigation: (1) unsupported domestic reductions and (2) engagement in deep international mitigation cooperation, through provision of international financial and other support, or through undertaking additional supported mitigation activities. Consequently, an equitable pathway to 1.5 °C can only be imagined with such large-scale international cooperation and support; otherwise, 1.5 °C-compliant mitigation will remain out of reach, impose undue suffering on the world’s poorest, or both.","author":[{"dropping-particle":"","family":"Holz","given":"Ceecee","non-dropping-particle":"","parse-names":false,"suffix":""},{"dropping-particle":"","family":"Kartha","given":"Sivan","non-dropping-particle":"","parse-names":false,"suffix":""},{"dropping-particle":"","family":"Athanasiou","given":"Tom","non-dropping-particle":"","parse-names":false,"suffix":""}],"container-title":"International Environmental Agreements: Politics, Law and Economics","id":"ITEM-1","issue":"1","issued":{"date-parts":[["2018"]]},"page":"117-134","title":"Fairly sharing 1.5: national fair shares of a 1.5 °C-compliant global mitigation effort","type":"article-journal","volume":"18"},"uris":["http://www.mendeley.com/documents/?uuid=8bddacef-0dda-4290-af5a-6cf06af79ecd"]}],"mendeley":{"formattedCitation":"[13]","plainTextFormattedCitation":"[13]","previouslyFormattedCitation":"[13]"},"properties":{"noteIndex":0},"schema":"https://github.com/citation-style-language/schema/raw/master/csl-citation.json"}</w:instrText>
      </w:r>
      <w:r w:rsidR="005D5FEC">
        <w:fldChar w:fldCharType="separate"/>
      </w:r>
      <w:r w:rsidR="003A4849" w:rsidRPr="003A4849">
        <w:rPr>
          <w:noProof/>
        </w:rPr>
        <w:t>[13]</w:t>
      </w:r>
      <w:r w:rsidR="005D5FEC">
        <w:fldChar w:fldCharType="end"/>
      </w:r>
      <w:r w:rsidR="005D5FEC" w:rsidRPr="0076056A">
        <w:t xml:space="preserve">, climate liability </w:t>
      </w:r>
      <w:r w:rsidR="005D5FEC">
        <w:fldChar w:fldCharType="begin" w:fldLock="1"/>
      </w:r>
      <w:r w:rsidR="003A4849">
        <w:instrText>ADDIN CSL_CITATION {"citationItems":[{"id":"ITEM-1","itemData":{"DOI":"10.1016/j.oneear.2023.04.012","ISSN":"25903322","abstract":"The calls for climate reparations are rapidly growing in the scientific literature, among climate movements, and in the policy debate. This article proposes morally based reparations for oil, gas, and coal producers, presents a methodological approach for their implementation, and quantifies reparations for the top twenty-one fossil fuel companies.","author":[{"dropping-particle":"","family":"Grasso","given":"Marco","non-dropping-particle":"","parse-names":false,"suffix":""},{"dropping-particle":"","family":"Heede","given":"Richard","non-dropping-particle":"","parse-names":false,"suffix":""}],"container-title":"One Earth","id":"ITEM-1","issue":"5","issued":{"date-parts":[["2023"]]},"page":"459-463","publisher":"The Authors","title":"Time to pay the piper: Fossil fuel companies’ reparations for climate damages","type":"article-journal","volume":"6"},"uris":["http://www.mendeley.com/documents/?uuid=10dec66f-c28c-4915-a34f-48542f213290"]}],"mendeley":{"formattedCitation":"[11]","plainTextFormattedCitation":"[11]","previouslyFormattedCitation":"[11]"},"properties":{"noteIndex":0},"schema":"https://github.com/citation-style-language/schema/raw/master/csl-citation.json"}</w:instrText>
      </w:r>
      <w:r w:rsidR="005D5FEC">
        <w:fldChar w:fldCharType="separate"/>
      </w:r>
      <w:r w:rsidR="003A4849" w:rsidRPr="003A4849">
        <w:rPr>
          <w:noProof/>
        </w:rPr>
        <w:t>[11]</w:t>
      </w:r>
      <w:r w:rsidR="005D5FEC">
        <w:fldChar w:fldCharType="end"/>
      </w:r>
      <w:r w:rsidR="005D5FEC" w:rsidRPr="0076056A">
        <w:t xml:space="preserve"> or national accountability</w:t>
      </w:r>
      <w:r w:rsidR="005D5FEC">
        <w:t xml:space="preserve"> </w:t>
      </w:r>
      <w:r w:rsidR="005D5FEC">
        <w:fldChar w:fldCharType="begin" w:fldLock="1"/>
      </w:r>
      <w:r w:rsidR="00D87F92">
        <w:instrText>ADDIN CSL_CITATION {"citationItems":[{"id":"ITEM-1","itemData":{"ISBN":"0000000291989","author":[{"dropping-particle":"","family":"Colenbrander","given":"Sarah","non-dropping-particle":"","parse-names":false,"suffix":""},{"dropping-particle":"","family":"Pettinotti","given":"Laetitia","non-dropping-particle":"","parse-names":false,"suffix":""},{"dropping-particle":"","family":"Cao","given":"Yue","non-dropping-particle":"","parse-names":false,"suffix":""}],"id":"ITEM-1","issued":{"date-parts":[["2022"]]},"number-of-pages":"64","publisher":"ODI","publisher-place":"London, UK","title":"A fair share of climate finance? An appraisal of past performance, future pledges and prospective contributors","type":"book"},"uris":["http://www.mendeley.com/documents/?uuid=5c9b1886-9b4e-433e-8fd8-32da3fa03e20"]}],"mendeley":{"formattedCitation":"[6]","plainTextFormattedCitation":"[6]","previouslyFormattedCitation":"[6]"},"properties":{"noteIndex":0},"schema":"https://github.com/citation-style-language/schema/raw/master/csl-citation.json"}</w:instrText>
      </w:r>
      <w:r w:rsidR="005D5FEC">
        <w:fldChar w:fldCharType="separate"/>
      </w:r>
      <w:r w:rsidR="005A2CC9" w:rsidRPr="005A2CC9">
        <w:rPr>
          <w:noProof/>
        </w:rPr>
        <w:t>[6]</w:t>
      </w:r>
      <w:r w:rsidR="005D5FEC">
        <w:fldChar w:fldCharType="end"/>
      </w:r>
      <w:r w:rsidR="005D5FEC" w:rsidRPr="0076056A">
        <w:t xml:space="preserve">. </w:t>
      </w:r>
    </w:p>
    <w:p w14:paraId="6358EE56" w14:textId="108C585C" w:rsidR="00B528DD" w:rsidRPr="00F03EB4" w:rsidRDefault="00F03EB4" w:rsidP="00F03EB4">
      <w:pPr>
        <w:jc w:val="both"/>
      </w:pPr>
      <w:r>
        <w:t xml:space="preserve">Overall, </w:t>
      </w:r>
      <w:r w:rsidR="008A30B3">
        <w:t xml:space="preserve">the </w:t>
      </w:r>
      <w:r w:rsidR="00991030" w:rsidRPr="00F528E4">
        <w:rPr>
          <w:kern w:val="0"/>
          <w14:ligatures w14:val="none"/>
        </w:rPr>
        <w:t xml:space="preserve">choice of starting year </w:t>
      </w:r>
      <w:r w:rsidR="008A30B3">
        <w:t xml:space="preserve">is </w:t>
      </w:r>
      <w:r w:rsidR="00991030" w:rsidRPr="00F528E4">
        <w:rPr>
          <w:kern w:val="0"/>
          <w14:ligatures w14:val="none"/>
        </w:rPr>
        <w:t>important as it affects the relative cumulative emissions of early industrialized countries and emerging economies like China, India, and Brazil.</w:t>
      </w:r>
      <w:r w:rsidR="00F50FDA">
        <w:t xml:space="preserve"> </w:t>
      </w:r>
      <w:r w:rsidR="00A30407">
        <w:t>N</w:t>
      </w:r>
      <w:r w:rsidR="00A30407" w:rsidRPr="00C556F3">
        <w:t>o single indicator covers all facets</w:t>
      </w:r>
      <w:r w:rsidR="00A30407">
        <w:t xml:space="preserve">. </w:t>
      </w:r>
      <w:r>
        <w:t>Thus, t</w:t>
      </w:r>
      <w:r w:rsidR="00EF14AE" w:rsidRPr="00A72894">
        <w:t xml:space="preserve">he relative shares derived from the cumulative emissions are capturing the causal contribution aspect of </w:t>
      </w:r>
      <w:r w:rsidR="0076456F">
        <w:t xml:space="preserve">countries’ </w:t>
      </w:r>
      <w:r w:rsidR="00EF14AE" w:rsidRPr="00A72894">
        <w:t xml:space="preserve">responsibilities, but it does not reflect on other potentially relevant country aspects, including the population size. The absolute emission indicator is </w:t>
      </w:r>
      <w:r w:rsidR="003A0FA8" w:rsidRPr="00A72894">
        <w:t xml:space="preserve">discriminate against larger countries. </w:t>
      </w:r>
      <w:r w:rsidR="00EF14AE" w:rsidRPr="00A72894">
        <w:t xml:space="preserve">The </w:t>
      </w:r>
      <w:r w:rsidR="003A0FA8" w:rsidRPr="00A72894">
        <w:t xml:space="preserve">related </w:t>
      </w:r>
      <w:r w:rsidR="00EF14AE" w:rsidRPr="00A72894">
        <w:t xml:space="preserve">emission per capita indicator is not able to reflect causal contributions, given the impact of attributing similar values. </w:t>
      </w:r>
      <w:r>
        <w:t>For instance, c</w:t>
      </w:r>
      <w:r w:rsidR="00EF14AE" w:rsidRPr="00A72894">
        <w:t xml:space="preserve">omparing Russia and </w:t>
      </w:r>
      <w:r w:rsidR="00EF14AE" w:rsidRPr="00A30407">
        <w:t>Luxembourg with both around 12tCO</w:t>
      </w:r>
      <w:r w:rsidR="00EF14AE" w:rsidRPr="0076456F">
        <w:rPr>
          <w:vertAlign w:val="subscript"/>
        </w:rPr>
        <w:t>2</w:t>
      </w:r>
      <w:r w:rsidR="00EF14AE" w:rsidRPr="00A30407">
        <w:t xml:space="preserve"> p.c. in 2022, but a 200-fold difference in aggregate emissions. </w:t>
      </w:r>
      <w:r w:rsidR="00892531" w:rsidRPr="00D62E17">
        <w:t xml:space="preserve">Applying aggregate emissions and income p.c. does not disadvantage larger countries as the consequent ‘fair share’ estimate is effectively distributed across </w:t>
      </w:r>
      <w:r w:rsidR="00C14E2B" w:rsidRPr="00D62E17">
        <w:t>population</w:t>
      </w:r>
      <w:r w:rsidR="00021A65">
        <w:t>s</w:t>
      </w:r>
      <w:r w:rsidR="00C14E2B" w:rsidRPr="00D62E17">
        <w:t xml:space="preserve"> </w:t>
      </w:r>
      <w:r w:rsidR="0076456F">
        <w:fldChar w:fldCharType="begin" w:fldLock="1"/>
      </w:r>
      <w:r w:rsidR="00EE6E44">
        <w:instrText>ADDIN CSL_CITATION {"citationItems":[{"id":"ITEM-1","itemData":{"author":[{"dropping-particle":"","family":"Beynon","given":"Jonathan","non-dropping-particle":"","parse-names":false,"suffix":""}],"id":"ITEM-1","issued":{"date-parts":[["2023"]]},"number-of-pages":"43","publisher-place":"Washington D.C.","title":"Who Should Pay? Climate Finance Fair Shares","type":"report"},"uris":["http://www.mendeley.com/documents/?uuid=b3163102-f2c7-4f89-b183-a8e9d2849552"]}],"mendeley":{"formattedCitation":"[5]","plainTextFormattedCitation":"[5]","previouslyFormattedCitation":"[5]"},"properties":{"noteIndex":0},"schema":"https://github.com/citation-style-language/schema/raw/master/csl-citation.json"}</w:instrText>
      </w:r>
      <w:r w:rsidR="0076456F">
        <w:fldChar w:fldCharType="separate"/>
      </w:r>
      <w:r w:rsidR="0076456F" w:rsidRPr="0076456F">
        <w:rPr>
          <w:noProof/>
        </w:rPr>
        <w:t>[5]</w:t>
      </w:r>
      <w:r w:rsidR="0076456F">
        <w:fldChar w:fldCharType="end"/>
      </w:r>
      <w:r w:rsidR="00396181" w:rsidRPr="00D62E17">
        <w:t>.</w:t>
      </w:r>
    </w:p>
    <w:p w14:paraId="1F9DA3FB" w14:textId="734C614E" w:rsidR="00503041" w:rsidRDefault="00503041" w:rsidP="00D62E17">
      <w:pPr>
        <w:pStyle w:val="Heading2"/>
        <w:numPr>
          <w:ilvl w:val="1"/>
          <w:numId w:val="7"/>
        </w:numPr>
        <w:spacing w:line="276" w:lineRule="auto"/>
        <w:jc w:val="both"/>
      </w:pPr>
      <w:r>
        <w:t>Identified indicators</w:t>
      </w:r>
    </w:p>
    <w:p w14:paraId="45F42539" w14:textId="0C04F18B" w:rsidR="00313D21" w:rsidRDefault="00CC03F9" w:rsidP="00085823">
      <w:pPr>
        <w:pStyle w:val="NoSpacing"/>
        <w:spacing w:after="240" w:line="276" w:lineRule="auto"/>
        <w:jc w:val="both"/>
      </w:pPr>
      <w:r w:rsidRPr="00A72894">
        <w:t xml:space="preserve">In order to balance </w:t>
      </w:r>
      <w:r w:rsidR="00F03EB4">
        <w:t xml:space="preserve">the different </w:t>
      </w:r>
      <w:r w:rsidR="006A0BBD">
        <w:t>dimensions,</w:t>
      </w:r>
      <w:r>
        <w:t xml:space="preserve"> </w:t>
      </w:r>
      <w:r w:rsidR="00F03EB4">
        <w:t xml:space="preserve">we are building </w:t>
      </w:r>
      <w:r w:rsidR="00F50FDA">
        <w:t>on the literature (</w:t>
      </w:r>
      <w:r w:rsidR="00765371">
        <w:t>e.g.</w:t>
      </w:r>
      <w:r w:rsidR="00085823">
        <w:t xml:space="preserve"> </w:t>
      </w:r>
      <w:r w:rsidR="00EE6E44">
        <w:fldChar w:fldCharType="begin" w:fldLock="1"/>
      </w:r>
      <w:r w:rsidR="00085823">
        <w:instrText>ADDIN CSL_CITATION {"citationItems":[{"id":"ITEM-1","itemData":{"ISBN":"0000000291989","author":[{"dropping-particle":"","family":"Colenbrander","given":"Sarah","non-dropping-particle":"","parse-names":false,"suffix":""},{"dropping-particle":"","family":"Pettinotti","given":"Laetitia","non-dropping-particle":"","parse-names":false,"suffix":""},{"dropping-particle":"","family":"Cao","given":"Yue","non-dropping-particle":"","parse-names":false,"suffix":""}],"id":"ITEM-1","issued":{"date-parts":[["2022"]]},"number-of-pages":"64","publisher":"ODI","publisher-place":"London, UK","title":"A fair share of climate finance? An appraisal of past performance, future pledges and prospective contributors","type":"book"},"uris":["http://www.mendeley.com/documents/?uuid=5c9b1886-9b4e-433e-8fd8-32da3fa03e20"]},{"id":"ITEM-2","itemData":{"ISBN":"3936191034","author":[{"dropping-particle":"","family":"Michaelowa","given":"A","non-dropping-particle":"","parse-names":false,"suffix":""},{"dropping-particle":"","family":"Butzengeiger","given":"S","non-dropping-particle":"","parse-names":false,"suffix":""},{"dropping-particle":"","family":"Jung","given":"M","non-dropping-particle":"","parse-names":false,"suffix":""},{"dropping-particle":"","family":"Dutschke","given":"M","non-dropping-particle":"","parse-names":false,"suffix":""}],"id":"ITEM-2","issued":{"date-parts":[["2003"]]},"publisher-place":"Berlin","title":"Beyond 2012–Evolution of the Kyoto Protocol Regime","type":"report"},"uris":["http://www.mendeley.com/documents/?uuid=f88f8613-5d36-4fc2-a464-758a581f77ed"]}],"mendeley":{"formattedCitation":"[6,7]","plainTextFormattedCitation":"[6,7]","previouslyFormattedCitation":"[6,7]"},"properties":{"noteIndex":0},"schema":"https://github.com/citation-style-language/schema/raw/master/csl-citation.json"}</w:instrText>
      </w:r>
      <w:r w:rsidR="00EE6E44">
        <w:fldChar w:fldCharType="separate"/>
      </w:r>
      <w:r w:rsidR="00EE6E44" w:rsidRPr="00EE6E44">
        <w:rPr>
          <w:noProof/>
        </w:rPr>
        <w:t>[6,7]</w:t>
      </w:r>
      <w:r w:rsidR="00EE6E44">
        <w:fldChar w:fldCharType="end"/>
      </w:r>
      <w:r w:rsidR="00C8454F">
        <w:t xml:space="preserve">) </w:t>
      </w:r>
      <w:r w:rsidR="00F03EB4">
        <w:t xml:space="preserve">and </w:t>
      </w:r>
      <w:r w:rsidR="00C60E74">
        <w:t>consider time, emission, and relative dimension</w:t>
      </w:r>
      <w:r w:rsidR="00765371">
        <w:t>s</w:t>
      </w:r>
      <w:r w:rsidR="00C60E74">
        <w:t xml:space="preserve"> </w:t>
      </w:r>
      <w:r w:rsidRPr="00A72894">
        <w:t>to ensure a balanced view.</w:t>
      </w:r>
      <w:r w:rsidR="00C60E74">
        <w:t xml:space="preserve"> The t</w:t>
      </w:r>
      <w:r w:rsidR="004D4B90" w:rsidRPr="00B123D9">
        <w:t xml:space="preserve">ime </w:t>
      </w:r>
      <w:r w:rsidR="004D4B90">
        <w:t>d</w:t>
      </w:r>
      <w:r w:rsidR="004D4B90" w:rsidRPr="00B123D9">
        <w:t>imension</w:t>
      </w:r>
      <w:r w:rsidR="00C60E74">
        <w:t xml:space="preserve"> considers </w:t>
      </w:r>
      <w:r w:rsidR="004D4B90" w:rsidRPr="00B123D9">
        <w:t xml:space="preserve">current levels in a specific year (e.g., 2019), and </w:t>
      </w:r>
      <w:r w:rsidR="004D4B90">
        <w:t xml:space="preserve">as </w:t>
      </w:r>
      <w:r w:rsidR="004D4B90" w:rsidRPr="00B123D9">
        <w:t>cumulative emissions starting from a certain year</w:t>
      </w:r>
      <w:r w:rsidR="007C30D3">
        <w:t xml:space="preserve">. </w:t>
      </w:r>
      <w:r w:rsidR="0097624B">
        <w:t>W</w:t>
      </w:r>
      <w:r w:rsidR="002776DC">
        <w:t xml:space="preserve">e are following </w:t>
      </w:r>
      <w:r w:rsidR="00034D1F">
        <w:t xml:space="preserve">the recommendations from </w:t>
      </w:r>
      <w:r w:rsidR="002776DC">
        <w:t xml:space="preserve">Colenbrander </w:t>
      </w:r>
      <w:r w:rsidR="00085823">
        <w:fldChar w:fldCharType="begin" w:fldLock="1"/>
      </w:r>
      <w:r w:rsidR="00B22A21">
        <w:instrText>ADDIN CSL_CITATION {"citationItems":[{"id":"ITEM-1","itemData":{"ISBN":"0000000291989","author":[{"dropping-particle":"","family":"Colenbrander","given":"Sarah","non-dropping-particle":"","parse-names":false,"suffix":""},{"dropping-particle":"","family":"Pettinotti","given":"Laetitia","non-dropping-particle":"","parse-names":false,"suffix":""},{"dropping-particle":"","family":"Cao","given":"Yue","non-dropping-particle":"","parse-names":false,"suffix":""}],"id":"ITEM-1","issued":{"date-parts":[["2022"]]},"number-of-pages":"64","publisher":"ODI","publisher-place":"London, UK","title":"A fair share of climate finance? An appraisal of past performance, future pledges and prospective contributors","type":"book"},"uris":["http://www.mendeley.com/documents/?uuid=5c9b1886-9b4e-433e-8fd8-32da3fa03e20"]}],"mendeley":{"formattedCitation":"[6]","plainTextFormattedCitation":"[6]","previouslyFormattedCitation":"[6]"},"properties":{"noteIndex":0},"schema":"https://github.com/citation-style-language/schema/raw/master/csl-citation.json"}</w:instrText>
      </w:r>
      <w:r w:rsidR="00085823">
        <w:fldChar w:fldCharType="separate"/>
      </w:r>
      <w:r w:rsidR="00085823" w:rsidRPr="00085823">
        <w:rPr>
          <w:noProof/>
        </w:rPr>
        <w:t>[6]</w:t>
      </w:r>
      <w:r w:rsidR="00085823">
        <w:fldChar w:fldCharType="end"/>
      </w:r>
      <w:r w:rsidR="00085823">
        <w:t xml:space="preserve"> </w:t>
      </w:r>
      <w:r w:rsidR="007C30D3">
        <w:t xml:space="preserve">using </w:t>
      </w:r>
      <w:r w:rsidR="0097624B" w:rsidRPr="0097624B">
        <w:t>1990-2019</w:t>
      </w:r>
      <w:r w:rsidR="0097624B">
        <w:t xml:space="preserve"> emissions</w:t>
      </w:r>
      <w:r w:rsidR="007C30D3">
        <w:t xml:space="preserve">. </w:t>
      </w:r>
    </w:p>
    <w:p w14:paraId="7225FC28" w14:textId="5F07D989" w:rsidR="004D4B90" w:rsidRDefault="007C30D3" w:rsidP="00194A53">
      <w:pPr>
        <w:pStyle w:val="NoSpacing"/>
        <w:spacing w:line="276" w:lineRule="auto"/>
        <w:jc w:val="both"/>
      </w:pPr>
      <w:r>
        <w:t>On the e</w:t>
      </w:r>
      <w:r w:rsidR="004D4B90" w:rsidRPr="00543DD9">
        <w:t xml:space="preserve">mission </w:t>
      </w:r>
      <w:r>
        <w:t>s</w:t>
      </w:r>
      <w:r w:rsidR="004D4B90" w:rsidRPr="00543DD9">
        <w:t xml:space="preserve">cope </w:t>
      </w:r>
      <w:r w:rsidR="004D4B90">
        <w:t>di</w:t>
      </w:r>
      <w:r w:rsidR="004D4B90" w:rsidRPr="00543DD9">
        <w:t>mension</w:t>
      </w:r>
      <w:r>
        <w:t>,</w:t>
      </w:r>
      <w:r w:rsidR="004D4B90" w:rsidRPr="00543DD9">
        <w:t xml:space="preserve"> </w:t>
      </w:r>
      <w:r>
        <w:t>m</w:t>
      </w:r>
      <w:r w:rsidR="004D4B90" w:rsidRPr="00543DD9">
        <w:t>ost studies focus on CO</w:t>
      </w:r>
      <w:r w:rsidR="004D4B90" w:rsidRPr="00286B4A">
        <w:rPr>
          <w:vertAlign w:val="subscript"/>
        </w:rPr>
        <w:t>2</w:t>
      </w:r>
      <w:r w:rsidR="004D4B90" w:rsidRPr="00543DD9">
        <w:t xml:space="preserve"> emissions</w:t>
      </w:r>
      <w:r w:rsidR="00194A53">
        <w:t>, while some include all relevant</w:t>
      </w:r>
      <w:r w:rsidR="004D4B90" w:rsidRPr="00543DD9">
        <w:t xml:space="preserve"> GHGs </w:t>
      </w:r>
      <w:r w:rsidR="00194A53">
        <w:t>such as</w:t>
      </w:r>
      <w:r w:rsidR="004D4B90" w:rsidRPr="00543DD9">
        <w:t xml:space="preserve"> </w:t>
      </w:r>
      <w:r w:rsidR="009B4A68" w:rsidRPr="008D5CF2">
        <w:t>CH</w:t>
      </w:r>
      <w:r w:rsidR="009B4A68" w:rsidRPr="00B22A21">
        <w:rPr>
          <w:vertAlign w:val="subscript"/>
        </w:rPr>
        <w:t>4</w:t>
      </w:r>
      <w:r w:rsidR="009B4A68" w:rsidRPr="008D5CF2">
        <w:t>, N</w:t>
      </w:r>
      <w:r w:rsidR="009B4A68" w:rsidRPr="00B22A21">
        <w:rPr>
          <w:vertAlign w:val="subscript"/>
        </w:rPr>
        <w:t>2</w:t>
      </w:r>
      <w:r w:rsidR="009B4A68" w:rsidRPr="008D5CF2">
        <w:t>O, SO</w:t>
      </w:r>
      <w:r w:rsidR="009B4A68" w:rsidRPr="00B22A21">
        <w:rPr>
          <w:vertAlign w:val="subscript"/>
        </w:rPr>
        <w:t>2</w:t>
      </w:r>
      <w:r w:rsidR="004D4B90">
        <w:t xml:space="preserve"> </w:t>
      </w:r>
      <w:r w:rsidR="00B22A21">
        <w:fldChar w:fldCharType="begin" w:fldLock="1"/>
      </w:r>
      <w:r w:rsidR="00EA0748">
        <w:instrText>ADDIN CSL_CITATION {"citationItems":[{"id":"ITEM-1","itemData":{"DOI":"10.3763/cpol.2008.0570","ISBN":"1469-3062","ISSN":"17527457","PMID":"213830349","abstract":"&lt;p&gt;Following the conclusion of the official work of the Ad Hoc Group for the Modelling and Assessment of Contributions to Climate Change (MATCH), this article considers the politically more sensitive aspect of the Brazilian proposal, namely the issue of differentiating (historic) responsibility for, and not merely (causal) contribution to climate change. Its aim is (1) to highlight the fact that, while related, the two issues ('contribution to' and 'responsibility for') are fundamentally different and should not be confused, and (2) to propose a methodology for calculating shares of responsibility as opposed to the shares in causal contribution arrived at through the MATCH results. Two conceptions of responsibility ('strict' or 'limited') are applied in order to operationalize the notion of 'respective capabilities' given in Article 3.1 of the UNFCCC. The key message resulting from the calculations is that causal contribution - while an important indicator of (environmental) relevance to the problem - must not be confused with the moral responsibility for it. The rather large difference between the responsibilities at the two extremes of the scale under both conceptions gives pause for thought as to what sorts of burdens can justly be demanded in any application of the UNFCCC principle of common but differentiated responsibilities, whether in the context of the Brazilian proposal or beyond. © 2009 Earthscan.&lt;/p&gt;","author":[{"dropping-particle":"","family":"Müller","given":"Benito","non-dropping-particle":"","parse-names":false,"suffix":""},{"dropping-particle":"","family":"Höhne","given":"Niklas","non-dropping-particle":"","parse-names":false,"suffix":""},{"dropping-particle":"","family":"Ellermann","given":"Christian","non-dropping-particle":"","parse-names":false,"suffix":""}],"container-title":"Climate Policy","id":"ITEM-1","issue":"6","issued":{"date-parts":[["2009"]]},"page":"593-611","title":"Differentiating (historic) responsibilities for climate change","type":"article-journal","volume":"9"},"uris":["http://www.mendeley.com/documents/?uuid=aee8e226-8f11-4ba7-8295-83a1c0684fc8"]}],"mendeley":{"formattedCitation":"[14]","plainTextFormattedCitation":"[14]","previouslyFormattedCitation":"[14]"},"properties":{"noteIndex":0},"schema":"https://github.com/citation-style-language/schema/raw/master/csl-citation.json"}</w:instrText>
      </w:r>
      <w:r w:rsidR="00B22A21">
        <w:fldChar w:fldCharType="separate"/>
      </w:r>
      <w:r w:rsidR="00B22A21" w:rsidRPr="00B22A21">
        <w:rPr>
          <w:noProof/>
        </w:rPr>
        <w:t>[14]</w:t>
      </w:r>
      <w:r w:rsidR="00B22A21">
        <w:fldChar w:fldCharType="end"/>
      </w:r>
      <w:r w:rsidR="00765371">
        <w:t>.</w:t>
      </w:r>
      <w:r w:rsidR="004D4B90" w:rsidRPr="00543DD9">
        <w:t xml:space="preserve"> </w:t>
      </w:r>
      <w:r w:rsidR="00194A53">
        <w:t>The relative dimension</w:t>
      </w:r>
      <w:r w:rsidR="004D4B90" w:rsidRPr="00046C19">
        <w:t xml:space="preserve"> describes the relationship of emissions to either </w:t>
      </w:r>
      <w:r w:rsidR="004D4B90" w:rsidRPr="002B2043">
        <w:t xml:space="preserve">population size or national income. Studies consider emissions per capita and emission intensity emissions per unit of gross national income (GNI) </w:t>
      </w:r>
      <w:r w:rsidR="00855696" w:rsidRPr="002B2043">
        <w:fldChar w:fldCharType="begin" w:fldLock="1"/>
      </w:r>
      <w:r w:rsidR="00EA0748">
        <w:instrText>ADDIN CSL_CITATION {"citationItems":[{"id":"ITEM-1","itemData":{"ISBN":"0000000291989","author":[{"dropping-particle":"","family":"Colenbrander","given":"Sarah","non-dropping-particle":"","parse-names":false,"suffix":""},{"dropping-particle":"","family":"Pettinotti","given":"Laetitia","non-dropping-particle":"","parse-names":false,"suffix":""},{"dropping-particle":"","family":"Cao","given":"Yue","non-dropping-particle":"","parse-names":false,"suffix":""}],"id":"ITEM-1","issued":{"date-parts":[["2022"]]},"number-of-pages":"64","publisher":"ODI","publisher-place":"London, UK","title":"A fair share of climate finance? An appraisal of past performance, future pledges and prospective contributors","type":"book"},"uris":["http://www.mendeley.com/documents/?uuid=5c9b1886-9b4e-433e-8fd8-32da3fa03e20"]}],"mendeley":{"formattedCitation":"[6]","plainTextFormattedCitation":"[6]","previouslyFormattedCitation":"[6]"},"properties":{"noteIndex":0},"schema":"https://github.com/citation-style-language/schema/raw/master/csl-citation.json"}</w:instrText>
      </w:r>
      <w:r w:rsidR="00855696" w:rsidRPr="002B2043">
        <w:fldChar w:fldCharType="separate"/>
      </w:r>
      <w:r w:rsidR="00EA0748" w:rsidRPr="00EA0748">
        <w:rPr>
          <w:noProof/>
        </w:rPr>
        <w:t>[6]</w:t>
      </w:r>
      <w:r w:rsidR="00855696" w:rsidRPr="002B2043">
        <w:fldChar w:fldCharType="end"/>
      </w:r>
      <w:r w:rsidR="00855696" w:rsidRPr="002B2043">
        <w:t xml:space="preserve"> or gross domestic product (GDP) </w:t>
      </w:r>
      <w:r w:rsidR="00855696" w:rsidRPr="002B2043">
        <w:fldChar w:fldCharType="begin" w:fldLock="1"/>
      </w:r>
      <w:r w:rsidR="00EA0748">
        <w:instrText>ADDIN CSL_CITATION {"citationItems":[{"id":"ITEM-1","itemData":{"DOI":"10.1007/s10584-022-03387-y","ISSN":"1573-1480","abstract":"Quantifying which nations are culpable for the economic impacts of anthropogenic warming is central to informing climate litigation and restitution claims for climate damages. However, for countries seeking legal redress, the magnitude of economic losses from warming attributable to individual emitters is not known, undermining their standing for climate liability claims. Uncertainties compound at each step from emissions to global greenhouse gas (GHG) concentrations, GHG concentrations to global temperature changes, global temperature changes to country-level temperature changes, and country-level temperature changes to economic losses, providing emitters with plausible deniability for damage claims. Here we lift that veil of deniability, combining historical data with climate models of varying complexity in an integrated framework to quantify each nation’s culpability for historical temperature-driven income changes in every other country. We find that the top five emitters (the United States, China, Russia, Brazil, and India) have collectively caused US$6 trillion in income losses from warming since 1990, comparable to 11% of annual global gross domestic product; many other countries are responsible for billions in losses. Yet the distribution of warming impacts from emitters is highly unequal: high-income, high-emitting countries have benefited themselves while harming low-income, low-emitting countries, emphasizing the inequities embedded in the causes and consequences of historical warming. By linking individual emitters to country-level income losses from warming, our results provide critical insight into climate liability and national accountability for climate policy.","author":[{"dropping-particle":"","family":"Callahan","given":"Christopher W","non-dropping-particle":"","parse-names":false,"suffix":""},{"dropping-particle":"","family":"Mankin","given":"Justin S","non-dropping-particle":"","parse-names":false,"suffix":""}],"container-title":"Climatic Change","id":"ITEM-1","issue":"3","issued":{"date-parts":[["2022"]]},"page":"40","title":"National attribution of historical climate damages","type":"article-journal","volume":"172"},"uris":["http://www.mendeley.com/documents/?uuid=a2c3d505-39d4-407b-9f57-c238a853cc16"]},{"id":"ITEM-2","itemData":{"ISBN":"3936191034","author":[{"dropping-particle":"","family":"Michaelowa","given":"A","non-dropping-particle":"","parse-names":false,"suffix":""},{"dropping-particle":"","family":"Butzengeiger","given":"S","non-dropping-particle":"","parse-names":false,"suffix":""},{"dropping-particle":"","family":"Jung","given":"M","non-dropping-particle":"","parse-names":false,"suffix":""},{"dropping-particle":"","family":"Dutschke","given":"M","non-dropping-particle":"","parse-names":false,"suffix":""}],"id":"ITEM-2","issued":{"date-parts":[["2003"]]},"publisher-place":"Berlin","title":"Beyond 2012–Evolution of the Kyoto Protocol Regime","type":"report"},"uris":["http://www.mendeley.com/documents/?uuid=f88f8613-5d36-4fc2-a464-758a581f77ed"]}],"mendeley":{"formattedCitation":"[7,9]","plainTextFormattedCitation":"[7,9]","previouslyFormattedCitation":"[7,9]"},"properties":{"noteIndex":0},"schema":"https://github.com/citation-style-language/schema/raw/master/csl-citation.json"}</w:instrText>
      </w:r>
      <w:r w:rsidR="00855696" w:rsidRPr="002B2043">
        <w:fldChar w:fldCharType="separate"/>
      </w:r>
      <w:r w:rsidR="00EA0748" w:rsidRPr="00EA0748">
        <w:rPr>
          <w:noProof/>
        </w:rPr>
        <w:t>[7,9]</w:t>
      </w:r>
      <w:r w:rsidR="00855696" w:rsidRPr="002B2043">
        <w:fldChar w:fldCharType="end"/>
      </w:r>
      <w:r w:rsidR="004D4B90" w:rsidRPr="002B2043">
        <w:t xml:space="preserve">. </w:t>
      </w:r>
      <w:r w:rsidR="00194A53" w:rsidRPr="002B2043">
        <w:t xml:space="preserve"> </w:t>
      </w:r>
      <w:r w:rsidR="004D4B90" w:rsidRPr="002B2043">
        <w:t>Relative</w:t>
      </w:r>
      <w:r w:rsidR="004D4B90" w:rsidRPr="006C7EF5">
        <w:t xml:space="preserve"> emissions based on population size or national income typically consider territorial emissions, which do not account for emissions embedded in traded goods. This generally underestimates the GHG emissions from countries with high consumption patterns. For example, in Europe, CO</w:t>
      </w:r>
      <w:r w:rsidR="004D4B90" w:rsidRPr="00D428AE">
        <w:rPr>
          <w:vertAlign w:val="subscript"/>
        </w:rPr>
        <w:t>2</w:t>
      </w:r>
      <w:r w:rsidR="004D4B90" w:rsidRPr="006C7EF5">
        <w:t xml:space="preserve"> emissions per capita were 20% higher for consumption-based emissions compared to production-based emission</w:t>
      </w:r>
      <w:r w:rsidR="005603F1">
        <w:t xml:space="preserve">s, </w:t>
      </w:r>
      <w:r w:rsidR="005603F1" w:rsidRPr="005603F1">
        <w:t>whereas in Eastern Asia consumption-based emissions are 20% lower compared to production-based emissions in 2018</w:t>
      </w:r>
      <w:r w:rsidR="002B2043">
        <w:t xml:space="preserve"> </w:t>
      </w:r>
      <w:r w:rsidR="003619EC">
        <w:fldChar w:fldCharType="begin" w:fldLock="1"/>
      </w:r>
      <w:r w:rsidR="00EA0748">
        <w:instrText>ADDIN CSL_CITATION {"citationItems":[{"id":"ITEM-1","itemData":{"ISBN":"9781107415416","abstract":"The Working Group III (WG III) contribution to the IPCC’s Sixth Assessment Report (AR6) assesses literature on the scientific, technological, environmental, economic and social aspects of mitigation of climate change. [FOOTNOTE 1] Levels of confidence [FOOTNOTE 2] are given in () brackets. Numerical ranges are presented in square [] brackets. References to Chapters, Sections, Figures and Boxes in the underlying report and Technical Summary (TS) are given in {} brackets.","author":[{"dropping-particle":"","family":"IPCC","given":"","non-dropping-particle":"","parse-names":false,"suffix":""}],"container-title":"Cambridge University Press","id":"ITEM-1","issue":"1","issued":{"date-parts":[["2022"]]},"number-of-pages":"1-52","title":"Climate Change 2022, Mitigation of Climate Change Summary for Policymakers (SPM)","type":"report"},"uris":["http://www.mendeley.com/documents/?uuid=f0bdd864-d83e-4418-a867-e37ee86335ca"]}],"mendeley":{"formattedCitation":"[15]","plainTextFormattedCitation":"[15]","previouslyFormattedCitation":"[15]"},"properties":{"noteIndex":0},"schema":"https://github.com/citation-style-language/schema/raw/master/csl-citation.json"}</w:instrText>
      </w:r>
      <w:r w:rsidR="003619EC">
        <w:fldChar w:fldCharType="separate"/>
      </w:r>
      <w:r w:rsidR="00EA0748" w:rsidRPr="00EA0748">
        <w:rPr>
          <w:noProof/>
        </w:rPr>
        <w:t>[15]</w:t>
      </w:r>
      <w:r w:rsidR="003619EC">
        <w:fldChar w:fldCharType="end"/>
      </w:r>
      <w:r w:rsidR="003619EC" w:rsidRPr="006C7EF5">
        <w:t>.</w:t>
      </w:r>
      <w:r w:rsidR="00194A53">
        <w:t xml:space="preserve"> </w:t>
      </w:r>
      <w:r w:rsidR="004D4B90">
        <w:t>Furthermore</w:t>
      </w:r>
      <w:r w:rsidR="004D4B90" w:rsidRPr="00EA0535">
        <w:t xml:space="preserve">, </w:t>
      </w:r>
      <w:r w:rsidR="004D4B90">
        <w:t>CO</w:t>
      </w:r>
      <w:r w:rsidR="004D4B90" w:rsidRPr="00DF0DBE">
        <w:rPr>
          <w:vertAlign w:val="subscript"/>
        </w:rPr>
        <w:t>2</w:t>
      </w:r>
      <w:r w:rsidR="004D4B90" w:rsidRPr="00EA0535">
        <w:t xml:space="preserve"> emissions from international aviation</w:t>
      </w:r>
      <w:r w:rsidR="004D4B90">
        <w:t xml:space="preserve"> (1</w:t>
      </w:r>
      <w:r w:rsidR="004D4B90" w:rsidRPr="005D2BAE">
        <w:t>.</w:t>
      </w:r>
      <w:r w:rsidR="00CB4C79">
        <w:t>7</w:t>
      </w:r>
      <w:r w:rsidR="004D4B90" w:rsidRPr="005D2BAE">
        <w:t>%</w:t>
      </w:r>
      <w:r w:rsidR="00CB4C79">
        <w:t>) and shipping (1.9%)</w:t>
      </w:r>
      <w:r w:rsidR="004D4B90" w:rsidRPr="005D2BAE">
        <w:t xml:space="preserve"> of total </w:t>
      </w:r>
      <w:r w:rsidR="004D4B90">
        <w:t xml:space="preserve">fossil </w:t>
      </w:r>
      <w:r w:rsidR="00CB4C79">
        <w:t xml:space="preserve">fuel </w:t>
      </w:r>
      <w:r w:rsidR="004D4B90">
        <w:t>CO</w:t>
      </w:r>
      <w:r w:rsidR="004D4B90" w:rsidRPr="000B0259">
        <w:rPr>
          <w:vertAlign w:val="subscript"/>
        </w:rPr>
        <w:t>2</w:t>
      </w:r>
      <w:r w:rsidR="004D4B90">
        <w:t xml:space="preserve"> emissions</w:t>
      </w:r>
      <w:r w:rsidR="004D4B90" w:rsidRPr="005D2BAE">
        <w:t xml:space="preserve"> </w:t>
      </w:r>
      <w:r w:rsidR="004D4B90">
        <w:t xml:space="preserve">in </w:t>
      </w:r>
      <w:r w:rsidR="00CC1ED3">
        <w:t>2019</w:t>
      </w:r>
      <w:r w:rsidR="004D4B90">
        <w:t xml:space="preserve"> </w:t>
      </w:r>
      <w:r w:rsidR="008D5032">
        <w:fldChar w:fldCharType="begin" w:fldLock="1"/>
      </w:r>
      <w:r w:rsidR="00EA0748">
        <w:instrText>ADDIN CSL_CITATION {"citationItems":[{"id":"ITEM-1","itemData":{"DOI":"10.2760/56420","ISBN":"978-92-76-21514-1","ISSN":"1018-5593","abstract":", the European Commission's science and knowledge service. It aims to provide evidence-based scientific support to the European policymaking process. The scientific output expressed does not imply a policy position of the European Commission. Neither the European Commission nor any person acting on behalf of the Commission is responsible for the use that might be made of this publication. For information on the methodology and quality underlying the data used in this publication for which the source is neither Eurostat nor other Commission services, users should contact the referenced source. The designations employed and the presentation of material on the maps do not imply the expression of any opinion whatsoever on the part of the European Union concerning the legal status of any country, territory, city or area or of its authorities, or concerning the delimitation of its frontiers or boundaries.","author":[{"dropping-particle":"","family":"Crippa","given":"M.","non-dropping-particle":"","parse-names":false,"suffix":""},{"dropping-particle":"","family":"Guizzardi","given":"D.","non-dropping-particle":"","parse-names":false,"suffix":""},{"dropping-particle":"","family":"Muntean","given":"M.","non-dropping-particle":"","parse-names":false,"suffix":""},{"dropping-particle":"","family":"Schaaf","given":"E.","non-dropping-particle":"","parse-names":false,"suffix":""},{"dropping-particle":"","family":"Solazzo","given":"E.","non-dropping-particle":"","parse-names":false,"suffix":""},{"dropping-particle":"","family":"Monforti-Ferrario","given":"F.","non-dropping-particle":"","parse-names":false,"suffix":""},{"dropping-particle":"","family":"Olivier","given":"J.G.J.","non-dropping-particle":"","parse-names":false,"suffix":""},{"dropping-particle":"","family":"Vignati","given":"E","non-dropping-particle":"","parse-names":false,"suffix":""}],"container-title":"Luxembourg: European Commission, ","id":"ITEM-1","issued":{"date-parts":[["2020"]]},"number-of-pages":"1-244","title":"Fossil CO2 emissions of all world countries","type":"book"},"uris":["http://www.mendeley.com/documents/?uuid=1855a4fe-e18c-4a65-ae13-83de5c375e92"]}],"mendeley":{"formattedCitation":"[16]","plainTextFormattedCitation":"[16]","previouslyFormattedCitation":"[16]"},"properties":{"noteIndex":0},"schema":"https://github.com/citation-style-language/schema/raw/master/csl-citation.json"}</w:instrText>
      </w:r>
      <w:r w:rsidR="008D5032">
        <w:fldChar w:fldCharType="separate"/>
      </w:r>
      <w:r w:rsidR="00EA0748" w:rsidRPr="00EA0748">
        <w:rPr>
          <w:noProof/>
        </w:rPr>
        <w:t>[16]</w:t>
      </w:r>
      <w:r w:rsidR="008D5032">
        <w:fldChar w:fldCharType="end"/>
      </w:r>
      <w:r w:rsidR="004D4B90">
        <w:t xml:space="preserve"> </w:t>
      </w:r>
      <w:r w:rsidR="004D4B90" w:rsidRPr="00EA0535">
        <w:t xml:space="preserve">are not included </w:t>
      </w:r>
      <w:r w:rsidR="004D4B90">
        <w:t xml:space="preserve">at all </w:t>
      </w:r>
      <w:r w:rsidR="004D4B90" w:rsidRPr="00EA0535">
        <w:t xml:space="preserve">in the </w:t>
      </w:r>
      <w:r w:rsidR="004D4B90">
        <w:t>reviewed literature</w:t>
      </w:r>
      <w:r w:rsidR="004D4B90" w:rsidRPr="00EA0535">
        <w:t>. While the responsibility for these emissions is not assigned to specific countries under the Paris Agreement, it</w:t>
      </w:r>
      <w:r w:rsidR="004D4B90">
        <w:t xml:space="preserve"> i</w:t>
      </w:r>
      <w:r w:rsidR="004D4B90" w:rsidRPr="00EA0535">
        <w:t xml:space="preserve">s noted that </w:t>
      </w:r>
      <w:r w:rsidR="004D4B90">
        <w:t xml:space="preserve">OECD </w:t>
      </w:r>
      <w:r w:rsidR="004D4B90" w:rsidRPr="00EA0535">
        <w:t xml:space="preserve">countries </w:t>
      </w:r>
      <w:r w:rsidR="004D4B90">
        <w:t>(</w:t>
      </w:r>
      <w:r w:rsidR="004D4B90" w:rsidRPr="00EA0535">
        <w:t xml:space="preserve">and </w:t>
      </w:r>
      <w:r w:rsidR="004D4B90">
        <w:t>upper-middle income</w:t>
      </w:r>
      <w:r w:rsidR="004D4B90" w:rsidRPr="00EA0535">
        <w:t xml:space="preserve"> economies </w:t>
      </w:r>
      <w:r w:rsidR="004D4B90">
        <w:t>(e.g.</w:t>
      </w:r>
      <w:r w:rsidR="004D4B90" w:rsidRPr="00AC4BE2">
        <w:t xml:space="preserve"> </w:t>
      </w:r>
      <w:r w:rsidR="004D4B90">
        <w:t xml:space="preserve">China)) </w:t>
      </w:r>
      <w:r w:rsidR="004D4B90" w:rsidRPr="00EA0535">
        <w:t xml:space="preserve">are responsible for </w:t>
      </w:r>
      <w:r w:rsidR="004D4B90">
        <w:t xml:space="preserve">62% and 28% respectively </w:t>
      </w:r>
      <w:r w:rsidR="004D4B90" w:rsidRPr="00EA0535">
        <w:t xml:space="preserve">of </w:t>
      </w:r>
      <w:r w:rsidR="004D4B90">
        <w:t>CO</w:t>
      </w:r>
      <w:r w:rsidR="004D4B90" w:rsidRPr="00EA0748">
        <w:rPr>
          <w:vertAlign w:val="subscript"/>
        </w:rPr>
        <w:t>2</w:t>
      </w:r>
      <w:r w:rsidR="004D4B90">
        <w:t xml:space="preserve"> </w:t>
      </w:r>
      <w:r w:rsidR="004D4B90" w:rsidRPr="00EA0535">
        <w:t xml:space="preserve">emissions from </w:t>
      </w:r>
      <w:r w:rsidR="004D4B90">
        <w:t xml:space="preserve">passenger </w:t>
      </w:r>
      <w:r w:rsidR="004D4B90" w:rsidRPr="00EA0535">
        <w:t>aviation</w:t>
      </w:r>
      <w:r w:rsidR="00576D7A">
        <w:t xml:space="preserve"> </w:t>
      </w:r>
      <w:r w:rsidR="00576D7A">
        <w:fldChar w:fldCharType="begin" w:fldLock="1"/>
      </w:r>
      <w:r w:rsidR="00EA0748">
        <w:instrText>ADDIN CSL_CITATION {"citationItems":[{"id":"ITEM-1","itemData":{"abstract":"Greenhouse gas emissions from commercial aviation are rapidly increasing , as is interest among fliers in reducing their carbon footprints. Under a business-as-usual trajecto-ry, the United Nations' International Civil Aviation Organization (ICAO) expects aviation emissions to roughly triple by 2050, at which time aircraft might account for 25% of the global carbon budget. Although ICAO and the International Air Transport Association (IATA) publish annual summary statistics of aircraft operations and economics , respectively, relatively little data is available about fuel burn, fuel efficiency , and carbon emissions at the regional and national levels. Policymakers cannot determine the precise amount of carbon emissions associated with flights departing from individual countries, nor can they distinguish the proportion o f e m i s s i o n s f ro m p a s s e n g e r-a n d-f re i g h t a n d a l l-f re i g h t o p-erations, or from domestic and international flights. To better understand carbon emissions associated with commercial aviation, this paper develops a bottom-up, global aviation CO 2 inventory for calendar year 2018. Using historical data from OAG Aviation Worldwide Limited, national governments, international agencies, and the Piano aircraft emissions modelling software, this paper details a global, transparent, and geographically allocated CO 2 inventory for commercial aviation. Our estimates of total global carbon emissions, and the operations estimated in this study in terms of revenue passenger kilometers (RPKs) and freight tonne kilometers (FTKs), agree well with aggregate industry estimates. Nearly 39 million flights from 2018 were analyzed, and 38 million of these were flown by passenger aircraft. Total CO 2 emissions from all commercial operations , including passenger movement, belly freight, and dedicated freight, totaled 918 million metric tons (MMT) in 2018. That is 2.4% of global CO 2 emissions from fossil fuel use and a 32% increase over the past five years. Further, this emissions growth rate is 70% higher than assumed under current ICAO projections. The data shows that passenger transport accounted for 747 MMT, or 81%, of total emissions from commercial aviation in 2018. Globally, two-thirds of all flights were domestic , and these accounted for approximately one-third of global RPKs and 40% of global passenger transport-related CO 2 emissions. On a national level, flights departing airports in the United States and its territor…","author":[{"dropping-particle":"","family":"Graver","given":"Brandon","non-dropping-particle":"","parse-names":false,"suffix":""},{"dropping-particle":"","family":"Zhang","given":"Kevin","non-dropping-particle":"","parse-names":false,"suffix":""},{"dropping-particle":"","family":"Rutherford","given":"Dan","non-dropping-particle":"","parse-names":false,"suffix":""}],"container-title":"International Council on Clean Transportation","id":"ITEM-1","issue":"16","issued":{"date-parts":[["2019"]]},"number-of-pages":"1-13","title":"CO2 emissions from commercial aviation, 2018","type":"report"},"uris":["http://www.mendeley.com/documents/?uuid=5b7d5bc9-085f-4e89-aca8-37e418be1163"]}],"mendeley":{"formattedCitation":"[17]","plainTextFormattedCitation":"[17]","previouslyFormattedCitation":"[17]"},"properties":{"noteIndex":0},"schema":"https://github.com/citation-style-language/schema/raw/master/csl-citation.json"}</w:instrText>
      </w:r>
      <w:r w:rsidR="00576D7A">
        <w:fldChar w:fldCharType="separate"/>
      </w:r>
      <w:r w:rsidR="00EA0748" w:rsidRPr="00EA0748">
        <w:rPr>
          <w:noProof/>
        </w:rPr>
        <w:t>[17]</w:t>
      </w:r>
      <w:r w:rsidR="00576D7A">
        <w:fldChar w:fldCharType="end"/>
      </w:r>
      <w:r w:rsidR="004D4B90">
        <w:t xml:space="preserve">. </w:t>
      </w:r>
    </w:p>
    <w:p w14:paraId="6350FC8A" w14:textId="77777777" w:rsidR="00194A53" w:rsidRDefault="00194A53" w:rsidP="00194A53">
      <w:pPr>
        <w:pStyle w:val="NoSpacing"/>
        <w:spacing w:line="276" w:lineRule="auto"/>
        <w:jc w:val="both"/>
      </w:pPr>
    </w:p>
    <w:p w14:paraId="6EDE8FF3" w14:textId="4E0A44BF" w:rsidR="002C0F9F" w:rsidRDefault="002C0F9F" w:rsidP="003619EC">
      <w:pPr>
        <w:pStyle w:val="Caption"/>
        <w:keepNext/>
        <w:spacing w:after="0" w:line="276" w:lineRule="auto"/>
        <w:jc w:val="both"/>
      </w:pPr>
      <w:r>
        <w:lastRenderedPageBreak/>
        <w:t>Table S</w:t>
      </w:r>
      <w:r>
        <w:fldChar w:fldCharType="begin"/>
      </w:r>
      <w:r>
        <w:instrText xml:space="preserve"> SEQ Table \* ARABIC </w:instrText>
      </w:r>
      <w:r>
        <w:fldChar w:fldCharType="separate"/>
      </w:r>
      <w:r w:rsidR="00DC268B">
        <w:rPr>
          <w:noProof/>
        </w:rPr>
        <w:t>1</w:t>
      </w:r>
      <w:r>
        <w:fldChar w:fldCharType="end"/>
      </w:r>
      <w:r>
        <w:t xml:space="preserve">: Identified </w:t>
      </w:r>
      <w:r w:rsidR="00F14EDB">
        <w:t>indicators.</w:t>
      </w:r>
      <w:r>
        <w:t xml:space="preserve"> </w:t>
      </w:r>
    </w:p>
    <w:tbl>
      <w:tblPr>
        <w:tblStyle w:val="TableGrid"/>
        <w:tblW w:w="5000" w:type="pct"/>
        <w:tblLook w:val="04A0" w:firstRow="1" w:lastRow="0" w:firstColumn="1" w:lastColumn="0" w:noHBand="0" w:noVBand="1"/>
      </w:tblPr>
      <w:tblGrid>
        <w:gridCol w:w="1997"/>
        <w:gridCol w:w="1307"/>
        <w:gridCol w:w="1414"/>
        <w:gridCol w:w="1738"/>
        <w:gridCol w:w="1263"/>
        <w:gridCol w:w="1343"/>
      </w:tblGrid>
      <w:tr w:rsidR="00597229" w:rsidRPr="00531A36" w14:paraId="4EAA02DE" w14:textId="77777777" w:rsidTr="00597229">
        <w:tc>
          <w:tcPr>
            <w:tcW w:w="2603" w:type="pct"/>
            <w:gridSpan w:val="3"/>
          </w:tcPr>
          <w:p w14:paraId="1AB6BCFE" w14:textId="08B313FB" w:rsidR="00597229" w:rsidRPr="00531A36" w:rsidRDefault="00597229" w:rsidP="00D62E17">
            <w:pPr>
              <w:pStyle w:val="NoSpacing"/>
              <w:spacing w:line="276" w:lineRule="auto"/>
              <w:jc w:val="center"/>
              <w:rPr>
                <w:sz w:val="18"/>
                <w:szCs w:val="18"/>
              </w:rPr>
            </w:pPr>
            <w:r w:rsidRPr="00531A36">
              <w:rPr>
                <w:sz w:val="18"/>
                <w:szCs w:val="18"/>
              </w:rPr>
              <w:t>Responsibility</w:t>
            </w:r>
          </w:p>
        </w:tc>
        <w:tc>
          <w:tcPr>
            <w:tcW w:w="2397" w:type="pct"/>
            <w:gridSpan w:val="3"/>
          </w:tcPr>
          <w:p w14:paraId="50EA7C29" w14:textId="103E031C" w:rsidR="00597229" w:rsidRPr="00531A36" w:rsidRDefault="00597229" w:rsidP="00D62E17">
            <w:pPr>
              <w:pStyle w:val="NoSpacing"/>
              <w:spacing w:line="276" w:lineRule="auto"/>
              <w:jc w:val="center"/>
              <w:rPr>
                <w:sz w:val="18"/>
                <w:szCs w:val="18"/>
              </w:rPr>
            </w:pPr>
            <w:r w:rsidRPr="00531A36">
              <w:rPr>
                <w:sz w:val="18"/>
                <w:szCs w:val="18"/>
              </w:rPr>
              <w:t>Capabilities</w:t>
            </w:r>
          </w:p>
        </w:tc>
      </w:tr>
      <w:tr w:rsidR="00871F18" w:rsidRPr="00531A36" w14:paraId="1DA06004" w14:textId="77777777" w:rsidTr="00597229">
        <w:tc>
          <w:tcPr>
            <w:tcW w:w="1102" w:type="pct"/>
          </w:tcPr>
          <w:p w14:paraId="57E61957" w14:textId="12F0B117" w:rsidR="00871F18" w:rsidRPr="00531A36" w:rsidRDefault="00871F18" w:rsidP="00D62E17">
            <w:pPr>
              <w:pStyle w:val="NoSpacing"/>
              <w:spacing w:line="276" w:lineRule="auto"/>
              <w:jc w:val="center"/>
              <w:rPr>
                <w:sz w:val="18"/>
                <w:szCs w:val="18"/>
              </w:rPr>
            </w:pPr>
            <w:r>
              <w:rPr>
                <w:sz w:val="18"/>
                <w:szCs w:val="18"/>
              </w:rPr>
              <w:t>(1)</w:t>
            </w:r>
          </w:p>
        </w:tc>
        <w:tc>
          <w:tcPr>
            <w:tcW w:w="721" w:type="pct"/>
          </w:tcPr>
          <w:p w14:paraId="3166F812" w14:textId="16766A33" w:rsidR="00871F18" w:rsidRPr="00531A36" w:rsidRDefault="00871F18" w:rsidP="00D62E17">
            <w:pPr>
              <w:pStyle w:val="NoSpacing"/>
              <w:spacing w:line="276" w:lineRule="auto"/>
              <w:jc w:val="center"/>
              <w:rPr>
                <w:sz w:val="18"/>
                <w:szCs w:val="18"/>
              </w:rPr>
            </w:pPr>
            <w:r>
              <w:rPr>
                <w:sz w:val="18"/>
                <w:szCs w:val="18"/>
              </w:rPr>
              <w:t>(2)</w:t>
            </w:r>
          </w:p>
        </w:tc>
        <w:tc>
          <w:tcPr>
            <w:tcW w:w="780" w:type="pct"/>
          </w:tcPr>
          <w:p w14:paraId="56479FBB" w14:textId="1F6249C1" w:rsidR="00871F18" w:rsidRPr="00531A36" w:rsidRDefault="00871F18" w:rsidP="00D62E17">
            <w:pPr>
              <w:pStyle w:val="NoSpacing"/>
              <w:spacing w:line="276" w:lineRule="auto"/>
              <w:jc w:val="center"/>
              <w:rPr>
                <w:sz w:val="18"/>
                <w:szCs w:val="18"/>
              </w:rPr>
            </w:pPr>
            <w:r>
              <w:rPr>
                <w:sz w:val="18"/>
                <w:szCs w:val="18"/>
              </w:rPr>
              <w:t>(3)</w:t>
            </w:r>
          </w:p>
        </w:tc>
        <w:tc>
          <w:tcPr>
            <w:tcW w:w="959" w:type="pct"/>
          </w:tcPr>
          <w:p w14:paraId="14C7B6EE" w14:textId="429334FF" w:rsidR="00871F18" w:rsidRPr="00531A36" w:rsidRDefault="00871F18" w:rsidP="00D62E17">
            <w:pPr>
              <w:pStyle w:val="NoSpacing"/>
              <w:spacing w:line="276" w:lineRule="auto"/>
              <w:jc w:val="center"/>
              <w:rPr>
                <w:sz w:val="18"/>
                <w:szCs w:val="18"/>
              </w:rPr>
            </w:pPr>
            <w:r>
              <w:rPr>
                <w:sz w:val="18"/>
                <w:szCs w:val="18"/>
              </w:rPr>
              <w:t>(4)</w:t>
            </w:r>
          </w:p>
        </w:tc>
        <w:tc>
          <w:tcPr>
            <w:tcW w:w="697" w:type="pct"/>
          </w:tcPr>
          <w:p w14:paraId="4CC194D0" w14:textId="64FE6377" w:rsidR="00871F18" w:rsidRPr="00531A36" w:rsidRDefault="00871F18" w:rsidP="00D62E17">
            <w:pPr>
              <w:pStyle w:val="NoSpacing"/>
              <w:spacing w:line="276" w:lineRule="auto"/>
              <w:jc w:val="center"/>
              <w:rPr>
                <w:sz w:val="18"/>
                <w:szCs w:val="18"/>
                <w:lang w:val="it-IT"/>
              </w:rPr>
            </w:pPr>
            <w:r>
              <w:rPr>
                <w:sz w:val="18"/>
                <w:szCs w:val="18"/>
                <w:lang w:val="it-IT"/>
              </w:rPr>
              <w:t>(5)</w:t>
            </w:r>
          </w:p>
        </w:tc>
        <w:tc>
          <w:tcPr>
            <w:tcW w:w="741" w:type="pct"/>
          </w:tcPr>
          <w:p w14:paraId="3976CCED" w14:textId="6C6DCE79" w:rsidR="00871F18" w:rsidRPr="00531A36" w:rsidRDefault="00871F18" w:rsidP="00D62E17">
            <w:pPr>
              <w:pStyle w:val="NoSpacing"/>
              <w:spacing w:line="276" w:lineRule="auto"/>
              <w:jc w:val="center"/>
              <w:rPr>
                <w:sz w:val="18"/>
                <w:szCs w:val="18"/>
              </w:rPr>
            </w:pPr>
            <w:r>
              <w:rPr>
                <w:sz w:val="18"/>
                <w:szCs w:val="18"/>
              </w:rPr>
              <w:t>(6)</w:t>
            </w:r>
          </w:p>
        </w:tc>
      </w:tr>
      <w:tr w:rsidR="00947445" w:rsidRPr="00531A36" w14:paraId="77C525E6" w14:textId="77777777" w:rsidTr="00597229">
        <w:tc>
          <w:tcPr>
            <w:tcW w:w="1102" w:type="pct"/>
          </w:tcPr>
          <w:p w14:paraId="6B3CCD8C" w14:textId="4449BCF7" w:rsidR="00947445" w:rsidRPr="00531A36" w:rsidRDefault="00947445" w:rsidP="00947445">
            <w:pPr>
              <w:pStyle w:val="NoSpacing"/>
              <w:spacing w:line="276" w:lineRule="auto"/>
              <w:rPr>
                <w:sz w:val="18"/>
                <w:szCs w:val="18"/>
              </w:rPr>
            </w:pPr>
            <w:r w:rsidRPr="00487C7F">
              <w:rPr>
                <w:sz w:val="18"/>
                <w:szCs w:val="18"/>
              </w:rPr>
              <w:t>Cum</w:t>
            </w:r>
            <w:r>
              <w:rPr>
                <w:sz w:val="18"/>
                <w:szCs w:val="18"/>
              </w:rPr>
              <w:t xml:space="preserve">ulative </w:t>
            </w:r>
            <w:r w:rsidRPr="00487C7F">
              <w:rPr>
                <w:sz w:val="18"/>
                <w:szCs w:val="18"/>
              </w:rPr>
              <w:t>CO2 emissions p.c. (metric tons, 1990-2019)</w:t>
            </w:r>
          </w:p>
        </w:tc>
        <w:tc>
          <w:tcPr>
            <w:tcW w:w="721" w:type="pct"/>
          </w:tcPr>
          <w:p w14:paraId="16A657F7" w14:textId="358D8E67" w:rsidR="00947445" w:rsidRPr="00531A36" w:rsidRDefault="00947445" w:rsidP="00947445">
            <w:pPr>
              <w:pStyle w:val="NoSpacing"/>
              <w:spacing w:line="276" w:lineRule="auto"/>
              <w:rPr>
                <w:sz w:val="18"/>
                <w:szCs w:val="18"/>
              </w:rPr>
            </w:pPr>
            <w:r w:rsidRPr="00487C7F">
              <w:rPr>
                <w:sz w:val="18"/>
                <w:szCs w:val="18"/>
              </w:rPr>
              <w:t>CO2 emissions p.c. (metric tons, 2019)</w:t>
            </w:r>
          </w:p>
        </w:tc>
        <w:tc>
          <w:tcPr>
            <w:tcW w:w="780" w:type="pct"/>
          </w:tcPr>
          <w:p w14:paraId="06896BFC" w14:textId="22E3AA0E" w:rsidR="00947445" w:rsidRPr="00531A36" w:rsidRDefault="00947445" w:rsidP="00947445">
            <w:pPr>
              <w:pStyle w:val="NoSpacing"/>
              <w:spacing w:line="276" w:lineRule="auto"/>
              <w:rPr>
                <w:sz w:val="18"/>
                <w:szCs w:val="18"/>
              </w:rPr>
            </w:pPr>
            <w:r w:rsidRPr="00487C7F">
              <w:rPr>
                <w:sz w:val="18"/>
                <w:szCs w:val="18"/>
              </w:rPr>
              <w:t>Absolute CO2 emissions (metric tons, 2019)</w:t>
            </w:r>
          </w:p>
        </w:tc>
        <w:tc>
          <w:tcPr>
            <w:tcW w:w="959" w:type="pct"/>
          </w:tcPr>
          <w:p w14:paraId="61006070" w14:textId="712F7A6E" w:rsidR="00947445" w:rsidRPr="00531A36" w:rsidRDefault="00947445" w:rsidP="00947445">
            <w:pPr>
              <w:pStyle w:val="NoSpacing"/>
              <w:spacing w:line="276" w:lineRule="auto"/>
              <w:rPr>
                <w:sz w:val="18"/>
                <w:szCs w:val="18"/>
              </w:rPr>
            </w:pPr>
            <w:r w:rsidRPr="00487C7F">
              <w:rPr>
                <w:sz w:val="18"/>
                <w:szCs w:val="18"/>
              </w:rPr>
              <w:t>GNI in current billion US$ (mean, 1990-2019)</w:t>
            </w:r>
          </w:p>
        </w:tc>
        <w:tc>
          <w:tcPr>
            <w:tcW w:w="697" w:type="pct"/>
          </w:tcPr>
          <w:p w14:paraId="668083E0" w14:textId="44CF46EC" w:rsidR="00947445" w:rsidRPr="00531A36" w:rsidRDefault="00947445" w:rsidP="00947445">
            <w:pPr>
              <w:pStyle w:val="NoSpacing"/>
              <w:spacing w:line="276" w:lineRule="auto"/>
              <w:rPr>
                <w:sz w:val="18"/>
                <w:szCs w:val="18"/>
              </w:rPr>
            </w:pPr>
            <w:r w:rsidRPr="00487C7F">
              <w:rPr>
                <w:sz w:val="18"/>
                <w:szCs w:val="18"/>
              </w:rPr>
              <w:t>GNI p.c. (current thousand US$., 2019)</w:t>
            </w:r>
          </w:p>
        </w:tc>
        <w:tc>
          <w:tcPr>
            <w:tcW w:w="741" w:type="pct"/>
          </w:tcPr>
          <w:p w14:paraId="6B500462" w14:textId="69963D15" w:rsidR="00947445" w:rsidRPr="00531A36" w:rsidRDefault="00947445" w:rsidP="00947445">
            <w:pPr>
              <w:pStyle w:val="NoSpacing"/>
              <w:spacing w:line="276" w:lineRule="auto"/>
              <w:rPr>
                <w:sz w:val="18"/>
                <w:szCs w:val="18"/>
              </w:rPr>
            </w:pPr>
            <w:r w:rsidRPr="00487C7F">
              <w:rPr>
                <w:sz w:val="18"/>
                <w:szCs w:val="18"/>
              </w:rPr>
              <w:t>Absolute GNI (current billion US$, 2019)</w:t>
            </w:r>
          </w:p>
        </w:tc>
      </w:tr>
    </w:tbl>
    <w:p w14:paraId="08E934A6" w14:textId="6552B0F9" w:rsidR="00742AF3" w:rsidRPr="00D62E17" w:rsidRDefault="002C0F9F" w:rsidP="00D62E17">
      <w:pPr>
        <w:pStyle w:val="NoSpacing"/>
        <w:spacing w:line="276" w:lineRule="auto"/>
        <w:jc w:val="both"/>
        <w:rPr>
          <w:sz w:val="18"/>
          <w:szCs w:val="18"/>
        </w:rPr>
      </w:pPr>
      <w:r w:rsidRPr="00D62E17">
        <w:rPr>
          <w:sz w:val="18"/>
          <w:szCs w:val="18"/>
        </w:rPr>
        <w:t xml:space="preserve">Note: </w:t>
      </w:r>
      <w:r w:rsidR="00531A36" w:rsidRPr="00D62E17">
        <w:rPr>
          <w:sz w:val="18"/>
          <w:szCs w:val="18"/>
        </w:rPr>
        <w:t>GNI=Gross National Income</w:t>
      </w:r>
    </w:p>
    <w:p w14:paraId="504FD0EC" w14:textId="77777777" w:rsidR="00A72894" w:rsidRDefault="00A72894" w:rsidP="00D62E17">
      <w:pPr>
        <w:pStyle w:val="NoSpacing"/>
        <w:spacing w:line="276" w:lineRule="auto"/>
        <w:jc w:val="both"/>
      </w:pPr>
    </w:p>
    <w:p w14:paraId="2BFD935F" w14:textId="3EB91991" w:rsidR="00503041" w:rsidRDefault="00503041" w:rsidP="00D62E17">
      <w:pPr>
        <w:pStyle w:val="Heading2"/>
        <w:numPr>
          <w:ilvl w:val="1"/>
          <w:numId w:val="7"/>
        </w:numPr>
        <w:spacing w:line="276" w:lineRule="auto"/>
        <w:jc w:val="both"/>
      </w:pPr>
      <w:r>
        <w:t>Calculated thresholds</w:t>
      </w:r>
    </w:p>
    <w:p w14:paraId="0914F897" w14:textId="54FB824A" w:rsidR="00531A36" w:rsidRDefault="00AA6345" w:rsidP="00D62E17">
      <w:pPr>
        <w:spacing w:line="276" w:lineRule="auto"/>
        <w:jc w:val="both"/>
      </w:pPr>
      <w:r w:rsidRPr="004D4B90">
        <w:t xml:space="preserve">We </w:t>
      </w:r>
      <w:r w:rsidRPr="004D4B90">
        <w:rPr>
          <w:lang w:val="en-US"/>
        </w:rPr>
        <w:t>follow Michealova et al.</w:t>
      </w:r>
      <w:r w:rsidR="00EA0748">
        <w:rPr>
          <w:lang w:val="en-US"/>
        </w:rPr>
        <w:t xml:space="preserve"> </w:t>
      </w:r>
      <w:r w:rsidR="00EA0748">
        <w:rPr>
          <w:lang w:val="en-US"/>
        </w:rPr>
        <w:fldChar w:fldCharType="begin" w:fldLock="1"/>
      </w:r>
      <w:r w:rsidR="00EA0748">
        <w:rPr>
          <w:lang w:val="en-US"/>
        </w:rPr>
        <w:instrText>ADDIN CSL_CITATION {"citationItems":[{"id":"ITEM-1","itemData":{"ISBN":"3936191034","author":[{"dropping-particle":"","family":"Michaelowa","given":"A","non-dropping-particle":"","parse-names":false,"suffix":""},{"dropping-particle":"","family":"Butzengeiger","given":"S","non-dropping-particle":"","parse-names":false,"suffix":""},{"dropping-particle":"","family":"Jung","given":"M","non-dropping-particle":"","parse-names":false,"suffix":""},{"dropping-particle":"","family":"Dutschke","given":"M","non-dropping-particle":"","parse-names":false,"suffix":""}],"id":"ITEM-1","issued":{"date-parts":[["2003"]]},"publisher-place":"Berlin","title":"Beyond 2012–Evolution of the Kyoto Protocol Regime","type":"report"},"uris":["http://www.mendeley.com/documents/?uuid=f88f8613-5d36-4fc2-a464-758a581f77ed"]}],"mendeley":{"formattedCitation":"[7]","plainTextFormattedCitation":"[7]","previouslyFormattedCitation":"[7]"},"properties":{"noteIndex":0},"schema":"https://github.com/citation-style-language/schema/raw/master/csl-citation.json"}</w:instrText>
      </w:r>
      <w:r w:rsidR="00EA0748">
        <w:rPr>
          <w:lang w:val="en-US"/>
        </w:rPr>
        <w:fldChar w:fldCharType="separate"/>
      </w:r>
      <w:r w:rsidR="00EA0748" w:rsidRPr="00EA0748">
        <w:rPr>
          <w:noProof/>
          <w:lang w:val="en-US"/>
        </w:rPr>
        <w:t>[7]</w:t>
      </w:r>
      <w:r w:rsidR="00EA0748">
        <w:rPr>
          <w:lang w:val="en-US"/>
        </w:rPr>
        <w:fldChar w:fldCharType="end"/>
      </w:r>
      <w:r w:rsidRPr="004D4B90">
        <w:rPr>
          <w:lang w:val="en-US"/>
        </w:rPr>
        <w:t xml:space="preserve"> and Colenbrander et al.</w:t>
      </w:r>
      <w:r w:rsidR="00EA0748">
        <w:rPr>
          <w:lang w:val="en-US"/>
        </w:rPr>
        <w:t xml:space="preserve"> </w:t>
      </w:r>
      <w:r w:rsidR="00EA0748">
        <w:rPr>
          <w:lang w:val="en-US"/>
        </w:rPr>
        <w:fldChar w:fldCharType="begin" w:fldLock="1"/>
      </w:r>
      <w:r w:rsidR="00DF2E92">
        <w:rPr>
          <w:lang w:val="en-US"/>
        </w:rPr>
        <w:instrText>ADDIN CSL_CITATION {"citationItems":[{"id":"ITEM-1","itemData":{"author":[{"dropping-particle":"","family":"Colenbrander","given":"Sarah","non-dropping-particle":"","parse-names":false,"suffix":""},{"dropping-particle":"","family":"Pettinotti","given":"Laetitia","non-dropping-particle":"","parse-names":false,"suffix":""},{"dropping-particle":"","family":"Cao","given":"Yue","non-dropping-particle":"","parse-names":false,"suffix":""},{"dropping-particle":"","family":"Robertson","given":"Michai","non-dropping-particle":"","parse-names":false,"suffix":""},{"dropping-particle":"","family":"Hedger","given":"Merylyn","non-dropping-particle":"","parse-names":false,"suffix":""},{"dropping-particle":"","family":"Gonzalez","given":"Lorena","non-dropping-particle":"","parse-names":false,"suffix":""}],"id":"ITEM-1","issued":{"date-parts":[["2023"]]},"publisher-place":"London, UK","title":"The New Collective Quantified Goal and its Sources of Funding - How could a ‘collective effort’ be operationalized in the NCQG?","type":"report"},"uris":["http://www.mendeley.com/documents/?uuid=c07dbdb9-1bac-4b3b-bcbf-4f2bf71d60c3"]}],"mendeley":{"formattedCitation":"[3]","plainTextFormattedCitation":"[3]","previouslyFormattedCitation":"[3]"},"properties":{"noteIndex":0},"schema":"https://github.com/citation-style-language/schema/raw/master/csl-citation.json"}</w:instrText>
      </w:r>
      <w:r w:rsidR="00EA0748">
        <w:rPr>
          <w:lang w:val="en-US"/>
        </w:rPr>
        <w:fldChar w:fldCharType="separate"/>
      </w:r>
      <w:r w:rsidR="00EA0748" w:rsidRPr="00EA0748">
        <w:rPr>
          <w:noProof/>
          <w:lang w:val="en-US"/>
        </w:rPr>
        <w:t>[3]</w:t>
      </w:r>
      <w:r w:rsidR="00EA0748">
        <w:rPr>
          <w:lang w:val="en-US"/>
        </w:rPr>
        <w:fldChar w:fldCharType="end"/>
      </w:r>
      <w:r w:rsidRPr="004D4B90">
        <w:rPr>
          <w:lang w:val="en-US"/>
        </w:rPr>
        <w:t xml:space="preserve"> and </w:t>
      </w:r>
      <w:r w:rsidR="00F45598" w:rsidRPr="00F45598">
        <w:rPr>
          <w:lang w:val="en-US"/>
        </w:rPr>
        <w:t xml:space="preserve">benchmark </w:t>
      </w:r>
      <w:r w:rsidR="00F45598">
        <w:rPr>
          <w:lang w:val="en-US"/>
        </w:rPr>
        <w:t>N</w:t>
      </w:r>
      <w:r w:rsidR="00F45598" w:rsidRPr="00F45598">
        <w:rPr>
          <w:lang w:val="en-US"/>
        </w:rPr>
        <w:t xml:space="preserve">on-Annex II countries against </w:t>
      </w:r>
      <w:r w:rsidR="00EC13FE">
        <w:rPr>
          <w:lang w:val="en-US"/>
        </w:rPr>
        <w:t xml:space="preserve">the median of 23 </w:t>
      </w:r>
      <w:r w:rsidR="00F45598" w:rsidRPr="00F45598">
        <w:rPr>
          <w:lang w:val="en-US"/>
        </w:rPr>
        <w:t>Annex II countr</w:t>
      </w:r>
      <w:r w:rsidR="00797AE7">
        <w:rPr>
          <w:lang w:val="en-US"/>
        </w:rPr>
        <w:t>y</w:t>
      </w:r>
      <w:r w:rsidR="00EC13FE">
        <w:rPr>
          <w:rStyle w:val="FootnoteReference"/>
        </w:rPr>
        <w:footnoteReference w:id="2"/>
      </w:r>
      <w:r w:rsidR="00EC13FE">
        <w:t xml:space="preserve"> </w:t>
      </w:r>
      <w:r w:rsidR="00EC13FE">
        <w:rPr>
          <w:lang w:val="en-US"/>
        </w:rPr>
        <w:t xml:space="preserve">values (thus </w:t>
      </w:r>
      <w:r w:rsidR="003E5AE6">
        <w:t>excluding the EU</w:t>
      </w:r>
      <w:r w:rsidR="00EC13FE">
        <w:t>)</w:t>
      </w:r>
      <w:r w:rsidR="003E5AE6">
        <w:t xml:space="preserve">. </w:t>
      </w:r>
      <w:r w:rsidR="00C72BAA">
        <w:t>Non-Annex II c</w:t>
      </w:r>
      <w:r w:rsidR="00396181">
        <w:t xml:space="preserve">ountries with higher values than the </w:t>
      </w:r>
      <w:r w:rsidR="00C72BAA">
        <w:t xml:space="preserve">calculated </w:t>
      </w:r>
      <w:r w:rsidR="000F4CDD">
        <w:t xml:space="preserve">median are </w:t>
      </w:r>
      <w:r w:rsidR="00396181">
        <w:t>marked with a positive decision</w:t>
      </w:r>
      <w:r w:rsidR="000F4CDD">
        <w:t xml:space="preserve"> (‘yes’ in Table 2)</w:t>
      </w:r>
      <w:r w:rsidR="00396181">
        <w:t xml:space="preserve">. </w:t>
      </w:r>
      <w:r w:rsidR="00393AF8">
        <w:t xml:space="preserve">The decision is </w:t>
      </w:r>
      <w:r w:rsidR="00C51349">
        <w:t>‘y</w:t>
      </w:r>
      <w:r w:rsidR="00DC6DF9">
        <w:t>es</w:t>
      </w:r>
      <w:r w:rsidR="00C51349">
        <w:t>’</w:t>
      </w:r>
      <w:r w:rsidR="00DC6DF9">
        <w:t xml:space="preserve"> if the country has </w:t>
      </w:r>
      <w:r w:rsidR="00B528DD">
        <w:t xml:space="preserve">higher historical </w:t>
      </w:r>
      <w:r w:rsidR="00E33F01">
        <w:t xml:space="preserve">emissions </w:t>
      </w:r>
      <w:r w:rsidR="00B528DD">
        <w:t>(1),</w:t>
      </w:r>
      <w:r w:rsidR="00E33F01">
        <w:t xml:space="preserve"> relative emissions </w:t>
      </w:r>
      <w:r w:rsidR="00B528DD">
        <w:t xml:space="preserve">(2) and absolute </w:t>
      </w:r>
      <w:r w:rsidR="00E33F01">
        <w:t xml:space="preserve">emissions </w:t>
      </w:r>
      <w:r w:rsidR="00B528DD">
        <w:t>(3)</w:t>
      </w:r>
      <w:r w:rsidR="00396181">
        <w:t>,</w:t>
      </w:r>
      <w:r w:rsidR="00B528DD">
        <w:t xml:space="preserve"> </w:t>
      </w:r>
      <w:r w:rsidR="00DC6DF9">
        <w:t>than the median Annex II country values.</w:t>
      </w:r>
      <w:r w:rsidR="00947445">
        <w:t xml:space="preserve"> </w:t>
      </w:r>
      <w:r w:rsidR="00393AF8">
        <w:t xml:space="preserve">The decision is </w:t>
      </w:r>
      <w:r w:rsidR="00C51349">
        <w:t>‘yes’</w:t>
      </w:r>
      <w:r w:rsidR="00393AF8">
        <w:t xml:space="preserve"> </w:t>
      </w:r>
      <w:r w:rsidR="00DC6DF9">
        <w:t>if the country has higher</w:t>
      </w:r>
      <w:r w:rsidR="00E33F01">
        <w:t xml:space="preserve"> </w:t>
      </w:r>
      <w:r>
        <w:t>historical</w:t>
      </w:r>
      <w:r w:rsidR="00DC6DF9">
        <w:t xml:space="preserve"> income</w:t>
      </w:r>
      <w:r>
        <w:t xml:space="preserve"> (4), relative income (5), absolute income </w:t>
      </w:r>
      <w:r w:rsidR="00B528DD">
        <w:t>(</w:t>
      </w:r>
      <w:r>
        <w:t>6)</w:t>
      </w:r>
      <w:r w:rsidR="00114FFB">
        <w:t>, than the median Annex II country values.</w:t>
      </w:r>
    </w:p>
    <w:p w14:paraId="7715E1A6" w14:textId="33DFD4C8" w:rsidR="006C0800" w:rsidRDefault="00AA6345" w:rsidP="00D62E17">
      <w:pPr>
        <w:spacing w:line="276" w:lineRule="auto"/>
        <w:jc w:val="both"/>
        <w:rPr>
          <w:lang w:val="en-US"/>
        </w:rPr>
      </w:pPr>
      <w:r>
        <w:rPr>
          <w:lang w:val="en-US"/>
        </w:rPr>
        <w:t>By u</w:t>
      </w:r>
      <w:r w:rsidR="00531A36" w:rsidRPr="004D4B90">
        <w:rPr>
          <w:lang w:val="en-US"/>
        </w:rPr>
        <w:t>sing the median value (p50) for each indicator</w:t>
      </w:r>
      <w:r>
        <w:rPr>
          <w:lang w:val="en-US"/>
        </w:rPr>
        <w:t>, it</w:t>
      </w:r>
      <w:r w:rsidR="00531A36" w:rsidRPr="004D4B90">
        <w:rPr>
          <w:lang w:val="en-US"/>
        </w:rPr>
        <w:t xml:space="preserve"> ensures a conservative approach</w:t>
      </w:r>
      <w:r w:rsidR="00D81087">
        <w:t xml:space="preserve"> and does </w:t>
      </w:r>
      <w:r w:rsidR="004D4B90" w:rsidRPr="00D62E17">
        <w:t>not set a high bar, considering that the large majority of climate finance comes from the Annex II countries that are above the median</w:t>
      </w:r>
      <w:r w:rsidR="00393AF8">
        <w:t xml:space="preserve"> (see </w:t>
      </w:r>
      <w:r w:rsidR="00DF2E92">
        <w:fldChar w:fldCharType="begin" w:fldLock="1"/>
      </w:r>
      <w:r w:rsidR="008B15ED">
        <w:instrText>ADDIN CSL_CITATION {"citationItems":[{"id":"ITEM-1","itemData":{"abstract":"How to cite: Colenbrander, S., Pettinotti, L. and Cao, Y. (2022) A fair share of climate finance? An appraisal of past performance, future pledges and prospective contributors. ODI Working Paper. London: ODI (https://odi.org/en/publications/a-fair-share-of-climate-finance-an-appraisal-of-past-performance-future-pledges-and-prospective-contributors/) 3","author":[{"dropping-particle":"","family":"Colenbrander","given":"Sarah","non-dropping-particle":"","parse-names":false,"suffix":""},{"dropping-particle":"","family":"Pettinotti","given":"Laetitia","non-dropping-particle":"","parse-names":false,"suffix":""},{"dropping-particle":"","family":"Cao","given":"Yue","non-dropping-particle":"","parse-names":false,"suffix":""}],"container-title":"ODI","id":"ITEM-1","issued":{"date-parts":[["2021"]]},"publisher-place":"London, UK","title":"A fair share of climate finance?","type":"report"},"uris":["http://www.mendeley.com/documents/?uuid=a1f4447c-bce9-4f90-ad61-5ef319ad7f3f"]}],"mendeley":{"formattedCitation":"[18]","plainTextFormattedCitation":"[18]","previouslyFormattedCitation":"[18]"},"properties":{"noteIndex":0},"schema":"https://github.com/citation-style-language/schema/raw/master/csl-citation.json"}</w:instrText>
      </w:r>
      <w:r w:rsidR="00DF2E92">
        <w:fldChar w:fldCharType="separate"/>
      </w:r>
      <w:r w:rsidR="00DF2E92" w:rsidRPr="00DF2E92">
        <w:rPr>
          <w:noProof/>
        </w:rPr>
        <w:t>[18]</w:t>
      </w:r>
      <w:r w:rsidR="00DF2E92">
        <w:fldChar w:fldCharType="end"/>
      </w:r>
      <w:r w:rsidR="00A4270E">
        <w:t>)</w:t>
      </w:r>
      <w:r w:rsidR="004D4B90" w:rsidRPr="00D62E17">
        <w:t xml:space="preserve">. </w:t>
      </w:r>
      <w:r w:rsidR="006C0800">
        <w:rPr>
          <w:lang w:val="en-US"/>
        </w:rPr>
        <w:t>A positive decision is defined as “Yes”, if equation (1) is true</w:t>
      </w:r>
      <w:r w:rsidR="002B4F5C">
        <w:rPr>
          <w:lang w:val="en-US"/>
        </w:rPr>
        <w:t>:</w:t>
      </w:r>
    </w:p>
    <w:p w14:paraId="179DC41A" w14:textId="0B901806" w:rsidR="00531A36" w:rsidRPr="000C1913" w:rsidRDefault="00D5425C" w:rsidP="00D62E17">
      <w:pPr>
        <w:spacing w:line="276" w:lineRule="auto"/>
        <w:jc w:val="both"/>
      </w:pPr>
      <m:oMath>
        <m:r>
          <w:rPr>
            <w:rFonts w:ascii="Cambria Math" w:hAnsi="Cambria Math"/>
            <w:lang w:val="en-US"/>
          </w:rPr>
          <m:t>Countr</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A</m:t>
            </m:r>
          </m:sub>
        </m:sSub>
        <m:r>
          <w:rPr>
            <w:rFonts w:ascii="Cambria Math" w:hAnsi="Cambria Math"/>
            <w:lang w:val="en-US"/>
          </w:rPr>
          <m:t xml:space="preserve">&gt;Median </m:t>
        </m:r>
        <m:sSub>
          <m:sSubPr>
            <m:ctrlPr>
              <w:rPr>
                <w:rFonts w:ascii="Cambria Math" w:hAnsi="Cambria Math"/>
                <w:i/>
                <w:lang w:val="en-US"/>
              </w:rPr>
            </m:ctrlPr>
          </m:sSubPr>
          <m:e>
            <m:d>
              <m:dPr>
                <m:ctrlPr>
                  <w:rPr>
                    <w:rFonts w:ascii="Cambria Math" w:hAnsi="Cambria Math"/>
                    <w:i/>
                    <w:lang w:val="en-US"/>
                  </w:rPr>
                </m:ctrlPr>
              </m:dPr>
              <m:e>
                <m:r>
                  <w:rPr>
                    <w:rFonts w:ascii="Cambria Math" w:hAnsi="Cambria Math"/>
                    <w:lang w:val="en-US"/>
                  </w:rPr>
                  <m:t>p50</m:t>
                </m:r>
              </m:e>
            </m:d>
            <m:r>
              <w:rPr>
                <w:rFonts w:ascii="Cambria Math" w:hAnsi="Cambria Math"/>
                <w:lang w:val="en-US"/>
              </w:rPr>
              <m:t xml:space="preserve"> Annex II</m:t>
            </m:r>
          </m:e>
          <m:sub>
            <m:r>
              <w:rPr>
                <w:rFonts w:ascii="Cambria Math" w:hAnsi="Cambria Math"/>
                <w:lang w:val="en-US"/>
              </w:rPr>
              <m:t>A</m:t>
            </m:r>
          </m:sub>
        </m:sSub>
      </m:oMath>
      <w:r w:rsidR="000C1913" w:rsidRPr="00487C7F">
        <w:rPr>
          <w:rFonts w:ascii="Cambria Math" w:eastAsiaTheme="minorEastAsia" w:hAnsi="Cambria Math"/>
          <w:lang w:val="en-US"/>
        </w:rPr>
        <w:tab/>
      </w:r>
      <w:r w:rsidR="009A7D05" w:rsidRPr="00487C7F">
        <w:rPr>
          <w:rFonts w:ascii="Cambria Math" w:eastAsiaTheme="minorEastAsia" w:hAnsi="Cambria Math"/>
          <w:lang w:val="en-US"/>
        </w:rPr>
        <w:t>, with</w:t>
      </w:r>
      <w:r w:rsidR="00FA68DC" w:rsidRPr="00487C7F">
        <w:rPr>
          <w:rFonts w:ascii="Cambria Math" w:eastAsiaTheme="minorEastAsia" w:hAnsi="Cambria Math"/>
          <w:i/>
          <w:iCs/>
          <w:lang w:val="en-US"/>
        </w:rPr>
        <w:t xml:space="preserve"> </w:t>
      </w:r>
      <w:bookmarkStart w:id="2" w:name="_Hlk169868989"/>
      <w:r w:rsidR="00DB7F26" w:rsidRPr="00487C7F">
        <w:rPr>
          <w:rFonts w:ascii="Cambria Math" w:eastAsiaTheme="minorEastAsia" w:hAnsi="Cambria Math"/>
          <w:i/>
          <w:iCs/>
          <w:lang w:val="en-US"/>
        </w:rPr>
        <w:t>A</w:t>
      </w:r>
      <w:bookmarkEnd w:id="2"/>
      <w:r w:rsidR="00DB7F26" w:rsidRPr="00487C7F">
        <w:rPr>
          <w:rFonts w:ascii="Cambria Math" w:eastAsiaTheme="minorEastAsia" w:hAnsi="Cambria Math"/>
          <w:i/>
          <w:iCs/>
          <w:lang w:val="en-US"/>
        </w:rPr>
        <w:t xml:space="preserve"> = {1, 2, 3, 4, 5, 6}</w:t>
      </w:r>
      <w:r w:rsidR="0009277F">
        <w:rPr>
          <w:rFonts w:ascii="Cambria Math" w:eastAsiaTheme="minorEastAsia" w:hAnsi="Cambria Math"/>
          <w:i/>
          <w:iCs/>
          <w:lang w:val="en-US"/>
        </w:rPr>
        <w:tab/>
      </w:r>
      <w:r w:rsidR="0009277F">
        <w:rPr>
          <w:rFonts w:ascii="Cambria Math" w:eastAsiaTheme="minorEastAsia" w:hAnsi="Cambria Math"/>
          <w:i/>
          <w:iCs/>
          <w:lang w:val="en-US"/>
        </w:rPr>
        <w:tab/>
      </w:r>
      <w:r w:rsidR="0009277F">
        <w:rPr>
          <w:rFonts w:ascii="Cambria Math" w:eastAsiaTheme="minorEastAsia" w:hAnsi="Cambria Math"/>
          <w:i/>
          <w:iCs/>
          <w:lang w:val="en-US"/>
        </w:rPr>
        <w:tab/>
      </w:r>
      <w:r w:rsidR="000C1913" w:rsidRPr="00487C7F">
        <w:rPr>
          <w:rFonts w:eastAsiaTheme="minorEastAsia"/>
          <w:i/>
          <w:iCs/>
          <w:lang w:val="en-US"/>
        </w:rPr>
        <w:tab/>
      </w:r>
      <w:r w:rsidR="000C1913">
        <w:rPr>
          <w:rFonts w:eastAsiaTheme="minorEastAsia"/>
          <w:lang w:val="en-US"/>
        </w:rPr>
        <w:t>(1)</w:t>
      </w:r>
    </w:p>
    <w:p w14:paraId="78326360" w14:textId="2AE09BB3" w:rsidR="009D3506" w:rsidRDefault="002B4F5C" w:rsidP="00D62E17">
      <w:pPr>
        <w:spacing w:line="276" w:lineRule="auto"/>
        <w:jc w:val="both"/>
      </w:pPr>
      <w:r>
        <w:t>w</w:t>
      </w:r>
      <w:r w:rsidR="00396181">
        <w:t xml:space="preserve">ith </w:t>
      </w:r>
      <w:r w:rsidR="00396181" w:rsidRPr="00487C7F">
        <w:rPr>
          <w:rFonts w:ascii="Cambria Math" w:hAnsi="Cambria Math"/>
          <w:i/>
        </w:rPr>
        <w:t>Country</w:t>
      </w:r>
      <w:r w:rsidR="00396181">
        <w:t xml:space="preserve"> representing all UNFCCC member states (excl. Annex 2 countries)</w:t>
      </w:r>
      <w:r w:rsidR="00DE1B92">
        <w:t xml:space="preserve">. </w:t>
      </w:r>
      <w:r w:rsidR="00D62E17">
        <w:rPr>
          <w:i/>
          <w:vertAlign w:val="subscript"/>
        </w:rPr>
        <w:t xml:space="preserve"> </w:t>
      </w:r>
      <w:r w:rsidR="00DB7F26" w:rsidRPr="005A25DF">
        <w:rPr>
          <w:rFonts w:eastAsiaTheme="minorEastAsia"/>
          <w:i/>
          <w:iCs/>
          <w:lang w:val="en-US"/>
        </w:rPr>
        <w:t>A</w:t>
      </w:r>
      <w:r w:rsidR="00DB7F26">
        <w:t xml:space="preserve"> </w:t>
      </w:r>
      <w:r w:rsidR="00E55E78">
        <w:t xml:space="preserve">is the </w:t>
      </w:r>
      <w:r w:rsidR="00E55E78" w:rsidRPr="00E55E78">
        <w:t xml:space="preserve">set </w:t>
      </w:r>
      <w:r w:rsidR="00E55E78">
        <w:t xml:space="preserve">of the </w:t>
      </w:r>
      <w:r w:rsidR="00DE1B92">
        <w:t xml:space="preserve">six indicators. </w:t>
      </w:r>
      <w:r w:rsidR="00866836">
        <w:t xml:space="preserve">To calculate </w:t>
      </w:r>
      <w:r w:rsidR="00866836" w:rsidRPr="007C072E">
        <w:t>the</w:t>
      </w:r>
      <w:r w:rsidR="00DE1B92" w:rsidRPr="00487C7F">
        <w:rPr>
          <w:rFonts w:ascii="Cambria Math" w:hAnsi="Cambria Math"/>
          <w:i/>
        </w:rPr>
        <w:t xml:space="preserve"> Median (</w:t>
      </w:r>
      <w:r w:rsidR="001D1982" w:rsidRPr="00487C7F">
        <w:rPr>
          <w:rFonts w:ascii="Cambria Math" w:hAnsi="Cambria Math"/>
          <w:i/>
        </w:rPr>
        <w:t>p50</w:t>
      </w:r>
      <w:r w:rsidR="00DE1B92" w:rsidRPr="00487C7F">
        <w:rPr>
          <w:rFonts w:ascii="Cambria Math" w:hAnsi="Cambria Math"/>
          <w:i/>
        </w:rPr>
        <w:t>)</w:t>
      </w:r>
      <w:r w:rsidR="001D1982" w:rsidRPr="00487C7F">
        <w:rPr>
          <w:rFonts w:ascii="Cambria Math" w:hAnsi="Cambria Math"/>
          <w:i/>
        </w:rPr>
        <w:t xml:space="preserve"> </w:t>
      </w:r>
      <w:r w:rsidR="00DE1B92" w:rsidRPr="00487C7F">
        <w:rPr>
          <w:rFonts w:ascii="Cambria Math" w:hAnsi="Cambria Math"/>
          <w:i/>
        </w:rPr>
        <w:t>Annex 2</w:t>
      </w:r>
      <w:r w:rsidR="00DE1B92" w:rsidRPr="00487C7F">
        <w:rPr>
          <w:rFonts w:ascii="Cambria Math" w:hAnsi="Cambria Math"/>
          <w:i/>
          <w:vertAlign w:val="subscript"/>
        </w:rPr>
        <w:t>A</w:t>
      </w:r>
      <w:r w:rsidR="00DE1B92">
        <w:rPr>
          <w:vertAlign w:val="subscript"/>
        </w:rPr>
        <w:t xml:space="preserve"> </w:t>
      </w:r>
      <w:r w:rsidR="00DE1B92">
        <w:t xml:space="preserve"> </w:t>
      </w:r>
      <w:r w:rsidR="00866836">
        <w:t xml:space="preserve">of </w:t>
      </w:r>
      <w:r w:rsidR="00DE1B92">
        <w:t xml:space="preserve">the </w:t>
      </w:r>
      <w:r w:rsidR="001416B0">
        <w:t>v</w:t>
      </w:r>
      <w:r w:rsidR="002D0A00">
        <w:t xml:space="preserve">alues </w:t>
      </w:r>
      <w:r w:rsidR="00DE1B92">
        <w:t>from all Annex 2 countries (n=</w:t>
      </w:r>
      <w:r w:rsidR="00CF13E9">
        <w:t>23</w:t>
      </w:r>
      <w:r w:rsidR="00DE1B92">
        <w:t xml:space="preserve">) for </w:t>
      </w:r>
      <w:r w:rsidR="00866836">
        <w:t xml:space="preserve">each </w:t>
      </w:r>
      <w:r w:rsidR="00DE1B92">
        <w:t xml:space="preserve">Indicator </w:t>
      </w:r>
      <w:r w:rsidR="00866836">
        <w:t xml:space="preserve">defined in </w:t>
      </w:r>
      <w:r w:rsidR="00DE1B92">
        <w:t>A</w:t>
      </w:r>
      <w:r w:rsidR="00866836">
        <w:t>, values</w:t>
      </w:r>
      <w:r w:rsidR="00DE1B92">
        <w:t xml:space="preserve"> are sorted from </w:t>
      </w:r>
      <w:r w:rsidR="002D0A00">
        <w:t>low to high</w:t>
      </w:r>
      <w:r w:rsidR="00866836">
        <w:t xml:space="preserve"> as illustrated </w:t>
      </w:r>
      <w:r w:rsidR="009A7D05">
        <w:t>in (</w:t>
      </w:r>
      <w:r w:rsidR="00DF3F20">
        <w:t>equation 2)</w:t>
      </w:r>
      <w:r w:rsidR="00866836">
        <w:t>.</w:t>
      </w:r>
    </w:p>
    <w:p w14:paraId="0B875872" w14:textId="40CFB086" w:rsidR="001416B0" w:rsidRDefault="00D50A2C" w:rsidP="00D62E17">
      <w:pPr>
        <w:spacing w:line="276" w:lineRule="auto"/>
        <w:jc w:val="both"/>
      </w:pPr>
      <m:oMath>
        <m:sSub>
          <m:sSubPr>
            <m:ctrlPr>
              <w:rPr>
                <w:rFonts w:ascii="Cambria Math" w:hAnsi="Cambria Math"/>
                <w:i/>
                <w:iCs/>
              </w:rPr>
            </m:ctrlPr>
          </m:sSubPr>
          <m:e>
            <m:r>
              <w:rPr>
                <w:rFonts w:ascii="Cambria Math" w:hAnsi="Cambria Math"/>
              </w:rPr>
              <m:t>Country 1</m:t>
            </m:r>
          </m:e>
          <m:sub>
            <m:r>
              <w:rPr>
                <w:rFonts w:ascii="Cambria Math" w:hAnsi="Cambria Math"/>
              </w:rPr>
              <m:t xml:space="preserve"> A</m:t>
            </m:r>
          </m:sub>
        </m:sSub>
        <m:r>
          <w:rPr>
            <w:rFonts w:ascii="Cambria Math" w:hAnsi="Cambria Math"/>
          </w:rPr>
          <m:t xml:space="preserve"> &lt; </m:t>
        </m:r>
        <m:sSub>
          <m:sSubPr>
            <m:ctrlPr>
              <w:rPr>
                <w:rFonts w:ascii="Cambria Math" w:hAnsi="Cambria Math"/>
                <w:i/>
                <w:iCs/>
              </w:rPr>
            </m:ctrlPr>
          </m:sSubPr>
          <m:e>
            <m:r>
              <w:rPr>
                <w:rFonts w:ascii="Cambria Math" w:hAnsi="Cambria Math"/>
              </w:rPr>
              <m:t>Country 2</m:t>
            </m:r>
          </m:e>
          <m:sub>
            <m:r>
              <w:rPr>
                <w:rFonts w:ascii="Cambria Math" w:hAnsi="Cambria Math"/>
              </w:rPr>
              <m:t xml:space="preserve"> A</m:t>
            </m:r>
          </m:sub>
        </m:sSub>
        <m:r>
          <w:rPr>
            <w:rFonts w:ascii="Cambria Math" w:hAnsi="Cambria Math"/>
          </w:rPr>
          <m:t xml:space="preserve">  &lt; … &lt; </m:t>
        </m:r>
        <m:sSub>
          <m:sSubPr>
            <m:ctrlPr>
              <w:rPr>
                <w:rFonts w:ascii="Cambria Math" w:hAnsi="Cambria Math"/>
                <w:i/>
                <w:iCs/>
              </w:rPr>
            </m:ctrlPr>
          </m:sSubPr>
          <m:e>
            <m:r>
              <w:rPr>
                <w:rFonts w:ascii="Cambria Math" w:hAnsi="Cambria Math"/>
              </w:rPr>
              <m:t>Country 23</m:t>
            </m:r>
          </m:e>
          <m:sub>
            <m:r>
              <w:rPr>
                <w:rFonts w:ascii="Cambria Math" w:hAnsi="Cambria Math"/>
              </w:rPr>
              <m:t xml:space="preserve"> A</m:t>
            </m:r>
          </m:sub>
        </m:sSub>
      </m:oMath>
      <w:r w:rsidR="00FD5026" w:rsidRPr="00563CA4">
        <w:rPr>
          <w:i/>
          <w:iCs/>
        </w:rPr>
        <w:t xml:space="preserve"> </w:t>
      </w:r>
      <w:r w:rsidR="000C1913" w:rsidRPr="00563CA4">
        <w:rPr>
          <w:i/>
          <w:iCs/>
        </w:rPr>
        <w:tab/>
      </w:r>
      <w:r w:rsidR="000C1913">
        <w:tab/>
      </w:r>
      <w:r w:rsidR="000C1913">
        <w:tab/>
      </w:r>
      <w:r w:rsidR="0009277F">
        <w:tab/>
      </w:r>
      <w:r w:rsidR="0009277F">
        <w:tab/>
      </w:r>
      <w:r w:rsidR="0009277F">
        <w:tab/>
      </w:r>
      <w:r w:rsidR="000C1913">
        <w:t>(2)</w:t>
      </w:r>
    </w:p>
    <w:p w14:paraId="6E919869" w14:textId="5C6818E1" w:rsidR="00D5425C" w:rsidRDefault="00866836" w:rsidP="00D62E17">
      <w:pPr>
        <w:spacing w:line="276" w:lineRule="auto"/>
        <w:jc w:val="both"/>
      </w:pPr>
      <w:r>
        <w:t xml:space="preserve">The </w:t>
      </w:r>
      <w:r w:rsidRPr="00487C7F">
        <w:rPr>
          <w:rFonts w:ascii="Cambria Math" w:hAnsi="Cambria Math"/>
          <w:i/>
          <w:iCs/>
        </w:rPr>
        <w:t>Median (p50) Annex 2</w:t>
      </w:r>
      <w:r w:rsidRPr="00487C7F">
        <w:rPr>
          <w:rFonts w:ascii="Cambria Math" w:hAnsi="Cambria Math"/>
          <w:i/>
          <w:iCs/>
          <w:vertAlign w:val="subscript"/>
        </w:rPr>
        <w:t>A</w:t>
      </w:r>
      <w:r w:rsidRPr="00866836">
        <w:t xml:space="preserve"> </w:t>
      </w:r>
      <w:r>
        <w:t xml:space="preserve">is the value in the </w:t>
      </w:r>
      <w:r w:rsidR="0099145C">
        <w:t>middle</w:t>
      </w:r>
      <w:r w:rsidR="003D0132">
        <w:t>,</w:t>
      </w:r>
      <w:r w:rsidR="00E84302">
        <w:t xml:space="preserve"> which is calculated for </w:t>
      </w:r>
      <w:r w:rsidR="00E47752">
        <w:t xml:space="preserve">uneven </w:t>
      </w:r>
      <w:r w:rsidR="00E84302">
        <w:t xml:space="preserve">numbers </w:t>
      </w:r>
      <w:r w:rsidR="003D0132">
        <w:t xml:space="preserve">by </w:t>
      </w:r>
      <w:r w:rsidR="00E84302">
        <w:t xml:space="preserve">the average of </w:t>
      </w:r>
      <w:r w:rsidR="003D0132">
        <w:t>the middle and middle + 1 divided by 2</w:t>
      </w:r>
      <w:r w:rsidR="006E4E33">
        <w:t xml:space="preserve"> (equation 3)</w:t>
      </w:r>
      <w:r w:rsidR="003D0132">
        <w:t xml:space="preserve">. </w:t>
      </w:r>
    </w:p>
    <w:p w14:paraId="57CCFBDA" w14:textId="11336905" w:rsidR="0055571C" w:rsidRPr="002E1E97" w:rsidRDefault="00615239" w:rsidP="00487C7F">
      <w:pPr>
        <w:spacing w:line="276" w:lineRule="auto"/>
        <w:jc w:val="both"/>
        <w:rPr>
          <w:rFonts w:eastAsiaTheme="minorEastAsia"/>
          <w:lang w:val="en-US"/>
        </w:rPr>
      </w:pPr>
      <m:oMath>
        <m:r>
          <w:rPr>
            <w:rFonts w:ascii="Cambria Math" w:hAnsi="Cambria Math"/>
            <w:lang w:val="en-US"/>
          </w:rPr>
          <m:t xml:space="preserve">Median </m:t>
        </m:r>
        <m:sSub>
          <m:sSubPr>
            <m:ctrlPr>
              <w:rPr>
                <w:rFonts w:ascii="Cambria Math" w:hAnsi="Cambria Math"/>
                <w:i/>
                <w:lang w:val="en-US"/>
              </w:rPr>
            </m:ctrlPr>
          </m:sSubPr>
          <m:e>
            <m:d>
              <m:dPr>
                <m:ctrlPr>
                  <w:rPr>
                    <w:rFonts w:ascii="Cambria Math" w:hAnsi="Cambria Math"/>
                    <w:i/>
                    <w:lang w:val="en-US"/>
                  </w:rPr>
                </m:ctrlPr>
              </m:dPr>
              <m:e>
                <m:r>
                  <w:rPr>
                    <w:rFonts w:ascii="Cambria Math" w:hAnsi="Cambria Math"/>
                    <w:lang w:val="en-US"/>
                  </w:rPr>
                  <m:t>p50</m:t>
                </m:r>
              </m:e>
            </m:d>
            <m:r>
              <w:rPr>
                <w:rFonts w:ascii="Cambria Math" w:hAnsi="Cambria Math"/>
                <w:lang w:val="en-US"/>
              </w:rPr>
              <m:t xml:space="preserve"> Annex 2</m:t>
            </m:r>
          </m:e>
          <m:sub>
            <m:r>
              <w:rPr>
                <w:rFonts w:ascii="Cambria Math" w:hAnsi="Cambria Math"/>
                <w:lang w:val="en-US"/>
              </w:rPr>
              <m:t>A</m:t>
            </m:r>
          </m:sub>
        </m:sSub>
        <m:r>
          <w:rPr>
            <w:rFonts w:ascii="Cambria Math" w:hAnsi="Cambria Math"/>
            <w:lang w:val="en-US"/>
          </w:rPr>
          <m:t xml:space="preserve">=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Country</m:t>
                </m:r>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24</m:t>
                        </m:r>
                      </m:num>
                      <m:den>
                        <m:r>
                          <w:rPr>
                            <w:rFonts w:ascii="Cambria Math" w:hAnsi="Cambria Math"/>
                            <w:lang w:val="en-US"/>
                          </w:rPr>
                          <m:t>2</m:t>
                        </m:r>
                      </m:den>
                    </m:f>
                  </m:e>
                </m:d>
              </m:e>
              <m:sub>
                <m:r>
                  <w:rPr>
                    <w:rFonts w:ascii="Cambria Math" w:hAnsi="Cambria Math"/>
                    <w:lang w:val="en-US"/>
                  </w:rPr>
                  <m:t>A</m:t>
                </m:r>
              </m:sub>
            </m:sSub>
            <m:r>
              <w:rPr>
                <w:rFonts w:ascii="Cambria Math" w:hAnsi="Cambria Math"/>
                <w:lang w:val="en-US"/>
              </w:rPr>
              <m:t>+ Country</m:t>
            </m:r>
            <m:sSub>
              <m:sSubPr>
                <m:ctrlPr>
                  <w:rPr>
                    <w:rFonts w:ascii="Cambria Math" w:hAnsi="Cambria Math"/>
                    <w:i/>
                    <w:lang w:val="en-US"/>
                  </w:rPr>
                </m:ctrlPr>
              </m:sSubPr>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24</m:t>
                        </m:r>
                      </m:num>
                      <m:den>
                        <m:r>
                          <w:rPr>
                            <w:rFonts w:ascii="Cambria Math" w:hAnsi="Cambria Math"/>
                            <w:lang w:val="en-US"/>
                          </w:rPr>
                          <m:t>2</m:t>
                        </m:r>
                      </m:den>
                    </m:f>
                    <m:r>
                      <w:rPr>
                        <w:rFonts w:ascii="Cambria Math" w:hAnsi="Cambria Math"/>
                        <w:lang w:val="en-US"/>
                      </w:rPr>
                      <m:t>+1</m:t>
                    </m:r>
                  </m:e>
                </m:d>
              </m:e>
              <m:sub>
                <m:r>
                  <w:rPr>
                    <w:rFonts w:ascii="Cambria Math" w:hAnsi="Cambria Math"/>
                    <w:lang w:val="en-US"/>
                  </w:rPr>
                  <m:t>A</m:t>
                </m:r>
              </m:sub>
            </m:sSub>
            <m:ctrlPr>
              <w:rPr>
                <w:rFonts w:ascii="Cambria Math" w:hAnsi="Cambria Math"/>
                <w:i/>
              </w:rPr>
            </m:ctrlPr>
          </m:num>
          <m:den>
            <m:r>
              <w:rPr>
                <w:rFonts w:ascii="Cambria Math" w:hAnsi="Cambria Math"/>
              </w:rPr>
              <m:t>2</m:t>
            </m:r>
          </m:den>
        </m:f>
        <m:r>
          <w:rPr>
            <w:rFonts w:ascii="Cambria Math" w:eastAsiaTheme="minorEastAsia" w:hAnsi="Cambria Math"/>
            <w:lang w:val="en-US"/>
          </w:rPr>
          <m:t xml:space="preserve"> </m:t>
        </m:r>
      </m:oMath>
      <w:r w:rsidR="002E1E97">
        <w:rPr>
          <w:rFonts w:eastAsiaTheme="minorEastAsia"/>
          <w:lang w:val="en-US"/>
        </w:rPr>
        <w:tab/>
      </w:r>
      <w:r w:rsidR="002E1E97">
        <w:rPr>
          <w:rFonts w:eastAsiaTheme="minorEastAsia"/>
          <w:lang w:val="en-US"/>
        </w:rPr>
        <w:tab/>
      </w:r>
      <w:r w:rsidR="0009277F">
        <w:rPr>
          <w:rFonts w:eastAsiaTheme="minorEastAsia"/>
          <w:lang w:val="en-US"/>
        </w:rPr>
        <w:tab/>
      </w:r>
      <w:r w:rsidR="0009277F">
        <w:rPr>
          <w:rFonts w:eastAsiaTheme="minorEastAsia"/>
          <w:lang w:val="en-US"/>
        </w:rPr>
        <w:tab/>
      </w:r>
      <w:r w:rsidR="0009277F">
        <w:rPr>
          <w:rFonts w:eastAsiaTheme="minorEastAsia"/>
          <w:lang w:val="en-US"/>
        </w:rPr>
        <w:tab/>
      </w:r>
      <w:r w:rsidR="002E1E97">
        <w:rPr>
          <w:rFonts w:eastAsiaTheme="minorEastAsia"/>
          <w:lang w:val="en-US"/>
        </w:rPr>
        <w:t>(3)</w:t>
      </w:r>
    </w:p>
    <w:p w14:paraId="387900FF" w14:textId="662B5CBF" w:rsidR="007C072E" w:rsidRDefault="007C072E" w:rsidP="00C8454F">
      <w:pPr>
        <w:spacing w:line="276" w:lineRule="auto"/>
        <w:jc w:val="both"/>
      </w:pPr>
      <w:r>
        <w:t xml:space="preserve">Table </w:t>
      </w:r>
      <w:r w:rsidR="00D50A2C">
        <w:t xml:space="preserve">S2 </w:t>
      </w:r>
      <w:r>
        <w:t>summaries all threshold values (</w:t>
      </w:r>
      <w:r w:rsidRPr="005A25DF">
        <w:rPr>
          <w:rFonts w:ascii="Cambria Math" w:hAnsi="Cambria Math"/>
          <w:i/>
        </w:rPr>
        <w:t xml:space="preserve">Median (p50) Annex </w:t>
      </w:r>
      <w:r w:rsidR="009A7D05" w:rsidRPr="005A25DF">
        <w:rPr>
          <w:rFonts w:ascii="Cambria Math" w:hAnsi="Cambria Math"/>
          <w:i/>
        </w:rPr>
        <w:t>2</w:t>
      </w:r>
      <w:r w:rsidR="009A7D05">
        <w:t>)</w:t>
      </w:r>
      <w:r>
        <w:t xml:space="preserve"> for each of the six indicators.</w:t>
      </w:r>
    </w:p>
    <w:p w14:paraId="61F8AA81" w14:textId="77777777" w:rsidR="00D50A2C" w:rsidRDefault="00D50A2C" w:rsidP="00C8454F">
      <w:pPr>
        <w:spacing w:line="276" w:lineRule="auto"/>
        <w:jc w:val="both"/>
      </w:pPr>
    </w:p>
    <w:p w14:paraId="04561A52" w14:textId="6FA7B88B" w:rsidR="00563CA4" w:rsidRDefault="00563CA4" w:rsidP="00D50A2C">
      <w:pPr>
        <w:widowControl w:val="0"/>
        <w:autoSpaceDE w:val="0"/>
        <w:autoSpaceDN w:val="0"/>
        <w:adjustRightInd w:val="0"/>
        <w:spacing w:after="200" w:line="240" w:lineRule="auto"/>
      </w:pPr>
      <w:r w:rsidRPr="00D50A2C">
        <w:rPr>
          <w:i/>
          <w:iCs/>
          <w:color w:val="0E2841" w:themeColor="text2"/>
          <w:sz w:val="18"/>
          <w:szCs w:val="18"/>
        </w:rPr>
        <w:t>Table S</w:t>
      </w:r>
      <w:r w:rsidRPr="00D50A2C">
        <w:rPr>
          <w:i/>
          <w:iCs/>
          <w:color w:val="0E2841" w:themeColor="text2"/>
          <w:sz w:val="18"/>
          <w:szCs w:val="18"/>
        </w:rPr>
        <w:fldChar w:fldCharType="begin"/>
      </w:r>
      <w:r w:rsidRPr="00D50A2C">
        <w:rPr>
          <w:i/>
          <w:iCs/>
          <w:color w:val="0E2841" w:themeColor="text2"/>
          <w:sz w:val="18"/>
          <w:szCs w:val="18"/>
        </w:rPr>
        <w:instrText xml:space="preserve"> SEQ Table \* ARABIC </w:instrText>
      </w:r>
      <w:r w:rsidRPr="00D50A2C">
        <w:rPr>
          <w:i/>
          <w:iCs/>
          <w:color w:val="0E2841" w:themeColor="text2"/>
          <w:sz w:val="18"/>
          <w:szCs w:val="18"/>
        </w:rPr>
        <w:fldChar w:fldCharType="separate"/>
      </w:r>
      <w:r w:rsidR="00DC268B" w:rsidRPr="00D50A2C">
        <w:rPr>
          <w:i/>
          <w:iCs/>
          <w:color w:val="0E2841" w:themeColor="text2"/>
          <w:sz w:val="18"/>
          <w:szCs w:val="18"/>
        </w:rPr>
        <w:t>2</w:t>
      </w:r>
      <w:r w:rsidRPr="00D50A2C">
        <w:rPr>
          <w:i/>
          <w:iCs/>
          <w:color w:val="0E2841" w:themeColor="text2"/>
          <w:sz w:val="18"/>
          <w:szCs w:val="18"/>
        </w:rPr>
        <w:fldChar w:fldCharType="end"/>
      </w:r>
      <w:r w:rsidRPr="00D50A2C">
        <w:rPr>
          <w:i/>
          <w:iCs/>
          <w:color w:val="0E2841" w:themeColor="text2"/>
          <w:sz w:val="18"/>
          <w:szCs w:val="18"/>
        </w:rPr>
        <w:t>:</w:t>
      </w:r>
      <w:r w:rsidR="00DB3A74" w:rsidRPr="00D50A2C">
        <w:rPr>
          <w:i/>
          <w:iCs/>
          <w:color w:val="0E2841" w:themeColor="text2"/>
          <w:sz w:val="18"/>
          <w:szCs w:val="18"/>
        </w:rPr>
        <w:t xml:space="preserve"> indicators, including calculated </w:t>
      </w:r>
      <w:r w:rsidR="009A7D05" w:rsidRPr="00D50A2C">
        <w:rPr>
          <w:i/>
          <w:iCs/>
          <w:color w:val="0E2841" w:themeColor="text2"/>
          <w:sz w:val="18"/>
          <w:szCs w:val="18"/>
        </w:rPr>
        <w:t>thresholds.</w:t>
      </w:r>
      <w:r w:rsidR="00DB3A74" w:rsidRPr="00DB3A74">
        <w:t xml:space="preserve"> </w:t>
      </w:r>
    </w:p>
    <w:tbl>
      <w:tblPr>
        <w:tblStyle w:val="TableGrid"/>
        <w:tblW w:w="5000" w:type="pct"/>
        <w:tblLook w:val="04A0" w:firstRow="1" w:lastRow="0" w:firstColumn="1" w:lastColumn="0" w:noHBand="0" w:noVBand="1"/>
      </w:tblPr>
      <w:tblGrid>
        <w:gridCol w:w="991"/>
        <w:gridCol w:w="1344"/>
        <w:gridCol w:w="1345"/>
        <w:gridCol w:w="1345"/>
        <w:gridCol w:w="1345"/>
        <w:gridCol w:w="1345"/>
        <w:gridCol w:w="1347"/>
      </w:tblGrid>
      <w:tr w:rsidR="00DB3A74" w:rsidRPr="00487C7F" w14:paraId="6A7E72D6" w14:textId="77777777" w:rsidTr="00C54279">
        <w:tc>
          <w:tcPr>
            <w:tcW w:w="547" w:type="pct"/>
          </w:tcPr>
          <w:p w14:paraId="17C59627" w14:textId="4A2219AE" w:rsidR="00DB3A74" w:rsidRPr="00E52DCE" w:rsidRDefault="00C54279" w:rsidP="00C54279">
            <w:pPr>
              <w:pStyle w:val="NoSpacing"/>
              <w:spacing w:line="276" w:lineRule="auto"/>
              <w:rPr>
                <w:sz w:val="18"/>
                <w:szCs w:val="18"/>
              </w:rPr>
            </w:pPr>
            <w:r>
              <w:rPr>
                <w:sz w:val="18"/>
                <w:szCs w:val="18"/>
              </w:rPr>
              <w:t>R</w:t>
            </w:r>
            <w:r w:rsidRPr="00C54279">
              <w:rPr>
                <w:sz w:val="18"/>
                <w:szCs w:val="18"/>
              </w:rPr>
              <w:t>eviews</w:t>
            </w:r>
          </w:p>
        </w:tc>
        <w:tc>
          <w:tcPr>
            <w:tcW w:w="2226" w:type="pct"/>
            <w:gridSpan w:val="3"/>
          </w:tcPr>
          <w:p w14:paraId="630EC6E6" w14:textId="3EECA6BE" w:rsidR="00DB3A74" w:rsidRPr="00E52DCE" w:rsidRDefault="00DB3A74" w:rsidP="005A25DF">
            <w:pPr>
              <w:pStyle w:val="NoSpacing"/>
              <w:spacing w:line="276" w:lineRule="auto"/>
              <w:jc w:val="center"/>
              <w:rPr>
                <w:sz w:val="18"/>
                <w:szCs w:val="18"/>
              </w:rPr>
            </w:pPr>
            <w:r w:rsidRPr="00E52DCE">
              <w:rPr>
                <w:sz w:val="18"/>
                <w:szCs w:val="18"/>
              </w:rPr>
              <w:t>Responsibility</w:t>
            </w:r>
          </w:p>
        </w:tc>
        <w:tc>
          <w:tcPr>
            <w:tcW w:w="2227" w:type="pct"/>
            <w:gridSpan w:val="3"/>
          </w:tcPr>
          <w:p w14:paraId="48F14204" w14:textId="77777777" w:rsidR="00DB3A74" w:rsidRPr="00E52DCE" w:rsidRDefault="00DB3A74" w:rsidP="005A25DF">
            <w:pPr>
              <w:pStyle w:val="NoSpacing"/>
              <w:spacing w:line="276" w:lineRule="auto"/>
              <w:jc w:val="center"/>
              <w:rPr>
                <w:sz w:val="18"/>
                <w:szCs w:val="18"/>
              </w:rPr>
            </w:pPr>
            <w:r w:rsidRPr="00E52DCE">
              <w:rPr>
                <w:sz w:val="18"/>
                <w:szCs w:val="18"/>
              </w:rPr>
              <w:t>Capabilities</w:t>
            </w:r>
          </w:p>
        </w:tc>
      </w:tr>
      <w:tr w:rsidR="00DB3A74" w:rsidRPr="00487C7F" w14:paraId="751145DD" w14:textId="77777777" w:rsidTr="00C54279">
        <w:tc>
          <w:tcPr>
            <w:tcW w:w="547" w:type="pct"/>
          </w:tcPr>
          <w:p w14:paraId="1AAD405C" w14:textId="1B5C5E32" w:rsidR="00DB3A74" w:rsidRPr="00E52DCE" w:rsidRDefault="00C54279" w:rsidP="00C54279">
            <w:pPr>
              <w:pStyle w:val="NoSpacing"/>
              <w:spacing w:line="276" w:lineRule="auto"/>
              <w:rPr>
                <w:sz w:val="18"/>
                <w:szCs w:val="18"/>
              </w:rPr>
            </w:pPr>
            <w:r>
              <w:rPr>
                <w:sz w:val="18"/>
                <w:szCs w:val="18"/>
              </w:rPr>
              <w:t xml:space="preserve">Indicator </w:t>
            </w:r>
          </w:p>
        </w:tc>
        <w:tc>
          <w:tcPr>
            <w:tcW w:w="742" w:type="pct"/>
          </w:tcPr>
          <w:p w14:paraId="10085E5A" w14:textId="4D3C3AEC" w:rsidR="00DB3A74" w:rsidRPr="00E52DCE" w:rsidRDefault="00DB3A74" w:rsidP="004B3495">
            <w:pPr>
              <w:pStyle w:val="NoSpacing"/>
              <w:spacing w:line="276" w:lineRule="auto"/>
              <w:jc w:val="center"/>
              <w:rPr>
                <w:sz w:val="18"/>
                <w:szCs w:val="18"/>
              </w:rPr>
            </w:pPr>
            <w:r w:rsidRPr="00E52DCE">
              <w:rPr>
                <w:sz w:val="18"/>
                <w:szCs w:val="18"/>
              </w:rPr>
              <w:t>(1)</w:t>
            </w:r>
          </w:p>
        </w:tc>
        <w:tc>
          <w:tcPr>
            <w:tcW w:w="742" w:type="pct"/>
          </w:tcPr>
          <w:p w14:paraId="2C1857AC" w14:textId="77777777" w:rsidR="00DB3A74" w:rsidRPr="00E52DCE" w:rsidRDefault="00DB3A74" w:rsidP="004B3495">
            <w:pPr>
              <w:pStyle w:val="NoSpacing"/>
              <w:spacing w:line="276" w:lineRule="auto"/>
              <w:jc w:val="center"/>
              <w:rPr>
                <w:sz w:val="18"/>
                <w:szCs w:val="18"/>
              </w:rPr>
            </w:pPr>
            <w:r w:rsidRPr="00E52DCE">
              <w:rPr>
                <w:sz w:val="18"/>
                <w:szCs w:val="18"/>
              </w:rPr>
              <w:t>(2)</w:t>
            </w:r>
          </w:p>
        </w:tc>
        <w:tc>
          <w:tcPr>
            <w:tcW w:w="742" w:type="pct"/>
          </w:tcPr>
          <w:p w14:paraId="3CE82512" w14:textId="77777777" w:rsidR="00DB3A74" w:rsidRPr="00E52DCE" w:rsidRDefault="00DB3A74" w:rsidP="004B3495">
            <w:pPr>
              <w:pStyle w:val="NoSpacing"/>
              <w:spacing w:line="276" w:lineRule="auto"/>
              <w:jc w:val="center"/>
              <w:rPr>
                <w:sz w:val="18"/>
                <w:szCs w:val="18"/>
              </w:rPr>
            </w:pPr>
            <w:r w:rsidRPr="00E52DCE">
              <w:rPr>
                <w:sz w:val="18"/>
                <w:szCs w:val="18"/>
              </w:rPr>
              <w:t>(3)</w:t>
            </w:r>
          </w:p>
        </w:tc>
        <w:tc>
          <w:tcPr>
            <w:tcW w:w="742" w:type="pct"/>
          </w:tcPr>
          <w:p w14:paraId="30E2F73C" w14:textId="77777777" w:rsidR="00DB3A74" w:rsidRPr="00E52DCE" w:rsidRDefault="00DB3A74" w:rsidP="004B3495">
            <w:pPr>
              <w:pStyle w:val="NoSpacing"/>
              <w:spacing w:line="276" w:lineRule="auto"/>
              <w:jc w:val="center"/>
              <w:rPr>
                <w:sz w:val="18"/>
                <w:szCs w:val="18"/>
              </w:rPr>
            </w:pPr>
            <w:r w:rsidRPr="00E52DCE">
              <w:rPr>
                <w:sz w:val="18"/>
                <w:szCs w:val="18"/>
              </w:rPr>
              <w:t>(4)</w:t>
            </w:r>
          </w:p>
        </w:tc>
        <w:tc>
          <w:tcPr>
            <w:tcW w:w="742" w:type="pct"/>
          </w:tcPr>
          <w:p w14:paraId="0E338E85" w14:textId="77777777" w:rsidR="00DB3A74" w:rsidRPr="00E52DCE" w:rsidRDefault="00DB3A74" w:rsidP="004B3495">
            <w:pPr>
              <w:pStyle w:val="NoSpacing"/>
              <w:spacing w:line="276" w:lineRule="auto"/>
              <w:jc w:val="center"/>
              <w:rPr>
                <w:sz w:val="18"/>
                <w:szCs w:val="18"/>
                <w:lang w:val="it-IT"/>
              </w:rPr>
            </w:pPr>
            <w:r w:rsidRPr="00E52DCE">
              <w:rPr>
                <w:sz w:val="18"/>
                <w:szCs w:val="18"/>
                <w:lang w:val="it-IT"/>
              </w:rPr>
              <w:t>(5)</w:t>
            </w:r>
          </w:p>
        </w:tc>
        <w:tc>
          <w:tcPr>
            <w:tcW w:w="743" w:type="pct"/>
          </w:tcPr>
          <w:p w14:paraId="6AEF2FFF" w14:textId="77777777" w:rsidR="00DB3A74" w:rsidRPr="00E52DCE" w:rsidRDefault="00DB3A74" w:rsidP="004B3495">
            <w:pPr>
              <w:pStyle w:val="NoSpacing"/>
              <w:spacing w:line="276" w:lineRule="auto"/>
              <w:jc w:val="center"/>
              <w:rPr>
                <w:sz w:val="18"/>
                <w:szCs w:val="18"/>
              </w:rPr>
            </w:pPr>
            <w:r w:rsidRPr="00E52DCE">
              <w:rPr>
                <w:sz w:val="18"/>
                <w:szCs w:val="18"/>
              </w:rPr>
              <w:t>(6)</w:t>
            </w:r>
          </w:p>
        </w:tc>
      </w:tr>
      <w:tr w:rsidR="00DB3A74" w:rsidRPr="00487C7F" w14:paraId="5F8E2BBD" w14:textId="77777777" w:rsidTr="00C54279">
        <w:tc>
          <w:tcPr>
            <w:tcW w:w="547" w:type="pct"/>
          </w:tcPr>
          <w:p w14:paraId="35000A66" w14:textId="1FCFBB6C" w:rsidR="00DB3A74" w:rsidRPr="00487C7F" w:rsidRDefault="00C54279" w:rsidP="00E52DCE">
            <w:pPr>
              <w:pStyle w:val="NoSpacing"/>
              <w:spacing w:line="276" w:lineRule="auto"/>
              <w:rPr>
                <w:sz w:val="18"/>
                <w:szCs w:val="18"/>
              </w:rPr>
            </w:pPr>
            <w:r>
              <w:rPr>
                <w:sz w:val="18"/>
                <w:szCs w:val="18"/>
              </w:rPr>
              <w:t>Unit</w:t>
            </w:r>
          </w:p>
        </w:tc>
        <w:tc>
          <w:tcPr>
            <w:tcW w:w="742" w:type="pct"/>
          </w:tcPr>
          <w:p w14:paraId="32B235C8" w14:textId="2F88FA88" w:rsidR="00DB3A74" w:rsidRPr="00E52DCE" w:rsidRDefault="00DB3A74" w:rsidP="00E52DCE">
            <w:pPr>
              <w:pStyle w:val="NoSpacing"/>
              <w:spacing w:line="276" w:lineRule="auto"/>
              <w:rPr>
                <w:sz w:val="18"/>
                <w:szCs w:val="18"/>
              </w:rPr>
            </w:pPr>
            <w:r w:rsidRPr="00487C7F">
              <w:rPr>
                <w:sz w:val="18"/>
                <w:szCs w:val="18"/>
              </w:rPr>
              <w:t>Cum</w:t>
            </w:r>
            <w:r>
              <w:rPr>
                <w:sz w:val="18"/>
                <w:szCs w:val="18"/>
              </w:rPr>
              <w:t xml:space="preserve">ulative </w:t>
            </w:r>
            <w:r w:rsidRPr="00487C7F">
              <w:rPr>
                <w:sz w:val="18"/>
                <w:szCs w:val="18"/>
              </w:rPr>
              <w:t xml:space="preserve">CO2 </w:t>
            </w:r>
            <w:r w:rsidRPr="00487C7F">
              <w:rPr>
                <w:sz w:val="18"/>
                <w:szCs w:val="18"/>
              </w:rPr>
              <w:lastRenderedPageBreak/>
              <w:t>emissions p.c. (metric tons, 1990-2019)</w:t>
            </w:r>
          </w:p>
        </w:tc>
        <w:tc>
          <w:tcPr>
            <w:tcW w:w="742" w:type="pct"/>
          </w:tcPr>
          <w:p w14:paraId="79C6154A" w14:textId="49C0AC92" w:rsidR="00DB3A74" w:rsidRPr="00E52DCE" w:rsidRDefault="00DB3A74" w:rsidP="00E52DCE">
            <w:pPr>
              <w:pStyle w:val="NoSpacing"/>
              <w:spacing w:line="276" w:lineRule="auto"/>
              <w:rPr>
                <w:sz w:val="18"/>
                <w:szCs w:val="18"/>
              </w:rPr>
            </w:pPr>
            <w:r w:rsidRPr="00487C7F">
              <w:rPr>
                <w:sz w:val="18"/>
                <w:szCs w:val="18"/>
              </w:rPr>
              <w:lastRenderedPageBreak/>
              <w:t xml:space="preserve">CO2 emissions </w:t>
            </w:r>
            <w:r w:rsidRPr="00487C7F">
              <w:rPr>
                <w:sz w:val="18"/>
                <w:szCs w:val="18"/>
              </w:rPr>
              <w:lastRenderedPageBreak/>
              <w:t>p.c. (metric tons, 2019)</w:t>
            </w:r>
          </w:p>
        </w:tc>
        <w:tc>
          <w:tcPr>
            <w:tcW w:w="742" w:type="pct"/>
          </w:tcPr>
          <w:p w14:paraId="3F2BBDB5" w14:textId="17D97C5D" w:rsidR="00DB3A74" w:rsidRPr="00E52DCE" w:rsidRDefault="00DB3A74" w:rsidP="00E52DCE">
            <w:pPr>
              <w:pStyle w:val="NoSpacing"/>
              <w:spacing w:line="276" w:lineRule="auto"/>
              <w:rPr>
                <w:sz w:val="18"/>
                <w:szCs w:val="18"/>
              </w:rPr>
            </w:pPr>
            <w:r w:rsidRPr="00487C7F">
              <w:rPr>
                <w:sz w:val="18"/>
                <w:szCs w:val="18"/>
              </w:rPr>
              <w:lastRenderedPageBreak/>
              <w:t xml:space="preserve">Absolute CO2 emissions </w:t>
            </w:r>
            <w:r w:rsidRPr="00487C7F">
              <w:rPr>
                <w:sz w:val="18"/>
                <w:szCs w:val="18"/>
              </w:rPr>
              <w:lastRenderedPageBreak/>
              <w:t>(metric tons, 2019)</w:t>
            </w:r>
          </w:p>
        </w:tc>
        <w:tc>
          <w:tcPr>
            <w:tcW w:w="742" w:type="pct"/>
          </w:tcPr>
          <w:p w14:paraId="0C198C1E" w14:textId="38835526" w:rsidR="00DB3A74" w:rsidRPr="00E52DCE" w:rsidRDefault="00DB3A74" w:rsidP="00E52DCE">
            <w:pPr>
              <w:pStyle w:val="NoSpacing"/>
              <w:spacing w:line="276" w:lineRule="auto"/>
              <w:rPr>
                <w:sz w:val="18"/>
                <w:szCs w:val="18"/>
              </w:rPr>
            </w:pPr>
            <w:r w:rsidRPr="00487C7F">
              <w:rPr>
                <w:sz w:val="18"/>
                <w:szCs w:val="18"/>
              </w:rPr>
              <w:lastRenderedPageBreak/>
              <w:t xml:space="preserve">GNI in current billion US$ </w:t>
            </w:r>
            <w:r w:rsidRPr="00487C7F">
              <w:rPr>
                <w:sz w:val="18"/>
                <w:szCs w:val="18"/>
              </w:rPr>
              <w:lastRenderedPageBreak/>
              <w:t>(mean, 1990-2019)</w:t>
            </w:r>
          </w:p>
        </w:tc>
        <w:tc>
          <w:tcPr>
            <w:tcW w:w="742" w:type="pct"/>
          </w:tcPr>
          <w:p w14:paraId="4B2119B0" w14:textId="6E88A876" w:rsidR="00DB3A74" w:rsidRPr="00E52DCE" w:rsidRDefault="00DB3A74" w:rsidP="00E52DCE">
            <w:pPr>
              <w:pStyle w:val="NoSpacing"/>
              <w:spacing w:line="276" w:lineRule="auto"/>
              <w:rPr>
                <w:sz w:val="18"/>
                <w:szCs w:val="18"/>
              </w:rPr>
            </w:pPr>
            <w:r w:rsidRPr="00487C7F">
              <w:rPr>
                <w:sz w:val="18"/>
                <w:szCs w:val="18"/>
              </w:rPr>
              <w:lastRenderedPageBreak/>
              <w:t xml:space="preserve">GNI p.c. (current </w:t>
            </w:r>
            <w:r w:rsidRPr="00487C7F">
              <w:rPr>
                <w:sz w:val="18"/>
                <w:szCs w:val="18"/>
              </w:rPr>
              <w:lastRenderedPageBreak/>
              <w:t>thousand US$., 2019)</w:t>
            </w:r>
          </w:p>
        </w:tc>
        <w:tc>
          <w:tcPr>
            <w:tcW w:w="743" w:type="pct"/>
          </w:tcPr>
          <w:p w14:paraId="4FE35705" w14:textId="0455AF66" w:rsidR="00DB3A74" w:rsidRPr="00E52DCE" w:rsidRDefault="00DB3A74" w:rsidP="00E52DCE">
            <w:pPr>
              <w:pStyle w:val="NoSpacing"/>
              <w:spacing w:line="276" w:lineRule="auto"/>
              <w:rPr>
                <w:sz w:val="18"/>
                <w:szCs w:val="18"/>
              </w:rPr>
            </w:pPr>
            <w:r w:rsidRPr="00487C7F">
              <w:rPr>
                <w:sz w:val="18"/>
                <w:szCs w:val="18"/>
              </w:rPr>
              <w:lastRenderedPageBreak/>
              <w:t xml:space="preserve">Absolute GNI (current </w:t>
            </w:r>
            <w:r w:rsidRPr="00487C7F">
              <w:rPr>
                <w:sz w:val="18"/>
                <w:szCs w:val="18"/>
              </w:rPr>
              <w:lastRenderedPageBreak/>
              <w:t>billion US$, 2019)</w:t>
            </w:r>
          </w:p>
        </w:tc>
      </w:tr>
      <w:tr w:rsidR="00DB3A74" w:rsidRPr="00487C7F" w14:paraId="77D583F2" w14:textId="77777777" w:rsidTr="00C54279">
        <w:trPr>
          <w:trHeight w:val="217"/>
        </w:trPr>
        <w:tc>
          <w:tcPr>
            <w:tcW w:w="547" w:type="pct"/>
          </w:tcPr>
          <w:p w14:paraId="1E33801D" w14:textId="1FC26281" w:rsidR="00DB3A74" w:rsidRPr="00487C7F" w:rsidRDefault="00DB3A74" w:rsidP="00C54279">
            <w:pPr>
              <w:pStyle w:val="NoSpacing"/>
              <w:spacing w:line="276" w:lineRule="auto"/>
              <w:rPr>
                <w:sz w:val="18"/>
                <w:szCs w:val="18"/>
              </w:rPr>
            </w:pPr>
            <w:r>
              <w:rPr>
                <w:sz w:val="18"/>
                <w:szCs w:val="18"/>
              </w:rPr>
              <w:lastRenderedPageBreak/>
              <w:t>Threshold</w:t>
            </w:r>
          </w:p>
        </w:tc>
        <w:tc>
          <w:tcPr>
            <w:tcW w:w="742" w:type="pct"/>
          </w:tcPr>
          <w:p w14:paraId="6C30D217" w14:textId="4B1FCE20" w:rsidR="00DB3A74" w:rsidRPr="00E52DCE" w:rsidDel="00CB0E67" w:rsidRDefault="00DB3A74" w:rsidP="00487C7F">
            <w:pPr>
              <w:pStyle w:val="NoSpacing"/>
              <w:spacing w:line="276" w:lineRule="auto"/>
              <w:jc w:val="center"/>
              <w:rPr>
                <w:sz w:val="18"/>
                <w:szCs w:val="18"/>
              </w:rPr>
            </w:pPr>
            <w:r w:rsidRPr="00487C7F">
              <w:rPr>
                <w:sz w:val="18"/>
                <w:szCs w:val="18"/>
              </w:rPr>
              <w:t>244.82</w:t>
            </w:r>
          </w:p>
        </w:tc>
        <w:tc>
          <w:tcPr>
            <w:tcW w:w="742" w:type="pct"/>
          </w:tcPr>
          <w:p w14:paraId="27F8B3CB" w14:textId="03615BCD" w:rsidR="00DB3A74" w:rsidRPr="00487C7F" w:rsidDel="00CB0E67" w:rsidRDefault="00DB3A74" w:rsidP="00487C7F">
            <w:pPr>
              <w:spacing w:line="276" w:lineRule="auto"/>
              <w:jc w:val="center"/>
              <w:rPr>
                <w:kern w:val="0"/>
                <w:sz w:val="18"/>
                <w:szCs w:val="18"/>
                <w14:ligatures w14:val="none"/>
              </w:rPr>
            </w:pPr>
            <w:r w:rsidRPr="00487C7F">
              <w:rPr>
                <w:kern w:val="0"/>
                <w:sz w:val="18"/>
                <w:szCs w:val="18"/>
                <w14:ligatures w14:val="none"/>
              </w:rPr>
              <w:t>7.04</w:t>
            </w:r>
          </w:p>
        </w:tc>
        <w:tc>
          <w:tcPr>
            <w:tcW w:w="742" w:type="pct"/>
          </w:tcPr>
          <w:p w14:paraId="0B163AE8" w14:textId="1D0E3F20" w:rsidR="00DB3A74" w:rsidRPr="00E52DCE" w:rsidDel="00CB0E67" w:rsidRDefault="00DB3A74" w:rsidP="00487C7F">
            <w:pPr>
              <w:pStyle w:val="NoSpacing"/>
              <w:spacing w:line="276" w:lineRule="auto"/>
              <w:jc w:val="center"/>
              <w:rPr>
                <w:sz w:val="18"/>
                <w:szCs w:val="18"/>
              </w:rPr>
            </w:pPr>
            <w:r w:rsidRPr="00487C7F">
              <w:rPr>
                <w:sz w:val="18"/>
                <w:szCs w:val="18"/>
              </w:rPr>
              <w:t>64,770</w:t>
            </w:r>
          </w:p>
        </w:tc>
        <w:tc>
          <w:tcPr>
            <w:tcW w:w="742" w:type="pct"/>
          </w:tcPr>
          <w:p w14:paraId="6EDE86AF" w14:textId="3E45C2BA" w:rsidR="00DB3A74" w:rsidRPr="00E52DCE" w:rsidDel="00CB0E67" w:rsidRDefault="00DB3A74" w:rsidP="00487C7F">
            <w:pPr>
              <w:pStyle w:val="NoSpacing"/>
              <w:spacing w:line="276" w:lineRule="auto"/>
              <w:jc w:val="center"/>
              <w:rPr>
                <w:sz w:val="18"/>
                <w:szCs w:val="18"/>
              </w:rPr>
            </w:pPr>
            <w:r w:rsidRPr="00487C7F">
              <w:rPr>
                <w:sz w:val="18"/>
                <w:szCs w:val="18"/>
              </w:rPr>
              <w:t>397.66</w:t>
            </w:r>
          </w:p>
        </w:tc>
        <w:tc>
          <w:tcPr>
            <w:tcW w:w="742" w:type="pct"/>
          </w:tcPr>
          <w:p w14:paraId="69E1CE73" w14:textId="49F56486" w:rsidR="00DB3A74" w:rsidRPr="00E52DCE" w:rsidDel="00CB0E67" w:rsidRDefault="00DB3A74" w:rsidP="00487C7F">
            <w:pPr>
              <w:pStyle w:val="NoSpacing"/>
              <w:spacing w:line="276" w:lineRule="auto"/>
              <w:jc w:val="center"/>
              <w:rPr>
                <w:sz w:val="18"/>
                <w:szCs w:val="18"/>
              </w:rPr>
            </w:pPr>
            <w:r w:rsidRPr="00487C7F">
              <w:rPr>
                <w:sz w:val="18"/>
                <w:szCs w:val="18"/>
              </w:rPr>
              <w:t>48.88</w:t>
            </w:r>
          </w:p>
        </w:tc>
        <w:tc>
          <w:tcPr>
            <w:tcW w:w="743" w:type="pct"/>
          </w:tcPr>
          <w:p w14:paraId="16B9FAC1" w14:textId="2688F365" w:rsidR="00DB3A74" w:rsidRPr="00E52DCE" w:rsidDel="00CB0E67" w:rsidRDefault="00DB3A74" w:rsidP="00487C7F">
            <w:pPr>
              <w:pStyle w:val="NoSpacing"/>
              <w:spacing w:line="276" w:lineRule="auto"/>
              <w:jc w:val="center"/>
              <w:rPr>
                <w:sz w:val="18"/>
                <w:szCs w:val="18"/>
              </w:rPr>
            </w:pPr>
            <w:r w:rsidRPr="00487C7F">
              <w:rPr>
                <w:sz w:val="18"/>
                <w:szCs w:val="18"/>
              </w:rPr>
              <w:t>549.54</w:t>
            </w:r>
          </w:p>
        </w:tc>
      </w:tr>
    </w:tbl>
    <w:p w14:paraId="3B165D9E" w14:textId="77777777" w:rsidR="00D22C88" w:rsidRDefault="00D22C88" w:rsidP="00C8454F">
      <w:pPr>
        <w:spacing w:line="276" w:lineRule="auto"/>
        <w:jc w:val="both"/>
      </w:pPr>
    </w:p>
    <w:p w14:paraId="27DB881D" w14:textId="269D5957" w:rsidR="005324B3" w:rsidRDefault="005324B3" w:rsidP="00487C7F">
      <w:pPr>
        <w:pStyle w:val="Heading2"/>
        <w:numPr>
          <w:ilvl w:val="1"/>
          <w:numId w:val="7"/>
        </w:numPr>
        <w:spacing w:line="276" w:lineRule="auto"/>
        <w:jc w:val="both"/>
      </w:pPr>
      <w:r>
        <w:t>Aggregate positive decisions</w:t>
      </w:r>
    </w:p>
    <w:p w14:paraId="1D954656" w14:textId="4F5ADCFA" w:rsidR="00E52DCE" w:rsidRDefault="002E1E97" w:rsidP="00C8454F">
      <w:pPr>
        <w:spacing w:line="276" w:lineRule="auto"/>
        <w:jc w:val="both"/>
      </w:pPr>
      <w:r>
        <w:t xml:space="preserve">Finally, all individual positive decisions </w:t>
      </w:r>
      <w:r w:rsidR="008B4AED">
        <w:t>are aggregated for each country</w:t>
      </w:r>
      <w:r w:rsidR="003D12C2">
        <w:t xml:space="preserve"> (equation 4)</w:t>
      </w:r>
      <w:r w:rsidR="008B4AED">
        <w:t xml:space="preserve">. </w:t>
      </w:r>
      <w:r w:rsidR="00E52DCE">
        <w:t xml:space="preserve">All indicators are weighted equally as shown in equation. </w:t>
      </w:r>
    </w:p>
    <w:p w14:paraId="0B18905B" w14:textId="1055E046" w:rsidR="003F1D8A" w:rsidRPr="003F1D8A" w:rsidRDefault="00671849" w:rsidP="00487C7F">
      <w:pPr>
        <w:spacing w:line="276" w:lineRule="auto"/>
        <w:jc w:val="both"/>
      </w:pPr>
      <m:oMath>
        <m:r>
          <w:rPr>
            <w:rFonts w:ascii="Cambria Math" w:hAnsi="Cambria Math"/>
            <w:lang w:val="en-US"/>
          </w:rPr>
          <m:t>Total # of positive decision</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Ctr</m:t>
            </m:r>
          </m:sub>
        </m:sSub>
        <m:r>
          <w:rPr>
            <w:rFonts w:ascii="Cambria Math" w:hAnsi="Cambria Math"/>
            <w:lang w:val="en-US"/>
          </w:rPr>
          <m:t xml:space="preserve">= </m:t>
        </m:r>
        <m:nary>
          <m:naryPr>
            <m:chr m:val="∑"/>
            <m:grow m:val="1"/>
            <m:ctrlPr>
              <w:rPr>
                <w:rFonts w:ascii="Cambria Math" w:hAnsi="Cambria Math"/>
                <w:lang w:val="en-US"/>
              </w:rPr>
            </m:ctrlPr>
          </m:naryPr>
          <m:sub>
            <m:r>
              <w:rPr>
                <w:rFonts w:ascii="Cambria Math" w:eastAsia="Cambria Math" w:hAnsi="Cambria Math" w:cs="Cambria Math"/>
                <w:lang w:val="en-US"/>
              </w:rPr>
              <m:t>A=1</m:t>
            </m:r>
          </m:sub>
          <m:sup>
            <m:r>
              <w:rPr>
                <w:rFonts w:ascii="Cambria Math" w:hAnsi="Cambria Math"/>
                <w:lang w:val="en-US"/>
              </w:rPr>
              <m:t>6</m:t>
            </m:r>
          </m:sup>
          <m:e>
            <m:r>
              <m:rPr>
                <m:sty m:val="p"/>
              </m:rPr>
              <w:rPr>
                <w:rFonts w:ascii="Cambria Math" w:hAnsi="Cambria Math"/>
                <w:lang w:val="en-US"/>
              </w:rPr>
              <m:t xml:space="preserve">1 if </m:t>
            </m:r>
            <m:r>
              <w:rPr>
                <w:rFonts w:ascii="Cambria Math" w:hAnsi="Cambria Math"/>
                <w:lang w:val="en-US"/>
              </w:rPr>
              <m:t>Countr</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A</m:t>
                </m:r>
              </m:sub>
            </m:sSub>
            <m:r>
              <w:rPr>
                <w:rFonts w:ascii="Cambria Math" w:hAnsi="Cambria Math"/>
                <w:lang w:val="en-US"/>
              </w:rPr>
              <m:t xml:space="preserve">&gt;Median </m:t>
            </m:r>
            <m:sSub>
              <m:sSubPr>
                <m:ctrlPr>
                  <w:rPr>
                    <w:rFonts w:ascii="Cambria Math" w:hAnsi="Cambria Math"/>
                    <w:i/>
                    <w:lang w:val="en-US"/>
                  </w:rPr>
                </m:ctrlPr>
              </m:sSubPr>
              <m:e>
                <m:d>
                  <m:dPr>
                    <m:ctrlPr>
                      <w:rPr>
                        <w:rFonts w:ascii="Cambria Math" w:hAnsi="Cambria Math"/>
                        <w:i/>
                        <w:lang w:val="en-US"/>
                      </w:rPr>
                    </m:ctrlPr>
                  </m:dPr>
                  <m:e>
                    <m:r>
                      <w:rPr>
                        <w:rFonts w:ascii="Cambria Math" w:hAnsi="Cambria Math"/>
                        <w:lang w:val="en-US"/>
                      </w:rPr>
                      <m:t>p50</m:t>
                    </m:r>
                  </m:e>
                </m:d>
                <m:r>
                  <w:rPr>
                    <w:rFonts w:ascii="Cambria Math" w:hAnsi="Cambria Math"/>
                    <w:lang w:val="en-US"/>
                  </w:rPr>
                  <m:t xml:space="preserve"> Annex 2</m:t>
                </m:r>
              </m:e>
              <m:sub>
                <m:r>
                  <w:rPr>
                    <w:rFonts w:ascii="Cambria Math" w:hAnsi="Cambria Math"/>
                    <w:lang w:val="en-US"/>
                  </w:rPr>
                  <m:t>A</m:t>
                </m:r>
              </m:sub>
            </m:sSub>
            <m:r>
              <m:rPr>
                <m:sty m:val="p"/>
              </m:rPr>
              <w:rPr>
                <w:rFonts w:ascii="Cambria Math" w:hAnsi="Cambria Math"/>
                <w:lang w:val="en-US"/>
              </w:rPr>
              <m:t xml:space="preserve">  </m:t>
            </m:r>
          </m:e>
        </m:nary>
      </m:oMath>
      <w:r w:rsidR="00CB0E67">
        <w:rPr>
          <w:rFonts w:eastAsiaTheme="minorEastAsia"/>
          <w:lang w:val="en-US"/>
        </w:rPr>
        <w:tab/>
        <w:t xml:space="preserve"> </w:t>
      </w:r>
      <w:r w:rsidR="00CB0E67">
        <w:rPr>
          <w:rFonts w:eastAsiaTheme="minorEastAsia"/>
          <w:lang w:val="en-US"/>
        </w:rPr>
        <w:tab/>
        <w:t>(4)</w:t>
      </w:r>
    </w:p>
    <w:p w14:paraId="003683FD" w14:textId="6212B4FB" w:rsidR="0009277F" w:rsidRDefault="00E52DCE" w:rsidP="00C8454F">
      <w:pPr>
        <w:spacing w:line="276" w:lineRule="auto"/>
        <w:jc w:val="both"/>
      </w:pPr>
      <w:r>
        <w:t xml:space="preserve">The maximum number of positive decisions in the sample are </w:t>
      </w:r>
      <w:r w:rsidR="00373BC1">
        <w:t>‘</w:t>
      </w:r>
      <w:r>
        <w:t>5</w:t>
      </w:r>
      <w:r w:rsidR="00373BC1">
        <w:t>’</w:t>
      </w:r>
      <w:r>
        <w:t xml:space="preserve"> for South Korea and </w:t>
      </w:r>
      <w:r w:rsidR="00643B97">
        <w:t xml:space="preserve">the </w:t>
      </w:r>
      <w:r>
        <w:t>Russian Federation. In 5 out of the 6 indicator</w:t>
      </w:r>
      <w:r w:rsidR="00C54279">
        <w:t>s</w:t>
      </w:r>
      <w:r>
        <w:t xml:space="preserve">, the countries are score higher than the median Annex 2 value respectively. </w:t>
      </w:r>
      <w:r w:rsidR="00E66A76">
        <w:t xml:space="preserve">In total 47 non-Annex II countries are identified with at least one positive </w:t>
      </w:r>
      <w:r w:rsidR="00DF141D">
        <w:t>decision. C</w:t>
      </w:r>
      <w:r>
        <w:t>ountries with 0 decisions are not reported in the main text</w:t>
      </w:r>
      <w:r w:rsidR="00643B97">
        <w:t xml:space="preserve"> or Table 2</w:t>
      </w:r>
      <w:r>
        <w:t>.</w:t>
      </w:r>
    </w:p>
    <w:p w14:paraId="21378754" w14:textId="3CF0E2B8" w:rsidR="00E01E79" w:rsidRDefault="00E52DCE" w:rsidP="0009277F">
      <w:pPr>
        <w:spacing w:line="276" w:lineRule="auto"/>
        <w:jc w:val="both"/>
      </w:pPr>
      <w:r>
        <w:t xml:space="preserve"> </w:t>
      </w:r>
    </w:p>
    <w:p w14:paraId="1EB02E1D" w14:textId="17C3592D" w:rsidR="00F35A19" w:rsidRDefault="00F35A19" w:rsidP="00C54279">
      <w:pPr>
        <w:pStyle w:val="Heading1"/>
        <w:numPr>
          <w:ilvl w:val="0"/>
          <w:numId w:val="7"/>
        </w:numPr>
        <w:spacing w:before="240" w:after="0" w:line="276" w:lineRule="auto"/>
        <w:jc w:val="both"/>
        <w:rPr>
          <w:rFonts w:ascii="Calibri Light" w:eastAsia="MS Gothic" w:hAnsi="Calibri Light" w:cs="Times New Roman"/>
          <w:color w:val="2F5496"/>
          <w:kern w:val="0"/>
          <w:sz w:val="32"/>
          <w:szCs w:val="32"/>
          <w14:ligatures w14:val="none"/>
        </w:rPr>
      </w:pPr>
      <w:r w:rsidRPr="00F35A19">
        <w:rPr>
          <w:rFonts w:ascii="Calibri Light" w:eastAsia="MS Gothic" w:hAnsi="Calibri Light" w:cs="Times New Roman"/>
          <w:color w:val="2F5496"/>
          <w:kern w:val="0"/>
          <w:sz w:val="32"/>
          <w:szCs w:val="32"/>
          <w14:ligatures w14:val="none"/>
        </w:rPr>
        <w:t xml:space="preserve">Institutional </w:t>
      </w:r>
      <w:bookmarkEnd w:id="1"/>
      <w:r w:rsidR="00BE7E9D">
        <w:rPr>
          <w:rFonts w:ascii="Calibri Light" w:eastAsia="MS Gothic" w:hAnsi="Calibri Light" w:cs="Times New Roman"/>
          <w:color w:val="2F5496"/>
          <w:kern w:val="0"/>
          <w:sz w:val="32"/>
          <w:szCs w:val="32"/>
          <w14:ligatures w14:val="none"/>
        </w:rPr>
        <w:t>affiliation</w:t>
      </w:r>
    </w:p>
    <w:p w14:paraId="7A8AA92B" w14:textId="52C880E1" w:rsidR="00720528" w:rsidRDefault="00720528" w:rsidP="00C54279">
      <w:pPr>
        <w:spacing w:after="120" w:line="276" w:lineRule="auto"/>
        <w:jc w:val="both"/>
        <w:rPr>
          <w:rFonts w:cstheme="minorHAnsi"/>
          <w:lang w:val="en-US"/>
        </w:rPr>
      </w:pPr>
      <w:r w:rsidRPr="00720528">
        <w:rPr>
          <w:rFonts w:cstheme="minorHAnsi"/>
          <w:lang w:val="en-US"/>
        </w:rPr>
        <w:t xml:space="preserve">This review only addresses </w:t>
      </w:r>
      <w:r w:rsidR="00CB19C7">
        <w:rPr>
          <w:rFonts w:cstheme="minorHAnsi"/>
          <w:lang w:val="en-US"/>
        </w:rPr>
        <w:t xml:space="preserve">countries </w:t>
      </w:r>
      <w:r w:rsidRPr="00720528">
        <w:rPr>
          <w:rFonts w:cstheme="minorHAnsi"/>
          <w:lang w:val="en-US"/>
        </w:rPr>
        <w:t>institutional affiliation</w:t>
      </w:r>
      <w:r w:rsidR="00BE75D5">
        <w:rPr>
          <w:rFonts w:cstheme="minorHAnsi"/>
          <w:lang w:val="en-US"/>
        </w:rPr>
        <w:t xml:space="preserve">, in line with </w:t>
      </w:r>
      <w:r w:rsidR="007959D0">
        <w:rPr>
          <w:rFonts w:cstheme="minorHAnsi"/>
          <w:lang w:val="en-US"/>
        </w:rPr>
        <w:t xml:space="preserve">Michaelowa et al </w:t>
      </w:r>
      <w:r w:rsidR="007959D0">
        <w:rPr>
          <w:rFonts w:cstheme="minorHAnsi"/>
          <w:lang w:val="en-US"/>
        </w:rPr>
        <w:fldChar w:fldCharType="begin" w:fldLock="1"/>
      </w:r>
      <w:r w:rsidR="00D87F92">
        <w:rPr>
          <w:rFonts w:cstheme="minorHAnsi"/>
          <w:lang w:val="en-US"/>
        </w:rPr>
        <w:instrText>ADDIN CSL_CITATION {"citationItems":[{"id":"ITEM-1","itemData":{"ISBN":"3936191034","author":[{"dropping-particle":"","family":"Michaelowa","given":"A","non-dropping-particle":"","parse-names":false,"suffix":""},{"dropping-particle":"","family":"Butzengeiger","given":"S","non-dropping-particle":"","parse-names":false,"suffix":""},{"dropping-particle":"","family":"Jung","given":"M","non-dropping-particle":"","parse-names":false,"suffix":""},{"dropping-particle":"","family":"Dutschke","given":"M","non-dropping-particle":"","parse-names":false,"suffix":""}],"id":"ITEM-1","issued":{"date-parts":[["2003"]]},"publisher-place":"Berlin","title":"Beyond 2012–Evolution of the Kyoto Protocol Regime","type":"report"},"suppress-author":1,"uris":["http://www.mendeley.com/documents/?uuid=f88f8613-5d36-4fc2-a464-758a581f77ed"]}],"mendeley":{"formattedCitation":"[7]","plainTextFormattedCitation":"[7]","previouslyFormattedCitation":"[7]"},"properties":{"noteIndex":0},"schema":"https://github.com/citation-style-language/schema/raw/master/csl-citation.json"}</w:instrText>
      </w:r>
      <w:r w:rsidR="007959D0">
        <w:rPr>
          <w:rFonts w:cstheme="minorHAnsi"/>
          <w:lang w:val="en-US"/>
        </w:rPr>
        <w:fldChar w:fldCharType="separate"/>
      </w:r>
      <w:r w:rsidR="005A2CC9" w:rsidRPr="005A2CC9">
        <w:rPr>
          <w:rFonts w:cstheme="minorHAnsi"/>
          <w:noProof/>
          <w:lang w:val="en-US"/>
        </w:rPr>
        <w:t>[7]</w:t>
      </w:r>
      <w:r w:rsidR="007959D0">
        <w:rPr>
          <w:rFonts w:cstheme="minorHAnsi"/>
          <w:lang w:val="en-US"/>
        </w:rPr>
        <w:fldChar w:fldCharType="end"/>
      </w:r>
      <w:r w:rsidRPr="00720528">
        <w:rPr>
          <w:rFonts w:cstheme="minorHAnsi"/>
          <w:lang w:val="en-US"/>
        </w:rPr>
        <w:t xml:space="preserve">. Countries’ scores on, for example, the Human Development Index, the World Bank country classifications by income level, </w:t>
      </w:r>
      <w:r>
        <w:rPr>
          <w:rFonts w:cstheme="minorHAnsi"/>
          <w:lang w:val="en-US"/>
        </w:rPr>
        <w:t xml:space="preserve">the IMF list of ‘advanced countries’, </w:t>
      </w:r>
      <w:r w:rsidRPr="00720528">
        <w:rPr>
          <w:rFonts w:cstheme="minorHAnsi"/>
          <w:lang w:val="en-US"/>
        </w:rPr>
        <w:t xml:space="preserve">or the list of developed countries that is used for statistical purposes by the </w:t>
      </w:r>
      <w:hyperlink r:id="rId8" w:history="1">
        <w:r w:rsidRPr="00720528">
          <w:rPr>
            <w:rFonts w:cstheme="minorHAnsi"/>
            <w:lang w:val="en-US"/>
          </w:rPr>
          <w:t>United Nations Conference on Trade and Development</w:t>
        </w:r>
      </w:hyperlink>
      <w:r w:rsidRPr="00720528">
        <w:rPr>
          <w:rFonts w:cstheme="minorHAnsi"/>
          <w:lang w:val="en-US"/>
        </w:rPr>
        <w:t xml:space="preserve"> are excluded here.</w:t>
      </w:r>
    </w:p>
    <w:p w14:paraId="62F1CC63" w14:textId="41B3821C" w:rsidR="00720528" w:rsidRPr="00720528" w:rsidRDefault="00720528" w:rsidP="00643B97">
      <w:pPr>
        <w:spacing w:after="120" w:line="276" w:lineRule="auto"/>
        <w:jc w:val="both"/>
        <w:rPr>
          <w:rFonts w:cstheme="minorHAnsi"/>
          <w:lang w:val="en-US"/>
        </w:rPr>
      </w:pPr>
      <w:r>
        <w:rPr>
          <w:rFonts w:cstheme="minorHAnsi"/>
          <w:lang w:val="en-US"/>
        </w:rPr>
        <w:t xml:space="preserve">The review focuses on institutions that have a </w:t>
      </w:r>
      <w:r w:rsidR="00E7411F">
        <w:rPr>
          <w:rFonts w:cstheme="minorHAnsi"/>
          <w:lang w:val="en-US"/>
        </w:rPr>
        <w:t xml:space="preserve">very large </w:t>
      </w:r>
      <w:r>
        <w:rPr>
          <w:rFonts w:cstheme="minorHAnsi"/>
          <w:lang w:val="en-US"/>
        </w:rPr>
        <w:t xml:space="preserve">representation </w:t>
      </w:r>
      <w:r w:rsidR="005D0347">
        <w:rPr>
          <w:rFonts w:cstheme="minorHAnsi"/>
          <w:lang w:val="en-US"/>
        </w:rPr>
        <w:t>of</w:t>
      </w:r>
      <w:r>
        <w:rPr>
          <w:rFonts w:cstheme="minorHAnsi"/>
          <w:lang w:val="en-US"/>
        </w:rPr>
        <w:t xml:space="preserve"> Annex II countries</w:t>
      </w:r>
      <w:r w:rsidR="00593369">
        <w:rPr>
          <w:rFonts w:cstheme="minorHAnsi"/>
          <w:lang w:val="en-US"/>
        </w:rPr>
        <w:t xml:space="preserve"> (G20) or originated as a developed country group (</w:t>
      </w:r>
      <w:r w:rsidR="008403C8">
        <w:rPr>
          <w:rFonts w:cstheme="minorHAnsi"/>
          <w:lang w:val="en-US"/>
        </w:rPr>
        <w:t>the EU</w:t>
      </w:r>
      <w:r w:rsidR="00593369">
        <w:rPr>
          <w:rFonts w:cstheme="minorHAnsi"/>
          <w:lang w:val="en-US"/>
        </w:rPr>
        <w:t xml:space="preserve"> and </w:t>
      </w:r>
      <w:r w:rsidR="008403C8">
        <w:rPr>
          <w:rFonts w:cstheme="minorHAnsi"/>
          <w:lang w:val="en-US"/>
        </w:rPr>
        <w:t>the OECD</w:t>
      </w:r>
      <w:r w:rsidR="00593369">
        <w:rPr>
          <w:rFonts w:cstheme="minorHAnsi"/>
          <w:lang w:val="en-US"/>
        </w:rPr>
        <w:t>)</w:t>
      </w:r>
      <w:r w:rsidR="008403C8">
        <w:rPr>
          <w:rFonts w:cstheme="minorHAnsi"/>
          <w:lang w:val="en-US"/>
        </w:rPr>
        <w:t>.</w:t>
      </w:r>
      <w:r w:rsidR="00D81D79">
        <w:rPr>
          <w:rFonts w:cstheme="minorHAnsi"/>
          <w:lang w:val="en-US"/>
        </w:rPr>
        <w:t xml:space="preserve"> </w:t>
      </w:r>
      <w:r w:rsidR="000C01EB">
        <w:rPr>
          <w:rFonts w:cstheme="minorHAnsi"/>
          <w:lang w:val="en-US"/>
        </w:rPr>
        <w:t>G</w:t>
      </w:r>
      <w:r w:rsidR="00D81D79">
        <w:rPr>
          <w:rFonts w:cstheme="minorHAnsi"/>
          <w:lang w:val="en-US"/>
        </w:rPr>
        <w:t xml:space="preserve">roups </w:t>
      </w:r>
      <w:r w:rsidR="000C01EB">
        <w:rPr>
          <w:rFonts w:cstheme="minorHAnsi"/>
          <w:lang w:val="en-US"/>
        </w:rPr>
        <w:t xml:space="preserve">that </w:t>
      </w:r>
      <w:r w:rsidR="0072115E">
        <w:rPr>
          <w:rFonts w:cstheme="minorHAnsi"/>
          <w:lang w:val="en-US"/>
        </w:rPr>
        <w:t xml:space="preserve">exclusively have Annex II country members (e.g. the G7) or </w:t>
      </w:r>
      <w:r w:rsidR="00CB19C7">
        <w:rPr>
          <w:rFonts w:cstheme="minorHAnsi"/>
          <w:lang w:val="en-US"/>
        </w:rPr>
        <w:t xml:space="preserve">non-Annex II country members (e.g. BRICS) </w:t>
      </w:r>
      <w:r w:rsidR="0072115E">
        <w:rPr>
          <w:rFonts w:cstheme="minorHAnsi"/>
          <w:lang w:val="en-US"/>
        </w:rPr>
        <w:t xml:space="preserve">are </w:t>
      </w:r>
      <w:r w:rsidR="00D81D79">
        <w:rPr>
          <w:rFonts w:cstheme="minorHAnsi"/>
          <w:lang w:val="en-US"/>
        </w:rPr>
        <w:t>excluded</w:t>
      </w:r>
      <w:r w:rsidR="00CB19C7">
        <w:rPr>
          <w:rFonts w:cstheme="minorHAnsi"/>
          <w:lang w:val="en-US"/>
        </w:rPr>
        <w:t>.</w:t>
      </w:r>
    </w:p>
    <w:p w14:paraId="11C07898" w14:textId="77777777" w:rsidR="00643B97" w:rsidRDefault="00720528" w:rsidP="00643B97">
      <w:pPr>
        <w:spacing w:after="120" w:line="276" w:lineRule="auto"/>
        <w:jc w:val="both"/>
        <w:rPr>
          <w:rFonts w:cstheme="minorHAnsi"/>
        </w:rPr>
      </w:pPr>
      <w:r w:rsidRPr="00444E0E">
        <w:rPr>
          <w:rFonts w:cstheme="minorHAnsi"/>
          <w:lang w:val="en-US"/>
        </w:rPr>
        <w:t>Assumptions</w:t>
      </w:r>
      <w:r w:rsidR="004D67AD" w:rsidRPr="00444E0E">
        <w:rPr>
          <w:rFonts w:cstheme="minorHAnsi"/>
          <w:lang w:val="en-US"/>
        </w:rPr>
        <w:t>:</w:t>
      </w:r>
      <w:r>
        <w:rPr>
          <w:rFonts w:cstheme="minorHAnsi"/>
          <w:lang w:val="en-US"/>
        </w:rPr>
        <w:t xml:space="preserve"> It was decided not to </w:t>
      </w:r>
      <w:r w:rsidR="00F35A19">
        <w:rPr>
          <w:rFonts w:cstheme="minorHAnsi"/>
          <w:lang w:val="en-US"/>
        </w:rPr>
        <w:t xml:space="preserve">identify countries that should be </w:t>
      </w:r>
      <w:r w:rsidR="00F35A19" w:rsidRPr="00720528">
        <w:rPr>
          <w:rFonts w:cstheme="minorHAnsi"/>
          <w:i/>
          <w:iCs/>
          <w:lang w:val="en-US"/>
        </w:rPr>
        <w:t>excluded</w:t>
      </w:r>
      <w:r w:rsidR="00F35A19">
        <w:rPr>
          <w:rFonts w:cstheme="minorHAnsi"/>
          <w:lang w:val="en-US"/>
        </w:rPr>
        <w:t xml:space="preserve"> as potential climate finance providers based on institutional </w:t>
      </w:r>
      <w:r w:rsidR="00444E0E">
        <w:rPr>
          <w:rFonts w:cstheme="minorHAnsi"/>
          <w:lang w:val="en-US"/>
        </w:rPr>
        <w:t>affiliation</w:t>
      </w:r>
      <w:r w:rsidR="00F35A19">
        <w:rPr>
          <w:rFonts w:cstheme="minorHAnsi"/>
          <w:lang w:val="en-US"/>
        </w:rPr>
        <w:t xml:space="preserve">, for example </w:t>
      </w:r>
      <w:r>
        <w:rPr>
          <w:rFonts w:cstheme="minorHAnsi"/>
          <w:lang w:val="en-US"/>
        </w:rPr>
        <w:t xml:space="preserve">through </w:t>
      </w:r>
      <w:r w:rsidR="00F35A19" w:rsidRPr="00927ED3">
        <w:rPr>
          <w:rFonts w:cstheme="minorHAnsi"/>
          <w:lang w:val="en-US"/>
        </w:rPr>
        <w:t xml:space="preserve">membership of the </w:t>
      </w:r>
      <w:r>
        <w:rPr>
          <w:rFonts w:cstheme="minorHAnsi"/>
        </w:rPr>
        <w:t>Leads Developed Countries or the Small Island Developing States (SIDS), because it is out of the scope of this paper. More research on this could be done, depending on how the discussions on the New Collective Quantified Goal move forward</w:t>
      </w:r>
      <w:r w:rsidR="00556400">
        <w:rPr>
          <w:rFonts w:cstheme="minorHAnsi"/>
        </w:rPr>
        <w:t xml:space="preserve"> (see also </w:t>
      </w:r>
      <w:r w:rsidR="00865F30">
        <w:rPr>
          <w:rFonts w:cstheme="minorHAnsi"/>
        </w:rPr>
        <w:t>Section 5)</w:t>
      </w:r>
      <w:r>
        <w:rPr>
          <w:rFonts w:cstheme="minorHAnsi"/>
        </w:rPr>
        <w:t>.</w:t>
      </w:r>
      <w:r w:rsidR="00556400">
        <w:rPr>
          <w:rFonts w:cstheme="minorHAnsi"/>
        </w:rPr>
        <w:t xml:space="preserve"> </w:t>
      </w:r>
    </w:p>
    <w:p w14:paraId="219AA375" w14:textId="070624DA" w:rsidR="00720528" w:rsidRDefault="00720528" w:rsidP="00643B97">
      <w:pPr>
        <w:spacing w:after="120" w:line="276" w:lineRule="auto"/>
        <w:jc w:val="both"/>
        <w:rPr>
          <w:rFonts w:cstheme="minorHAnsi"/>
        </w:rPr>
      </w:pPr>
      <w:r>
        <w:rPr>
          <w:rFonts w:cstheme="minorHAnsi"/>
        </w:rPr>
        <w:t xml:space="preserve"> </w:t>
      </w:r>
    </w:p>
    <w:p w14:paraId="39352229" w14:textId="091F641A" w:rsidR="00F35A19" w:rsidRDefault="00F35A19" w:rsidP="00643B97">
      <w:pPr>
        <w:pStyle w:val="Heading1"/>
        <w:numPr>
          <w:ilvl w:val="0"/>
          <w:numId w:val="7"/>
        </w:numPr>
        <w:spacing w:before="240" w:after="0" w:line="276" w:lineRule="auto"/>
        <w:jc w:val="both"/>
        <w:rPr>
          <w:rFonts w:ascii="Calibri Light" w:eastAsia="MS Gothic" w:hAnsi="Calibri Light" w:cs="Times New Roman"/>
          <w:color w:val="2F5496"/>
          <w:kern w:val="0"/>
          <w:sz w:val="32"/>
          <w:szCs w:val="32"/>
          <w14:ligatures w14:val="none"/>
        </w:rPr>
      </w:pPr>
      <w:r w:rsidRPr="00F35A19">
        <w:rPr>
          <w:rFonts w:ascii="Calibri Light" w:eastAsia="MS Gothic" w:hAnsi="Calibri Light" w:cs="Times New Roman"/>
          <w:color w:val="2F5496"/>
          <w:kern w:val="0"/>
          <w:sz w:val="32"/>
          <w:szCs w:val="32"/>
          <w14:ligatures w14:val="none"/>
        </w:rPr>
        <w:t>Willingness</w:t>
      </w:r>
    </w:p>
    <w:p w14:paraId="551196F0" w14:textId="2CF0F75D" w:rsidR="008370C8" w:rsidRDefault="00AE4805" w:rsidP="008370C8">
      <w:pPr>
        <w:spacing w:after="120" w:line="276" w:lineRule="auto"/>
        <w:jc w:val="both"/>
        <w:rPr>
          <w:highlight w:val="yellow"/>
        </w:rPr>
      </w:pPr>
      <w:r>
        <w:t xml:space="preserve">This review </w:t>
      </w:r>
      <w:r w:rsidR="00D34B3C">
        <w:t xml:space="preserve">aggregates data from </w:t>
      </w:r>
      <w:r w:rsidR="450CB2EE">
        <w:t>2</w:t>
      </w:r>
      <w:r w:rsidR="1E79CE01">
        <w:t>7</w:t>
      </w:r>
      <w:r w:rsidR="00D94777">
        <w:t xml:space="preserve"> different fund</w:t>
      </w:r>
      <w:r w:rsidR="00B4227F">
        <w:t>s</w:t>
      </w:r>
      <w:r w:rsidR="00DE3CA3">
        <w:t xml:space="preserve"> with a</w:t>
      </w:r>
      <w:r w:rsidR="00ED1899">
        <w:t xml:space="preserve"> global</w:t>
      </w:r>
      <w:r w:rsidR="00954CB7">
        <w:t xml:space="preserve"> openness </w:t>
      </w:r>
      <w:r w:rsidR="00ED1899">
        <w:t xml:space="preserve">(i.e. </w:t>
      </w:r>
      <w:r w:rsidR="00954CB7">
        <w:t xml:space="preserve">to </w:t>
      </w:r>
      <w:r w:rsidR="008B6AB2">
        <w:t>contributions</w:t>
      </w:r>
      <w:r w:rsidR="00ED1899">
        <w:t xml:space="preserve"> from all countries)</w:t>
      </w:r>
      <w:r w:rsidR="00575DC4">
        <w:t xml:space="preserve">, even </w:t>
      </w:r>
      <w:r w:rsidR="00530E21">
        <w:t xml:space="preserve">when </w:t>
      </w:r>
      <w:r w:rsidR="00922ECA">
        <w:t xml:space="preserve">such funds </w:t>
      </w:r>
      <w:r w:rsidR="005D0347">
        <w:t>have a</w:t>
      </w:r>
      <w:r w:rsidR="0045668E">
        <w:t xml:space="preserve"> </w:t>
      </w:r>
      <w:r w:rsidR="00FC59F3">
        <w:t xml:space="preserve">specific </w:t>
      </w:r>
      <w:r w:rsidR="00C22E26">
        <w:t>reach</w:t>
      </w:r>
      <w:r w:rsidR="00922ECA">
        <w:t xml:space="preserve"> (e.g. </w:t>
      </w:r>
      <w:r w:rsidR="00162602">
        <w:t>the</w:t>
      </w:r>
      <w:r w:rsidR="00FC59F3">
        <w:t xml:space="preserve"> Amazon Fund, the Central African Forest Initiative (CAFI)</w:t>
      </w:r>
      <w:r w:rsidR="00ED1899">
        <w:t xml:space="preserve"> and </w:t>
      </w:r>
      <w:r w:rsidR="00FC59F3">
        <w:t>the Congo Basin Forest Fund (CBFF)</w:t>
      </w:r>
      <w:r w:rsidR="00865ED8">
        <w:t xml:space="preserve">. </w:t>
      </w:r>
      <w:r w:rsidR="058AC735">
        <w:t>In other words</w:t>
      </w:r>
      <w:r w:rsidR="00DB6E5A">
        <w:t xml:space="preserve">, </w:t>
      </w:r>
      <w:r w:rsidR="005F6067">
        <w:t xml:space="preserve">financial </w:t>
      </w:r>
      <w:r w:rsidR="00DB6E5A">
        <w:t>willingness</w:t>
      </w:r>
      <w:r w:rsidR="0073360D">
        <w:t xml:space="preserve"> to</w:t>
      </w:r>
      <w:r w:rsidR="0066482B">
        <w:t>wards</w:t>
      </w:r>
      <w:r w:rsidR="0073360D">
        <w:t xml:space="preserve"> these funds could not be distorted</w:t>
      </w:r>
      <w:r w:rsidR="008B6D74">
        <w:t xml:space="preserve"> by specific limitations about who can </w:t>
      </w:r>
      <w:r w:rsidR="00026851">
        <w:t>contribute</w:t>
      </w:r>
      <w:r w:rsidR="00E92597">
        <w:t>.</w:t>
      </w:r>
      <w:r w:rsidR="00DF348B">
        <w:t xml:space="preserve"> </w:t>
      </w:r>
      <w:r w:rsidR="00745B6E">
        <w:t xml:space="preserve">Other relevant financing sources have been kept out of this review for similar reasons, as the case of public development banks (PDBs). While central for the current financial architecture, contributions to national and multilateral development banks are normally limited </w:t>
      </w:r>
      <w:r w:rsidR="00745B6E">
        <w:lastRenderedPageBreak/>
        <w:t>to specific donor and regional members.</w:t>
      </w:r>
      <w:r w:rsidR="00AA3C2F">
        <w:t xml:space="preserve"> </w:t>
      </w:r>
      <w:r w:rsidR="009A6F7D">
        <w:t xml:space="preserve">Although collectively projecting their reach globally, contributions to different </w:t>
      </w:r>
      <w:r w:rsidR="00AA3C2F">
        <w:t xml:space="preserve">PDBs </w:t>
      </w:r>
      <w:r w:rsidR="009A6F7D">
        <w:t xml:space="preserve">are normally limited to a closed group of shareholders. For example, to donor and regional members, in the case of MDBs, and to national governments for most NDBs. The variety of PDBs in terms of access would require a specific methodology to classify and derive the willingness of non-Annex II countries to contribute, falling outside of </w:t>
      </w:r>
      <w:r w:rsidR="00AA3C2F">
        <w:t xml:space="preserve">the </w:t>
      </w:r>
      <w:r w:rsidR="009A6F7D">
        <w:t>scope</w:t>
      </w:r>
      <w:r w:rsidR="001768EA">
        <w:t xml:space="preserve"> of this paper</w:t>
      </w:r>
      <w:r w:rsidR="009A6F7D">
        <w:t>. Since aiming at a proxy for the financial willingness of countries towards global solidarity and the global commons, the authors have opted to maintain PDBs and other regionally and locally bounded funds out of the analysis.</w:t>
      </w:r>
      <w:r w:rsidR="008370C8">
        <w:t xml:space="preserve"> </w:t>
      </w:r>
      <w:r w:rsidR="008370C8" w:rsidRPr="00F933D6">
        <w:t>Yet, it is important to highlight their relevance for any future investigation, particularly quantitative-focused ones on climate finance. Such relevance is likely to increase if calls for MDBs’ capitalisation and expansion materialise, as recently debated within the proposed reforms of the global financial architecture</w:t>
      </w:r>
      <w:r w:rsidR="008B15ED" w:rsidRPr="00F933D6">
        <w:t xml:space="preserve"> </w:t>
      </w:r>
      <w:r w:rsidR="008B15ED" w:rsidRPr="00F933D6">
        <w:fldChar w:fldCharType="begin" w:fldLock="1"/>
      </w:r>
      <w:r w:rsidR="00D50A2C">
        <w:instrText>ADDIN CSL_CITATION {"citationItems":[{"id":"ITEM-1","itemData":{"author":[{"dropping-particle":"","family":"Barbados","given":"","non-dropping-particle":"","parse-names":false,"suffix":""}],"id":"ITEM-1","issued":{"date-parts":[["2022"]]},"publisher-place":"Bridgetown, Barbados","title":"The 2022 Bridgetown Initiative for the Reform of the Global Financial Architecture","type":"report"},"uris":["http://www.mendeley.com/documents/?uuid=4531d4fb-7c41-4718-bb6e-2dd4f6324413"]},{"id":"ITEM-2","itemData":{"URL":"https://pactedeparis.org/en.php","author":[{"dropping-particle":"","family":"Paris Pact for the People and the Planet","given":"","non-dropping-particle":"","parse-names":false,"suffix":""}],"id":"ITEM-2","issued":{"date-parts":[["2024"]]},"title":"Paris Pact for the People and the Planet","type":"webpage"},"uris":["http://www.mendeley.com/documents/?uuid=fb3de514-9374-4314-97d0-f8d4d1c87bf0"]}],"mendeley":{"formattedCitation":"[19,20]","plainTextFormattedCitation":"[19,20]","previouslyFormattedCitation":"[19,20]"},"properties":{"noteIndex":0},"schema":"https://github.com/citation-style-language/schema/raw/master/csl-citation.json"}</w:instrText>
      </w:r>
      <w:r w:rsidR="008B15ED" w:rsidRPr="00F933D6">
        <w:fldChar w:fldCharType="separate"/>
      </w:r>
      <w:r w:rsidR="008B15ED" w:rsidRPr="00F933D6">
        <w:rPr>
          <w:noProof/>
        </w:rPr>
        <w:t>[19,20]</w:t>
      </w:r>
      <w:r w:rsidR="008B15ED" w:rsidRPr="00F933D6">
        <w:fldChar w:fldCharType="end"/>
      </w:r>
      <w:r w:rsidR="008370C8" w:rsidRPr="00F933D6">
        <w:t>.</w:t>
      </w:r>
    </w:p>
    <w:p w14:paraId="44492E4E" w14:textId="7E119DB0" w:rsidR="00AB7E60" w:rsidRDefault="00B40B68" w:rsidP="001768EA">
      <w:pPr>
        <w:spacing w:line="276" w:lineRule="auto"/>
        <w:jc w:val="both"/>
        <w:rPr>
          <w:lang w:eastAsia="ja-JP"/>
        </w:rPr>
      </w:pPr>
      <w:r>
        <w:t>Data was</w:t>
      </w:r>
      <w:r w:rsidR="00A8443F">
        <w:t xml:space="preserve"> sourced from Climate Funds Update as well as from individual </w:t>
      </w:r>
      <w:r w:rsidR="00FA7B89">
        <w:t>fund websites and relevant documents. The</w:t>
      </w:r>
      <w:r w:rsidR="00294FA8">
        <w:t xml:space="preserve"> different sets of aggregated data also had</w:t>
      </w:r>
      <w:r w:rsidR="00E42FD0">
        <w:t xml:space="preserve"> different </w:t>
      </w:r>
      <w:r w:rsidR="0038649C">
        <w:t>year</w:t>
      </w:r>
      <w:r w:rsidR="00E42FD0">
        <w:t xml:space="preserve"> ranges</w:t>
      </w:r>
      <w:r w:rsidR="00E775CB">
        <w:t xml:space="preserve"> (see </w:t>
      </w:r>
      <w:r w:rsidR="00F933D6">
        <w:t>Table S3</w:t>
      </w:r>
      <w:r w:rsidR="00E775CB">
        <w:t xml:space="preserve">). </w:t>
      </w:r>
      <w:r w:rsidR="0099659F">
        <w:t xml:space="preserve">The review </w:t>
      </w:r>
      <w:r w:rsidR="00661A5C">
        <w:rPr>
          <w:lang w:eastAsia="ja-JP"/>
        </w:rPr>
        <w:t>focu</w:t>
      </w:r>
      <w:r w:rsidR="0099659F">
        <w:rPr>
          <w:lang w:eastAsia="ja-JP"/>
        </w:rPr>
        <w:t>se</w:t>
      </w:r>
      <w:r w:rsidR="001D2EE4">
        <w:rPr>
          <w:lang w:eastAsia="ja-JP"/>
        </w:rPr>
        <w:t>s</w:t>
      </w:r>
      <w:r w:rsidR="0099659F">
        <w:rPr>
          <w:lang w:eastAsia="ja-JP"/>
        </w:rPr>
        <w:t xml:space="preserve"> on </w:t>
      </w:r>
      <w:r w:rsidR="00661A5C">
        <w:rPr>
          <w:lang w:eastAsia="ja-JP"/>
        </w:rPr>
        <w:t>actual contributions</w:t>
      </w:r>
      <w:r w:rsidR="0099659F">
        <w:rPr>
          <w:lang w:eastAsia="ja-JP"/>
        </w:rPr>
        <w:t>, not pledges</w:t>
      </w:r>
      <w:r w:rsidR="001D2EE4">
        <w:rPr>
          <w:lang w:eastAsia="ja-JP"/>
        </w:rPr>
        <w:t>.</w:t>
      </w:r>
    </w:p>
    <w:p w14:paraId="56DE6E57" w14:textId="3BAE6019" w:rsidR="00F27ABB" w:rsidRDefault="00F27ABB" w:rsidP="001768EA">
      <w:pPr>
        <w:spacing w:after="120" w:line="276" w:lineRule="auto"/>
        <w:jc w:val="both"/>
      </w:pPr>
      <w:r>
        <w:t xml:space="preserve">The use of different data sources might cause inconsistencies (e.g. in exchange values of pledges in non-dollar currencies). Timeframes of funds are sometimes inconsistent. For example, some funds are replenished on an ad hoc basis (e.g. Adaptation Fund) and others in multi-year cycles (e.g. the GCF and the GEF). The cut-off date for this research (January 2022) means, for example, that the second replenishment of the GCF is not included. However, the data quality is sufficiently high for this analysis given that the aim is to understand countries’ willingness to contribute, rather than to compare and rank such contributions. </w:t>
      </w:r>
    </w:p>
    <w:p w14:paraId="51E980DE" w14:textId="77777777" w:rsidR="00576FCF" w:rsidRDefault="00576FCF" w:rsidP="00F933D6">
      <w:pPr>
        <w:spacing w:after="120" w:line="276" w:lineRule="auto"/>
        <w:jc w:val="both"/>
      </w:pPr>
    </w:p>
    <w:p w14:paraId="02960829" w14:textId="148CA8AD" w:rsidR="00DC268B" w:rsidRDefault="00DC268B" w:rsidP="00DC268B">
      <w:pPr>
        <w:pStyle w:val="Caption"/>
        <w:keepNext/>
      </w:pPr>
      <w:r>
        <w:t>Table S</w:t>
      </w:r>
      <w:r>
        <w:fldChar w:fldCharType="begin"/>
      </w:r>
      <w:r>
        <w:instrText xml:space="preserve"> SEQ Table \* ARABIC </w:instrText>
      </w:r>
      <w:r>
        <w:fldChar w:fldCharType="separate"/>
      </w:r>
      <w:r>
        <w:rPr>
          <w:noProof/>
        </w:rPr>
        <w:t>3</w:t>
      </w:r>
      <w:r>
        <w:fldChar w:fldCharType="end"/>
      </w:r>
      <w:r>
        <w:t xml:space="preserve">. </w:t>
      </w:r>
      <w:r w:rsidRPr="00B574EB">
        <w:t>Data sources of finance contributions to funds</w:t>
      </w:r>
    </w:p>
    <w:tbl>
      <w:tblPr>
        <w:tblStyle w:val="TableGrid"/>
        <w:tblW w:w="0" w:type="auto"/>
        <w:tblLook w:val="04A0" w:firstRow="1" w:lastRow="0" w:firstColumn="1" w:lastColumn="0" w:noHBand="0" w:noVBand="1"/>
      </w:tblPr>
      <w:tblGrid>
        <w:gridCol w:w="2335"/>
        <w:gridCol w:w="5310"/>
        <w:gridCol w:w="1417"/>
      </w:tblGrid>
      <w:tr w:rsidR="004E35C5" w:rsidRPr="00FC3484" w14:paraId="08746E1E" w14:textId="77777777" w:rsidTr="00603889">
        <w:tc>
          <w:tcPr>
            <w:tcW w:w="2335" w:type="dxa"/>
          </w:tcPr>
          <w:p w14:paraId="6C7A912E" w14:textId="3147E8F7" w:rsidR="004E35C5" w:rsidRPr="00FC3484" w:rsidRDefault="004E35C5" w:rsidP="00FC3484">
            <w:pPr>
              <w:spacing w:line="276" w:lineRule="auto"/>
              <w:rPr>
                <w:sz w:val="18"/>
                <w:szCs w:val="18"/>
              </w:rPr>
            </w:pPr>
            <w:r w:rsidRPr="00FC3484">
              <w:rPr>
                <w:sz w:val="18"/>
                <w:szCs w:val="18"/>
              </w:rPr>
              <w:t>Source</w:t>
            </w:r>
          </w:p>
        </w:tc>
        <w:tc>
          <w:tcPr>
            <w:tcW w:w="5310" w:type="dxa"/>
          </w:tcPr>
          <w:p w14:paraId="352074B1" w14:textId="7AC6A89C" w:rsidR="004E35C5" w:rsidRPr="00FC3484" w:rsidRDefault="004E35C5" w:rsidP="00FC3484">
            <w:pPr>
              <w:spacing w:line="276" w:lineRule="auto"/>
              <w:rPr>
                <w:sz w:val="18"/>
                <w:szCs w:val="18"/>
              </w:rPr>
            </w:pPr>
            <w:r w:rsidRPr="00FC3484">
              <w:rPr>
                <w:sz w:val="18"/>
                <w:szCs w:val="18"/>
              </w:rPr>
              <w:t>Fund</w:t>
            </w:r>
          </w:p>
        </w:tc>
        <w:tc>
          <w:tcPr>
            <w:tcW w:w="1417" w:type="dxa"/>
          </w:tcPr>
          <w:p w14:paraId="39298231" w14:textId="0F1C8180" w:rsidR="004E35C5" w:rsidRPr="00FC3484" w:rsidRDefault="004E35C5" w:rsidP="00FC3484">
            <w:pPr>
              <w:spacing w:line="276" w:lineRule="auto"/>
              <w:rPr>
                <w:sz w:val="18"/>
                <w:szCs w:val="18"/>
              </w:rPr>
            </w:pPr>
            <w:r w:rsidRPr="00FC3484">
              <w:rPr>
                <w:sz w:val="18"/>
                <w:szCs w:val="18"/>
              </w:rPr>
              <w:t>Year range</w:t>
            </w:r>
          </w:p>
        </w:tc>
      </w:tr>
      <w:tr w:rsidR="00AC540B" w:rsidRPr="00FC3484" w14:paraId="5FF0AE81" w14:textId="77777777" w:rsidTr="00603889">
        <w:tc>
          <w:tcPr>
            <w:tcW w:w="2335" w:type="dxa"/>
            <w:vMerge w:val="restart"/>
            <w:vAlign w:val="center"/>
          </w:tcPr>
          <w:p w14:paraId="75B11FFB" w14:textId="789DAAB7" w:rsidR="00AC540B" w:rsidRPr="00FC3484" w:rsidRDefault="00AC540B" w:rsidP="00FC3484">
            <w:pPr>
              <w:spacing w:line="276" w:lineRule="auto"/>
              <w:rPr>
                <w:sz w:val="18"/>
                <w:szCs w:val="18"/>
              </w:rPr>
            </w:pPr>
            <w:r w:rsidRPr="00FC3484">
              <w:rPr>
                <w:sz w:val="18"/>
                <w:szCs w:val="18"/>
              </w:rPr>
              <w:t>Climate Funds Update</w:t>
            </w:r>
          </w:p>
        </w:tc>
        <w:tc>
          <w:tcPr>
            <w:tcW w:w="5310" w:type="dxa"/>
          </w:tcPr>
          <w:p w14:paraId="2724CB08" w14:textId="30D35DA0" w:rsidR="00AC540B" w:rsidRPr="00FC3484" w:rsidRDefault="00AC540B" w:rsidP="00FC3484">
            <w:pPr>
              <w:spacing w:line="276" w:lineRule="auto"/>
              <w:rPr>
                <w:sz w:val="18"/>
                <w:szCs w:val="18"/>
              </w:rPr>
            </w:pPr>
            <w:r w:rsidRPr="00FC3484">
              <w:rPr>
                <w:sz w:val="18"/>
                <w:szCs w:val="18"/>
              </w:rPr>
              <w:t>Adaptation for Smallholder Agriculture Programme (ASAP)</w:t>
            </w:r>
          </w:p>
        </w:tc>
        <w:tc>
          <w:tcPr>
            <w:tcW w:w="1417" w:type="dxa"/>
            <w:vMerge w:val="restart"/>
            <w:vAlign w:val="center"/>
          </w:tcPr>
          <w:p w14:paraId="498DCCA5" w14:textId="17D2F382" w:rsidR="00AC540B" w:rsidRPr="00FC3484" w:rsidRDefault="00AC540B" w:rsidP="00FC3484">
            <w:pPr>
              <w:spacing w:line="276" w:lineRule="auto"/>
              <w:rPr>
                <w:sz w:val="18"/>
                <w:szCs w:val="18"/>
              </w:rPr>
            </w:pPr>
            <w:r w:rsidRPr="00FC3484">
              <w:rPr>
                <w:sz w:val="18"/>
                <w:szCs w:val="18"/>
              </w:rPr>
              <w:t>2003 - 2022</w:t>
            </w:r>
          </w:p>
        </w:tc>
      </w:tr>
      <w:tr w:rsidR="00AC540B" w:rsidRPr="00FC3484" w14:paraId="76DEFBB4" w14:textId="77777777" w:rsidTr="00603889">
        <w:tc>
          <w:tcPr>
            <w:tcW w:w="2335" w:type="dxa"/>
            <w:vMerge/>
          </w:tcPr>
          <w:p w14:paraId="2F637F87" w14:textId="77777777" w:rsidR="00AC540B" w:rsidRPr="00FC3484" w:rsidRDefault="00AC540B" w:rsidP="00FC3484">
            <w:pPr>
              <w:spacing w:line="276" w:lineRule="auto"/>
              <w:rPr>
                <w:sz w:val="18"/>
                <w:szCs w:val="18"/>
              </w:rPr>
            </w:pPr>
          </w:p>
        </w:tc>
        <w:tc>
          <w:tcPr>
            <w:tcW w:w="5310" w:type="dxa"/>
          </w:tcPr>
          <w:p w14:paraId="172030C4" w14:textId="250F6211" w:rsidR="00AC540B" w:rsidRPr="00FC3484" w:rsidRDefault="00AC540B" w:rsidP="00FC3484">
            <w:pPr>
              <w:spacing w:line="276" w:lineRule="auto"/>
              <w:rPr>
                <w:sz w:val="18"/>
                <w:szCs w:val="18"/>
              </w:rPr>
            </w:pPr>
            <w:r w:rsidRPr="00FC3484">
              <w:rPr>
                <w:sz w:val="18"/>
                <w:szCs w:val="18"/>
              </w:rPr>
              <w:t>Adaptation for Smallholder Agriculture Programme (ASAP+)</w:t>
            </w:r>
          </w:p>
        </w:tc>
        <w:tc>
          <w:tcPr>
            <w:tcW w:w="1417" w:type="dxa"/>
            <w:vMerge/>
          </w:tcPr>
          <w:p w14:paraId="48FB970F" w14:textId="77777777" w:rsidR="00AC540B" w:rsidRPr="00FC3484" w:rsidRDefault="00AC540B" w:rsidP="00FC3484">
            <w:pPr>
              <w:spacing w:line="276" w:lineRule="auto"/>
              <w:rPr>
                <w:sz w:val="18"/>
                <w:szCs w:val="18"/>
              </w:rPr>
            </w:pPr>
          </w:p>
        </w:tc>
      </w:tr>
      <w:tr w:rsidR="00AC540B" w:rsidRPr="00FC3484" w14:paraId="7D5D3888" w14:textId="77777777" w:rsidTr="00603889">
        <w:tc>
          <w:tcPr>
            <w:tcW w:w="2335" w:type="dxa"/>
            <w:vMerge/>
          </w:tcPr>
          <w:p w14:paraId="636B1FC0" w14:textId="77777777" w:rsidR="00AC540B" w:rsidRPr="00FC3484" w:rsidRDefault="00AC540B" w:rsidP="00FC3484">
            <w:pPr>
              <w:spacing w:line="276" w:lineRule="auto"/>
              <w:rPr>
                <w:sz w:val="18"/>
                <w:szCs w:val="18"/>
              </w:rPr>
            </w:pPr>
          </w:p>
        </w:tc>
        <w:tc>
          <w:tcPr>
            <w:tcW w:w="5310" w:type="dxa"/>
          </w:tcPr>
          <w:p w14:paraId="1FADF03A" w14:textId="7CB0F059" w:rsidR="00AC540B" w:rsidRPr="00FC3484" w:rsidRDefault="00AC540B" w:rsidP="00FC3484">
            <w:pPr>
              <w:spacing w:line="276" w:lineRule="auto"/>
              <w:rPr>
                <w:sz w:val="18"/>
                <w:szCs w:val="18"/>
              </w:rPr>
            </w:pPr>
            <w:r w:rsidRPr="00FC3484">
              <w:rPr>
                <w:sz w:val="18"/>
                <w:szCs w:val="18"/>
              </w:rPr>
              <w:t>Adaptation Fund</w:t>
            </w:r>
          </w:p>
        </w:tc>
        <w:tc>
          <w:tcPr>
            <w:tcW w:w="1417" w:type="dxa"/>
            <w:vMerge/>
          </w:tcPr>
          <w:p w14:paraId="6EE5B4FD" w14:textId="77777777" w:rsidR="00AC540B" w:rsidRPr="00FC3484" w:rsidRDefault="00AC540B" w:rsidP="00FC3484">
            <w:pPr>
              <w:spacing w:line="276" w:lineRule="auto"/>
              <w:rPr>
                <w:sz w:val="18"/>
                <w:szCs w:val="18"/>
              </w:rPr>
            </w:pPr>
          </w:p>
        </w:tc>
      </w:tr>
      <w:tr w:rsidR="00AC540B" w:rsidRPr="00FC3484" w14:paraId="0AB20F25" w14:textId="77777777" w:rsidTr="00603889">
        <w:tc>
          <w:tcPr>
            <w:tcW w:w="2335" w:type="dxa"/>
            <w:vMerge/>
          </w:tcPr>
          <w:p w14:paraId="7C4EA586" w14:textId="77777777" w:rsidR="00AC540B" w:rsidRPr="00FC3484" w:rsidRDefault="00AC540B" w:rsidP="00FC3484">
            <w:pPr>
              <w:spacing w:line="276" w:lineRule="auto"/>
              <w:rPr>
                <w:sz w:val="18"/>
                <w:szCs w:val="18"/>
              </w:rPr>
            </w:pPr>
          </w:p>
        </w:tc>
        <w:tc>
          <w:tcPr>
            <w:tcW w:w="5310" w:type="dxa"/>
          </w:tcPr>
          <w:p w14:paraId="70310A13" w14:textId="0417C8D4" w:rsidR="00AC540B" w:rsidRPr="00FC3484" w:rsidRDefault="00AC540B" w:rsidP="00FC3484">
            <w:pPr>
              <w:spacing w:line="276" w:lineRule="auto"/>
              <w:rPr>
                <w:sz w:val="18"/>
                <w:szCs w:val="18"/>
              </w:rPr>
            </w:pPr>
            <w:r w:rsidRPr="00FC3484">
              <w:rPr>
                <w:sz w:val="18"/>
                <w:szCs w:val="18"/>
              </w:rPr>
              <w:t>Amazon Fund</w:t>
            </w:r>
          </w:p>
        </w:tc>
        <w:tc>
          <w:tcPr>
            <w:tcW w:w="1417" w:type="dxa"/>
            <w:vMerge/>
          </w:tcPr>
          <w:p w14:paraId="245C799C" w14:textId="77777777" w:rsidR="00AC540B" w:rsidRPr="00FC3484" w:rsidRDefault="00AC540B" w:rsidP="00FC3484">
            <w:pPr>
              <w:spacing w:line="276" w:lineRule="auto"/>
              <w:rPr>
                <w:sz w:val="18"/>
                <w:szCs w:val="18"/>
              </w:rPr>
            </w:pPr>
          </w:p>
        </w:tc>
      </w:tr>
      <w:tr w:rsidR="00AC540B" w:rsidRPr="00FC3484" w14:paraId="279EF8AC" w14:textId="77777777" w:rsidTr="00603889">
        <w:tc>
          <w:tcPr>
            <w:tcW w:w="2335" w:type="dxa"/>
            <w:vMerge/>
          </w:tcPr>
          <w:p w14:paraId="2EA77DA3" w14:textId="77777777" w:rsidR="00AC540B" w:rsidRPr="00FC3484" w:rsidRDefault="00AC540B" w:rsidP="00FC3484">
            <w:pPr>
              <w:spacing w:line="276" w:lineRule="auto"/>
              <w:rPr>
                <w:sz w:val="18"/>
                <w:szCs w:val="18"/>
              </w:rPr>
            </w:pPr>
          </w:p>
        </w:tc>
        <w:tc>
          <w:tcPr>
            <w:tcW w:w="5310" w:type="dxa"/>
          </w:tcPr>
          <w:p w14:paraId="6A8BA32A" w14:textId="49F15CE0" w:rsidR="00AC540B" w:rsidRPr="00FC3484" w:rsidRDefault="00AC540B" w:rsidP="00FC3484">
            <w:pPr>
              <w:spacing w:line="276" w:lineRule="auto"/>
              <w:rPr>
                <w:sz w:val="18"/>
                <w:szCs w:val="18"/>
              </w:rPr>
            </w:pPr>
            <w:r w:rsidRPr="00FC3484">
              <w:rPr>
                <w:sz w:val="18"/>
                <w:szCs w:val="18"/>
              </w:rPr>
              <w:t>BioCarbon Fund</w:t>
            </w:r>
          </w:p>
        </w:tc>
        <w:tc>
          <w:tcPr>
            <w:tcW w:w="1417" w:type="dxa"/>
            <w:vMerge/>
          </w:tcPr>
          <w:p w14:paraId="09FF7101" w14:textId="77777777" w:rsidR="00AC540B" w:rsidRPr="00FC3484" w:rsidRDefault="00AC540B" w:rsidP="00FC3484">
            <w:pPr>
              <w:spacing w:line="276" w:lineRule="auto"/>
              <w:rPr>
                <w:sz w:val="18"/>
                <w:szCs w:val="18"/>
              </w:rPr>
            </w:pPr>
          </w:p>
        </w:tc>
      </w:tr>
      <w:tr w:rsidR="00AC540B" w:rsidRPr="00FC3484" w14:paraId="464839BE" w14:textId="77777777" w:rsidTr="00603889">
        <w:tc>
          <w:tcPr>
            <w:tcW w:w="2335" w:type="dxa"/>
            <w:vMerge/>
          </w:tcPr>
          <w:p w14:paraId="7FD77F0B" w14:textId="77777777" w:rsidR="00AC540B" w:rsidRPr="00FC3484" w:rsidRDefault="00AC540B" w:rsidP="00FC3484">
            <w:pPr>
              <w:spacing w:line="276" w:lineRule="auto"/>
              <w:rPr>
                <w:sz w:val="18"/>
                <w:szCs w:val="18"/>
              </w:rPr>
            </w:pPr>
          </w:p>
        </w:tc>
        <w:tc>
          <w:tcPr>
            <w:tcW w:w="5310" w:type="dxa"/>
          </w:tcPr>
          <w:p w14:paraId="0931C1C9" w14:textId="4B59DCFB" w:rsidR="00AC540B" w:rsidRPr="00FC3484" w:rsidRDefault="00AC540B" w:rsidP="00FC3484">
            <w:pPr>
              <w:spacing w:line="276" w:lineRule="auto"/>
              <w:rPr>
                <w:sz w:val="18"/>
                <w:szCs w:val="18"/>
              </w:rPr>
            </w:pPr>
            <w:r w:rsidRPr="00FC3484">
              <w:rPr>
                <w:sz w:val="18"/>
                <w:szCs w:val="18"/>
              </w:rPr>
              <w:t>Central African Forest Initiative (CAFI)</w:t>
            </w:r>
          </w:p>
        </w:tc>
        <w:tc>
          <w:tcPr>
            <w:tcW w:w="1417" w:type="dxa"/>
            <w:vMerge/>
          </w:tcPr>
          <w:p w14:paraId="54E3E800" w14:textId="77777777" w:rsidR="00AC540B" w:rsidRPr="00FC3484" w:rsidRDefault="00AC540B" w:rsidP="00FC3484">
            <w:pPr>
              <w:spacing w:line="276" w:lineRule="auto"/>
              <w:rPr>
                <w:sz w:val="18"/>
                <w:szCs w:val="18"/>
              </w:rPr>
            </w:pPr>
          </w:p>
        </w:tc>
      </w:tr>
      <w:tr w:rsidR="00AC540B" w:rsidRPr="00FC3484" w14:paraId="4354C783" w14:textId="77777777" w:rsidTr="00603889">
        <w:tc>
          <w:tcPr>
            <w:tcW w:w="2335" w:type="dxa"/>
            <w:vMerge/>
          </w:tcPr>
          <w:p w14:paraId="17A1CEF0" w14:textId="77777777" w:rsidR="00AC540B" w:rsidRPr="00FC3484" w:rsidRDefault="00AC540B" w:rsidP="00FC3484">
            <w:pPr>
              <w:spacing w:line="276" w:lineRule="auto"/>
              <w:rPr>
                <w:sz w:val="18"/>
                <w:szCs w:val="18"/>
              </w:rPr>
            </w:pPr>
          </w:p>
        </w:tc>
        <w:tc>
          <w:tcPr>
            <w:tcW w:w="5310" w:type="dxa"/>
          </w:tcPr>
          <w:p w14:paraId="358C8C34" w14:textId="01DD7813" w:rsidR="00AC540B" w:rsidRPr="00FC3484" w:rsidRDefault="00AC540B" w:rsidP="00FC3484">
            <w:pPr>
              <w:spacing w:line="276" w:lineRule="auto"/>
              <w:rPr>
                <w:sz w:val="18"/>
                <w:szCs w:val="18"/>
              </w:rPr>
            </w:pPr>
            <w:r w:rsidRPr="00FC3484">
              <w:rPr>
                <w:sz w:val="18"/>
                <w:szCs w:val="18"/>
              </w:rPr>
              <w:t>Clean Technology Fund (CTF)</w:t>
            </w:r>
          </w:p>
        </w:tc>
        <w:tc>
          <w:tcPr>
            <w:tcW w:w="1417" w:type="dxa"/>
            <w:vMerge/>
          </w:tcPr>
          <w:p w14:paraId="6BEB7783" w14:textId="77777777" w:rsidR="00AC540B" w:rsidRPr="00FC3484" w:rsidRDefault="00AC540B" w:rsidP="00FC3484">
            <w:pPr>
              <w:spacing w:line="276" w:lineRule="auto"/>
              <w:rPr>
                <w:sz w:val="18"/>
                <w:szCs w:val="18"/>
              </w:rPr>
            </w:pPr>
          </w:p>
        </w:tc>
      </w:tr>
      <w:tr w:rsidR="00AC540B" w:rsidRPr="00FC3484" w14:paraId="2E3CB8EC" w14:textId="77777777" w:rsidTr="00603889">
        <w:tc>
          <w:tcPr>
            <w:tcW w:w="2335" w:type="dxa"/>
            <w:vMerge/>
          </w:tcPr>
          <w:p w14:paraId="6D2FA0D5" w14:textId="77777777" w:rsidR="00AC540B" w:rsidRPr="00FC3484" w:rsidRDefault="00AC540B" w:rsidP="00FC3484">
            <w:pPr>
              <w:spacing w:line="276" w:lineRule="auto"/>
              <w:rPr>
                <w:sz w:val="18"/>
                <w:szCs w:val="18"/>
              </w:rPr>
            </w:pPr>
          </w:p>
        </w:tc>
        <w:tc>
          <w:tcPr>
            <w:tcW w:w="5310" w:type="dxa"/>
          </w:tcPr>
          <w:p w14:paraId="573A0EE1" w14:textId="5E1715B0" w:rsidR="00AC540B" w:rsidRPr="00FC3484" w:rsidRDefault="00AC540B" w:rsidP="00FC3484">
            <w:pPr>
              <w:spacing w:line="276" w:lineRule="auto"/>
              <w:rPr>
                <w:sz w:val="18"/>
                <w:szCs w:val="18"/>
              </w:rPr>
            </w:pPr>
            <w:r w:rsidRPr="00FC3484">
              <w:rPr>
                <w:sz w:val="18"/>
                <w:szCs w:val="18"/>
              </w:rPr>
              <w:t>Congo Basin Forest Fund (CBFF)</w:t>
            </w:r>
          </w:p>
        </w:tc>
        <w:tc>
          <w:tcPr>
            <w:tcW w:w="1417" w:type="dxa"/>
            <w:vMerge/>
          </w:tcPr>
          <w:p w14:paraId="69599F2F" w14:textId="77777777" w:rsidR="00AC540B" w:rsidRPr="00FC3484" w:rsidRDefault="00AC540B" w:rsidP="00FC3484">
            <w:pPr>
              <w:spacing w:line="276" w:lineRule="auto"/>
              <w:rPr>
                <w:sz w:val="18"/>
                <w:szCs w:val="18"/>
              </w:rPr>
            </w:pPr>
          </w:p>
        </w:tc>
      </w:tr>
      <w:tr w:rsidR="00AC540B" w:rsidRPr="00FC3484" w14:paraId="372E5314" w14:textId="77777777" w:rsidTr="00603889">
        <w:tc>
          <w:tcPr>
            <w:tcW w:w="2335" w:type="dxa"/>
            <w:vMerge/>
          </w:tcPr>
          <w:p w14:paraId="0A478381" w14:textId="77777777" w:rsidR="00AC540B" w:rsidRPr="00FC3484" w:rsidRDefault="00AC540B" w:rsidP="00FC3484">
            <w:pPr>
              <w:spacing w:line="276" w:lineRule="auto"/>
              <w:rPr>
                <w:sz w:val="18"/>
                <w:szCs w:val="18"/>
              </w:rPr>
            </w:pPr>
          </w:p>
        </w:tc>
        <w:tc>
          <w:tcPr>
            <w:tcW w:w="5310" w:type="dxa"/>
          </w:tcPr>
          <w:p w14:paraId="748C948C" w14:textId="7067F06F" w:rsidR="00AC540B" w:rsidRPr="00FC3484" w:rsidRDefault="00AC540B" w:rsidP="00FC3484">
            <w:pPr>
              <w:spacing w:line="276" w:lineRule="auto"/>
              <w:rPr>
                <w:sz w:val="18"/>
                <w:szCs w:val="18"/>
              </w:rPr>
            </w:pPr>
            <w:r w:rsidRPr="00FC3484">
              <w:rPr>
                <w:sz w:val="18"/>
                <w:szCs w:val="18"/>
              </w:rPr>
              <w:t>Forest Carbon Partnership Facility - Readiness Fund (FCPF-RF)</w:t>
            </w:r>
          </w:p>
        </w:tc>
        <w:tc>
          <w:tcPr>
            <w:tcW w:w="1417" w:type="dxa"/>
            <w:vMerge/>
          </w:tcPr>
          <w:p w14:paraId="502BB0E6" w14:textId="77777777" w:rsidR="00AC540B" w:rsidRPr="00FC3484" w:rsidRDefault="00AC540B" w:rsidP="00FC3484">
            <w:pPr>
              <w:spacing w:line="276" w:lineRule="auto"/>
              <w:rPr>
                <w:sz w:val="18"/>
                <w:szCs w:val="18"/>
              </w:rPr>
            </w:pPr>
          </w:p>
        </w:tc>
      </w:tr>
      <w:tr w:rsidR="00AC540B" w:rsidRPr="00FC3484" w14:paraId="38DD1F8B" w14:textId="77777777" w:rsidTr="00603889">
        <w:tc>
          <w:tcPr>
            <w:tcW w:w="2335" w:type="dxa"/>
            <w:vMerge/>
          </w:tcPr>
          <w:p w14:paraId="3CCDE03D" w14:textId="77777777" w:rsidR="00AC540B" w:rsidRPr="00FC3484" w:rsidRDefault="00AC540B" w:rsidP="00FC3484">
            <w:pPr>
              <w:spacing w:line="276" w:lineRule="auto"/>
              <w:rPr>
                <w:sz w:val="18"/>
                <w:szCs w:val="18"/>
              </w:rPr>
            </w:pPr>
          </w:p>
        </w:tc>
        <w:tc>
          <w:tcPr>
            <w:tcW w:w="5310" w:type="dxa"/>
          </w:tcPr>
          <w:p w14:paraId="4120596E" w14:textId="1C4247A1" w:rsidR="00AC540B" w:rsidRPr="00FC3484" w:rsidRDefault="00AC540B" w:rsidP="00FC3484">
            <w:pPr>
              <w:spacing w:line="276" w:lineRule="auto"/>
              <w:rPr>
                <w:sz w:val="18"/>
                <w:szCs w:val="18"/>
              </w:rPr>
            </w:pPr>
            <w:r w:rsidRPr="00FC3484">
              <w:rPr>
                <w:sz w:val="18"/>
                <w:szCs w:val="18"/>
              </w:rPr>
              <w:t>Forest Carbon Partnership Facility - Carbon Fund (FCPF-CF)</w:t>
            </w:r>
          </w:p>
        </w:tc>
        <w:tc>
          <w:tcPr>
            <w:tcW w:w="1417" w:type="dxa"/>
            <w:vMerge/>
          </w:tcPr>
          <w:p w14:paraId="11139F90" w14:textId="77777777" w:rsidR="00AC540B" w:rsidRPr="00FC3484" w:rsidRDefault="00AC540B" w:rsidP="00FC3484">
            <w:pPr>
              <w:spacing w:line="276" w:lineRule="auto"/>
              <w:rPr>
                <w:sz w:val="18"/>
                <w:szCs w:val="18"/>
              </w:rPr>
            </w:pPr>
          </w:p>
        </w:tc>
      </w:tr>
      <w:tr w:rsidR="00AC540B" w:rsidRPr="00FC3484" w14:paraId="34A8D1E1" w14:textId="77777777" w:rsidTr="00603889">
        <w:tc>
          <w:tcPr>
            <w:tcW w:w="2335" w:type="dxa"/>
            <w:vMerge/>
          </w:tcPr>
          <w:p w14:paraId="566A6CE6" w14:textId="77777777" w:rsidR="00AC540B" w:rsidRPr="00FC3484" w:rsidRDefault="00AC540B" w:rsidP="00FC3484">
            <w:pPr>
              <w:spacing w:line="276" w:lineRule="auto"/>
              <w:rPr>
                <w:sz w:val="18"/>
                <w:szCs w:val="18"/>
              </w:rPr>
            </w:pPr>
          </w:p>
        </w:tc>
        <w:tc>
          <w:tcPr>
            <w:tcW w:w="5310" w:type="dxa"/>
          </w:tcPr>
          <w:p w14:paraId="4BE08EF8" w14:textId="1C8C37A5" w:rsidR="00AC540B" w:rsidRPr="00FC3484" w:rsidRDefault="00AC540B" w:rsidP="00FC3484">
            <w:pPr>
              <w:spacing w:line="276" w:lineRule="auto"/>
              <w:rPr>
                <w:sz w:val="18"/>
                <w:szCs w:val="18"/>
              </w:rPr>
            </w:pPr>
            <w:r w:rsidRPr="00FC3484">
              <w:rPr>
                <w:sz w:val="18"/>
                <w:szCs w:val="18"/>
              </w:rPr>
              <w:t>Forest Investment Program</w:t>
            </w:r>
          </w:p>
        </w:tc>
        <w:tc>
          <w:tcPr>
            <w:tcW w:w="1417" w:type="dxa"/>
            <w:vMerge/>
          </w:tcPr>
          <w:p w14:paraId="00D98AA7" w14:textId="77777777" w:rsidR="00AC540B" w:rsidRPr="00FC3484" w:rsidRDefault="00AC540B" w:rsidP="00FC3484">
            <w:pPr>
              <w:spacing w:line="276" w:lineRule="auto"/>
              <w:rPr>
                <w:sz w:val="18"/>
                <w:szCs w:val="18"/>
              </w:rPr>
            </w:pPr>
          </w:p>
        </w:tc>
      </w:tr>
      <w:tr w:rsidR="00AC540B" w:rsidRPr="00FC3484" w14:paraId="01D6CF6F" w14:textId="77777777" w:rsidTr="00603889">
        <w:tc>
          <w:tcPr>
            <w:tcW w:w="2335" w:type="dxa"/>
            <w:vMerge/>
          </w:tcPr>
          <w:p w14:paraId="3106B8A3" w14:textId="77777777" w:rsidR="00AC540B" w:rsidRPr="00FC3484" w:rsidRDefault="00AC540B" w:rsidP="00FC3484">
            <w:pPr>
              <w:spacing w:line="276" w:lineRule="auto"/>
              <w:rPr>
                <w:sz w:val="18"/>
                <w:szCs w:val="18"/>
              </w:rPr>
            </w:pPr>
          </w:p>
        </w:tc>
        <w:tc>
          <w:tcPr>
            <w:tcW w:w="5310" w:type="dxa"/>
          </w:tcPr>
          <w:p w14:paraId="69E60341" w14:textId="1FBF01CC" w:rsidR="00AC540B" w:rsidRPr="00FC3484" w:rsidRDefault="00AC540B" w:rsidP="00FC3484">
            <w:pPr>
              <w:spacing w:line="276" w:lineRule="auto"/>
              <w:rPr>
                <w:sz w:val="18"/>
                <w:szCs w:val="18"/>
              </w:rPr>
            </w:pPr>
            <w:r w:rsidRPr="00FC3484">
              <w:rPr>
                <w:sz w:val="18"/>
                <w:szCs w:val="18"/>
              </w:rPr>
              <w:t>Global Environment Facility (GEF)</w:t>
            </w:r>
          </w:p>
        </w:tc>
        <w:tc>
          <w:tcPr>
            <w:tcW w:w="1417" w:type="dxa"/>
            <w:vMerge/>
          </w:tcPr>
          <w:p w14:paraId="3817BDBD" w14:textId="77777777" w:rsidR="00AC540B" w:rsidRPr="00FC3484" w:rsidRDefault="00AC540B" w:rsidP="00FC3484">
            <w:pPr>
              <w:spacing w:line="276" w:lineRule="auto"/>
              <w:rPr>
                <w:sz w:val="18"/>
                <w:szCs w:val="18"/>
              </w:rPr>
            </w:pPr>
          </w:p>
        </w:tc>
      </w:tr>
      <w:tr w:rsidR="00AC540B" w:rsidRPr="00FC3484" w14:paraId="3F5EC06B" w14:textId="77777777" w:rsidTr="00603889">
        <w:tc>
          <w:tcPr>
            <w:tcW w:w="2335" w:type="dxa"/>
            <w:vMerge/>
          </w:tcPr>
          <w:p w14:paraId="6B2D6F9B" w14:textId="77777777" w:rsidR="00AC540B" w:rsidRPr="00FC3484" w:rsidRDefault="00AC540B" w:rsidP="00FC3484">
            <w:pPr>
              <w:spacing w:line="276" w:lineRule="auto"/>
              <w:rPr>
                <w:sz w:val="18"/>
                <w:szCs w:val="18"/>
              </w:rPr>
            </w:pPr>
          </w:p>
        </w:tc>
        <w:tc>
          <w:tcPr>
            <w:tcW w:w="5310" w:type="dxa"/>
          </w:tcPr>
          <w:p w14:paraId="491F6D84" w14:textId="04628DDC" w:rsidR="00AC540B" w:rsidRPr="00FC3484" w:rsidRDefault="00AC540B" w:rsidP="00FC3484">
            <w:pPr>
              <w:spacing w:line="276" w:lineRule="auto"/>
              <w:rPr>
                <w:sz w:val="18"/>
                <w:szCs w:val="18"/>
              </w:rPr>
            </w:pPr>
            <w:r w:rsidRPr="00FC3484">
              <w:rPr>
                <w:sz w:val="18"/>
                <w:szCs w:val="18"/>
              </w:rPr>
              <w:t>Global Climate Change Alliance</w:t>
            </w:r>
          </w:p>
        </w:tc>
        <w:tc>
          <w:tcPr>
            <w:tcW w:w="1417" w:type="dxa"/>
            <w:vMerge/>
          </w:tcPr>
          <w:p w14:paraId="55B9437C" w14:textId="77777777" w:rsidR="00AC540B" w:rsidRPr="00FC3484" w:rsidRDefault="00AC540B" w:rsidP="00FC3484">
            <w:pPr>
              <w:spacing w:line="276" w:lineRule="auto"/>
              <w:rPr>
                <w:sz w:val="18"/>
                <w:szCs w:val="18"/>
              </w:rPr>
            </w:pPr>
          </w:p>
        </w:tc>
      </w:tr>
      <w:tr w:rsidR="00AC540B" w:rsidRPr="00FC3484" w14:paraId="0D5BFA6D" w14:textId="77777777" w:rsidTr="00603889">
        <w:tc>
          <w:tcPr>
            <w:tcW w:w="2335" w:type="dxa"/>
            <w:vMerge/>
          </w:tcPr>
          <w:p w14:paraId="1054C817" w14:textId="77777777" w:rsidR="00AC540B" w:rsidRPr="00FC3484" w:rsidRDefault="00AC540B" w:rsidP="00FC3484">
            <w:pPr>
              <w:spacing w:line="276" w:lineRule="auto"/>
              <w:rPr>
                <w:sz w:val="18"/>
                <w:szCs w:val="18"/>
              </w:rPr>
            </w:pPr>
          </w:p>
        </w:tc>
        <w:tc>
          <w:tcPr>
            <w:tcW w:w="5310" w:type="dxa"/>
            <w:vAlign w:val="center"/>
          </w:tcPr>
          <w:p w14:paraId="1F8CC824" w14:textId="0255618C" w:rsidR="00AC540B" w:rsidRPr="00FC3484" w:rsidRDefault="00AC540B" w:rsidP="00FC3484">
            <w:pPr>
              <w:spacing w:line="276" w:lineRule="auto"/>
              <w:rPr>
                <w:sz w:val="18"/>
                <w:szCs w:val="18"/>
              </w:rPr>
            </w:pPr>
            <w:r w:rsidRPr="00FC3484">
              <w:rPr>
                <w:sz w:val="18"/>
                <w:szCs w:val="18"/>
              </w:rPr>
              <w:t>Global Energy Efficiency and Renewable Energy Fund</w:t>
            </w:r>
          </w:p>
        </w:tc>
        <w:tc>
          <w:tcPr>
            <w:tcW w:w="1417" w:type="dxa"/>
            <w:vMerge/>
          </w:tcPr>
          <w:p w14:paraId="76E6BFE0" w14:textId="77777777" w:rsidR="00AC540B" w:rsidRPr="00FC3484" w:rsidRDefault="00AC540B" w:rsidP="00FC3484">
            <w:pPr>
              <w:spacing w:line="276" w:lineRule="auto"/>
              <w:rPr>
                <w:sz w:val="18"/>
                <w:szCs w:val="18"/>
              </w:rPr>
            </w:pPr>
          </w:p>
        </w:tc>
      </w:tr>
      <w:tr w:rsidR="00AC540B" w:rsidRPr="00FC3484" w14:paraId="2AD059B4" w14:textId="77777777" w:rsidTr="00603889">
        <w:tc>
          <w:tcPr>
            <w:tcW w:w="2335" w:type="dxa"/>
            <w:vMerge/>
          </w:tcPr>
          <w:p w14:paraId="4C9C7683" w14:textId="77777777" w:rsidR="00AC540B" w:rsidRPr="00FC3484" w:rsidRDefault="00AC540B" w:rsidP="00FC3484">
            <w:pPr>
              <w:spacing w:line="276" w:lineRule="auto"/>
              <w:rPr>
                <w:sz w:val="18"/>
                <w:szCs w:val="18"/>
              </w:rPr>
            </w:pPr>
          </w:p>
        </w:tc>
        <w:tc>
          <w:tcPr>
            <w:tcW w:w="5310" w:type="dxa"/>
          </w:tcPr>
          <w:p w14:paraId="297B4C18" w14:textId="2120EC79" w:rsidR="00AC540B" w:rsidRPr="00FC3484" w:rsidRDefault="00AC540B" w:rsidP="00FC3484">
            <w:pPr>
              <w:spacing w:line="276" w:lineRule="auto"/>
              <w:rPr>
                <w:sz w:val="18"/>
                <w:szCs w:val="18"/>
              </w:rPr>
            </w:pPr>
            <w:r w:rsidRPr="00FC3484">
              <w:rPr>
                <w:sz w:val="18"/>
                <w:szCs w:val="18"/>
              </w:rPr>
              <w:t>Green Climate Fund (GCF)</w:t>
            </w:r>
          </w:p>
        </w:tc>
        <w:tc>
          <w:tcPr>
            <w:tcW w:w="1417" w:type="dxa"/>
            <w:vMerge/>
          </w:tcPr>
          <w:p w14:paraId="7A22F9A6" w14:textId="77777777" w:rsidR="00AC540B" w:rsidRPr="00FC3484" w:rsidRDefault="00AC540B" w:rsidP="00FC3484">
            <w:pPr>
              <w:spacing w:line="276" w:lineRule="auto"/>
              <w:rPr>
                <w:sz w:val="18"/>
                <w:szCs w:val="18"/>
              </w:rPr>
            </w:pPr>
          </w:p>
        </w:tc>
      </w:tr>
      <w:tr w:rsidR="00AC540B" w:rsidRPr="00FC3484" w14:paraId="57623E1C" w14:textId="77777777" w:rsidTr="00603889">
        <w:tc>
          <w:tcPr>
            <w:tcW w:w="2335" w:type="dxa"/>
            <w:vMerge/>
          </w:tcPr>
          <w:p w14:paraId="6BFBBE21" w14:textId="77777777" w:rsidR="00AC540B" w:rsidRPr="00FC3484" w:rsidRDefault="00AC540B" w:rsidP="00FC3484">
            <w:pPr>
              <w:spacing w:line="276" w:lineRule="auto"/>
              <w:rPr>
                <w:sz w:val="18"/>
                <w:szCs w:val="18"/>
              </w:rPr>
            </w:pPr>
          </w:p>
        </w:tc>
        <w:tc>
          <w:tcPr>
            <w:tcW w:w="5310" w:type="dxa"/>
          </w:tcPr>
          <w:p w14:paraId="33B9E0F7" w14:textId="4DE8E331" w:rsidR="00AC540B" w:rsidRPr="00FC3484" w:rsidRDefault="00AC540B" w:rsidP="00FC3484">
            <w:pPr>
              <w:spacing w:line="276" w:lineRule="auto"/>
              <w:rPr>
                <w:sz w:val="18"/>
                <w:szCs w:val="18"/>
              </w:rPr>
            </w:pPr>
            <w:commentRangeStart w:id="3"/>
            <w:r w:rsidRPr="00FC3484">
              <w:rPr>
                <w:sz w:val="18"/>
                <w:szCs w:val="18"/>
              </w:rPr>
              <w:t>Indonesia Climate Change Trust Fund (ICCTF)</w:t>
            </w:r>
            <w:commentRangeEnd w:id="3"/>
            <w:r w:rsidR="008613DF" w:rsidRPr="00FC3484">
              <w:rPr>
                <w:rStyle w:val="CommentReference"/>
                <w:rFonts w:eastAsia="Calibri" w:cs="Arial"/>
                <w:kern w:val="0"/>
                <w:sz w:val="18"/>
                <w:szCs w:val="18"/>
                <w14:ligatures w14:val="none"/>
              </w:rPr>
              <w:commentReference w:id="3"/>
            </w:r>
          </w:p>
        </w:tc>
        <w:tc>
          <w:tcPr>
            <w:tcW w:w="1417" w:type="dxa"/>
            <w:vMerge/>
          </w:tcPr>
          <w:p w14:paraId="7CF829A3" w14:textId="77777777" w:rsidR="00AC540B" w:rsidRPr="00FC3484" w:rsidRDefault="00AC540B" w:rsidP="00FC3484">
            <w:pPr>
              <w:spacing w:line="276" w:lineRule="auto"/>
              <w:rPr>
                <w:sz w:val="18"/>
                <w:szCs w:val="18"/>
              </w:rPr>
            </w:pPr>
          </w:p>
        </w:tc>
      </w:tr>
      <w:tr w:rsidR="00AC540B" w:rsidRPr="00FC3484" w14:paraId="0D6467CD" w14:textId="77777777" w:rsidTr="00603889">
        <w:tc>
          <w:tcPr>
            <w:tcW w:w="2335" w:type="dxa"/>
            <w:vMerge/>
          </w:tcPr>
          <w:p w14:paraId="6EF5A796" w14:textId="77777777" w:rsidR="00AC540B" w:rsidRPr="00FC3484" w:rsidRDefault="00AC540B" w:rsidP="00FC3484">
            <w:pPr>
              <w:spacing w:line="276" w:lineRule="auto"/>
              <w:rPr>
                <w:sz w:val="18"/>
                <w:szCs w:val="18"/>
              </w:rPr>
            </w:pPr>
          </w:p>
        </w:tc>
        <w:tc>
          <w:tcPr>
            <w:tcW w:w="5310" w:type="dxa"/>
          </w:tcPr>
          <w:p w14:paraId="612B2984" w14:textId="59051D72" w:rsidR="00AC540B" w:rsidRPr="00FC3484" w:rsidRDefault="00AC540B" w:rsidP="00FC3484">
            <w:pPr>
              <w:spacing w:line="276" w:lineRule="auto"/>
              <w:rPr>
                <w:sz w:val="18"/>
                <w:szCs w:val="18"/>
              </w:rPr>
            </w:pPr>
            <w:r w:rsidRPr="00FC3484">
              <w:rPr>
                <w:sz w:val="18"/>
                <w:szCs w:val="18"/>
              </w:rPr>
              <w:t>Least Developed Countries Fund</w:t>
            </w:r>
          </w:p>
        </w:tc>
        <w:tc>
          <w:tcPr>
            <w:tcW w:w="1417" w:type="dxa"/>
            <w:vMerge/>
          </w:tcPr>
          <w:p w14:paraId="4FE488E4" w14:textId="77777777" w:rsidR="00AC540B" w:rsidRPr="00FC3484" w:rsidRDefault="00AC540B" w:rsidP="00FC3484">
            <w:pPr>
              <w:spacing w:line="276" w:lineRule="auto"/>
              <w:rPr>
                <w:sz w:val="18"/>
                <w:szCs w:val="18"/>
              </w:rPr>
            </w:pPr>
          </w:p>
        </w:tc>
      </w:tr>
      <w:tr w:rsidR="00AC540B" w:rsidRPr="00FC3484" w14:paraId="3B132452" w14:textId="77777777" w:rsidTr="00603889">
        <w:tc>
          <w:tcPr>
            <w:tcW w:w="2335" w:type="dxa"/>
            <w:vMerge/>
          </w:tcPr>
          <w:p w14:paraId="5FEED633" w14:textId="77777777" w:rsidR="00AC540B" w:rsidRPr="00FC3484" w:rsidRDefault="00AC540B" w:rsidP="00FC3484">
            <w:pPr>
              <w:spacing w:line="276" w:lineRule="auto"/>
              <w:rPr>
                <w:sz w:val="18"/>
                <w:szCs w:val="18"/>
              </w:rPr>
            </w:pPr>
          </w:p>
        </w:tc>
        <w:tc>
          <w:tcPr>
            <w:tcW w:w="5310" w:type="dxa"/>
          </w:tcPr>
          <w:p w14:paraId="689C3B3E" w14:textId="36BFD2A0" w:rsidR="00AC540B" w:rsidRPr="00FC3484" w:rsidRDefault="00AC540B" w:rsidP="00FC3484">
            <w:pPr>
              <w:spacing w:line="276" w:lineRule="auto"/>
              <w:rPr>
                <w:sz w:val="18"/>
                <w:szCs w:val="18"/>
              </w:rPr>
            </w:pPr>
            <w:r w:rsidRPr="00FC3484">
              <w:rPr>
                <w:sz w:val="18"/>
                <w:szCs w:val="18"/>
              </w:rPr>
              <w:t>MDG Achievement Fund</w:t>
            </w:r>
          </w:p>
        </w:tc>
        <w:tc>
          <w:tcPr>
            <w:tcW w:w="1417" w:type="dxa"/>
            <w:vMerge/>
          </w:tcPr>
          <w:p w14:paraId="4C9995C2" w14:textId="77777777" w:rsidR="00AC540B" w:rsidRPr="00FC3484" w:rsidRDefault="00AC540B" w:rsidP="00FC3484">
            <w:pPr>
              <w:spacing w:line="276" w:lineRule="auto"/>
              <w:rPr>
                <w:sz w:val="18"/>
                <w:szCs w:val="18"/>
              </w:rPr>
            </w:pPr>
          </w:p>
        </w:tc>
      </w:tr>
      <w:tr w:rsidR="00AC540B" w:rsidRPr="00FC3484" w14:paraId="61D188AF" w14:textId="77777777" w:rsidTr="00603889">
        <w:tc>
          <w:tcPr>
            <w:tcW w:w="2335" w:type="dxa"/>
            <w:vMerge/>
          </w:tcPr>
          <w:p w14:paraId="34B914F7" w14:textId="77777777" w:rsidR="00AC540B" w:rsidRPr="00FC3484" w:rsidRDefault="00AC540B" w:rsidP="00FC3484">
            <w:pPr>
              <w:spacing w:line="276" w:lineRule="auto"/>
              <w:rPr>
                <w:sz w:val="18"/>
                <w:szCs w:val="18"/>
              </w:rPr>
            </w:pPr>
          </w:p>
        </w:tc>
        <w:tc>
          <w:tcPr>
            <w:tcW w:w="5310" w:type="dxa"/>
            <w:vAlign w:val="center"/>
          </w:tcPr>
          <w:p w14:paraId="3B660CE4" w14:textId="5B867895" w:rsidR="00AC540B" w:rsidRPr="00FC3484" w:rsidRDefault="00AC540B" w:rsidP="00FC3484">
            <w:pPr>
              <w:spacing w:line="276" w:lineRule="auto"/>
              <w:rPr>
                <w:sz w:val="18"/>
                <w:szCs w:val="18"/>
              </w:rPr>
            </w:pPr>
            <w:r w:rsidRPr="00FC3484">
              <w:rPr>
                <w:sz w:val="18"/>
                <w:szCs w:val="18"/>
              </w:rPr>
              <w:t>Partnership for Market Readiness</w:t>
            </w:r>
          </w:p>
        </w:tc>
        <w:tc>
          <w:tcPr>
            <w:tcW w:w="1417" w:type="dxa"/>
            <w:vMerge/>
          </w:tcPr>
          <w:p w14:paraId="55095367" w14:textId="77777777" w:rsidR="00AC540B" w:rsidRPr="00FC3484" w:rsidRDefault="00AC540B" w:rsidP="00FC3484">
            <w:pPr>
              <w:spacing w:line="276" w:lineRule="auto"/>
              <w:rPr>
                <w:sz w:val="18"/>
                <w:szCs w:val="18"/>
              </w:rPr>
            </w:pPr>
          </w:p>
        </w:tc>
      </w:tr>
      <w:tr w:rsidR="00AC540B" w:rsidRPr="00FC3484" w14:paraId="4AB8F5D4" w14:textId="77777777" w:rsidTr="00603889">
        <w:tc>
          <w:tcPr>
            <w:tcW w:w="2335" w:type="dxa"/>
            <w:vMerge/>
          </w:tcPr>
          <w:p w14:paraId="0A8DC4E0" w14:textId="77777777" w:rsidR="00AC540B" w:rsidRPr="00FC3484" w:rsidRDefault="00AC540B" w:rsidP="00FC3484">
            <w:pPr>
              <w:spacing w:line="276" w:lineRule="auto"/>
              <w:rPr>
                <w:sz w:val="18"/>
                <w:szCs w:val="18"/>
              </w:rPr>
            </w:pPr>
          </w:p>
        </w:tc>
        <w:tc>
          <w:tcPr>
            <w:tcW w:w="5310" w:type="dxa"/>
          </w:tcPr>
          <w:p w14:paraId="7BC68D9A" w14:textId="7D2ADFC5" w:rsidR="00AC540B" w:rsidRPr="00FC3484" w:rsidRDefault="00AC540B" w:rsidP="00FC3484">
            <w:pPr>
              <w:spacing w:line="276" w:lineRule="auto"/>
              <w:rPr>
                <w:sz w:val="18"/>
                <w:szCs w:val="18"/>
              </w:rPr>
            </w:pPr>
            <w:r w:rsidRPr="00FC3484">
              <w:rPr>
                <w:sz w:val="18"/>
                <w:szCs w:val="18"/>
              </w:rPr>
              <w:t>Pilot Program for Climate Resilience</w:t>
            </w:r>
          </w:p>
        </w:tc>
        <w:tc>
          <w:tcPr>
            <w:tcW w:w="1417" w:type="dxa"/>
            <w:vMerge/>
          </w:tcPr>
          <w:p w14:paraId="0B33510C" w14:textId="77777777" w:rsidR="00AC540B" w:rsidRPr="00FC3484" w:rsidRDefault="00AC540B" w:rsidP="00FC3484">
            <w:pPr>
              <w:spacing w:line="276" w:lineRule="auto"/>
              <w:rPr>
                <w:sz w:val="18"/>
                <w:szCs w:val="18"/>
              </w:rPr>
            </w:pPr>
          </w:p>
        </w:tc>
      </w:tr>
      <w:tr w:rsidR="00AC540B" w:rsidRPr="00FC3484" w14:paraId="6C8AB3BB" w14:textId="77777777" w:rsidTr="00603889">
        <w:tc>
          <w:tcPr>
            <w:tcW w:w="2335" w:type="dxa"/>
            <w:vMerge/>
          </w:tcPr>
          <w:p w14:paraId="39BCB7B0" w14:textId="77777777" w:rsidR="00AC540B" w:rsidRPr="00FC3484" w:rsidRDefault="00AC540B" w:rsidP="00FC3484">
            <w:pPr>
              <w:spacing w:line="276" w:lineRule="auto"/>
              <w:rPr>
                <w:sz w:val="18"/>
                <w:szCs w:val="18"/>
              </w:rPr>
            </w:pPr>
          </w:p>
        </w:tc>
        <w:tc>
          <w:tcPr>
            <w:tcW w:w="5310" w:type="dxa"/>
          </w:tcPr>
          <w:p w14:paraId="17DFBBE6" w14:textId="4FCFB330" w:rsidR="00AC540B" w:rsidRPr="00FC3484" w:rsidRDefault="00AC540B" w:rsidP="00FC3484">
            <w:pPr>
              <w:spacing w:line="276" w:lineRule="auto"/>
              <w:rPr>
                <w:sz w:val="18"/>
                <w:szCs w:val="18"/>
              </w:rPr>
            </w:pPr>
            <w:r w:rsidRPr="00FC3484">
              <w:rPr>
                <w:sz w:val="18"/>
                <w:szCs w:val="18"/>
              </w:rPr>
              <w:t>Scaling-Up Renewable Energy Program for Low Income Countries</w:t>
            </w:r>
          </w:p>
        </w:tc>
        <w:tc>
          <w:tcPr>
            <w:tcW w:w="1417" w:type="dxa"/>
            <w:vMerge/>
          </w:tcPr>
          <w:p w14:paraId="7D381BAD" w14:textId="77777777" w:rsidR="00AC540B" w:rsidRPr="00FC3484" w:rsidRDefault="00AC540B" w:rsidP="00FC3484">
            <w:pPr>
              <w:spacing w:line="276" w:lineRule="auto"/>
              <w:rPr>
                <w:sz w:val="18"/>
                <w:szCs w:val="18"/>
              </w:rPr>
            </w:pPr>
          </w:p>
        </w:tc>
      </w:tr>
      <w:tr w:rsidR="00AC540B" w:rsidRPr="00FC3484" w14:paraId="6973E5FD" w14:textId="77777777" w:rsidTr="00603889">
        <w:tc>
          <w:tcPr>
            <w:tcW w:w="2335" w:type="dxa"/>
            <w:vMerge/>
          </w:tcPr>
          <w:p w14:paraId="5DEA183E" w14:textId="77777777" w:rsidR="00AC540B" w:rsidRPr="00FC3484" w:rsidRDefault="00AC540B" w:rsidP="00FC3484">
            <w:pPr>
              <w:spacing w:line="276" w:lineRule="auto"/>
              <w:rPr>
                <w:sz w:val="18"/>
                <w:szCs w:val="18"/>
              </w:rPr>
            </w:pPr>
          </w:p>
        </w:tc>
        <w:tc>
          <w:tcPr>
            <w:tcW w:w="5310" w:type="dxa"/>
          </w:tcPr>
          <w:p w14:paraId="78B0E6A0" w14:textId="00289F42" w:rsidR="00AC540B" w:rsidRPr="00FC3484" w:rsidRDefault="00AC540B" w:rsidP="00FC3484">
            <w:pPr>
              <w:spacing w:line="276" w:lineRule="auto"/>
              <w:rPr>
                <w:sz w:val="18"/>
                <w:szCs w:val="18"/>
              </w:rPr>
            </w:pPr>
            <w:r w:rsidRPr="00FC3484">
              <w:rPr>
                <w:sz w:val="18"/>
                <w:szCs w:val="18"/>
              </w:rPr>
              <w:t>Special Climate Change Fund</w:t>
            </w:r>
          </w:p>
        </w:tc>
        <w:tc>
          <w:tcPr>
            <w:tcW w:w="1417" w:type="dxa"/>
            <w:vMerge/>
          </w:tcPr>
          <w:p w14:paraId="358C7BBE" w14:textId="77777777" w:rsidR="00AC540B" w:rsidRPr="00FC3484" w:rsidRDefault="00AC540B" w:rsidP="00FC3484">
            <w:pPr>
              <w:spacing w:line="276" w:lineRule="auto"/>
              <w:rPr>
                <w:sz w:val="18"/>
                <w:szCs w:val="18"/>
              </w:rPr>
            </w:pPr>
          </w:p>
        </w:tc>
      </w:tr>
      <w:tr w:rsidR="00AC540B" w:rsidRPr="00FC3484" w14:paraId="0DC04025" w14:textId="77777777" w:rsidTr="00603889">
        <w:tc>
          <w:tcPr>
            <w:tcW w:w="2335" w:type="dxa"/>
            <w:vMerge/>
          </w:tcPr>
          <w:p w14:paraId="2530C9DC" w14:textId="77777777" w:rsidR="00AC540B" w:rsidRPr="00FC3484" w:rsidRDefault="00AC540B" w:rsidP="00FC3484">
            <w:pPr>
              <w:spacing w:line="276" w:lineRule="auto"/>
              <w:rPr>
                <w:sz w:val="18"/>
                <w:szCs w:val="18"/>
              </w:rPr>
            </w:pPr>
          </w:p>
        </w:tc>
        <w:tc>
          <w:tcPr>
            <w:tcW w:w="5310" w:type="dxa"/>
          </w:tcPr>
          <w:p w14:paraId="5BBCC168" w14:textId="2C482641" w:rsidR="00AC540B" w:rsidRPr="00FC3484" w:rsidRDefault="00AC540B" w:rsidP="00FC3484">
            <w:pPr>
              <w:spacing w:line="276" w:lineRule="auto"/>
              <w:rPr>
                <w:sz w:val="18"/>
                <w:szCs w:val="18"/>
              </w:rPr>
            </w:pPr>
            <w:r w:rsidRPr="00FC3484">
              <w:rPr>
                <w:sz w:val="18"/>
                <w:szCs w:val="18"/>
              </w:rPr>
              <w:t>UN-REDD Programme</w:t>
            </w:r>
          </w:p>
        </w:tc>
        <w:tc>
          <w:tcPr>
            <w:tcW w:w="1417" w:type="dxa"/>
            <w:vMerge/>
          </w:tcPr>
          <w:p w14:paraId="73548D5E" w14:textId="77777777" w:rsidR="00AC540B" w:rsidRPr="00FC3484" w:rsidRDefault="00AC540B" w:rsidP="00FC3484">
            <w:pPr>
              <w:spacing w:line="276" w:lineRule="auto"/>
              <w:rPr>
                <w:sz w:val="18"/>
                <w:szCs w:val="18"/>
              </w:rPr>
            </w:pPr>
          </w:p>
        </w:tc>
      </w:tr>
      <w:tr w:rsidR="00BC3C16" w:rsidRPr="00FC3484" w14:paraId="64C561E6" w14:textId="77777777" w:rsidTr="00603889">
        <w:tc>
          <w:tcPr>
            <w:tcW w:w="2335" w:type="dxa"/>
          </w:tcPr>
          <w:p w14:paraId="00F78546" w14:textId="398663BA" w:rsidR="00BC3C16" w:rsidRPr="00FC3484" w:rsidRDefault="00AC540B" w:rsidP="00FC3484">
            <w:pPr>
              <w:spacing w:line="276" w:lineRule="auto"/>
              <w:rPr>
                <w:sz w:val="18"/>
                <w:szCs w:val="18"/>
              </w:rPr>
            </w:pPr>
            <w:r w:rsidRPr="00FC3484">
              <w:rPr>
                <w:sz w:val="18"/>
                <w:szCs w:val="18"/>
              </w:rPr>
              <w:t>Website</w:t>
            </w:r>
          </w:p>
        </w:tc>
        <w:tc>
          <w:tcPr>
            <w:tcW w:w="5310" w:type="dxa"/>
          </w:tcPr>
          <w:p w14:paraId="32C07552" w14:textId="56DBEF1B" w:rsidR="00BC3C16" w:rsidRPr="00FC3484" w:rsidRDefault="00F42A97" w:rsidP="00FC3484">
            <w:pPr>
              <w:spacing w:line="276" w:lineRule="auto"/>
              <w:rPr>
                <w:sz w:val="18"/>
                <w:szCs w:val="18"/>
              </w:rPr>
            </w:pPr>
            <w:r w:rsidRPr="00FC3484">
              <w:rPr>
                <w:sz w:val="18"/>
                <w:szCs w:val="18"/>
              </w:rPr>
              <w:t>Environment Fund</w:t>
            </w:r>
          </w:p>
        </w:tc>
        <w:tc>
          <w:tcPr>
            <w:tcW w:w="1417" w:type="dxa"/>
          </w:tcPr>
          <w:p w14:paraId="1C6188AF" w14:textId="621D2091" w:rsidR="00BC3C16" w:rsidRPr="00FC3484" w:rsidRDefault="00AC540B" w:rsidP="00FC3484">
            <w:pPr>
              <w:spacing w:line="276" w:lineRule="auto"/>
              <w:rPr>
                <w:sz w:val="18"/>
                <w:szCs w:val="18"/>
              </w:rPr>
            </w:pPr>
            <w:r w:rsidRPr="00FC3484">
              <w:rPr>
                <w:sz w:val="18"/>
                <w:szCs w:val="18"/>
              </w:rPr>
              <w:t xml:space="preserve">2010 </w:t>
            </w:r>
            <w:r w:rsidR="00266B79" w:rsidRPr="00FC3484">
              <w:rPr>
                <w:sz w:val="18"/>
                <w:szCs w:val="18"/>
              </w:rPr>
              <w:t>–</w:t>
            </w:r>
            <w:r w:rsidRPr="00FC3484">
              <w:rPr>
                <w:sz w:val="18"/>
                <w:szCs w:val="18"/>
              </w:rPr>
              <w:t xml:space="preserve"> </w:t>
            </w:r>
            <w:r w:rsidR="004C326F" w:rsidRPr="00FC3484">
              <w:rPr>
                <w:sz w:val="18"/>
                <w:szCs w:val="18"/>
              </w:rPr>
              <w:t>202</w:t>
            </w:r>
            <w:r w:rsidR="00266B79" w:rsidRPr="00FC3484">
              <w:rPr>
                <w:sz w:val="18"/>
                <w:szCs w:val="18"/>
              </w:rPr>
              <w:t>3</w:t>
            </w:r>
          </w:p>
        </w:tc>
      </w:tr>
      <w:tr w:rsidR="00410665" w:rsidRPr="00FC3484" w14:paraId="12525369" w14:textId="77777777" w:rsidTr="00603889">
        <w:tc>
          <w:tcPr>
            <w:tcW w:w="2335" w:type="dxa"/>
          </w:tcPr>
          <w:p w14:paraId="35A77597" w14:textId="2D4D571E" w:rsidR="00410665" w:rsidRPr="00FC3484" w:rsidRDefault="00410665" w:rsidP="00FC3484">
            <w:pPr>
              <w:spacing w:line="276" w:lineRule="auto"/>
              <w:rPr>
                <w:sz w:val="18"/>
                <w:szCs w:val="18"/>
              </w:rPr>
            </w:pPr>
            <w:r w:rsidRPr="00FC3484">
              <w:rPr>
                <w:sz w:val="18"/>
                <w:szCs w:val="18"/>
              </w:rPr>
              <w:t>Website</w:t>
            </w:r>
          </w:p>
        </w:tc>
        <w:tc>
          <w:tcPr>
            <w:tcW w:w="5310" w:type="dxa"/>
          </w:tcPr>
          <w:p w14:paraId="7456F3AD" w14:textId="07143699" w:rsidR="00410665" w:rsidRPr="00FC3484" w:rsidRDefault="00410665" w:rsidP="00FC3484">
            <w:pPr>
              <w:spacing w:line="276" w:lineRule="auto"/>
              <w:rPr>
                <w:sz w:val="18"/>
                <w:szCs w:val="18"/>
              </w:rPr>
            </w:pPr>
            <w:r w:rsidRPr="00FC3484">
              <w:rPr>
                <w:sz w:val="18"/>
                <w:szCs w:val="18"/>
              </w:rPr>
              <w:t>Joint SDG Fund</w:t>
            </w:r>
          </w:p>
        </w:tc>
        <w:tc>
          <w:tcPr>
            <w:tcW w:w="1417" w:type="dxa"/>
          </w:tcPr>
          <w:p w14:paraId="46CF1B2C" w14:textId="723F9E7F" w:rsidR="00410665" w:rsidRPr="00FC3484" w:rsidRDefault="00410665" w:rsidP="00FC3484">
            <w:pPr>
              <w:spacing w:line="276" w:lineRule="auto"/>
              <w:rPr>
                <w:sz w:val="18"/>
                <w:szCs w:val="18"/>
              </w:rPr>
            </w:pPr>
            <w:r w:rsidRPr="00FC3484">
              <w:rPr>
                <w:sz w:val="18"/>
                <w:szCs w:val="18"/>
              </w:rPr>
              <w:t>2017 - 202</w:t>
            </w:r>
            <w:r w:rsidR="00266B79" w:rsidRPr="00FC3484">
              <w:rPr>
                <w:sz w:val="18"/>
                <w:szCs w:val="18"/>
              </w:rPr>
              <w:t>3</w:t>
            </w:r>
            <w:r w:rsidRPr="00FC3484">
              <w:rPr>
                <w:sz w:val="18"/>
                <w:szCs w:val="18"/>
              </w:rPr>
              <w:t xml:space="preserve"> </w:t>
            </w:r>
          </w:p>
        </w:tc>
      </w:tr>
      <w:tr w:rsidR="00BC3C16" w:rsidRPr="00FC3484" w14:paraId="78308FA7" w14:textId="77777777" w:rsidTr="00603889">
        <w:tc>
          <w:tcPr>
            <w:tcW w:w="2335" w:type="dxa"/>
          </w:tcPr>
          <w:p w14:paraId="64642326" w14:textId="4892B19A" w:rsidR="00BC3C16" w:rsidRPr="00FC3484" w:rsidRDefault="002D0B9A" w:rsidP="00FC3484">
            <w:pPr>
              <w:spacing w:line="276" w:lineRule="auto"/>
              <w:rPr>
                <w:sz w:val="18"/>
                <w:szCs w:val="18"/>
              </w:rPr>
            </w:pPr>
            <w:r w:rsidRPr="00FC3484">
              <w:rPr>
                <w:sz w:val="18"/>
                <w:szCs w:val="18"/>
              </w:rPr>
              <w:t xml:space="preserve">Report of the Ninety-Second Meeting </w:t>
            </w:r>
            <w:r w:rsidR="005D0347" w:rsidRPr="00FC3484">
              <w:rPr>
                <w:sz w:val="18"/>
                <w:szCs w:val="18"/>
              </w:rPr>
              <w:t>of</w:t>
            </w:r>
            <w:r w:rsidRPr="00FC3484">
              <w:rPr>
                <w:sz w:val="18"/>
                <w:szCs w:val="18"/>
              </w:rPr>
              <w:t xml:space="preserve"> The Executive Committee</w:t>
            </w:r>
          </w:p>
        </w:tc>
        <w:tc>
          <w:tcPr>
            <w:tcW w:w="5310" w:type="dxa"/>
          </w:tcPr>
          <w:p w14:paraId="70A560B0" w14:textId="74CDF6A7" w:rsidR="00BC3C16" w:rsidRPr="00FC3484" w:rsidRDefault="00F42A97" w:rsidP="00FC3484">
            <w:pPr>
              <w:spacing w:line="276" w:lineRule="auto"/>
              <w:rPr>
                <w:sz w:val="18"/>
                <w:szCs w:val="18"/>
              </w:rPr>
            </w:pPr>
            <w:r w:rsidRPr="00FC3484">
              <w:rPr>
                <w:sz w:val="18"/>
                <w:szCs w:val="18"/>
              </w:rPr>
              <w:t>Multilateral Fund</w:t>
            </w:r>
          </w:p>
        </w:tc>
        <w:tc>
          <w:tcPr>
            <w:tcW w:w="1417" w:type="dxa"/>
          </w:tcPr>
          <w:p w14:paraId="137B31C2" w14:textId="303E2D01" w:rsidR="00BC3C16" w:rsidRPr="00FC3484" w:rsidRDefault="004C326F" w:rsidP="00FC3484">
            <w:pPr>
              <w:spacing w:line="276" w:lineRule="auto"/>
              <w:rPr>
                <w:sz w:val="18"/>
                <w:szCs w:val="18"/>
              </w:rPr>
            </w:pPr>
            <w:r w:rsidRPr="00FC3484">
              <w:rPr>
                <w:sz w:val="18"/>
                <w:szCs w:val="18"/>
              </w:rPr>
              <w:t>1991 – 202</w:t>
            </w:r>
            <w:r w:rsidR="00266B79" w:rsidRPr="00FC3484">
              <w:rPr>
                <w:sz w:val="18"/>
                <w:szCs w:val="18"/>
              </w:rPr>
              <w:t>3</w:t>
            </w:r>
          </w:p>
        </w:tc>
      </w:tr>
      <w:tr w:rsidR="00F42A97" w:rsidRPr="00FC3484" w14:paraId="7C5B1C16" w14:textId="77777777" w:rsidTr="00603889">
        <w:tc>
          <w:tcPr>
            <w:tcW w:w="2335" w:type="dxa"/>
          </w:tcPr>
          <w:p w14:paraId="5BC98B3A" w14:textId="0DDFC3F7" w:rsidR="00F42A97" w:rsidRPr="00FC3484" w:rsidRDefault="00E53A6C" w:rsidP="00FC3484">
            <w:pPr>
              <w:spacing w:line="276" w:lineRule="auto"/>
              <w:rPr>
                <w:sz w:val="18"/>
                <w:szCs w:val="18"/>
              </w:rPr>
            </w:pPr>
            <w:r w:rsidRPr="00FC3484">
              <w:rPr>
                <w:sz w:val="18"/>
                <w:szCs w:val="18"/>
              </w:rPr>
              <w:t>Website</w:t>
            </w:r>
          </w:p>
        </w:tc>
        <w:tc>
          <w:tcPr>
            <w:tcW w:w="5310" w:type="dxa"/>
          </w:tcPr>
          <w:p w14:paraId="5DEF1A2B" w14:textId="6CBE3DEB" w:rsidR="00F42A97" w:rsidRPr="00FC3484" w:rsidRDefault="00F42A97" w:rsidP="00FC3484">
            <w:pPr>
              <w:spacing w:line="276" w:lineRule="auto"/>
              <w:rPr>
                <w:sz w:val="18"/>
                <w:szCs w:val="18"/>
              </w:rPr>
            </w:pPr>
            <w:r w:rsidRPr="00FC3484">
              <w:rPr>
                <w:sz w:val="18"/>
                <w:szCs w:val="18"/>
              </w:rPr>
              <w:t>Global Fund to Fight AIDS, Tuberculosis and Malaria</w:t>
            </w:r>
          </w:p>
        </w:tc>
        <w:tc>
          <w:tcPr>
            <w:tcW w:w="1417" w:type="dxa"/>
          </w:tcPr>
          <w:p w14:paraId="38CBC541" w14:textId="672ED038" w:rsidR="00F42A97" w:rsidRPr="00FC3484" w:rsidRDefault="004C326F" w:rsidP="00FC3484">
            <w:pPr>
              <w:spacing w:line="276" w:lineRule="auto"/>
              <w:rPr>
                <w:sz w:val="18"/>
                <w:szCs w:val="18"/>
              </w:rPr>
            </w:pPr>
            <w:r w:rsidRPr="00FC3484">
              <w:rPr>
                <w:sz w:val="18"/>
                <w:szCs w:val="18"/>
              </w:rPr>
              <w:t>2001 – 202</w:t>
            </w:r>
            <w:r w:rsidR="00266B79" w:rsidRPr="00FC3484">
              <w:rPr>
                <w:sz w:val="18"/>
                <w:szCs w:val="18"/>
              </w:rPr>
              <w:t>3</w:t>
            </w:r>
            <w:r w:rsidRPr="00FC3484">
              <w:rPr>
                <w:sz w:val="18"/>
                <w:szCs w:val="18"/>
              </w:rPr>
              <w:t xml:space="preserve"> </w:t>
            </w:r>
          </w:p>
        </w:tc>
      </w:tr>
    </w:tbl>
    <w:p w14:paraId="1456B67D" w14:textId="77777777" w:rsidR="0038649C" w:rsidRDefault="0038649C" w:rsidP="00FC3484">
      <w:pPr>
        <w:spacing w:line="276" w:lineRule="auto"/>
      </w:pPr>
    </w:p>
    <w:p w14:paraId="4A36959C" w14:textId="273DFC65" w:rsidR="001D2EE4" w:rsidRDefault="00377D63" w:rsidP="00FC3484">
      <w:pPr>
        <w:spacing w:line="276" w:lineRule="auto"/>
        <w:jc w:val="both"/>
      </w:pPr>
      <w:r>
        <w:t>Raw d</w:t>
      </w:r>
      <w:r w:rsidR="00DB5646">
        <w:t xml:space="preserve">ata from </w:t>
      </w:r>
      <w:r>
        <w:t xml:space="preserve">the </w:t>
      </w:r>
      <w:r w:rsidR="00DB5646">
        <w:t xml:space="preserve">Climate Funds Update </w:t>
      </w:r>
      <w:r>
        <w:t xml:space="preserve">website was </w:t>
      </w:r>
      <w:r w:rsidR="001E406C">
        <w:t xml:space="preserve">sorted according to country and </w:t>
      </w:r>
      <w:r w:rsidR="00061C0D">
        <w:t xml:space="preserve">their respective </w:t>
      </w:r>
      <w:r w:rsidR="001E406C">
        <w:t xml:space="preserve">deposited contributions </w:t>
      </w:r>
      <w:r w:rsidR="00EA132D">
        <w:t>to each fund</w:t>
      </w:r>
      <w:r w:rsidR="001E406C">
        <w:t>.</w:t>
      </w:r>
      <w:r w:rsidR="00BF7D03">
        <w:t xml:space="preserve"> </w:t>
      </w:r>
      <w:r w:rsidR="006B115A">
        <w:t>Following this, the Global Fund</w:t>
      </w:r>
      <w:r w:rsidR="00BF7D03">
        <w:t xml:space="preserve"> data was </w:t>
      </w:r>
      <w:r w:rsidR="006B115A">
        <w:t xml:space="preserve">sorted by country and years of contributions were aggregated to </w:t>
      </w:r>
      <w:r w:rsidR="00E56413">
        <w:t xml:space="preserve">cumulative contributions per country. This data was </w:t>
      </w:r>
      <w:r w:rsidR="00BF7D03">
        <w:t xml:space="preserve">then merged with the </w:t>
      </w:r>
      <w:r w:rsidR="00E56413">
        <w:t>Climate Funds Update data set</w:t>
      </w:r>
      <w:r w:rsidR="006B115A">
        <w:t>, sorted by country</w:t>
      </w:r>
      <w:r w:rsidR="0025205B">
        <w:t>, to form a main data set</w:t>
      </w:r>
      <w:r w:rsidR="006B115A">
        <w:t>.</w:t>
      </w:r>
      <w:r w:rsidR="005F2102">
        <w:t xml:space="preserve"> The same process </w:t>
      </w:r>
      <w:r w:rsidR="005F2102">
        <w:t xml:space="preserve">was done to merge data from the Environment Fund </w:t>
      </w:r>
      <w:r w:rsidR="00F87883">
        <w:t>and the Joint SDG Fund</w:t>
      </w:r>
      <w:r w:rsidR="005F2102">
        <w:t xml:space="preserve"> to the main data set</w:t>
      </w:r>
      <w:r w:rsidR="00181749">
        <w:t xml:space="preserve">, </w:t>
      </w:r>
      <w:r w:rsidR="00181749">
        <w:t>as the website also sorts its data per year</w:t>
      </w:r>
      <w:r w:rsidR="005F2102">
        <w:t>.</w:t>
      </w:r>
      <w:r w:rsidR="00181749">
        <w:t xml:space="preserve"> Finally, given that the data from the Multilateral Fund was</w:t>
      </w:r>
      <w:r w:rsidR="00E05805">
        <w:t xml:space="preserve"> already</w:t>
      </w:r>
      <w:r w:rsidR="00181749">
        <w:t xml:space="preserve"> </w:t>
      </w:r>
      <w:r w:rsidR="008518A6">
        <w:t>cumulative</w:t>
      </w:r>
      <w:r w:rsidR="00E05805">
        <w:t xml:space="preserve"> across years</w:t>
      </w:r>
      <w:r w:rsidR="008518A6">
        <w:t xml:space="preserve">, the data was </w:t>
      </w:r>
      <w:r w:rsidR="00E05805">
        <w:t xml:space="preserve">simply </w:t>
      </w:r>
      <w:r w:rsidR="008518A6">
        <w:t>merged with the main data set</w:t>
      </w:r>
      <w:r w:rsidR="00E05805">
        <w:t>,</w:t>
      </w:r>
      <w:r w:rsidR="008518A6">
        <w:t xml:space="preserve"> by country.</w:t>
      </w:r>
    </w:p>
    <w:p w14:paraId="0840AD17" w14:textId="1A0C39AF" w:rsidR="00B3596C" w:rsidRDefault="00B3596C" w:rsidP="00FC3484">
      <w:pPr>
        <w:spacing w:line="276" w:lineRule="auto"/>
        <w:jc w:val="both"/>
      </w:pPr>
      <w:r>
        <w:t xml:space="preserve">The data was then split according to the Convention’s country denomination of Annex II/Non-Annex II. Countries in each list were then classified according to World Bank income level and region. </w:t>
      </w:r>
    </w:p>
    <w:p w14:paraId="63CD3C1E" w14:textId="77777777" w:rsidR="00D50A2C" w:rsidRDefault="00D50A2C" w:rsidP="00FC3484">
      <w:pPr>
        <w:spacing w:line="276" w:lineRule="auto"/>
        <w:jc w:val="both"/>
      </w:pPr>
    </w:p>
    <w:p w14:paraId="2305DD52" w14:textId="450F3910" w:rsidR="00D50A2C" w:rsidRPr="00D50A2C" w:rsidRDefault="00D50A2C" w:rsidP="00D50A2C">
      <w:pPr>
        <w:widowControl w:val="0"/>
        <w:autoSpaceDE w:val="0"/>
        <w:autoSpaceDN w:val="0"/>
        <w:adjustRightInd w:val="0"/>
        <w:spacing w:line="240" w:lineRule="auto"/>
        <w:rPr>
          <w:rFonts w:ascii="Aptos" w:hAnsi="Aptos" w:cs="Times New Roman"/>
          <w:noProof/>
          <w:kern w:val="0"/>
        </w:rPr>
      </w:pPr>
      <w:r>
        <w:fldChar w:fldCharType="begin" w:fldLock="1"/>
      </w:r>
      <w:r>
        <w:instrText xml:space="preserve">ADDIN Mendeley Bibliography CSL_BIBLIOGRAPHY </w:instrText>
      </w:r>
      <w:r>
        <w:fldChar w:fldCharType="separate"/>
      </w:r>
      <w:r w:rsidRPr="00D50A2C">
        <w:rPr>
          <w:rFonts w:ascii="Aptos" w:hAnsi="Aptos" w:cs="Times New Roman"/>
          <w:noProof/>
          <w:kern w:val="0"/>
        </w:rPr>
        <w:t>1. Depledge J, Yamin F. The global climate change regime</w:t>
      </w:r>
      <w:r w:rsidRPr="00D50A2C">
        <w:rPr>
          <w:rFonts w:ascii="Arial" w:hAnsi="Arial" w:cs="Arial"/>
          <w:noProof/>
          <w:kern w:val="0"/>
        </w:rPr>
        <w:t> </w:t>
      </w:r>
      <w:r w:rsidRPr="00D50A2C">
        <w:rPr>
          <w:rFonts w:ascii="Aptos" w:hAnsi="Aptos" w:cs="Times New Roman"/>
          <w:noProof/>
          <w:kern w:val="0"/>
        </w:rPr>
        <w:t xml:space="preserve">: a defence. In: Helm D, Hepburn C, editors. Econ Polit Clim Chang. Oxford, UK: Oxford University Press; 2009. p. 433–53. </w:t>
      </w:r>
    </w:p>
    <w:p w14:paraId="330847C4"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 xml:space="preserve">2. Walsh S, Tian H, Whalley J, Agarwal M. China and India’s participation in global climate negotiations. Int Environ Agreements Polit Law Econ. 2011;11:261–73. </w:t>
      </w:r>
    </w:p>
    <w:p w14:paraId="5FB5EDC9"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 xml:space="preserve">3. Colenbrander S, Pettinotti L, Cao Y, Robertson M, Hedger M, Gonzalez L. The New Collective Quantified Goal and its Sources of Funding - How could a ‘collective effort’ be operationalized in the NCQG? London, UK; 2023. </w:t>
      </w:r>
    </w:p>
    <w:p w14:paraId="61703213"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 xml:space="preserve">4. Qi J, Qian H. Climate finance at a crossroads: it is high time to use the global solution for global problems. Carbon Neutrality. 2023;2. </w:t>
      </w:r>
    </w:p>
    <w:p w14:paraId="283DFEFC"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5. Beynon J. Who Should Pay? Climate Finance Fair Shares [Internet]. Washington D.C.; 2023. Available from: https://www.cgdev.org/publication/who-should-pay-climate-finance-fair-shares</w:t>
      </w:r>
    </w:p>
    <w:p w14:paraId="6D6BDB97"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6. Colenbrander S, Pettinotti L, Cao Y. A fair share of climate finance? An appraisal of past performance, future pledges and prospective contributors [Internet]. London, UK: ODI; 2022. Available from: https://odi.org/en/publications/a-fair-share-of-climate-finance-an-appraisal-of-past-performance-future-pledges-and-prospective-contributors/</w:t>
      </w:r>
    </w:p>
    <w:p w14:paraId="5DD42C16"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7. Michaelowa A, Butzengeiger S, Jung M, Dutschke M. Beyond 2012–Evolution of the Kyoto Protocol Regime [Internet]. Berlin; 2003. Available from: http://www.globalrat.de/wbgu_sn2003_ex02.pdf%5Cnpapers2://publication/uuid/3DDBAE83-0240-4500-891A-3CF09941B263</w:t>
      </w:r>
    </w:p>
    <w:p w14:paraId="2FAC2820"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 xml:space="preserve">8. Battiston S, Mandel A, Monasterolo I, Schütze F, Visentin G. A climate stress-test of the financial system. Nat Clim Chang. 2017;7:283–8. </w:t>
      </w:r>
    </w:p>
    <w:p w14:paraId="7A8C2F2F"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 xml:space="preserve">9. Callahan CW, Mankin JS. National attribution of historical climate damages. Clim Change </w:t>
      </w:r>
      <w:r w:rsidRPr="00D50A2C">
        <w:rPr>
          <w:rFonts w:ascii="Aptos" w:hAnsi="Aptos" w:cs="Times New Roman"/>
          <w:noProof/>
          <w:kern w:val="0"/>
        </w:rPr>
        <w:lastRenderedPageBreak/>
        <w:t>[Internet]. 2022;172:40. Available from: https://doi.org/10.1007/s10584-022-03387-y</w:t>
      </w:r>
    </w:p>
    <w:p w14:paraId="6EFB1CED"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10. Fanning AL, Hickel J. Compensation for atmospheric appropriation. Nat Sustain [Internet]. 2023;6:1077–86. Available from: https://doi.org/10.1038/s41893-023-01130-8</w:t>
      </w:r>
    </w:p>
    <w:p w14:paraId="32919DDE"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11. Grasso M, Heede R. Time to pay the piper: Fossil fuel companies’ reparations for climate damages. One Earth [Internet]. 2023;6:459–63. Available from: https://doi.org/10.1016/j.oneear.2023.04.012</w:t>
      </w:r>
    </w:p>
    <w:p w14:paraId="17622B89"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12. Rajamani L, Jeffery L, Höhne N, Hans F, Glass A, Ganti G, et al. National ‘fair shares’ in reducing greenhouse gas emissions within the principled framework of international environmental law. Clim Policy [Internet]. 2021;21:983–1004. Available from: https://doi.org/10.1080/14693062.2021.1970504</w:t>
      </w:r>
    </w:p>
    <w:p w14:paraId="2C2CF11A"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13. Holz C, Kartha S, Athanasiou T. Fairly sharing 1.5: national fair shares of a 1.5 °C-compliant global mitigation effort. Int Environ Agreements Polit Law Econ [Internet]. 2018;18:117–34. Available from: https://doi.org/10.1007/s10784-017-9371-z</w:t>
      </w:r>
    </w:p>
    <w:p w14:paraId="532A2D1D"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 xml:space="preserve">14. Müller B, Höhne N, Ellermann C. Differentiating (historic) responsibilities for climate change. Clim Policy. 2009;9:593–611. </w:t>
      </w:r>
    </w:p>
    <w:p w14:paraId="141193FE"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15. IPCC. Climate Change 2022, Mitigation of Climate Change Summary for Policymakers (SPM) [Internet]. Cambridge Univ. Press. 2022. Available from: https://www.ipcc.ch/report/ar6/wg2/</w:t>
      </w:r>
    </w:p>
    <w:p w14:paraId="016744AE"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16. Crippa M, Guizzardi D, Muntean M, Schaaf E, Solazzo E, Monforti-Ferrario F, et al. Fossil CO2 emissions of all world countries [Internet]. Luxemb. Eur. Comm. . 2020. Available from: https://ec.europa.eu/jrc</w:t>
      </w:r>
    </w:p>
    <w:p w14:paraId="71C26CAC"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 xml:space="preserve">17. Graver B, Zhang K, Rutherford D. CO2 emissions from commercial aviation, 2018. Int. Counc. Clean Transp. 2019. </w:t>
      </w:r>
    </w:p>
    <w:p w14:paraId="4ACFFBCB"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 xml:space="preserve">18. Colenbrander S, Pettinotti L, Cao Y. A fair share of climate finance? ODI. London, UK; 2021. </w:t>
      </w:r>
    </w:p>
    <w:p w14:paraId="27FB831F" w14:textId="77777777" w:rsidR="00D50A2C" w:rsidRPr="00D50A2C" w:rsidRDefault="00D50A2C" w:rsidP="00D50A2C">
      <w:pPr>
        <w:widowControl w:val="0"/>
        <w:autoSpaceDE w:val="0"/>
        <w:autoSpaceDN w:val="0"/>
        <w:adjustRightInd w:val="0"/>
        <w:spacing w:line="240" w:lineRule="auto"/>
        <w:rPr>
          <w:rFonts w:ascii="Aptos" w:hAnsi="Aptos" w:cs="Times New Roman"/>
          <w:noProof/>
          <w:kern w:val="0"/>
        </w:rPr>
      </w:pPr>
      <w:r w:rsidRPr="00D50A2C">
        <w:rPr>
          <w:rFonts w:ascii="Aptos" w:hAnsi="Aptos" w:cs="Times New Roman"/>
          <w:noProof/>
          <w:kern w:val="0"/>
        </w:rPr>
        <w:t>19. Barbados. The 2022 Bridgetown Initiative for the Reform of the Global Financial Architecture [Internet]. Bridgetown, Barbados; 2022. Available from: https://pmo.gov.bb/wp-content/uploads/2022/10/The-2022-Bridgetown-Initiative.pdf</w:t>
      </w:r>
    </w:p>
    <w:p w14:paraId="76E21712" w14:textId="77777777" w:rsidR="00D50A2C" w:rsidRPr="00D50A2C" w:rsidRDefault="00D50A2C" w:rsidP="00D50A2C">
      <w:pPr>
        <w:widowControl w:val="0"/>
        <w:autoSpaceDE w:val="0"/>
        <w:autoSpaceDN w:val="0"/>
        <w:adjustRightInd w:val="0"/>
        <w:spacing w:line="240" w:lineRule="auto"/>
        <w:rPr>
          <w:rFonts w:ascii="Aptos" w:hAnsi="Aptos"/>
          <w:noProof/>
        </w:rPr>
      </w:pPr>
      <w:r w:rsidRPr="00D50A2C">
        <w:rPr>
          <w:rFonts w:ascii="Aptos" w:hAnsi="Aptos" w:cs="Times New Roman"/>
          <w:noProof/>
          <w:kern w:val="0"/>
        </w:rPr>
        <w:t>20. Paris Pact for the People and the Planet. Paris Pact for the People and the Planet [Internet]. 2024. Available from: https://pactedeparis.org/en.php</w:t>
      </w:r>
    </w:p>
    <w:p w14:paraId="169F9A0C" w14:textId="30A279F1" w:rsidR="00D50A2C" w:rsidRDefault="00D50A2C" w:rsidP="00FC3484">
      <w:pPr>
        <w:spacing w:line="276" w:lineRule="auto"/>
        <w:jc w:val="both"/>
      </w:pPr>
      <w:r>
        <w:fldChar w:fldCharType="end"/>
      </w:r>
    </w:p>
    <w:sectPr w:rsidR="00D50A2C" w:rsidSect="00AD128A">
      <w:head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Luis H Zamarioli" w:date="2024-06-14T09:06:00Z" w:initials="LZ">
    <w:p w14:paraId="4354213C" w14:textId="782537F8" w:rsidR="0025633D" w:rsidRDefault="008613DF" w:rsidP="0025633D">
      <w:pPr>
        <w:pStyle w:val="CommentText"/>
      </w:pPr>
      <w:r>
        <w:rPr>
          <w:rStyle w:val="CommentReference"/>
        </w:rPr>
        <w:annotationRef/>
      </w:r>
      <w:r w:rsidR="0025633D">
        <w:t>These funds I selected undermine our justification, that we have chosen funds with global reach - both for keeping MDBs out of the study, but also for selecting out other (many) regional funds.</w:t>
      </w:r>
    </w:p>
    <w:p w14:paraId="0D8BDD08" w14:textId="77777777" w:rsidR="0025633D" w:rsidRDefault="0025633D" w:rsidP="0025633D">
      <w:pPr>
        <w:pStyle w:val="CommentText"/>
      </w:pPr>
    </w:p>
    <w:p w14:paraId="49AB3467" w14:textId="77777777" w:rsidR="0025633D" w:rsidRDefault="0025633D" w:rsidP="0025633D">
      <w:pPr>
        <w:pStyle w:val="CommentText"/>
      </w:pPr>
      <w:r>
        <w:t>How easy it is to exclude these ones from our data?</w:t>
      </w:r>
    </w:p>
    <w:p w14:paraId="48062B9C" w14:textId="77777777" w:rsidR="0025633D" w:rsidRDefault="0025633D" w:rsidP="0025633D">
      <w:pPr>
        <w:pStyle w:val="CommentText"/>
      </w:pPr>
    </w:p>
    <w:p w14:paraId="23F88FF9" w14:textId="77777777" w:rsidR="0025633D" w:rsidRDefault="0025633D" w:rsidP="0025633D">
      <w:pPr>
        <w:pStyle w:val="CommentText"/>
      </w:pPr>
      <w:r>
        <w:t>Does it change much the results?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3F88FF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2C20E90" w16cex:dateUtc="2024-06-14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3F88FF9" w16cid:durableId="12C20E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D2D2F" w14:textId="77777777" w:rsidR="003350B9" w:rsidRDefault="003350B9" w:rsidP="00F21B39">
      <w:pPr>
        <w:spacing w:after="0" w:line="240" w:lineRule="auto"/>
      </w:pPr>
      <w:r>
        <w:separator/>
      </w:r>
    </w:p>
  </w:endnote>
  <w:endnote w:type="continuationSeparator" w:id="0">
    <w:p w14:paraId="3F44BCE1" w14:textId="77777777" w:rsidR="003350B9" w:rsidRDefault="003350B9" w:rsidP="00F21B39">
      <w:pPr>
        <w:spacing w:after="0" w:line="240" w:lineRule="auto"/>
      </w:pPr>
      <w:r>
        <w:continuationSeparator/>
      </w:r>
    </w:p>
  </w:endnote>
  <w:endnote w:type="continuationNotice" w:id="1">
    <w:p w14:paraId="15EC9635" w14:textId="77777777" w:rsidR="003350B9" w:rsidRDefault="003350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9BD2F7" w14:textId="77777777" w:rsidR="003350B9" w:rsidRDefault="003350B9" w:rsidP="00F21B39">
      <w:pPr>
        <w:spacing w:after="0" w:line="240" w:lineRule="auto"/>
      </w:pPr>
      <w:r>
        <w:separator/>
      </w:r>
    </w:p>
  </w:footnote>
  <w:footnote w:type="continuationSeparator" w:id="0">
    <w:p w14:paraId="55D80718" w14:textId="77777777" w:rsidR="003350B9" w:rsidRDefault="003350B9" w:rsidP="00F21B39">
      <w:pPr>
        <w:spacing w:after="0" w:line="240" w:lineRule="auto"/>
      </w:pPr>
      <w:r>
        <w:continuationSeparator/>
      </w:r>
    </w:p>
  </w:footnote>
  <w:footnote w:type="continuationNotice" w:id="1">
    <w:p w14:paraId="7FE6D090" w14:textId="77777777" w:rsidR="003350B9" w:rsidRDefault="003350B9">
      <w:pPr>
        <w:spacing w:after="0" w:line="240" w:lineRule="auto"/>
      </w:pPr>
    </w:p>
  </w:footnote>
  <w:footnote w:id="2">
    <w:p w14:paraId="5CCE7AE5" w14:textId="77777777" w:rsidR="00EC13FE" w:rsidRPr="008816CE" w:rsidRDefault="00EC13FE" w:rsidP="00EC13FE">
      <w:pPr>
        <w:pStyle w:val="FootnoteText"/>
        <w:rPr>
          <w:lang w:val="en-US"/>
        </w:rPr>
      </w:pPr>
      <w:r>
        <w:rPr>
          <w:rStyle w:val="FootnoteReference"/>
        </w:rPr>
        <w:footnoteRef/>
      </w:r>
      <w:r>
        <w:t xml:space="preserve"> </w:t>
      </w:r>
      <w:r w:rsidRPr="00114FFB">
        <w:t>Australia, Austria, Belgium, Canada, Switzerland, Germany, Denmark, Spain, Finland, France, United Kingdom, Greece, Ireland, Iceland, Italy, Japan, Luxembourg, Netherlands, Norway, New Zealand, Portugal, Sweden, United States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DF241" w14:textId="332D37BA" w:rsidR="00F9639E" w:rsidRDefault="00E86DED" w:rsidP="00F9639E">
    <w:pPr>
      <w:pStyle w:val="Header"/>
      <w:rPr>
        <w:rFonts w:cstheme="minorHAnsi"/>
        <w:iCs/>
        <w:sz w:val="14"/>
        <w:szCs w:val="14"/>
      </w:rPr>
    </w:pPr>
    <w:r>
      <w:rPr>
        <w:rFonts w:cstheme="minorHAnsi"/>
        <w:iCs/>
        <w:sz w:val="14"/>
        <w:szCs w:val="14"/>
      </w:rPr>
      <w:t>[</w:t>
    </w:r>
    <w:r w:rsidR="00F9639E" w:rsidRPr="00E86DED">
      <w:rPr>
        <w:rFonts w:cstheme="minorHAnsi"/>
        <w:i/>
        <w:iCs/>
        <w:sz w:val="14"/>
        <w:szCs w:val="14"/>
      </w:rPr>
      <w:t>Add citation here e.g.,</w:t>
    </w:r>
    <w:r w:rsidR="00F9639E">
      <w:rPr>
        <w:rFonts w:cstheme="minorHAnsi"/>
        <w:iCs/>
        <w:sz w:val="14"/>
        <w:szCs w:val="14"/>
      </w:rPr>
      <w:t xml:space="preserve"> Pauw et al. (2024)</w:t>
    </w:r>
    <w:r>
      <w:rPr>
        <w:rFonts w:cstheme="minorHAnsi"/>
        <w:iCs/>
        <w:sz w:val="14"/>
        <w:szCs w:val="14"/>
      </w:rPr>
      <w:t xml:space="preserve">; </w:t>
    </w:r>
    <w:r w:rsidR="00D1333C" w:rsidRPr="00D1333C">
      <w:rPr>
        <w:rFonts w:cstheme="minorHAnsi"/>
        <w:iCs/>
        <w:sz w:val="14"/>
        <w:szCs w:val="14"/>
      </w:rPr>
      <w:t>More climate finance from more countries?</w:t>
    </w:r>
    <w:r>
      <w:rPr>
        <w:rFonts w:cstheme="minorHAnsi"/>
        <w:iCs/>
        <w:sz w:val="14"/>
        <w:szCs w:val="14"/>
      </w:rPr>
      <w:t>]</w:t>
    </w:r>
    <w:r w:rsidR="00F9639E">
      <w:rPr>
        <w:rFonts w:cstheme="minorHAnsi"/>
        <w:iCs/>
        <w:sz w:val="14"/>
        <w:szCs w:val="14"/>
      </w:rPr>
      <w:tab/>
    </w:r>
    <w:r>
      <w:rPr>
        <w:rFonts w:cstheme="minorHAnsi"/>
        <w:iCs/>
        <w:sz w:val="14"/>
        <w:szCs w:val="14"/>
      </w:rPr>
      <w:t>[Add DOI here]</w:t>
    </w:r>
  </w:p>
  <w:p w14:paraId="27E96D4B" w14:textId="77777777" w:rsidR="00F21B39" w:rsidRDefault="00F21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96707"/>
    <w:multiLevelType w:val="hybridMultilevel"/>
    <w:tmpl w:val="DE0CECC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A82C0C"/>
    <w:multiLevelType w:val="hybridMultilevel"/>
    <w:tmpl w:val="2D5ECB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B465D1"/>
    <w:multiLevelType w:val="multilevel"/>
    <w:tmpl w:val="60E493D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6380EB9"/>
    <w:multiLevelType w:val="hybridMultilevel"/>
    <w:tmpl w:val="D0FE2C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290468"/>
    <w:multiLevelType w:val="multilevel"/>
    <w:tmpl w:val="9356B5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3054"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82440B"/>
    <w:multiLevelType w:val="hybridMultilevel"/>
    <w:tmpl w:val="64DA89A6"/>
    <w:lvl w:ilvl="0" w:tplc="B9DE21E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5F5C0D"/>
    <w:multiLevelType w:val="hybridMultilevel"/>
    <w:tmpl w:val="B9E666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E173BD"/>
    <w:multiLevelType w:val="hybridMultilevel"/>
    <w:tmpl w:val="C338E8F6"/>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32C2552"/>
    <w:multiLevelType w:val="hybridMultilevel"/>
    <w:tmpl w:val="1196F3AA"/>
    <w:lvl w:ilvl="0" w:tplc="30440A00">
      <w:start w:val="3"/>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273A9C"/>
    <w:multiLevelType w:val="multilevel"/>
    <w:tmpl w:val="5308DF5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9C566B"/>
    <w:multiLevelType w:val="multilevel"/>
    <w:tmpl w:val="15549A52"/>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49D7059"/>
    <w:multiLevelType w:val="hybridMultilevel"/>
    <w:tmpl w:val="A874EFF8"/>
    <w:lvl w:ilvl="0" w:tplc="9A8210FA">
      <w:numFmt w:val="bullet"/>
      <w:lvlText w:val="-"/>
      <w:lvlJc w:val="left"/>
      <w:pPr>
        <w:ind w:left="360" w:hanging="360"/>
      </w:pPr>
      <w:rPr>
        <w:rFonts w:ascii="Calibri" w:eastAsia="Calibr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699743295">
    <w:abstractNumId w:val="4"/>
  </w:num>
  <w:num w:numId="2" w16cid:durableId="602956294">
    <w:abstractNumId w:val="6"/>
  </w:num>
  <w:num w:numId="3" w16cid:durableId="1744335458">
    <w:abstractNumId w:val="10"/>
  </w:num>
  <w:num w:numId="4" w16cid:durableId="1603032355">
    <w:abstractNumId w:val="9"/>
  </w:num>
  <w:num w:numId="5" w16cid:durableId="1717313077">
    <w:abstractNumId w:val="8"/>
  </w:num>
  <w:num w:numId="6" w16cid:durableId="1641379229">
    <w:abstractNumId w:val="3"/>
  </w:num>
  <w:num w:numId="7" w16cid:durableId="752356752">
    <w:abstractNumId w:val="2"/>
  </w:num>
  <w:num w:numId="8" w16cid:durableId="78139392">
    <w:abstractNumId w:val="7"/>
  </w:num>
  <w:num w:numId="9" w16cid:durableId="615403133">
    <w:abstractNumId w:val="0"/>
  </w:num>
  <w:num w:numId="10" w16cid:durableId="1705666988">
    <w:abstractNumId w:val="11"/>
  </w:num>
  <w:num w:numId="11" w16cid:durableId="1835102996">
    <w:abstractNumId w:val="1"/>
  </w:num>
  <w:num w:numId="12" w16cid:durableId="57016535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uis H Zamarioli">
    <w15:presenceInfo w15:providerId="Windows Live" w15:userId="2953f4561828a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19"/>
    <w:rsid w:val="000012C4"/>
    <w:rsid w:val="00001C13"/>
    <w:rsid w:val="0000635A"/>
    <w:rsid w:val="000078D7"/>
    <w:rsid w:val="0001077C"/>
    <w:rsid w:val="00013723"/>
    <w:rsid w:val="00013DC2"/>
    <w:rsid w:val="00014051"/>
    <w:rsid w:val="00015163"/>
    <w:rsid w:val="000175CA"/>
    <w:rsid w:val="00020B94"/>
    <w:rsid w:val="00021A65"/>
    <w:rsid w:val="0002492D"/>
    <w:rsid w:val="000250DD"/>
    <w:rsid w:val="00026851"/>
    <w:rsid w:val="0002698A"/>
    <w:rsid w:val="00034989"/>
    <w:rsid w:val="00034D1F"/>
    <w:rsid w:val="000355E8"/>
    <w:rsid w:val="00035D4C"/>
    <w:rsid w:val="00037722"/>
    <w:rsid w:val="00037F85"/>
    <w:rsid w:val="00042F89"/>
    <w:rsid w:val="00051B53"/>
    <w:rsid w:val="0005317E"/>
    <w:rsid w:val="000550AB"/>
    <w:rsid w:val="000557BE"/>
    <w:rsid w:val="00061C0D"/>
    <w:rsid w:val="00070E28"/>
    <w:rsid w:val="00080E79"/>
    <w:rsid w:val="00083339"/>
    <w:rsid w:val="00085823"/>
    <w:rsid w:val="0009277F"/>
    <w:rsid w:val="000954E6"/>
    <w:rsid w:val="000978FA"/>
    <w:rsid w:val="000A15DD"/>
    <w:rsid w:val="000B0259"/>
    <w:rsid w:val="000B1B52"/>
    <w:rsid w:val="000C01EB"/>
    <w:rsid w:val="000C1913"/>
    <w:rsid w:val="000C5DC5"/>
    <w:rsid w:val="000D2FE4"/>
    <w:rsid w:val="000D55F3"/>
    <w:rsid w:val="000D6B4E"/>
    <w:rsid w:val="000E47BE"/>
    <w:rsid w:val="000F0237"/>
    <w:rsid w:val="000F4CDD"/>
    <w:rsid w:val="000F60AA"/>
    <w:rsid w:val="00101A4E"/>
    <w:rsid w:val="001028FB"/>
    <w:rsid w:val="0010667F"/>
    <w:rsid w:val="00110161"/>
    <w:rsid w:val="00112157"/>
    <w:rsid w:val="00114FFB"/>
    <w:rsid w:val="001329AA"/>
    <w:rsid w:val="00134FFF"/>
    <w:rsid w:val="00140C45"/>
    <w:rsid w:val="001416B0"/>
    <w:rsid w:val="00141E0B"/>
    <w:rsid w:val="001431EC"/>
    <w:rsid w:val="0015492F"/>
    <w:rsid w:val="00154F25"/>
    <w:rsid w:val="00162602"/>
    <w:rsid w:val="00163039"/>
    <w:rsid w:val="001632F0"/>
    <w:rsid w:val="0017266B"/>
    <w:rsid w:val="00172961"/>
    <w:rsid w:val="001768EA"/>
    <w:rsid w:val="00180502"/>
    <w:rsid w:val="00180AC8"/>
    <w:rsid w:val="00181749"/>
    <w:rsid w:val="00181CE9"/>
    <w:rsid w:val="00186E2E"/>
    <w:rsid w:val="00190F08"/>
    <w:rsid w:val="00191F8B"/>
    <w:rsid w:val="00194A53"/>
    <w:rsid w:val="001A07B0"/>
    <w:rsid w:val="001A2BF8"/>
    <w:rsid w:val="001B1ADB"/>
    <w:rsid w:val="001B4822"/>
    <w:rsid w:val="001C4FD7"/>
    <w:rsid w:val="001D1234"/>
    <w:rsid w:val="001D1982"/>
    <w:rsid w:val="001D19EA"/>
    <w:rsid w:val="001D2EE4"/>
    <w:rsid w:val="001D3ABF"/>
    <w:rsid w:val="001D73C9"/>
    <w:rsid w:val="001E0190"/>
    <w:rsid w:val="001E1F6D"/>
    <w:rsid w:val="001E406C"/>
    <w:rsid w:val="001E782F"/>
    <w:rsid w:val="001F09A5"/>
    <w:rsid w:val="001F32DA"/>
    <w:rsid w:val="001F7665"/>
    <w:rsid w:val="00206CF8"/>
    <w:rsid w:val="0021335B"/>
    <w:rsid w:val="00222735"/>
    <w:rsid w:val="002244A9"/>
    <w:rsid w:val="00226679"/>
    <w:rsid w:val="002322CA"/>
    <w:rsid w:val="0024149E"/>
    <w:rsid w:val="002414AA"/>
    <w:rsid w:val="002469D0"/>
    <w:rsid w:val="0024790B"/>
    <w:rsid w:val="0025205B"/>
    <w:rsid w:val="0025633D"/>
    <w:rsid w:val="00257045"/>
    <w:rsid w:val="0025770D"/>
    <w:rsid w:val="00263EF1"/>
    <w:rsid w:val="00266B79"/>
    <w:rsid w:val="002755EE"/>
    <w:rsid w:val="002776DC"/>
    <w:rsid w:val="002812F6"/>
    <w:rsid w:val="00294FA8"/>
    <w:rsid w:val="002A54E2"/>
    <w:rsid w:val="002A553F"/>
    <w:rsid w:val="002B2043"/>
    <w:rsid w:val="002B4115"/>
    <w:rsid w:val="002B4F5C"/>
    <w:rsid w:val="002B62A8"/>
    <w:rsid w:val="002B714D"/>
    <w:rsid w:val="002C0D45"/>
    <w:rsid w:val="002C0F9F"/>
    <w:rsid w:val="002C1197"/>
    <w:rsid w:val="002C37FD"/>
    <w:rsid w:val="002D0A00"/>
    <w:rsid w:val="002D0B9A"/>
    <w:rsid w:val="002D384D"/>
    <w:rsid w:val="002E1E97"/>
    <w:rsid w:val="002E673A"/>
    <w:rsid w:val="002F19E4"/>
    <w:rsid w:val="002F3BB3"/>
    <w:rsid w:val="002F50D6"/>
    <w:rsid w:val="002F5579"/>
    <w:rsid w:val="003027C2"/>
    <w:rsid w:val="00306E9C"/>
    <w:rsid w:val="00313D21"/>
    <w:rsid w:val="00317BB5"/>
    <w:rsid w:val="0033025D"/>
    <w:rsid w:val="003350B9"/>
    <w:rsid w:val="00340295"/>
    <w:rsid w:val="00352C11"/>
    <w:rsid w:val="003619EC"/>
    <w:rsid w:val="00364546"/>
    <w:rsid w:val="00365CA5"/>
    <w:rsid w:val="003669DF"/>
    <w:rsid w:val="003672A3"/>
    <w:rsid w:val="00370CAD"/>
    <w:rsid w:val="00372769"/>
    <w:rsid w:val="003727F1"/>
    <w:rsid w:val="003734F8"/>
    <w:rsid w:val="00373BC1"/>
    <w:rsid w:val="00377D63"/>
    <w:rsid w:val="00377E3A"/>
    <w:rsid w:val="00380D64"/>
    <w:rsid w:val="00385514"/>
    <w:rsid w:val="0038649C"/>
    <w:rsid w:val="003932A1"/>
    <w:rsid w:val="00393AF8"/>
    <w:rsid w:val="00394766"/>
    <w:rsid w:val="00396181"/>
    <w:rsid w:val="003A0FA8"/>
    <w:rsid w:val="003A4849"/>
    <w:rsid w:val="003B54DD"/>
    <w:rsid w:val="003B7125"/>
    <w:rsid w:val="003B7D2E"/>
    <w:rsid w:val="003C4109"/>
    <w:rsid w:val="003C4C49"/>
    <w:rsid w:val="003C567D"/>
    <w:rsid w:val="003D0132"/>
    <w:rsid w:val="003D12C2"/>
    <w:rsid w:val="003D3DFE"/>
    <w:rsid w:val="003D51D9"/>
    <w:rsid w:val="003E078D"/>
    <w:rsid w:val="003E5AE6"/>
    <w:rsid w:val="003E7C76"/>
    <w:rsid w:val="003F0AB5"/>
    <w:rsid w:val="003F1D8A"/>
    <w:rsid w:val="003F4B7C"/>
    <w:rsid w:val="003F514F"/>
    <w:rsid w:val="004058CF"/>
    <w:rsid w:val="00410665"/>
    <w:rsid w:val="004235ED"/>
    <w:rsid w:val="0042424A"/>
    <w:rsid w:val="004272E4"/>
    <w:rsid w:val="00427322"/>
    <w:rsid w:val="00436C49"/>
    <w:rsid w:val="00440D98"/>
    <w:rsid w:val="00444E0E"/>
    <w:rsid w:val="004473BC"/>
    <w:rsid w:val="00447640"/>
    <w:rsid w:val="0045668E"/>
    <w:rsid w:val="00461F47"/>
    <w:rsid w:val="00463EEA"/>
    <w:rsid w:val="00473933"/>
    <w:rsid w:val="00485B04"/>
    <w:rsid w:val="00486820"/>
    <w:rsid w:val="00486A05"/>
    <w:rsid w:val="00487C7F"/>
    <w:rsid w:val="00492EFA"/>
    <w:rsid w:val="004A5195"/>
    <w:rsid w:val="004B3495"/>
    <w:rsid w:val="004B6A72"/>
    <w:rsid w:val="004C1738"/>
    <w:rsid w:val="004C326F"/>
    <w:rsid w:val="004C51EB"/>
    <w:rsid w:val="004D2C92"/>
    <w:rsid w:val="004D3ACD"/>
    <w:rsid w:val="004D4B90"/>
    <w:rsid w:val="004D5B1B"/>
    <w:rsid w:val="004D64D9"/>
    <w:rsid w:val="004D67AD"/>
    <w:rsid w:val="004E35C5"/>
    <w:rsid w:val="004E5570"/>
    <w:rsid w:val="004E6F32"/>
    <w:rsid w:val="004F00FA"/>
    <w:rsid w:val="004F0883"/>
    <w:rsid w:val="004F30E0"/>
    <w:rsid w:val="004F48E3"/>
    <w:rsid w:val="00503041"/>
    <w:rsid w:val="00512D89"/>
    <w:rsid w:val="005207C4"/>
    <w:rsid w:val="00530E21"/>
    <w:rsid w:val="00531A36"/>
    <w:rsid w:val="005324B3"/>
    <w:rsid w:val="00532FBF"/>
    <w:rsid w:val="00541FFB"/>
    <w:rsid w:val="005428BA"/>
    <w:rsid w:val="005463DF"/>
    <w:rsid w:val="00552325"/>
    <w:rsid w:val="0055571C"/>
    <w:rsid w:val="00555D35"/>
    <w:rsid w:val="00556400"/>
    <w:rsid w:val="005603F1"/>
    <w:rsid w:val="0056163D"/>
    <w:rsid w:val="005619B0"/>
    <w:rsid w:val="00563CA4"/>
    <w:rsid w:val="00575DC4"/>
    <w:rsid w:val="00576D7A"/>
    <w:rsid w:val="00576FCF"/>
    <w:rsid w:val="0058024B"/>
    <w:rsid w:val="00581B9E"/>
    <w:rsid w:val="00583861"/>
    <w:rsid w:val="0058500F"/>
    <w:rsid w:val="00586EFB"/>
    <w:rsid w:val="00587055"/>
    <w:rsid w:val="00593369"/>
    <w:rsid w:val="00597229"/>
    <w:rsid w:val="005A2CC9"/>
    <w:rsid w:val="005A60CE"/>
    <w:rsid w:val="005B023F"/>
    <w:rsid w:val="005B175B"/>
    <w:rsid w:val="005C254E"/>
    <w:rsid w:val="005D0347"/>
    <w:rsid w:val="005D344E"/>
    <w:rsid w:val="005D3F44"/>
    <w:rsid w:val="005D5FEC"/>
    <w:rsid w:val="005D6FCC"/>
    <w:rsid w:val="005E1207"/>
    <w:rsid w:val="005E164E"/>
    <w:rsid w:val="005E22A7"/>
    <w:rsid w:val="005E2B13"/>
    <w:rsid w:val="005E2EB1"/>
    <w:rsid w:val="005F2102"/>
    <w:rsid w:val="005F5859"/>
    <w:rsid w:val="005F6067"/>
    <w:rsid w:val="005F6993"/>
    <w:rsid w:val="005F777C"/>
    <w:rsid w:val="00603889"/>
    <w:rsid w:val="00611B45"/>
    <w:rsid w:val="00611E47"/>
    <w:rsid w:val="00615239"/>
    <w:rsid w:val="006259AC"/>
    <w:rsid w:val="006261AF"/>
    <w:rsid w:val="006321A7"/>
    <w:rsid w:val="006336F0"/>
    <w:rsid w:val="00634449"/>
    <w:rsid w:val="006355B8"/>
    <w:rsid w:val="00635942"/>
    <w:rsid w:val="006402D6"/>
    <w:rsid w:val="00641ADA"/>
    <w:rsid w:val="00643B97"/>
    <w:rsid w:val="0064697F"/>
    <w:rsid w:val="00656D17"/>
    <w:rsid w:val="00660D40"/>
    <w:rsid w:val="00661A5C"/>
    <w:rsid w:val="0066286C"/>
    <w:rsid w:val="00663709"/>
    <w:rsid w:val="0066482B"/>
    <w:rsid w:val="006715A5"/>
    <w:rsid w:val="00671849"/>
    <w:rsid w:val="006737A7"/>
    <w:rsid w:val="00674A75"/>
    <w:rsid w:val="006758DD"/>
    <w:rsid w:val="00682D67"/>
    <w:rsid w:val="0069407B"/>
    <w:rsid w:val="006A0BBD"/>
    <w:rsid w:val="006A191A"/>
    <w:rsid w:val="006A2351"/>
    <w:rsid w:val="006A4172"/>
    <w:rsid w:val="006A769D"/>
    <w:rsid w:val="006A7F9B"/>
    <w:rsid w:val="006B115A"/>
    <w:rsid w:val="006B598B"/>
    <w:rsid w:val="006B5B6E"/>
    <w:rsid w:val="006C0800"/>
    <w:rsid w:val="006C1E33"/>
    <w:rsid w:val="006D547A"/>
    <w:rsid w:val="006E0F5B"/>
    <w:rsid w:val="006E4E33"/>
    <w:rsid w:val="006E7BC2"/>
    <w:rsid w:val="006F06F6"/>
    <w:rsid w:val="006F1042"/>
    <w:rsid w:val="006F24CA"/>
    <w:rsid w:val="0070057A"/>
    <w:rsid w:val="007010CB"/>
    <w:rsid w:val="007078E1"/>
    <w:rsid w:val="0071197F"/>
    <w:rsid w:val="00712C70"/>
    <w:rsid w:val="00713287"/>
    <w:rsid w:val="00720528"/>
    <w:rsid w:val="0072115E"/>
    <w:rsid w:val="007211C9"/>
    <w:rsid w:val="00726E1F"/>
    <w:rsid w:val="00727B37"/>
    <w:rsid w:val="0073360D"/>
    <w:rsid w:val="00735005"/>
    <w:rsid w:val="00742AF3"/>
    <w:rsid w:val="00745038"/>
    <w:rsid w:val="00745B6E"/>
    <w:rsid w:val="00747B13"/>
    <w:rsid w:val="007548CC"/>
    <w:rsid w:val="00756319"/>
    <w:rsid w:val="007600A6"/>
    <w:rsid w:val="00762352"/>
    <w:rsid w:val="0076456F"/>
    <w:rsid w:val="0076491E"/>
    <w:rsid w:val="00765371"/>
    <w:rsid w:val="00774548"/>
    <w:rsid w:val="00777E40"/>
    <w:rsid w:val="00784AFD"/>
    <w:rsid w:val="00791D14"/>
    <w:rsid w:val="0079581F"/>
    <w:rsid w:val="007959D0"/>
    <w:rsid w:val="00796352"/>
    <w:rsid w:val="0079714B"/>
    <w:rsid w:val="00797AE7"/>
    <w:rsid w:val="007A00AB"/>
    <w:rsid w:val="007A792F"/>
    <w:rsid w:val="007B1AB5"/>
    <w:rsid w:val="007B3876"/>
    <w:rsid w:val="007B3BCF"/>
    <w:rsid w:val="007C072E"/>
    <w:rsid w:val="007C1685"/>
    <w:rsid w:val="007C2D63"/>
    <w:rsid w:val="007C30D3"/>
    <w:rsid w:val="007D33D6"/>
    <w:rsid w:val="007D6DDF"/>
    <w:rsid w:val="007E7E7F"/>
    <w:rsid w:val="007F4424"/>
    <w:rsid w:val="007F5CED"/>
    <w:rsid w:val="00800B13"/>
    <w:rsid w:val="0082489F"/>
    <w:rsid w:val="00830E76"/>
    <w:rsid w:val="008370C8"/>
    <w:rsid w:val="008403C8"/>
    <w:rsid w:val="00840982"/>
    <w:rsid w:val="00844449"/>
    <w:rsid w:val="00845070"/>
    <w:rsid w:val="00846830"/>
    <w:rsid w:val="008518A6"/>
    <w:rsid w:val="00852099"/>
    <w:rsid w:val="00852F8B"/>
    <w:rsid w:val="0085348D"/>
    <w:rsid w:val="00853CAD"/>
    <w:rsid w:val="00855696"/>
    <w:rsid w:val="00860C9E"/>
    <w:rsid w:val="008613DF"/>
    <w:rsid w:val="008624CD"/>
    <w:rsid w:val="00863291"/>
    <w:rsid w:val="00865ED8"/>
    <w:rsid w:val="00865F30"/>
    <w:rsid w:val="00866836"/>
    <w:rsid w:val="008677E1"/>
    <w:rsid w:val="00871F18"/>
    <w:rsid w:val="00872607"/>
    <w:rsid w:val="0087363A"/>
    <w:rsid w:val="00880794"/>
    <w:rsid w:val="00880B65"/>
    <w:rsid w:val="008816CE"/>
    <w:rsid w:val="00892531"/>
    <w:rsid w:val="008A30B3"/>
    <w:rsid w:val="008A31A4"/>
    <w:rsid w:val="008A6607"/>
    <w:rsid w:val="008B15ED"/>
    <w:rsid w:val="008B1F72"/>
    <w:rsid w:val="008B2E64"/>
    <w:rsid w:val="008B4AED"/>
    <w:rsid w:val="008B6AB2"/>
    <w:rsid w:val="008B6D74"/>
    <w:rsid w:val="008D05C5"/>
    <w:rsid w:val="008D5032"/>
    <w:rsid w:val="008D5CF2"/>
    <w:rsid w:val="008E2361"/>
    <w:rsid w:val="008E242F"/>
    <w:rsid w:val="008E456A"/>
    <w:rsid w:val="0091598F"/>
    <w:rsid w:val="0092030C"/>
    <w:rsid w:val="00922ECA"/>
    <w:rsid w:val="00924909"/>
    <w:rsid w:val="0092581D"/>
    <w:rsid w:val="00930BCD"/>
    <w:rsid w:val="00933D6F"/>
    <w:rsid w:val="00935248"/>
    <w:rsid w:val="00945EAA"/>
    <w:rsid w:val="00947445"/>
    <w:rsid w:val="00952914"/>
    <w:rsid w:val="00954CB7"/>
    <w:rsid w:val="0096241E"/>
    <w:rsid w:val="00967B7A"/>
    <w:rsid w:val="009710D0"/>
    <w:rsid w:val="00973DF9"/>
    <w:rsid w:val="0097624B"/>
    <w:rsid w:val="00991030"/>
    <w:rsid w:val="0099145C"/>
    <w:rsid w:val="009948F6"/>
    <w:rsid w:val="0099659F"/>
    <w:rsid w:val="009A09CC"/>
    <w:rsid w:val="009A0D22"/>
    <w:rsid w:val="009A2D59"/>
    <w:rsid w:val="009A6F7D"/>
    <w:rsid w:val="009A7D05"/>
    <w:rsid w:val="009B254E"/>
    <w:rsid w:val="009B4A68"/>
    <w:rsid w:val="009B6246"/>
    <w:rsid w:val="009B6B2B"/>
    <w:rsid w:val="009C68C8"/>
    <w:rsid w:val="009D1E8B"/>
    <w:rsid w:val="009D3506"/>
    <w:rsid w:val="009E7008"/>
    <w:rsid w:val="009F2EF1"/>
    <w:rsid w:val="00A020D4"/>
    <w:rsid w:val="00A02190"/>
    <w:rsid w:val="00A023E2"/>
    <w:rsid w:val="00A063C7"/>
    <w:rsid w:val="00A112CA"/>
    <w:rsid w:val="00A2588D"/>
    <w:rsid w:val="00A30407"/>
    <w:rsid w:val="00A30564"/>
    <w:rsid w:val="00A323A8"/>
    <w:rsid w:val="00A3302C"/>
    <w:rsid w:val="00A3733F"/>
    <w:rsid w:val="00A4270E"/>
    <w:rsid w:val="00A45E4A"/>
    <w:rsid w:val="00A56DD4"/>
    <w:rsid w:val="00A6030F"/>
    <w:rsid w:val="00A722C4"/>
    <w:rsid w:val="00A72894"/>
    <w:rsid w:val="00A73C5F"/>
    <w:rsid w:val="00A75D60"/>
    <w:rsid w:val="00A8407E"/>
    <w:rsid w:val="00A8443F"/>
    <w:rsid w:val="00A919F5"/>
    <w:rsid w:val="00A92435"/>
    <w:rsid w:val="00A9321A"/>
    <w:rsid w:val="00A9337F"/>
    <w:rsid w:val="00A96EA9"/>
    <w:rsid w:val="00AA3C2F"/>
    <w:rsid w:val="00AA490A"/>
    <w:rsid w:val="00AA6345"/>
    <w:rsid w:val="00AA6467"/>
    <w:rsid w:val="00AB0074"/>
    <w:rsid w:val="00AB7E60"/>
    <w:rsid w:val="00AC540B"/>
    <w:rsid w:val="00AD024C"/>
    <w:rsid w:val="00AD128A"/>
    <w:rsid w:val="00AD3862"/>
    <w:rsid w:val="00AD38AD"/>
    <w:rsid w:val="00AD50CF"/>
    <w:rsid w:val="00AD51FD"/>
    <w:rsid w:val="00AE1F2B"/>
    <w:rsid w:val="00AE44BD"/>
    <w:rsid w:val="00AE4805"/>
    <w:rsid w:val="00AE7735"/>
    <w:rsid w:val="00AF02D3"/>
    <w:rsid w:val="00AF0AC6"/>
    <w:rsid w:val="00B00F43"/>
    <w:rsid w:val="00B01368"/>
    <w:rsid w:val="00B022FD"/>
    <w:rsid w:val="00B02FC0"/>
    <w:rsid w:val="00B164AF"/>
    <w:rsid w:val="00B179A4"/>
    <w:rsid w:val="00B22A21"/>
    <w:rsid w:val="00B244A1"/>
    <w:rsid w:val="00B27254"/>
    <w:rsid w:val="00B272D7"/>
    <w:rsid w:val="00B3596C"/>
    <w:rsid w:val="00B40B68"/>
    <w:rsid w:val="00B4227F"/>
    <w:rsid w:val="00B43967"/>
    <w:rsid w:val="00B45B8E"/>
    <w:rsid w:val="00B46D7E"/>
    <w:rsid w:val="00B528DD"/>
    <w:rsid w:val="00B53423"/>
    <w:rsid w:val="00B627D2"/>
    <w:rsid w:val="00B74F98"/>
    <w:rsid w:val="00B76A57"/>
    <w:rsid w:val="00B87898"/>
    <w:rsid w:val="00B907A2"/>
    <w:rsid w:val="00B91E8C"/>
    <w:rsid w:val="00B947C4"/>
    <w:rsid w:val="00BA4352"/>
    <w:rsid w:val="00BA458E"/>
    <w:rsid w:val="00BB397F"/>
    <w:rsid w:val="00BB65F8"/>
    <w:rsid w:val="00BB6C23"/>
    <w:rsid w:val="00BC2487"/>
    <w:rsid w:val="00BC3C16"/>
    <w:rsid w:val="00BC5368"/>
    <w:rsid w:val="00BD2B6E"/>
    <w:rsid w:val="00BD4CC9"/>
    <w:rsid w:val="00BE146F"/>
    <w:rsid w:val="00BE293F"/>
    <w:rsid w:val="00BE562A"/>
    <w:rsid w:val="00BE75D5"/>
    <w:rsid w:val="00BE7E9D"/>
    <w:rsid w:val="00BF21AB"/>
    <w:rsid w:val="00BF348C"/>
    <w:rsid w:val="00BF3805"/>
    <w:rsid w:val="00BF7D03"/>
    <w:rsid w:val="00C10E3B"/>
    <w:rsid w:val="00C13A2E"/>
    <w:rsid w:val="00C13F59"/>
    <w:rsid w:val="00C14E2B"/>
    <w:rsid w:val="00C17951"/>
    <w:rsid w:val="00C22E26"/>
    <w:rsid w:val="00C23024"/>
    <w:rsid w:val="00C246D7"/>
    <w:rsid w:val="00C270D8"/>
    <w:rsid w:val="00C41FAB"/>
    <w:rsid w:val="00C51349"/>
    <w:rsid w:val="00C54279"/>
    <w:rsid w:val="00C57ABA"/>
    <w:rsid w:val="00C60E74"/>
    <w:rsid w:val="00C71F96"/>
    <w:rsid w:val="00C72088"/>
    <w:rsid w:val="00C72BAA"/>
    <w:rsid w:val="00C8454F"/>
    <w:rsid w:val="00C84B85"/>
    <w:rsid w:val="00C85550"/>
    <w:rsid w:val="00C85BE9"/>
    <w:rsid w:val="00C90653"/>
    <w:rsid w:val="00C96243"/>
    <w:rsid w:val="00C97209"/>
    <w:rsid w:val="00CA30D8"/>
    <w:rsid w:val="00CA4400"/>
    <w:rsid w:val="00CB012D"/>
    <w:rsid w:val="00CB0C51"/>
    <w:rsid w:val="00CB0E67"/>
    <w:rsid w:val="00CB19C7"/>
    <w:rsid w:val="00CB26F7"/>
    <w:rsid w:val="00CB4C79"/>
    <w:rsid w:val="00CB63D1"/>
    <w:rsid w:val="00CC03F9"/>
    <w:rsid w:val="00CC125C"/>
    <w:rsid w:val="00CC1ED3"/>
    <w:rsid w:val="00CC7BEB"/>
    <w:rsid w:val="00CD37AA"/>
    <w:rsid w:val="00CD5C35"/>
    <w:rsid w:val="00CD61DD"/>
    <w:rsid w:val="00CE2682"/>
    <w:rsid w:val="00CE58FC"/>
    <w:rsid w:val="00CE6150"/>
    <w:rsid w:val="00CF08B3"/>
    <w:rsid w:val="00CF13E9"/>
    <w:rsid w:val="00CF367E"/>
    <w:rsid w:val="00CF37F1"/>
    <w:rsid w:val="00CF52A9"/>
    <w:rsid w:val="00D02E3E"/>
    <w:rsid w:val="00D032A2"/>
    <w:rsid w:val="00D033AC"/>
    <w:rsid w:val="00D1333C"/>
    <w:rsid w:val="00D17D7B"/>
    <w:rsid w:val="00D2165C"/>
    <w:rsid w:val="00D22C88"/>
    <w:rsid w:val="00D253AA"/>
    <w:rsid w:val="00D260C4"/>
    <w:rsid w:val="00D30B36"/>
    <w:rsid w:val="00D311BD"/>
    <w:rsid w:val="00D3172D"/>
    <w:rsid w:val="00D3191E"/>
    <w:rsid w:val="00D34B3C"/>
    <w:rsid w:val="00D4363C"/>
    <w:rsid w:val="00D43FE4"/>
    <w:rsid w:val="00D44A5F"/>
    <w:rsid w:val="00D50A2C"/>
    <w:rsid w:val="00D5425C"/>
    <w:rsid w:val="00D625D6"/>
    <w:rsid w:val="00D62E17"/>
    <w:rsid w:val="00D81087"/>
    <w:rsid w:val="00D81D79"/>
    <w:rsid w:val="00D84571"/>
    <w:rsid w:val="00D879FA"/>
    <w:rsid w:val="00D87F92"/>
    <w:rsid w:val="00D92786"/>
    <w:rsid w:val="00D94777"/>
    <w:rsid w:val="00DA05EE"/>
    <w:rsid w:val="00DA0AB5"/>
    <w:rsid w:val="00DA128A"/>
    <w:rsid w:val="00DA2351"/>
    <w:rsid w:val="00DA50A1"/>
    <w:rsid w:val="00DB3A74"/>
    <w:rsid w:val="00DB5646"/>
    <w:rsid w:val="00DB6E5A"/>
    <w:rsid w:val="00DB7F26"/>
    <w:rsid w:val="00DC268B"/>
    <w:rsid w:val="00DC3777"/>
    <w:rsid w:val="00DC66F7"/>
    <w:rsid w:val="00DC6DF9"/>
    <w:rsid w:val="00DD07C1"/>
    <w:rsid w:val="00DD0E6A"/>
    <w:rsid w:val="00DD3BF1"/>
    <w:rsid w:val="00DD668D"/>
    <w:rsid w:val="00DE1B92"/>
    <w:rsid w:val="00DE3CA3"/>
    <w:rsid w:val="00DE66CF"/>
    <w:rsid w:val="00DF141D"/>
    <w:rsid w:val="00DF1E10"/>
    <w:rsid w:val="00DF2E92"/>
    <w:rsid w:val="00DF348B"/>
    <w:rsid w:val="00DF3F20"/>
    <w:rsid w:val="00DF5312"/>
    <w:rsid w:val="00E0064E"/>
    <w:rsid w:val="00E01E79"/>
    <w:rsid w:val="00E05805"/>
    <w:rsid w:val="00E13D9A"/>
    <w:rsid w:val="00E15ADF"/>
    <w:rsid w:val="00E32D3A"/>
    <w:rsid w:val="00E33F01"/>
    <w:rsid w:val="00E34695"/>
    <w:rsid w:val="00E42FD0"/>
    <w:rsid w:val="00E47752"/>
    <w:rsid w:val="00E52DCE"/>
    <w:rsid w:val="00E53A6C"/>
    <w:rsid w:val="00E53C9A"/>
    <w:rsid w:val="00E55E78"/>
    <w:rsid w:val="00E56413"/>
    <w:rsid w:val="00E56A1A"/>
    <w:rsid w:val="00E66A76"/>
    <w:rsid w:val="00E7411F"/>
    <w:rsid w:val="00E74BA3"/>
    <w:rsid w:val="00E775CB"/>
    <w:rsid w:val="00E80FBC"/>
    <w:rsid w:val="00E84302"/>
    <w:rsid w:val="00E86DED"/>
    <w:rsid w:val="00E92597"/>
    <w:rsid w:val="00E92E96"/>
    <w:rsid w:val="00E9421D"/>
    <w:rsid w:val="00E94330"/>
    <w:rsid w:val="00EA0748"/>
    <w:rsid w:val="00EA132D"/>
    <w:rsid w:val="00EA5F4A"/>
    <w:rsid w:val="00EB05D0"/>
    <w:rsid w:val="00EB61C7"/>
    <w:rsid w:val="00EB62CF"/>
    <w:rsid w:val="00EC13FE"/>
    <w:rsid w:val="00EC4DDB"/>
    <w:rsid w:val="00EC5A5E"/>
    <w:rsid w:val="00ED1899"/>
    <w:rsid w:val="00ED46AF"/>
    <w:rsid w:val="00ED4A6A"/>
    <w:rsid w:val="00EE0B06"/>
    <w:rsid w:val="00EE23C4"/>
    <w:rsid w:val="00EE6E44"/>
    <w:rsid w:val="00EF14AE"/>
    <w:rsid w:val="00EF37BA"/>
    <w:rsid w:val="00EF41A3"/>
    <w:rsid w:val="00EF437B"/>
    <w:rsid w:val="00EF4BFA"/>
    <w:rsid w:val="00F003E7"/>
    <w:rsid w:val="00F00BA6"/>
    <w:rsid w:val="00F00BDC"/>
    <w:rsid w:val="00F01118"/>
    <w:rsid w:val="00F02CB5"/>
    <w:rsid w:val="00F02F0C"/>
    <w:rsid w:val="00F03EB4"/>
    <w:rsid w:val="00F14EDB"/>
    <w:rsid w:val="00F217FA"/>
    <w:rsid w:val="00F21B39"/>
    <w:rsid w:val="00F23D34"/>
    <w:rsid w:val="00F27ABB"/>
    <w:rsid w:val="00F35A19"/>
    <w:rsid w:val="00F37DC4"/>
    <w:rsid w:val="00F41016"/>
    <w:rsid w:val="00F42A97"/>
    <w:rsid w:val="00F45598"/>
    <w:rsid w:val="00F46BCF"/>
    <w:rsid w:val="00F46E19"/>
    <w:rsid w:val="00F50FDA"/>
    <w:rsid w:val="00F573FE"/>
    <w:rsid w:val="00F63A14"/>
    <w:rsid w:val="00F74C22"/>
    <w:rsid w:val="00F82FAA"/>
    <w:rsid w:val="00F86C72"/>
    <w:rsid w:val="00F87883"/>
    <w:rsid w:val="00F933D6"/>
    <w:rsid w:val="00F93B80"/>
    <w:rsid w:val="00F9639E"/>
    <w:rsid w:val="00FA68DC"/>
    <w:rsid w:val="00FA7B89"/>
    <w:rsid w:val="00FC28F8"/>
    <w:rsid w:val="00FC3484"/>
    <w:rsid w:val="00FC59F3"/>
    <w:rsid w:val="00FD5026"/>
    <w:rsid w:val="00FE3C7A"/>
    <w:rsid w:val="00FE5E01"/>
    <w:rsid w:val="00FE6465"/>
    <w:rsid w:val="00FE6A9A"/>
    <w:rsid w:val="01F21F31"/>
    <w:rsid w:val="0450CAD5"/>
    <w:rsid w:val="058A2A22"/>
    <w:rsid w:val="058AC735"/>
    <w:rsid w:val="07A6CB96"/>
    <w:rsid w:val="0B60C36F"/>
    <w:rsid w:val="0C5C0349"/>
    <w:rsid w:val="0CCB0670"/>
    <w:rsid w:val="13CC39D5"/>
    <w:rsid w:val="1AAF2A5D"/>
    <w:rsid w:val="1CDA9545"/>
    <w:rsid w:val="1E79CE01"/>
    <w:rsid w:val="1F3C7416"/>
    <w:rsid w:val="225D7FD0"/>
    <w:rsid w:val="23804221"/>
    <w:rsid w:val="27180109"/>
    <w:rsid w:val="291F675D"/>
    <w:rsid w:val="2B5F68D1"/>
    <w:rsid w:val="3110A9A1"/>
    <w:rsid w:val="3190FF25"/>
    <w:rsid w:val="3CF2BB8F"/>
    <w:rsid w:val="3FDBEA16"/>
    <w:rsid w:val="40220681"/>
    <w:rsid w:val="450CB2EE"/>
    <w:rsid w:val="45379EBA"/>
    <w:rsid w:val="46F9E31C"/>
    <w:rsid w:val="491619D5"/>
    <w:rsid w:val="4E515ABC"/>
    <w:rsid w:val="4F056DA7"/>
    <w:rsid w:val="540B6DC1"/>
    <w:rsid w:val="59985022"/>
    <w:rsid w:val="5B4658F7"/>
    <w:rsid w:val="5E276B26"/>
    <w:rsid w:val="630867C5"/>
    <w:rsid w:val="630A23D9"/>
    <w:rsid w:val="6852564B"/>
    <w:rsid w:val="6ED8084F"/>
    <w:rsid w:val="77E8254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368CE"/>
  <w15:chartTrackingRefBased/>
  <w15:docId w15:val="{12CBF0E1-74F8-4516-B0CB-A5C89835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5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35A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A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A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A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5A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35A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A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A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A19"/>
    <w:rPr>
      <w:rFonts w:eastAsiaTheme="majorEastAsia" w:cstheme="majorBidi"/>
      <w:color w:val="272727" w:themeColor="text1" w:themeTint="D8"/>
    </w:rPr>
  </w:style>
  <w:style w:type="paragraph" w:styleId="Title">
    <w:name w:val="Title"/>
    <w:basedOn w:val="Normal"/>
    <w:next w:val="Normal"/>
    <w:link w:val="TitleChar"/>
    <w:uiPriority w:val="10"/>
    <w:qFormat/>
    <w:rsid w:val="00F35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A19"/>
    <w:pPr>
      <w:spacing w:before="160"/>
      <w:jc w:val="center"/>
    </w:pPr>
    <w:rPr>
      <w:i/>
      <w:iCs/>
      <w:color w:val="404040" w:themeColor="text1" w:themeTint="BF"/>
    </w:rPr>
  </w:style>
  <w:style w:type="character" w:customStyle="1" w:styleId="QuoteChar">
    <w:name w:val="Quote Char"/>
    <w:basedOn w:val="DefaultParagraphFont"/>
    <w:link w:val="Quote"/>
    <w:uiPriority w:val="29"/>
    <w:rsid w:val="00F35A19"/>
    <w:rPr>
      <w:i/>
      <w:iCs/>
      <w:color w:val="404040" w:themeColor="text1" w:themeTint="BF"/>
    </w:rPr>
  </w:style>
  <w:style w:type="paragraph" w:styleId="ListParagraph">
    <w:name w:val="List Paragraph"/>
    <w:basedOn w:val="Normal"/>
    <w:uiPriority w:val="34"/>
    <w:qFormat/>
    <w:rsid w:val="00F35A19"/>
    <w:pPr>
      <w:ind w:left="720"/>
      <w:contextualSpacing/>
    </w:pPr>
  </w:style>
  <w:style w:type="character" w:styleId="IntenseEmphasis">
    <w:name w:val="Intense Emphasis"/>
    <w:basedOn w:val="DefaultParagraphFont"/>
    <w:uiPriority w:val="21"/>
    <w:qFormat/>
    <w:rsid w:val="00F35A19"/>
    <w:rPr>
      <w:i/>
      <w:iCs/>
      <w:color w:val="0F4761" w:themeColor="accent1" w:themeShade="BF"/>
    </w:rPr>
  </w:style>
  <w:style w:type="paragraph" w:styleId="IntenseQuote">
    <w:name w:val="Intense Quote"/>
    <w:basedOn w:val="Normal"/>
    <w:next w:val="Normal"/>
    <w:link w:val="IntenseQuoteChar"/>
    <w:uiPriority w:val="30"/>
    <w:qFormat/>
    <w:rsid w:val="00F35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A19"/>
    <w:rPr>
      <w:i/>
      <w:iCs/>
      <w:color w:val="0F4761" w:themeColor="accent1" w:themeShade="BF"/>
    </w:rPr>
  </w:style>
  <w:style w:type="character" w:styleId="IntenseReference">
    <w:name w:val="Intense Reference"/>
    <w:basedOn w:val="DefaultParagraphFont"/>
    <w:uiPriority w:val="32"/>
    <w:qFormat/>
    <w:rsid w:val="00F35A19"/>
    <w:rPr>
      <w:b/>
      <w:bCs/>
      <w:smallCaps/>
      <w:color w:val="0F4761" w:themeColor="accent1" w:themeShade="BF"/>
      <w:spacing w:val="5"/>
    </w:rPr>
  </w:style>
  <w:style w:type="character" w:styleId="CommentReference">
    <w:name w:val="annotation reference"/>
    <w:uiPriority w:val="99"/>
    <w:semiHidden/>
    <w:unhideWhenUsed/>
    <w:rsid w:val="00F35A19"/>
    <w:rPr>
      <w:sz w:val="16"/>
      <w:szCs w:val="16"/>
    </w:rPr>
  </w:style>
  <w:style w:type="paragraph" w:styleId="CommentText">
    <w:name w:val="annotation text"/>
    <w:basedOn w:val="Normal"/>
    <w:link w:val="CommentTextChar"/>
    <w:uiPriority w:val="99"/>
    <w:unhideWhenUsed/>
    <w:rsid w:val="00F35A19"/>
    <w:pPr>
      <w:spacing w:line="240" w:lineRule="auto"/>
    </w:pPr>
    <w:rPr>
      <w:rFonts w:ascii="Calibri" w:eastAsia="Calibri" w:hAnsi="Calibri" w:cs="Arial"/>
      <w:kern w:val="0"/>
      <w:sz w:val="20"/>
      <w:szCs w:val="20"/>
      <w14:ligatures w14:val="none"/>
    </w:rPr>
  </w:style>
  <w:style w:type="character" w:customStyle="1" w:styleId="CommentTextChar">
    <w:name w:val="Comment Text Char"/>
    <w:basedOn w:val="DefaultParagraphFont"/>
    <w:link w:val="CommentText"/>
    <w:uiPriority w:val="99"/>
    <w:rsid w:val="00F35A19"/>
    <w:rPr>
      <w:rFonts w:ascii="Calibri" w:eastAsia="Calibri" w:hAnsi="Calibri" w:cs="Arial"/>
      <w:kern w:val="0"/>
      <w:sz w:val="20"/>
      <w:szCs w:val="20"/>
      <w14:ligatures w14:val="none"/>
    </w:rPr>
  </w:style>
  <w:style w:type="character" w:styleId="Hyperlink">
    <w:name w:val="Hyperlink"/>
    <w:uiPriority w:val="99"/>
    <w:unhideWhenUsed/>
    <w:rsid w:val="00F35A19"/>
    <w:rPr>
      <w:color w:val="0000FF"/>
      <w:u w:val="single"/>
    </w:rPr>
  </w:style>
  <w:style w:type="paragraph" w:styleId="CommentSubject">
    <w:name w:val="annotation subject"/>
    <w:basedOn w:val="CommentText"/>
    <w:next w:val="CommentText"/>
    <w:link w:val="CommentSubjectChar"/>
    <w:uiPriority w:val="99"/>
    <w:semiHidden/>
    <w:unhideWhenUsed/>
    <w:rsid w:val="00015163"/>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015163"/>
    <w:rPr>
      <w:rFonts w:ascii="Calibri" w:eastAsia="Calibri" w:hAnsi="Calibri" w:cs="Arial"/>
      <w:b/>
      <w:bCs/>
      <w:kern w:val="0"/>
      <w:sz w:val="20"/>
      <w:szCs w:val="20"/>
      <w14:ligatures w14:val="none"/>
    </w:rPr>
  </w:style>
  <w:style w:type="table" w:styleId="TableGrid">
    <w:name w:val="Table Grid"/>
    <w:basedOn w:val="TableNormal"/>
    <w:uiPriority w:val="39"/>
    <w:rsid w:val="003302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1B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21B39"/>
  </w:style>
  <w:style w:type="paragraph" w:styleId="Footer">
    <w:name w:val="footer"/>
    <w:basedOn w:val="Normal"/>
    <w:link w:val="FooterChar"/>
    <w:uiPriority w:val="99"/>
    <w:unhideWhenUsed/>
    <w:rsid w:val="00F21B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21B39"/>
  </w:style>
  <w:style w:type="paragraph" w:styleId="NoSpacing">
    <w:name w:val="No Spacing"/>
    <w:uiPriority w:val="1"/>
    <w:qFormat/>
    <w:rsid w:val="00B43967"/>
    <w:pPr>
      <w:spacing w:after="0" w:line="240" w:lineRule="auto"/>
    </w:pPr>
    <w:rPr>
      <w:kern w:val="0"/>
      <w14:ligatures w14:val="none"/>
    </w:rPr>
  </w:style>
  <w:style w:type="paragraph" w:styleId="Caption">
    <w:name w:val="caption"/>
    <w:basedOn w:val="Normal"/>
    <w:next w:val="Normal"/>
    <w:uiPriority w:val="35"/>
    <w:unhideWhenUsed/>
    <w:qFormat/>
    <w:rsid w:val="00735005"/>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6C0800"/>
    <w:rPr>
      <w:color w:val="666666"/>
    </w:rPr>
  </w:style>
  <w:style w:type="paragraph" w:styleId="Revision">
    <w:name w:val="Revision"/>
    <w:hidden/>
    <w:uiPriority w:val="99"/>
    <w:semiHidden/>
    <w:rsid w:val="00CB0E67"/>
    <w:pPr>
      <w:spacing w:after="0" w:line="240" w:lineRule="auto"/>
    </w:pPr>
  </w:style>
  <w:style w:type="character" w:styleId="UnresolvedMention">
    <w:name w:val="Unresolved Mention"/>
    <w:basedOn w:val="DefaultParagraphFont"/>
    <w:uiPriority w:val="99"/>
    <w:semiHidden/>
    <w:unhideWhenUsed/>
    <w:rsid w:val="00791D14"/>
    <w:rPr>
      <w:color w:val="605E5C"/>
      <w:shd w:val="clear" w:color="auto" w:fill="E1DFDD"/>
    </w:rPr>
  </w:style>
  <w:style w:type="paragraph" w:styleId="FootnoteText">
    <w:name w:val="footnote text"/>
    <w:basedOn w:val="Normal"/>
    <w:link w:val="FootnoteTextChar"/>
    <w:uiPriority w:val="99"/>
    <w:unhideWhenUsed/>
    <w:rsid w:val="003E5AE6"/>
    <w:pPr>
      <w:spacing w:after="0" w:line="240" w:lineRule="auto"/>
    </w:pPr>
    <w:rPr>
      <w:sz w:val="20"/>
      <w:szCs w:val="20"/>
    </w:rPr>
  </w:style>
  <w:style w:type="character" w:customStyle="1" w:styleId="FootnoteTextChar">
    <w:name w:val="Footnote Text Char"/>
    <w:basedOn w:val="DefaultParagraphFont"/>
    <w:link w:val="FootnoteText"/>
    <w:uiPriority w:val="99"/>
    <w:rsid w:val="003E5AE6"/>
    <w:rPr>
      <w:sz w:val="20"/>
      <w:szCs w:val="20"/>
    </w:rPr>
  </w:style>
  <w:style w:type="character" w:styleId="FootnoteReference">
    <w:name w:val="footnote reference"/>
    <w:basedOn w:val="DefaultParagraphFont"/>
    <w:uiPriority w:val="99"/>
    <w:semiHidden/>
    <w:unhideWhenUsed/>
    <w:rsid w:val="003E5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994734">
      <w:bodyDiv w:val="1"/>
      <w:marLeft w:val="0"/>
      <w:marRight w:val="0"/>
      <w:marTop w:val="0"/>
      <w:marBottom w:val="0"/>
      <w:divBdr>
        <w:top w:val="none" w:sz="0" w:space="0" w:color="auto"/>
        <w:left w:val="none" w:sz="0" w:space="0" w:color="auto"/>
        <w:bottom w:val="none" w:sz="0" w:space="0" w:color="auto"/>
        <w:right w:val="none" w:sz="0" w:space="0" w:color="auto"/>
      </w:divBdr>
    </w:div>
    <w:div w:id="713505217">
      <w:bodyDiv w:val="1"/>
      <w:marLeft w:val="0"/>
      <w:marRight w:val="0"/>
      <w:marTop w:val="0"/>
      <w:marBottom w:val="0"/>
      <w:divBdr>
        <w:top w:val="none" w:sz="0" w:space="0" w:color="auto"/>
        <w:left w:val="none" w:sz="0" w:space="0" w:color="auto"/>
        <w:bottom w:val="none" w:sz="0" w:space="0" w:color="auto"/>
        <w:right w:val="none" w:sz="0" w:space="0" w:color="auto"/>
      </w:divBdr>
    </w:div>
    <w:div w:id="1482308475">
      <w:bodyDiv w:val="1"/>
      <w:marLeft w:val="0"/>
      <w:marRight w:val="0"/>
      <w:marTop w:val="0"/>
      <w:marBottom w:val="0"/>
      <w:divBdr>
        <w:top w:val="none" w:sz="0" w:space="0" w:color="auto"/>
        <w:left w:val="none" w:sz="0" w:space="0" w:color="auto"/>
        <w:bottom w:val="none" w:sz="0" w:space="0" w:color="auto"/>
        <w:right w:val="none" w:sz="0" w:space="0" w:color="auto"/>
      </w:divBdr>
    </w:div>
    <w:div w:id="1784494358">
      <w:bodyDiv w:val="1"/>
      <w:marLeft w:val="0"/>
      <w:marRight w:val="0"/>
      <w:marTop w:val="0"/>
      <w:marBottom w:val="0"/>
      <w:divBdr>
        <w:top w:val="none" w:sz="0" w:space="0" w:color="auto"/>
        <w:left w:val="none" w:sz="0" w:space="0" w:color="auto"/>
        <w:bottom w:val="none" w:sz="0" w:space="0" w:color="auto"/>
        <w:right w:val="none" w:sz="0" w:space="0" w:color="auto"/>
      </w:divBdr>
    </w:div>
    <w:div w:id="201753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United_Nations_Conference_on_Trade_and_Develop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ED93-89EC-4765-A6B3-36051D01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974</TotalTime>
  <Pages>7</Pages>
  <Words>10600</Words>
  <Characters>60421</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70880</CharactersWithSpaces>
  <SharedDoc>false</SharedDoc>
  <HLinks>
    <vt:vector size="24" baseType="variant">
      <vt:variant>
        <vt:i4>3342387</vt:i4>
      </vt:variant>
      <vt:variant>
        <vt:i4>39</vt:i4>
      </vt:variant>
      <vt:variant>
        <vt:i4>0</vt:i4>
      </vt:variant>
      <vt:variant>
        <vt:i4>5</vt:i4>
      </vt:variant>
      <vt:variant>
        <vt:lpwstr>https://aid-atlas.org/</vt:lpwstr>
      </vt:variant>
      <vt:variant>
        <vt:lpwstr/>
      </vt:variant>
      <vt:variant>
        <vt:i4>6291519</vt:i4>
      </vt:variant>
      <vt:variant>
        <vt:i4>36</vt:i4>
      </vt:variant>
      <vt:variant>
        <vt:i4>0</vt:i4>
      </vt:variant>
      <vt:variant>
        <vt:i4>5</vt:i4>
      </vt:variant>
      <vt:variant>
        <vt:lpwstr>https://en.wikipedia.org/wiki/United_Nations_Conference_on_Trade_and_Development</vt:lpwstr>
      </vt:variant>
      <vt:variant>
        <vt:lpwstr/>
      </vt:variant>
      <vt:variant>
        <vt:i4>2818063</vt:i4>
      </vt:variant>
      <vt:variant>
        <vt:i4>3</vt:i4>
      </vt:variant>
      <vt:variant>
        <vt:i4>0</vt:i4>
      </vt:variant>
      <vt:variant>
        <vt:i4>5</vt:i4>
      </vt:variant>
      <vt:variant>
        <vt:lpwstr>https://cdn.gihub.org/umbraco/media/5355/g20_roadmap_for_mdbcaf.pdf</vt:lpwstr>
      </vt:variant>
      <vt:variant>
        <vt:lpwstr/>
      </vt:variant>
      <vt:variant>
        <vt:i4>5177451</vt:i4>
      </vt:variant>
      <vt:variant>
        <vt:i4>0</vt:i4>
      </vt:variant>
      <vt:variant>
        <vt:i4>0</vt:i4>
      </vt:variant>
      <vt:variant>
        <vt:i4>5</vt:i4>
      </vt:variant>
      <vt:variant>
        <vt:lpwstr>https://media.odi.org/documents/ODI_WP_fairshare_final0709.pdf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Pauw, Pieter</dc:creator>
  <cp:keywords/>
  <dc:description/>
  <cp:lastModifiedBy>Pauw, Pieter</cp:lastModifiedBy>
  <cp:revision>496</cp:revision>
  <dcterms:created xsi:type="dcterms:W3CDTF">2024-06-08T18:27:00Z</dcterms:created>
  <dcterms:modified xsi:type="dcterms:W3CDTF">2024-06-21T15:31:00Z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b3334cc9-7c9c-342b-ab1a-53d11a49c983</vt:lpwstr>
  </property>
  <property fmtid="{D5CDD505-2E9C-101B-9397-08002B2CF9AE}" pid="4" name="Mendeley Citation Style_1">
    <vt:lpwstr>http://www.zotero.org/styles/current-climate-change-reports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11th edition - Harvard</vt:lpwstr>
  </property>
  <property fmtid="{D5CDD505-2E9C-101B-9397-08002B2CF9AE}" pid="13" name="Mendeley Recent Style Id 4_1">
    <vt:lpwstr>http://www.zotero.org/styles/current-climate-change-reports</vt:lpwstr>
  </property>
  <property fmtid="{D5CDD505-2E9C-101B-9397-08002B2CF9AE}" pid="14" name="Mendeley Recent Style Name 4_1">
    <vt:lpwstr>Current Climate Change Reports</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https://csl.mendeley.com/styles/510525861/springer-basic-author-date</vt:lpwstr>
  </property>
  <property fmtid="{D5CDD505-2E9C-101B-9397-08002B2CF9AE}" pid="24" name="Mendeley Recent Style Name 9_1">
    <vt:lpwstr>Springer - Basic (author-date) - Dipesh Chapagain (REC)</vt:lpwstr>
  </property>
</Properties>
</file>