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EE3" w:rsidRPr="00A422C1" w:rsidRDefault="00CD2EE3" w:rsidP="00CD2EE3">
      <w:pPr>
        <w:pStyle w:val="Heading1"/>
        <w:tabs>
          <w:tab w:val="left" w:pos="4943"/>
        </w:tabs>
      </w:pPr>
      <w:r>
        <w:t>Supplementary Material</w:t>
      </w:r>
      <w:r>
        <w:tab/>
      </w:r>
    </w:p>
    <w:p w:rsidR="00CD2EE3" w:rsidRPr="00A422C1" w:rsidRDefault="00CD2EE3" w:rsidP="00CD2EE3">
      <w:pPr>
        <w:pStyle w:val="Heading2"/>
      </w:pPr>
      <w:r>
        <w:t xml:space="preserve">Online Resource 1. </w:t>
      </w:r>
      <w:r w:rsidRPr="00A422C1">
        <w:t>Initial exploratory set of keywords</w:t>
      </w:r>
      <w:r>
        <w:t xml:space="preserve"> for structured literature review.</w:t>
      </w:r>
    </w:p>
    <w:p w:rsidR="00CD2EE3" w:rsidRPr="00A422C1" w:rsidRDefault="00CD2EE3" w:rsidP="00CD2EE3">
      <w:pPr>
        <w:pStyle w:val="NormalWeb"/>
        <w:spacing w:line="480" w:lineRule="auto"/>
        <w:rPr>
          <w:sz w:val="22"/>
          <w:szCs w:val="22"/>
          <w:lang w:val="en-US"/>
        </w:rPr>
      </w:pPr>
      <w:r w:rsidRPr="00A422C1">
        <w:rPr>
          <w:sz w:val="22"/>
          <w:szCs w:val="22"/>
          <w:lang w:val="en-US"/>
        </w:rPr>
        <w:t>The number of matching papers are given after each set of keywords.</w:t>
      </w:r>
    </w:p>
    <w:p w:rsidR="00CD2EE3" w:rsidRPr="00F00365" w:rsidRDefault="00CD2EE3" w:rsidP="00CD2EE3">
      <w:pPr>
        <w:pStyle w:val="NormalWeb"/>
        <w:numPr>
          <w:ilvl w:val="0"/>
          <w:numId w:val="1"/>
        </w:numPr>
        <w:spacing w:line="480" w:lineRule="auto"/>
        <w:rPr>
          <w:sz w:val="22"/>
          <w:szCs w:val="22"/>
          <w:lang w:val="en-US"/>
        </w:rPr>
      </w:pPr>
      <w:r w:rsidRPr="00F00365">
        <w:rPr>
          <w:sz w:val="22"/>
          <w:szCs w:val="22"/>
          <w:lang w:val="en-US"/>
        </w:rPr>
        <w:t>adaptive forest* management 1429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F00365">
        <w:rPr>
          <w:sz w:val="22"/>
          <w:szCs w:val="22"/>
          <w:lang w:val="en-US"/>
        </w:rPr>
        <w:t>AND lear</w:t>
      </w:r>
      <w:r w:rsidRPr="00A422C1">
        <w:rPr>
          <w:sz w:val="22"/>
          <w:szCs w:val="22"/>
        </w:rPr>
        <w:t>n* 169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>AND optim* 137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>AND “decision support” 54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  <w:lang w:val="en-US"/>
        </w:rPr>
      </w:pPr>
      <w:r w:rsidRPr="00A422C1">
        <w:rPr>
          <w:sz w:val="22"/>
          <w:szCs w:val="22"/>
          <w:lang w:val="en-US"/>
        </w:rPr>
        <w:t>AND (“dynamic programming” OR “dynamic optimization”) 7</w:t>
      </w:r>
    </w:p>
    <w:p w:rsidR="00CD2EE3" w:rsidRPr="00A422C1" w:rsidRDefault="00CD2EE3" w:rsidP="00CD2EE3">
      <w:pPr>
        <w:pStyle w:val="NormalWeb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>forest* "adaptive management" 674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>AND model* 237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 xml:space="preserve">AND learn* 92 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>AND optim* 52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 xml:space="preserve">AND “decision support” 24 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  <w:lang w:val="en-US"/>
        </w:rPr>
      </w:pPr>
      <w:r w:rsidRPr="00A422C1">
        <w:rPr>
          <w:sz w:val="22"/>
          <w:szCs w:val="22"/>
          <w:lang w:val="en-US"/>
        </w:rPr>
        <w:t>AND (“dynamic programming” OR “dynamic optimization”) 3</w:t>
      </w:r>
    </w:p>
    <w:p w:rsidR="00CD2EE3" w:rsidRPr="00A422C1" w:rsidRDefault="00CD2EE3" w:rsidP="00CD2EE3">
      <w:pPr>
        <w:pStyle w:val="NormalWeb"/>
        <w:numPr>
          <w:ilvl w:val="0"/>
          <w:numId w:val="1"/>
        </w:numPr>
        <w:spacing w:line="480" w:lineRule="auto"/>
        <w:rPr>
          <w:sz w:val="22"/>
          <w:szCs w:val="22"/>
          <w:lang w:val="en-US"/>
        </w:rPr>
      </w:pPr>
      <w:r w:rsidRPr="00A422C1">
        <w:rPr>
          <w:sz w:val="22"/>
          <w:szCs w:val="22"/>
          <w:lang w:val="en-US"/>
        </w:rPr>
        <w:t>forest* AND (“dynamic programming” OR “dynamic optimization”) 192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 xml:space="preserve">AND stochastic 57 </w:t>
      </w:r>
    </w:p>
    <w:p w:rsidR="00CD2EE3" w:rsidRPr="00A422C1" w:rsidRDefault="00CD2EE3" w:rsidP="00CD2EE3">
      <w:pPr>
        <w:pStyle w:val="NormalWeb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>“adaptive forest management” 88</w:t>
      </w:r>
    </w:p>
    <w:p w:rsidR="00CD2EE3" w:rsidRPr="00A422C1" w:rsidRDefault="00CD2EE3" w:rsidP="00CD2EE3">
      <w:pPr>
        <w:pStyle w:val="NormalWeb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 xml:space="preserve">forest* bayes* updat* 47 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>AND adapt* 7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>AND optim* 6</w:t>
      </w:r>
    </w:p>
    <w:p w:rsidR="00CD2EE3" w:rsidRPr="00A422C1" w:rsidRDefault="00CD2EE3" w:rsidP="00CD2EE3">
      <w:pPr>
        <w:pStyle w:val="NormalWeb"/>
        <w:numPr>
          <w:ilvl w:val="1"/>
          <w:numId w:val="1"/>
        </w:numPr>
        <w:spacing w:line="480" w:lineRule="auto"/>
        <w:rPr>
          <w:sz w:val="22"/>
          <w:szCs w:val="22"/>
        </w:rPr>
      </w:pPr>
      <w:r w:rsidRPr="00A422C1">
        <w:rPr>
          <w:sz w:val="22"/>
          <w:szCs w:val="22"/>
        </w:rPr>
        <w:t xml:space="preserve">AND manage* 17 </w:t>
      </w:r>
    </w:p>
    <w:p w:rsidR="00CD2EE3" w:rsidRPr="00A422C1" w:rsidRDefault="00CD2EE3" w:rsidP="00CD2EE3">
      <w:r w:rsidRPr="00A422C1">
        <w:br w:type="page"/>
      </w:r>
    </w:p>
    <w:p w:rsidR="00CD2EE3" w:rsidRDefault="00CD2EE3" w:rsidP="00CD2EE3">
      <w:pPr>
        <w:pStyle w:val="Heading2"/>
      </w:pPr>
      <w:r>
        <w:lastRenderedPageBreak/>
        <w:t>Online Resource 2</w:t>
      </w:r>
    </w:p>
    <w:tbl>
      <w:tblPr>
        <w:tblW w:w="1118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9"/>
        <w:gridCol w:w="580"/>
        <w:gridCol w:w="898"/>
        <w:gridCol w:w="1280"/>
        <w:gridCol w:w="1280"/>
        <w:gridCol w:w="1280"/>
        <w:gridCol w:w="1280"/>
        <w:gridCol w:w="1280"/>
        <w:gridCol w:w="1280"/>
        <w:gridCol w:w="1281"/>
      </w:tblGrid>
      <w:tr w:rsidR="00CD2EE3" w:rsidRPr="00467FA8" w:rsidTr="004146DE">
        <w:trPr>
          <w:trHeight w:val="282"/>
        </w:trPr>
        <w:tc>
          <w:tcPr>
            <w:tcW w:w="1118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rPr>
                <w:color w:val="000000"/>
              </w:rPr>
            </w:pPr>
            <w:r w:rsidRPr="00467FA8">
              <w:rPr>
                <w:color w:val="000000"/>
              </w:rPr>
              <w:t xml:space="preserve">Scores for quality of </w:t>
            </w:r>
            <w:r>
              <w:rPr>
                <w:color w:val="000000"/>
              </w:rPr>
              <w:t xml:space="preserve">quantitative </w:t>
            </w:r>
            <w:r w:rsidRPr="00467FA8">
              <w:rPr>
                <w:color w:val="000000"/>
              </w:rPr>
              <w:t>decision support to in</w:t>
            </w:r>
            <w:r>
              <w:rPr>
                <w:color w:val="000000"/>
              </w:rPr>
              <w:t xml:space="preserve">form adaptive forest management </w:t>
            </w:r>
            <w:r w:rsidRPr="003C1E80">
              <w:t>in each of 34 case studies published 2005-2015</w:t>
            </w:r>
            <w:r w:rsidRPr="00467FA8">
              <w:rPr>
                <w:color w:val="000000"/>
              </w:rPr>
              <w:t>.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Case study num.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val="de-AT"/>
              </w:rPr>
            </w:pPr>
          </w:p>
        </w:tc>
        <w:tc>
          <w:tcPr>
            <w:tcW w:w="89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Overall score</w:t>
            </w:r>
          </w:p>
        </w:tc>
        <w:tc>
          <w:tcPr>
            <w:tcW w:w="89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Scores by subtask</w:t>
            </w:r>
          </w:p>
        </w:tc>
      </w:tr>
      <w:tr w:rsidR="00CD2EE3" w:rsidRPr="00467FA8" w:rsidTr="004146DE">
        <w:trPr>
          <w:trHeight w:val="600"/>
        </w:trPr>
        <w:tc>
          <w:tcPr>
            <w:tcW w:w="74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val="de-A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Year</w:t>
            </w:r>
          </w:p>
        </w:tc>
        <w:tc>
          <w:tcPr>
            <w:tcW w:w="8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val="de-AT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Objectives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Options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Uncertainty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Prediction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Optimiz</w:t>
            </w:r>
            <w:r>
              <w:rPr>
                <w:color w:val="000000"/>
                <w:lang w:val="de-AT"/>
              </w:rPr>
              <w:t>-</w:t>
            </w:r>
            <w:r w:rsidRPr="00467FA8">
              <w:rPr>
                <w:color w:val="000000"/>
                <w:lang w:val="de-AT"/>
              </w:rPr>
              <w:t>ation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Stakeholder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Practice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6.25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0.75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8.00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1.75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8.33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0.25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8.33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7.50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3.50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0.25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9.50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0.25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8.33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7.50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0.75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0.25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7.33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1.25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2009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1.75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6.25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6.75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1.75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5.48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7.00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6.25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3.50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1.25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8.33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7.50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6.25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8.00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8.00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1.50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1.25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7.00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8.33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7.50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0.25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1.00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3.17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1.50</w:t>
            </w:r>
          </w:p>
        </w:tc>
      </w:tr>
      <w:tr w:rsidR="00CD2EE3" w:rsidRPr="00467FA8" w:rsidTr="004146DE">
        <w:trPr>
          <w:trHeight w:val="300"/>
        </w:trPr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2015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7.00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2.50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0.00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67FA8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val="de-AT"/>
              </w:rPr>
            </w:pPr>
            <w:r w:rsidRPr="00467FA8">
              <w:rPr>
                <w:color w:val="000000"/>
                <w:lang w:val="de-AT"/>
              </w:rPr>
              <w:t>1.25</w:t>
            </w:r>
          </w:p>
        </w:tc>
      </w:tr>
    </w:tbl>
    <w:p w:rsidR="00CD2EE3" w:rsidRDefault="00CD2EE3" w:rsidP="00CD2EE3">
      <w:pPr>
        <w:spacing w:before="0" w:beforeAutospacing="0" w:after="200" w:afterAutospacing="0" w:line="276" w:lineRule="auto"/>
      </w:pPr>
      <w:r>
        <w:br w:type="page"/>
      </w:r>
    </w:p>
    <w:p w:rsidR="00CD2EE3" w:rsidRDefault="00CD2EE3" w:rsidP="00CD2EE3">
      <w:pPr>
        <w:pStyle w:val="Heading2"/>
      </w:pPr>
      <w:r>
        <w:lastRenderedPageBreak/>
        <w:t>Online Resource 3.  Case studies selected for analysis.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 xml:space="preserve">Backeus S, Eriksson LO, Garcia F. Impact of climate change uncertainty on optimal forest management policies at stand level. Modsim 2005: International Congress on Modelling and Simulation: Advances and Applications for Management and Decision Making: Advances and Applications for Management and Decision Making. 2005:468-74. 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Bogich T, Shea K. A state-dependent model for the optimal management of an invasive metapopulation. Ecol Appl. 2008;18(3):748-61. doi:10.1890/07-0642.1.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Buongiorno J, Zhou M. Further generalization of Faustmann's formula for stochastic interest rates. Journal of Forest Economics. 2011;17(3):248-57. doi:10.1016/j.jfe.2011.03.002.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 xml:space="preserve">Chades I, Bouteiller B. Solving Multiagent Markov Decision Processes: A Forest Management Example. Modsim 2005: International Congress on Modelling and Simulation: Advances and Applications for Management and Decision Making: Advances and Applications for Management and Decision Making. 2005:1594-600. 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Couture S, Reynaud A. Multi-stand forest management under a climatic risk: Do time and risk preferences matter? Environmental Modeling &amp; Assessment. 2008;13(2):181-93. doi:10.1007/s10666-007-9121-7.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Couture S, Reynaud A. Forest management under fire risk when forest carbon sequestration has value. Ecol Econ. 2011;70(11):2002-11. doi:10.1016/j.ecolecon.2011.05.016.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Ferreira L, Constantino MF, Borges JG, Garcia-Gonzalo J. A Stochastic Dynamic Programming Approach to Optimize Short-Rotation Coppice Systems Management Scheduling: An Application to Eucalypt Plantations under Wildfire Risk in Portugal. For Sci. 2012;58(4):353-65. doi:10.5849/forsci.10-084.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Ferreira L, Constantino M, Borges JG. A stochastic approach to optimize Maritime pine (Pinus pinaster Ait.) stand management scheduling under fire risk. An application in Portugal. Ann Oper Res. 2014;219(1):359-77. doi:10.1007/s10479-011-0845-z.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lastRenderedPageBreak/>
        <w:t>Haim D, Plantinga AJ, Thomann E. The optimal time path for carbon abatement and carbon sequestration under uncertainty: The case of stochastic targeted stock. Resource and Energy Economics. 2014;36(1):151-65. doi:10.1016/j.reseneeco.2013.11.006.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Howes AL, Maron M, McAlpine CA. Bayesian Networks and Adaptive Management of Wildlife Habitat. Conserv Biol. 2010;24(4):974-83. doi:10.1111/j.1523-1739.2010.01451.x.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Insley MC, Wirjanto TS. Contrasting two approaches in real options valuation: Contingent claims versus dynamic programming. Journal of Forest Economics. 2010;16(2):157-76. doi:10.1016/j.jfe.2009.11.002.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 xml:space="preserve">Konoshima M, Montgomery CA, Albers HJ, Arthur JL. Spatial-endogenous fire risk and efficient fuel management and timber harvest. Land Economics. 2008;84(3):449-68. 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 xml:space="preserve">Marcot BG, Hohenlohe PA, Morey S, Holmes R, Molina R, Turley MC et al. Characterizing species at risk II: Using Bayesian belief networks as decision support tools to determine species conservation categories under the Northwest Forest Plan. Ecol Soc. 2006;11(2). 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 xml:space="preserve">Moore CT, Conroy MJ. Optimal regeneration planning for old-growth forest: Addressing scientific uncertainty in endangered species recovery through adaptive management. For Sci. 2006;52(2):155-72. 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Nana TA, Lu FD. Adaptive management decision of agroforestry under timber price risk. Journal of Forest Economics. 2013;19(2):162-73. doi:10.1016/j.jfe.2013.01.001.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Nyberg JB, Marcot BG, Sulyma R. Using Bayesian belief networks in adaptive management. Can J For Res. 2006;36(12):3104-16. doi:10.1139/x06-108.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Palma JHN, Paulo JA, Faias SP, Garcia-Gonzalo J, Borges JG, Tome M. Adaptive management and debarking schedule optimization of Quercus suber L. stands under climate change: case study in Chamusca, Portugal. Regional Environmental Change. 2015;15(8):1569-80. doi:10.1007/s10113-015-0818-x.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Piazza A, Pagnoncelli BK. The optimal harvesting problem under price uncertainty. Ann Oper Res. 2014;217(1):425-45. doi:10.1007/s10479-014-1559-9.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lastRenderedPageBreak/>
        <w:t>Piazza A, Pagnoncelli BK. The stochastic Mitra-Wan forestry model: risk neutral and risk averse cases. Journal of Economics. 2015;115(2):175-94. doi:10.1007/s00712-014-0414-4.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Rumpff L, Duncan DH, Vesk PA, Keith DA, Wintle BA. State-and-transition modelling for Adaptive Management of native woodlands. Biol Conserv. 2011;144(4):1224-36. doi:10.1016/j.biocon.2010.10.026.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 xml:space="preserve">Rumpff L, Duncan D, Vesk P, Wintle B. Development of a state-and-transition model to guide investment in woodland vegetation condition. Landscape Logic: Integrating Science for Landscape Management. 2012:157-72. 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 xml:space="preserve">Sabbadin R, Spring D, Bergonnier E. A Reinforcement-Learning Application to Biodiversity Conservation in Costa-Rican Forest. Modsim 2007: International Congress on Modelling and Simulation: Land, Water and Environmental Management: Integrated Systems for Sustainability. 2007:2189-95. 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Shahi S, Pulkki R. A simulation-based optimization approach to integrated inventory management of a sawlog supply chain with demand uncertainty. Can J For Res. 2015;45(10):1313-26. doi:10.1139/cjfr-2014-0373.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Spring D, Kennedy J, Mac Nally R. Optimal management of a flammable forest providing timber and carbon sequestration benefits: an Australian case study. Australian Journal of Agricultural and Resource Economics. 2005;49(3):303-20. doi:10.1111/j.1467-8489.2005.00296.x.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Spring DA, Kennedy JOS. Existence value and optimal timber-wildlife management in a flammable multistand forest. Ecol Econ. 2005;55(3):365-79. doi:10.1016/j.ecolecon.2004.11.012.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Spring DA, Kennedy JOS, Mac Nally R. Optimal management of a forested catchment providing timber and carbon sequestration benefits: Climate change effects. Global Environmental Change-Human and Policy Dimensions. 2005;15(3):281-92. doi:10.1016/j.gloenvcha.2005.04.002.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Spring DA, Kennedy J, Lindenmayer DB, McCarthy MA, Mac Nally R. Optimal management of a flammable multi-stand forest for timber production and maintenance of nesting sites for wildlife. For Ecol Manag. 2008;255(11):3857-65. doi:10.1016/j.foreco.2008.03.033.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lastRenderedPageBreak/>
        <w:t>Strange N, Thorsen BJ, Bladt J. Optimal reserve selection in a dynamic world. Biol Conserv. 2006;131(1):33-41. doi:10.1016/j.biocon.2006.02.002.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 xml:space="preserve">Sturtevant BR, Fall A, Kneeshaw DD, Simon NPP, Papaik MJ, Berninger K et al. A toolkit modeling approach for sustainable forest management planning: Achieving balance between science and local needs. Ecol Soc. 2007;12(2). 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 xml:space="preserve">Tomberlin D. Endangered Seabird Habitat Management as a Partially Observable Markov Decision Process. Marine Resource Economics. 2010;25(1):93-104. 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Yoshimoto A. Threshold price as an economic indicator for sustainable forest management under stochastic log price. J For Res. 2009;14(4):193-202. doi:10.1007/s10310-009-0122-z.</w:t>
      </w:r>
    </w:p>
    <w:p w:rsidR="00CD2EE3" w:rsidRPr="00FD1359" w:rsidRDefault="00CD2EE3" w:rsidP="00CD2EE3">
      <w:pPr>
        <w:rPr>
          <w:noProof/>
        </w:rPr>
      </w:pPr>
      <w:r w:rsidRPr="00FD1359">
        <w:rPr>
          <w:noProof/>
        </w:rPr>
        <w:t>Yousefpour R, Temperli C, Bugmann H, Elkin C, Hanewinkel M, Meilby H et al. Updating beliefs and combining evidence in adaptive forest management under climate change: A case study of Norway spruce (Picea abies L. Karst) in the Black Forest, Germany. J Environ Manag. 2013;122:56-64. doi:10.1016/j.jenvman.2013.03.004.</w:t>
      </w:r>
    </w:p>
    <w:p w:rsidR="00CD2EE3" w:rsidRPr="00D06A43" w:rsidRDefault="00CD2EE3" w:rsidP="00CD2EE3">
      <w:pPr>
        <w:rPr>
          <w:noProof/>
          <w:lang w:val="de-AT"/>
        </w:rPr>
      </w:pPr>
      <w:r w:rsidRPr="00FD1359">
        <w:rPr>
          <w:noProof/>
        </w:rPr>
        <w:t xml:space="preserve">Yousefpour R, Jacobsen JB, Meilby H, Thorsen BJ. Knowledge update in adaptive management of forest resources under climate change: a Bayesian simulation approach. </w:t>
      </w:r>
      <w:r w:rsidRPr="00D06A43">
        <w:rPr>
          <w:noProof/>
          <w:lang w:val="de-AT"/>
        </w:rPr>
        <w:t>Ann For Sci. 2014;71(2):301-12. doi:10.1007/s13595-013-0320-x.</w:t>
      </w:r>
    </w:p>
    <w:p w:rsidR="00CD2EE3" w:rsidRDefault="00CD2EE3" w:rsidP="00CD2EE3">
      <w:pPr>
        <w:pStyle w:val="EndNoteBibliography"/>
        <w:spacing w:after="0"/>
      </w:pPr>
    </w:p>
    <w:p w:rsidR="00CD2EE3" w:rsidRDefault="00CD2EE3" w:rsidP="00CD2EE3">
      <w:pPr>
        <w:spacing w:before="0" w:beforeAutospacing="0" w:after="160" w:afterAutospacing="0" w:line="259" w:lineRule="auto"/>
        <w:rPr>
          <w:u w:val="single"/>
          <w:lang w:eastAsia="en-US"/>
        </w:rPr>
      </w:pPr>
      <w:r>
        <w:rPr>
          <w:lang w:eastAsia="en-US"/>
        </w:rPr>
        <w:br w:type="page"/>
      </w:r>
    </w:p>
    <w:p w:rsidR="00CD2EE3" w:rsidRDefault="00CD2EE3" w:rsidP="00CD2EE3">
      <w:pPr>
        <w:pStyle w:val="Heading2"/>
      </w:pPr>
      <w:r>
        <w:rPr>
          <w:lang w:eastAsia="en-US"/>
        </w:rPr>
        <w:lastRenderedPageBreak/>
        <w:t>Online Resource 4</w:t>
      </w:r>
    </w:p>
    <w:tbl>
      <w:tblPr>
        <w:tblW w:w="70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6"/>
        <w:gridCol w:w="1251"/>
        <w:gridCol w:w="271"/>
        <w:gridCol w:w="3037"/>
        <w:gridCol w:w="900"/>
      </w:tblGrid>
      <w:tr w:rsidR="00CD2EE3" w:rsidRPr="004D2401" w:rsidTr="004146DE">
        <w:trPr>
          <w:trHeight w:val="792"/>
        </w:trPr>
        <w:tc>
          <w:tcPr>
            <w:tcW w:w="70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Focal countries and climatic zones found in</w:t>
            </w:r>
            <w:r>
              <w:rPr>
                <w:color w:val="000000"/>
                <w:lang w:eastAsia="en-US"/>
              </w:rPr>
              <w:t xml:space="preserve"> 34</w:t>
            </w:r>
            <w:r w:rsidRPr="004D2401">
              <w:rPr>
                <w:color w:val="000000"/>
                <w:lang w:eastAsia="en-US"/>
              </w:rPr>
              <w:t xml:space="preserve"> case studies </w:t>
            </w:r>
            <w:r>
              <w:t xml:space="preserve">(published 2005-2015) </w:t>
            </w:r>
            <w:r>
              <w:rPr>
                <w:color w:val="000000"/>
                <w:lang w:eastAsia="en-US"/>
              </w:rPr>
              <w:t>using</w:t>
            </w:r>
            <w:r w:rsidRPr="004D2401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quantitative decision support</w:t>
            </w:r>
            <w:r w:rsidRPr="004D2401">
              <w:rPr>
                <w:color w:val="000000"/>
                <w:lang w:eastAsia="en-US"/>
              </w:rPr>
              <w:t xml:space="preserve"> to in</w:t>
            </w:r>
            <w:r>
              <w:rPr>
                <w:color w:val="000000"/>
                <w:lang w:eastAsia="en-US"/>
              </w:rPr>
              <w:t>form adaptive forest management</w:t>
            </w:r>
            <w:r w:rsidRPr="004D2401">
              <w:rPr>
                <w:color w:val="000000"/>
                <w:lang w:eastAsia="en-US"/>
              </w:rPr>
              <w:t>.</w:t>
            </w:r>
          </w:p>
        </w:tc>
      </w:tr>
      <w:tr w:rsidR="00CD2EE3" w:rsidRPr="004D2401" w:rsidTr="004146DE">
        <w:trPr>
          <w:trHeight w:val="900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Country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Num. case studies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 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Climate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Num. case studies</w:t>
            </w: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Australia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Arid,</w:t>
            </w:r>
            <w:r>
              <w:rPr>
                <w:color w:val="000000"/>
                <w:lang w:eastAsia="en-US"/>
              </w:rPr>
              <w:t xml:space="preserve"> </w:t>
            </w:r>
            <w:r w:rsidRPr="004D2401">
              <w:rPr>
                <w:color w:val="000000"/>
                <w:lang w:eastAsia="en-US"/>
              </w:rPr>
              <w:t>steppe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2</w:t>
            </w: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Canada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Cold,</w:t>
            </w:r>
            <w:r>
              <w:rPr>
                <w:color w:val="000000"/>
                <w:lang w:eastAsia="en-US"/>
              </w:rPr>
              <w:t xml:space="preserve"> </w:t>
            </w:r>
            <w:r w:rsidRPr="004D2401">
              <w:rPr>
                <w:color w:val="000000"/>
                <w:lang w:eastAsia="en-US"/>
              </w:rPr>
              <w:t>without dry season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3</w:t>
            </w: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China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Temperate,</w:t>
            </w:r>
            <w:r>
              <w:rPr>
                <w:color w:val="000000"/>
                <w:lang w:eastAsia="en-US"/>
              </w:rPr>
              <w:t xml:space="preserve"> </w:t>
            </w:r>
            <w:r w:rsidRPr="004D2401">
              <w:rPr>
                <w:color w:val="000000"/>
                <w:lang w:eastAsia="en-US"/>
              </w:rPr>
              <w:t>dry summer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7</w:t>
            </w: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Costa Rica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Temperate,</w:t>
            </w:r>
            <w:r>
              <w:rPr>
                <w:color w:val="000000"/>
                <w:lang w:eastAsia="en-US"/>
              </w:rPr>
              <w:t xml:space="preserve"> </w:t>
            </w:r>
            <w:r w:rsidRPr="004D2401">
              <w:rPr>
                <w:color w:val="000000"/>
                <w:lang w:eastAsia="en-US"/>
              </w:rPr>
              <w:t>dry winter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1</w:t>
            </w: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France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Temperate,</w:t>
            </w:r>
            <w:r>
              <w:rPr>
                <w:color w:val="000000"/>
                <w:lang w:eastAsia="en-US"/>
              </w:rPr>
              <w:t xml:space="preserve"> </w:t>
            </w:r>
            <w:r w:rsidRPr="004D2401">
              <w:rPr>
                <w:color w:val="000000"/>
                <w:lang w:eastAsia="en-US"/>
              </w:rPr>
              <w:t>without dry season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15</w:t>
            </w: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Germany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Tropical,</w:t>
            </w:r>
            <w:r>
              <w:rPr>
                <w:color w:val="000000"/>
                <w:lang w:eastAsia="en-US"/>
              </w:rPr>
              <w:t xml:space="preserve"> </w:t>
            </w:r>
            <w:r w:rsidRPr="004D2401">
              <w:rPr>
                <w:color w:val="000000"/>
                <w:lang w:eastAsia="en-US"/>
              </w:rPr>
              <w:t>rainforest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1</w:t>
            </w: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Japan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Not specified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7</w:t>
            </w: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Netherlands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Portugal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Sweden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United States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CD2EE3" w:rsidRPr="004D2401" w:rsidTr="004146DE">
        <w:trPr>
          <w:trHeight w:val="300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Not specified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right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 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2EE3" w:rsidRPr="004D2401" w:rsidRDefault="00CD2EE3" w:rsidP="004146DE">
            <w:pPr>
              <w:spacing w:before="0" w:beforeAutospacing="0" w:after="0" w:afterAutospacing="0" w:line="240" w:lineRule="auto"/>
              <w:jc w:val="center"/>
              <w:rPr>
                <w:color w:val="000000"/>
                <w:lang w:eastAsia="en-US"/>
              </w:rPr>
            </w:pPr>
            <w:r w:rsidRPr="004D2401">
              <w:rPr>
                <w:color w:val="000000"/>
                <w:lang w:eastAsia="en-US"/>
              </w:rPr>
              <w:t> </w:t>
            </w:r>
          </w:p>
        </w:tc>
      </w:tr>
    </w:tbl>
    <w:p w:rsidR="00CD2EE3" w:rsidRDefault="00CD2EE3" w:rsidP="00CD2EE3">
      <w:pPr>
        <w:spacing w:before="0" w:beforeAutospacing="0" w:after="200" w:afterAutospacing="0" w:line="276" w:lineRule="auto"/>
      </w:pPr>
      <w:r>
        <w:br w:type="page"/>
      </w:r>
    </w:p>
    <w:p w:rsidR="00CD2EE3" w:rsidRDefault="00CD2EE3" w:rsidP="00CD2EE3">
      <w:pPr>
        <w:spacing w:before="0" w:beforeAutospacing="0" w:after="200" w:afterAutospacing="0" w:line="276" w:lineRule="auto"/>
        <w:rPr>
          <w:u w:val="single"/>
        </w:rPr>
      </w:pPr>
    </w:p>
    <w:p w:rsidR="00CD2EE3" w:rsidRPr="00A422C1" w:rsidRDefault="00CD2EE3" w:rsidP="00CD2EE3">
      <w:pPr>
        <w:pStyle w:val="Heading2"/>
      </w:pPr>
      <w:r>
        <w:t>Online Resource 5</w:t>
      </w:r>
    </w:p>
    <w:p w:rsidR="00CD2EE3" w:rsidRPr="00A422C1" w:rsidRDefault="00CD2EE3" w:rsidP="00CD2EE3">
      <w:pPr>
        <w:rPr>
          <w:noProof/>
        </w:rPr>
      </w:pPr>
      <w:r w:rsidRPr="00A422C1">
        <w:t xml:space="preserve">Histogram showing the frequency by which each numbers of possible clusters </w:t>
      </w:r>
      <w:r>
        <w:t xml:space="preserve">of scores </w:t>
      </w:r>
      <w:r w:rsidRPr="00A422C1">
        <w:t>were identified as optimal across 30 independent methods, with the maximum number of clusters set a priori to 10.</w:t>
      </w:r>
      <w:r>
        <w:t xml:space="preserve">  </w:t>
      </w:r>
      <w:r w:rsidRPr="00AE7BE8">
        <w:t xml:space="preserve">Scores </w:t>
      </w:r>
      <w:r>
        <w:t>represented</w:t>
      </w:r>
      <w:r w:rsidRPr="00AE7BE8">
        <w:t xml:space="preserve"> quality of </w:t>
      </w:r>
      <w:r>
        <w:t>quantitative decision support</w:t>
      </w:r>
      <w:r w:rsidRPr="00AE7BE8">
        <w:t xml:space="preserve"> to in</w:t>
      </w:r>
      <w:r>
        <w:t xml:space="preserve">form adaptive forest management </w:t>
      </w:r>
      <w:r w:rsidRPr="003C1E80">
        <w:t>in each of 34 case studies published 2005-2015</w:t>
      </w:r>
      <w:r>
        <w:t>.</w:t>
      </w:r>
    </w:p>
    <w:p w:rsidR="00CD2EE3" w:rsidRDefault="00CD2EE3" w:rsidP="00CD2EE3">
      <w:r w:rsidRPr="00A422C1">
        <w:rPr>
          <w:noProof/>
          <w:lang w:eastAsia="en-US"/>
        </w:rPr>
        <w:drawing>
          <wp:inline distT="0" distB="0" distL="0" distR="0" wp14:anchorId="599D1D43" wp14:editId="7B786768">
            <wp:extent cx="6858000" cy="635747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35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EE3" w:rsidRPr="00296907" w:rsidRDefault="00CD2EE3" w:rsidP="00CD2EE3"/>
    <w:p w:rsidR="00D47C73" w:rsidRDefault="00D47C73">
      <w:bookmarkStart w:id="0" w:name="_GoBack"/>
      <w:bookmarkEnd w:id="0"/>
    </w:p>
    <w:sectPr w:rsidR="00D47C73" w:rsidSect="002B3D5B">
      <w:pgSz w:w="12240" w:h="15840"/>
      <w:pgMar w:top="720" w:right="720" w:bottom="720" w:left="720" w:header="0" w:footer="720" w:gutter="0"/>
      <w:lnNumType w:countBy="1" w:restart="continuous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03207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EE3"/>
    <w:rsid w:val="00CD2EE3"/>
    <w:rsid w:val="00D4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0CB8D-8CE3-4E92-A483-EDB397DF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EE3"/>
    <w:pPr>
      <w:spacing w:before="100" w:beforeAutospacing="1" w:after="100" w:afterAutospacing="1" w:line="480" w:lineRule="auto"/>
    </w:pPr>
    <w:rPr>
      <w:rFonts w:ascii="Times New Roman" w:eastAsia="Times New Roman" w:hAnsi="Times New Roman" w:cs="Times New Roman"/>
      <w:lang w:eastAsia="de-AT"/>
    </w:rPr>
  </w:style>
  <w:style w:type="paragraph" w:styleId="Heading1">
    <w:name w:val="heading 1"/>
    <w:basedOn w:val="Normal"/>
    <w:next w:val="Normal"/>
    <w:link w:val="Heading1Char"/>
    <w:qFormat/>
    <w:rsid w:val="00CD2EE3"/>
    <w:pPr>
      <w:spacing w:after="20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CD2EE3"/>
    <w:pPr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2EE3"/>
    <w:rPr>
      <w:rFonts w:ascii="Times New Roman" w:eastAsia="Times New Roman" w:hAnsi="Times New Roman" w:cs="Times New Roman"/>
      <w:b/>
      <w:lang w:eastAsia="de-AT"/>
    </w:rPr>
  </w:style>
  <w:style w:type="character" w:customStyle="1" w:styleId="Heading2Char">
    <w:name w:val="Heading 2 Char"/>
    <w:basedOn w:val="DefaultParagraphFont"/>
    <w:link w:val="Heading2"/>
    <w:rsid w:val="00CD2EE3"/>
    <w:rPr>
      <w:rFonts w:ascii="Times New Roman" w:eastAsia="Times New Roman" w:hAnsi="Times New Roman" w:cs="Times New Roman"/>
      <w:u w:val="single"/>
      <w:lang w:eastAsia="de-AT"/>
    </w:rPr>
  </w:style>
  <w:style w:type="paragraph" w:styleId="NormalWeb">
    <w:name w:val="Normal (Web)"/>
    <w:basedOn w:val="Normal"/>
    <w:uiPriority w:val="99"/>
    <w:unhideWhenUsed/>
    <w:rsid w:val="00CD2EE3"/>
    <w:pPr>
      <w:spacing w:line="240" w:lineRule="auto"/>
    </w:pPr>
    <w:rPr>
      <w:sz w:val="24"/>
      <w:szCs w:val="24"/>
      <w:lang w:val="de-AT"/>
    </w:rPr>
  </w:style>
  <w:style w:type="paragraph" w:customStyle="1" w:styleId="EndNoteBibliography">
    <w:name w:val="EndNote Bibliography"/>
    <w:basedOn w:val="Normal"/>
    <w:link w:val="EndNoteBibliographyChar"/>
    <w:rsid w:val="00CD2EE3"/>
    <w:pPr>
      <w:spacing w:line="240" w:lineRule="auto"/>
    </w:pPr>
    <w:rPr>
      <w:noProof/>
      <w:szCs w:val="20"/>
      <w:lang w:val="de-AT"/>
    </w:rPr>
  </w:style>
  <w:style w:type="character" w:customStyle="1" w:styleId="EndNoteBibliographyChar">
    <w:name w:val="EndNote Bibliography Char"/>
    <w:basedOn w:val="DefaultParagraphFont"/>
    <w:link w:val="EndNoteBibliography"/>
    <w:rsid w:val="00CD2EE3"/>
    <w:rPr>
      <w:rFonts w:ascii="Times New Roman" w:eastAsia="Times New Roman" w:hAnsi="Times New Roman" w:cs="Times New Roman"/>
      <w:noProof/>
      <w:szCs w:val="20"/>
      <w:lang w:val="de-AT" w:eastAsia="de-AT"/>
    </w:rPr>
  </w:style>
  <w:style w:type="character" w:styleId="LineNumber">
    <w:name w:val="line number"/>
    <w:basedOn w:val="DefaultParagraphFont"/>
    <w:uiPriority w:val="99"/>
    <w:semiHidden/>
    <w:unhideWhenUsed/>
    <w:rsid w:val="00CD2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1609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Mattsson</dc:creator>
  <cp:keywords/>
  <dc:description/>
  <cp:lastModifiedBy>Brady Mattsson</cp:lastModifiedBy>
  <cp:revision>1</cp:revision>
  <dcterms:created xsi:type="dcterms:W3CDTF">2018-07-12T08:39:00Z</dcterms:created>
  <dcterms:modified xsi:type="dcterms:W3CDTF">2018-07-12T08:39:00Z</dcterms:modified>
</cp:coreProperties>
</file>