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BCC" w:rsidRPr="00FB3373" w:rsidRDefault="00601BCC" w:rsidP="00601BCC">
      <w:pPr>
        <w:pStyle w:val="Heading3"/>
        <w:keepNext w:val="0"/>
        <w:keepLines w:val="0"/>
        <w:widowControl w:val="0"/>
      </w:pPr>
      <w:r w:rsidRPr="00FB3373">
        <w:t>Electronic supplementary material</w:t>
      </w:r>
    </w:p>
    <w:p w:rsidR="00601BCC" w:rsidRPr="00FB3373" w:rsidRDefault="00601BCC" w:rsidP="00601BCC">
      <w:pPr>
        <w:pStyle w:val="Heading4"/>
        <w:keepNext w:val="0"/>
        <w:keepLines w:val="0"/>
        <w:widowControl w:val="0"/>
      </w:pPr>
      <w:r w:rsidRPr="00FB3373">
        <w:t>ESM 1 (Detailed description of the approach and literature search/selection)</w:t>
      </w:r>
    </w:p>
    <w:p w:rsidR="00601BCC" w:rsidRPr="00FB3373" w:rsidRDefault="00601BCC" w:rsidP="00601BCC">
      <w:pPr>
        <w:widowControl w:val="0"/>
        <w:spacing w:before="240"/>
        <w:rPr>
          <w:lang w:val="en-US"/>
        </w:rPr>
      </w:pPr>
    </w:p>
    <w:p w:rsidR="00601BCC" w:rsidRPr="00FB3373" w:rsidRDefault="00601BCC" w:rsidP="00601BCC">
      <w:pPr>
        <w:widowControl w:val="0"/>
        <w:rPr>
          <w:b/>
          <w:smallCaps/>
          <w:sz w:val="26"/>
          <w:szCs w:val="26"/>
          <w:lang w:val="en-US"/>
        </w:rPr>
      </w:pPr>
      <w:r w:rsidRPr="00FB3373">
        <w:rPr>
          <w:b/>
          <w:smallCaps/>
          <w:sz w:val="26"/>
          <w:szCs w:val="26"/>
          <w:lang w:val="en-US"/>
        </w:rPr>
        <w:t>ESM 1: Detailed description of the approach and literature search/selection</w:t>
      </w:r>
    </w:p>
    <w:p w:rsidR="00601BCC" w:rsidRPr="00FB3373" w:rsidRDefault="00601BCC" w:rsidP="00601BCC">
      <w:pPr>
        <w:widowControl w:val="0"/>
        <w:rPr>
          <w:rFonts w:cstheme="minorHAnsi"/>
          <w:b/>
          <w:lang w:val="en-US"/>
        </w:rPr>
      </w:pPr>
    </w:p>
    <w:p w:rsidR="00601BCC" w:rsidRPr="00FB3373" w:rsidRDefault="00601BCC" w:rsidP="00601BCC">
      <w:pPr>
        <w:widowControl w:val="0"/>
        <w:rPr>
          <w:rFonts w:cstheme="minorHAnsi"/>
          <w:b/>
          <w:lang w:val="en-US"/>
        </w:rPr>
      </w:pPr>
      <w:bookmarkStart w:id="0" w:name="_Hlk46767104"/>
      <w:r w:rsidRPr="00FB3373">
        <w:rPr>
          <w:rFonts w:cstheme="minorHAnsi"/>
          <w:b/>
          <w:lang w:val="en-US"/>
        </w:rPr>
        <w:t xml:space="preserve">Ad (1) from the methods section: </w:t>
      </w:r>
      <w:r w:rsidRPr="00FB3373">
        <w:rPr>
          <w:b/>
          <w:lang w:val="en-US"/>
        </w:rPr>
        <w:t>Commercial uses of lignin presented in scientific papers in which natural sciences and technology approaches were used</w:t>
      </w:r>
    </w:p>
    <w:p w:rsidR="00601BCC" w:rsidRPr="00FB3373" w:rsidRDefault="00601BCC" w:rsidP="00601BCC">
      <w:pPr>
        <w:widowControl w:val="0"/>
        <w:rPr>
          <w:rFonts w:cstheme="minorHAnsi"/>
          <w:lang w:val="en-US"/>
        </w:rPr>
      </w:pPr>
      <w:r w:rsidRPr="00FB3373">
        <w:rPr>
          <w:rFonts w:cstheme="minorHAnsi"/>
          <w:lang w:val="en-US"/>
        </w:rPr>
        <w:t>In order to identify general assumptions about lignin, which are often made by the authors of papers and books who did not use market-based approaches, a snowball technique was applied. A number of technology-focused papers and books about lignin were selected randomly, and the statements made therein were reviewed and noted; where references were provided for the statements, these have also been reviewed. To emphasize current developments, 11 frequently cited and technology-focused papers from the year 2019 were added, and statements therein were also identified. We stopped the search once these were frequently repeated and saturation occurred, resulting in a total of 81 papers and books identified. The ten most frequently mentioned statements about lignin use were collected (altogether these occurred in 50 out of the 81 literature sources); these are shown in Table S.1.</w:t>
      </w:r>
    </w:p>
    <w:p w:rsidR="00601BCC" w:rsidRPr="00FB3373" w:rsidRDefault="00601BCC" w:rsidP="00601BCC">
      <w:pPr>
        <w:pStyle w:val="Caption"/>
        <w:widowControl w:val="0"/>
        <w:rPr>
          <w:lang w:val="en-US"/>
        </w:rPr>
      </w:pPr>
      <w:r w:rsidRPr="00FB3373">
        <w:rPr>
          <w:lang w:val="en-US"/>
        </w:rPr>
        <w:t xml:space="preserve">Table S. </w:t>
      </w:r>
      <w:r w:rsidRPr="00FB3373">
        <w:rPr>
          <w:lang w:val="en-US"/>
        </w:rPr>
        <w:fldChar w:fldCharType="begin"/>
      </w:r>
      <w:r w:rsidRPr="00FB3373">
        <w:rPr>
          <w:lang w:val="en-US"/>
        </w:rPr>
        <w:instrText xml:space="preserve"> SEQ Table_S. \* ARABIC </w:instrText>
      </w:r>
      <w:r w:rsidRPr="00FB3373">
        <w:rPr>
          <w:lang w:val="en-US"/>
        </w:rPr>
        <w:fldChar w:fldCharType="separate"/>
      </w:r>
      <w:r w:rsidRPr="00FB3373">
        <w:rPr>
          <w:noProof/>
          <w:lang w:val="en-US"/>
        </w:rPr>
        <w:t>1</w:t>
      </w:r>
      <w:r w:rsidRPr="00FB3373">
        <w:rPr>
          <w:lang w:val="en-US"/>
        </w:rPr>
        <w:fldChar w:fldCharType="end"/>
      </w:r>
      <w:r w:rsidRPr="00FB3373">
        <w:rPr>
          <w:lang w:val="en-US"/>
        </w:rPr>
        <w:t>: Market-related statements on lignin commonly found in papers (natural sciences and technology areas)</w:t>
      </w:r>
    </w:p>
    <w:tbl>
      <w:tblPr>
        <w:tblStyle w:val="TableGrid"/>
        <w:tblW w:w="9067" w:type="dxa"/>
        <w:tblLook w:val="04A0" w:firstRow="1" w:lastRow="0" w:firstColumn="1" w:lastColumn="0" w:noHBand="0" w:noVBand="1"/>
      </w:tblPr>
      <w:tblGrid>
        <w:gridCol w:w="5098"/>
        <w:gridCol w:w="3544"/>
        <w:gridCol w:w="425"/>
      </w:tblGrid>
      <w:tr w:rsidR="00601BCC" w:rsidRPr="00FB3373" w:rsidTr="00CC0095">
        <w:tc>
          <w:tcPr>
            <w:tcW w:w="5098" w:type="dxa"/>
          </w:tcPr>
          <w:p w:rsidR="00601BCC" w:rsidRPr="00FB3373" w:rsidRDefault="00601BCC" w:rsidP="00CC0095">
            <w:pPr>
              <w:widowControl w:val="0"/>
              <w:rPr>
                <w:rFonts w:cstheme="minorHAnsi"/>
                <w:b/>
                <w:bCs/>
                <w:smallCaps/>
                <w:sz w:val="18"/>
                <w:szCs w:val="18"/>
                <w:lang w:val="en-US"/>
              </w:rPr>
            </w:pPr>
            <w:r w:rsidRPr="00FB3373">
              <w:rPr>
                <w:rFonts w:cstheme="minorHAnsi"/>
                <w:b/>
                <w:bCs/>
                <w:smallCaps/>
                <w:sz w:val="18"/>
                <w:szCs w:val="18"/>
                <w:lang w:val="en-US"/>
              </w:rPr>
              <w:t>Statements (the gist of the matter)</w:t>
            </w:r>
          </w:p>
        </w:tc>
        <w:tc>
          <w:tcPr>
            <w:tcW w:w="3544" w:type="dxa"/>
          </w:tcPr>
          <w:p w:rsidR="00601BCC" w:rsidRPr="00FB3373" w:rsidRDefault="00601BCC" w:rsidP="00CC0095">
            <w:pPr>
              <w:widowControl w:val="0"/>
              <w:rPr>
                <w:rFonts w:cstheme="minorHAnsi"/>
                <w:b/>
                <w:bCs/>
                <w:smallCaps/>
                <w:sz w:val="18"/>
                <w:szCs w:val="18"/>
                <w:lang w:val="en-US"/>
              </w:rPr>
            </w:pPr>
            <w:r w:rsidRPr="00FB3373">
              <w:rPr>
                <w:rFonts w:cstheme="minorHAnsi"/>
                <w:b/>
                <w:bCs/>
                <w:smallCaps/>
                <w:sz w:val="18"/>
                <w:szCs w:val="18"/>
                <w:lang w:val="en-US"/>
              </w:rPr>
              <w:t>References</w:t>
            </w:r>
          </w:p>
        </w:tc>
        <w:tc>
          <w:tcPr>
            <w:tcW w:w="425" w:type="dxa"/>
          </w:tcPr>
          <w:p w:rsidR="00601BCC" w:rsidRPr="00FB3373" w:rsidRDefault="00601BCC" w:rsidP="00CC0095">
            <w:pPr>
              <w:widowControl w:val="0"/>
              <w:rPr>
                <w:rFonts w:cstheme="minorHAnsi"/>
                <w:b/>
                <w:bCs/>
                <w:smallCaps/>
                <w:sz w:val="18"/>
                <w:szCs w:val="18"/>
                <w:lang w:val="en-US"/>
              </w:rPr>
            </w:pPr>
            <w:r w:rsidRPr="00FB3373">
              <w:rPr>
                <w:rFonts w:cstheme="minorHAnsi"/>
                <w:b/>
                <w:bCs/>
                <w:smallCaps/>
                <w:sz w:val="18"/>
                <w:szCs w:val="18"/>
                <w:lang w:val="en-US"/>
              </w:rPr>
              <w:t>∑</w:t>
            </w:r>
          </w:p>
        </w:tc>
      </w:tr>
      <w:tr w:rsidR="00601BCC" w:rsidRPr="00FB3373" w:rsidTr="00CC0095">
        <w:tc>
          <w:tcPr>
            <w:tcW w:w="5098" w:type="dxa"/>
          </w:tcPr>
          <w:p w:rsidR="00601BCC" w:rsidRPr="00FB3373" w:rsidRDefault="00601BCC" w:rsidP="00CC0095">
            <w:pPr>
              <w:widowControl w:val="0"/>
              <w:rPr>
                <w:rFonts w:cstheme="minorHAnsi"/>
                <w:b/>
                <w:sz w:val="18"/>
                <w:szCs w:val="18"/>
                <w:lang w:val="en-US"/>
              </w:rPr>
            </w:pPr>
            <w:r w:rsidRPr="00FB3373">
              <w:rPr>
                <w:rFonts w:cstheme="minorHAnsi"/>
                <w:b/>
                <w:sz w:val="18"/>
                <w:szCs w:val="18"/>
                <w:lang w:val="en-US"/>
              </w:rPr>
              <w:t>Lignin is a very abundant resource.</w:t>
            </w:r>
          </w:p>
        </w:tc>
        <w:tc>
          <w:tcPr>
            <w:tcW w:w="3544" w:type="dxa"/>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[S.2, S.4, S.5, S.6, S.8, S.9, S.10, S.12, S.13, S.14, S.18, S.20, S.21, S.24, S.25, S.26, S.27, S.28, S.29, S.30, S.32, S.33, S.34, S.35, S.36, S.37, S.38, S.39, S.40, S.41, S.42, S.43 S.44, S.45]</w:t>
            </w:r>
          </w:p>
        </w:tc>
        <w:tc>
          <w:tcPr>
            <w:tcW w:w="425" w:type="dxa"/>
          </w:tcPr>
          <w:p w:rsidR="00601BCC" w:rsidRPr="00FB3373" w:rsidRDefault="00601BCC" w:rsidP="00CC0095">
            <w:pPr>
              <w:widowControl w:val="0"/>
              <w:jc w:val="right"/>
              <w:rPr>
                <w:rFonts w:cstheme="minorHAnsi"/>
                <w:sz w:val="18"/>
                <w:szCs w:val="18"/>
                <w:lang w:val="en-US"/>
              </w:rPr>
            </w:pPr>
            <w:r w:rsidRPr="00FB3373">
              <w:rPr>
                <w:rFonts w:cstheme="minorHAnsi"/>
                <w:sz w:val="18"/>
                <w:szCs w:val="18"/>
                <w:lang w:val="en-US"/>
              </w:rPr>
              <w:t>34</w:t>
            </w:r>
          </w:p>
        </w:tc>
      </w:tr>
      <w:tr w:rsidR="00601BCC" w:rsidRPr="00FB3373" w:rsidTr="00CC0095">
        <w:tc>
          <w:tcPr>
            <w:tcW w:w="5098" w:type="dxa"/>
          </w:tcPr>
          <w:p w:rsidR="00601BCC" w:rsidRPr="00FB3373" w:rsidRDefault="00601BCC" w:rsidP="00CC0095">
            <w:pPr>
              <w:widowControl w:val="0"/>
              <w:rPr>
                <w:rFonts w:cstheme="minorHAnsi"/>
                <w:b/>
                <w:sz w:val="18"/>
                <w:szCs w:val="18"/>
                <w:lang w:val="en-US"/>
              </w:rPr>
            </w:pPr>
            <w:r w:rsidRPr="00FB3373">
              <w:rPr>
                <w:rFonts w:cstheme="minorHAnsi"/>
                <w:b/>
                <w:sz w:val="18"/>
                <w:szCs w:val="18"/>
                <w:lang w:val="en-US"/>
              </w:rPr>
              <w:t>Currently, the market for lignin is limited (heat and power, vanillin, lignosulphonates, niche markets).</w:t>
            </w:r>
          </w:p>
        </w:tc>
        <w:tc>
          <w:tcPr>
            <w:tcW w:w="3544" w:type="dxa"/>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[S.1, S.2, S.3, S.4, S.5, S.6, S.7, S.8, S.9, S.10, S.11, S.12, S.13, S.14, S.15, S.16, S.17, S.18, S.19, S.20, S.21, S.22, S.23, S.24, S.25, S.26, S.27, S.28, S.29, S.30, S.31, S.32]</w:t>
            </w:r>
          </w:p>
        </w:tc>
        <w:tc>
          <w:tcPr>
            <w:tcW w:w="425" w:type="dxa"/>
          </w:tcPr>
          <w:p w:rsidR="00601BCC" w:rsidRPr="00FB3373" w:rsidRDefault="00601BCC" w:rsidP="00CC0095">
            <w:pPr>
              <w:widowControl w:val="0"/>
              <w:jc w:val="right"/>
              <w:rPr>
                <w:rFonts w:cstheme="minorHAnsi"/>
                <w:sz w:val="18"/>
                <w:szCs w:val="18"/>
                <w:lang w:val="en-US"/>
              </w:rPr>
            </w:pPr>
            <w:r w:rsidRPr="00FB3373">
              <w:rPr>
                <w:rFonts w:cstheme="minorHAnsi"/>
                <w:sz w:val="18"/>
                <w:szCs w:val="18"/>
                <w:lang w:val="en-US"/>
              </w:rPr>
              <w:t>32</w:t>
            </w:r>
          </w:p>
        </w:tc>
      </w:tr>
      <w:tr w:rsidR="00601BCC" w:rsidRPr="00FB3373" w:rsidTr="00CC0095">
        <w:tc>
          <w:tcPr>
            <w:tcW w:w="5098" w:type="dxa"/>
          </w:tcPr>
          <w:p w:rsidR="00601BCC" w:rsidRPr="00FB3373" w:rsidRDefault="00601BCC" w:rsidP="00CC0095">
            <w:pPr>
              <w:widowControl w:val="0"/>
              <w:rPr>
                <w:rFonts w:cstheme="minorHAnsi"/>
                <w:b/>
                <w:sz w:val="18"/>
                <w:szCs w:val="18"/>
                <w:lang w:val="en-US"/>
              </w:rPr>
            </w:pPr>
            <w:r w:rsidRPr="00FB3373">
              <w:rPr>
                <w:rFonts w:cstheme="minorHAnsi"/>
                <w:b/>
                <w:sz w:val="18"/>
                <w:szCs w:val="18"/>
                <w:lang w:val="en-US"/>
              </w:rPr>
              <w:t>There is a barrier to lignin utilization, and lignin valorization is a challenge for several reasons</w:t>
            </w:r>
          </w:p>
        </w:tc>
        <w:tc>
          <w:tcPr>
            <w:tcW w:w="3544" w:type="dxa"/>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[S.1, S.5, S.6, S.9, S.10, S.12, S.14, S.15, S.18, S.21, S.24, S.25, S.26, S.27, S.28, S.29, S.30, S.31, S.33, S.35, S.38, S.41, S.42, S.43, S.45, S.46]</w:t>
            </w:r>
          </w:p>
        </w:tc>
        <w:tc>
          <w:tcPr>
            <w:tcW w:w="425" w:type="dxa"/>
          </w:tcPr>
          <w:p w:rsidR="00601BCC" w:rsidRPr="00FB3373" w:rsidRDefault="00601BCC" w:rsidP="00CC0095">
            <w:pPr>
              <w:widowControl w:val="0"/>
              <w:jc w:val="right"/>
              <w:rPr>
                <w:rFonts w:cstheme="minorHAnsi"/>
                <w:sz w:val="18"/>
                <w:szCs w:val="18"/>
                <w:lang w:val="en-US"/>
              </w:rPr>
            </w:pPr>
            <w:r w:rsidRPr="00FB3373">
              <w:rPr>
                <w:rFonts w:cstheme="minorHAnsi"/>
                <w:sz w:val="18"/>
                <w:szCs w:val="18"/>
                <w:lang w:val="en-US"/>
              </w:rPr>
              <w:t>26</w:t>
            </w:r>
          </w:p>
        </w:tc>
      </w:tr>
      <w:tr w:rsidR="00601BCC" w:rsidRPr="00FB3373" w:rsidTr="00CC0095">
        <w:tc>
          <w:tcPr>
            <w:tcW w:w="5098" w:type="dxa"/>
          </w:tcPr>
          <w:p w:rsidR="00601BCC" w:rsidRPr="00FB3373" w:rsidRDefault="00601BCC" w:rsidP="00CC0095">
            <w:pPr>
              <w:widowControl w:val="0"/>
              <w:rPr>
                <w:rFonts w:cstheme="minorHAnsi"/>
                <w:b/>
                <w:sz w:val="18"/>
                <w:szCs w:val="18"/>
                <w:lang w:val="en-US"/>
              </w:rPr>
            </w:pPr>
            <w:r w:rsidRPr="00FB3373">
              <w:rPr>
                <w:rFonts w:cstheme="minorHAnsi"/>
                <w:b/>
                <w:sz w:val="18"/>
                <w:szCs w:val="18"/>
                <w:lang w:val="en-US"/>
              </w:rPr>
              <w:t>Further research and development/new processes could eventually enable the scalable production of lignin-based products: further research and development are needed.</w:t>
            </w:r>
          </w:p>
        </w:tc>
        <w:tc>
          <w:tcPr>
            <w:tcW w:w="3544" w:type="dxa"/>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[S.2, S.6, S.10, S.15, S.20, S.21, S.22, S.24, S.26, S.27, S.28, S.29, S.30, S.32, S.33, S.34, S.36, S.37, S.38, S.41, S.43, S.48, S.49]</w:t>
            </w:r>
          </w:p>
        </w:tc>
        <w:tc>
          <w:tcPr>
            <w:tcW w:w="425" w:type="dxa"/>
          </w:tcPr>
          <w:p w:rsidR="00601BCC" w:rsidRPr="00FB3373" w:rsidRDefault="00601BCC" w:rsidP="00CC0095">
            <w:pPr>
              <w:widowControl w:val="0"/>
              <w:jc w:val="right"/>
              <w:rPr>
                <w:rFonts w:cstheme="minorHAnsi"/>
                <w:sz w:val="18"/>
                <w:szCs w:val="18"/>
                <w:lang w:val="en-US"/>
              </w:rPr>
            </w:pPr>
            <w:r w:rsidRPr="00FB3373">
              <w:rPr>
                <w:rFonts w:cstheme="minorHAnsi"/>
                <w:sz w:val="18"/>
                <w:szCs w:val="18"/>
                <w:lang w:val="en-US"/>
              </w:rPr>
              <w:t>23</w:t>
            </w:r>
          </w:p>
        </w:tc>
      </w:tr>
      <w:tr w:rsidR="00601BCC" w:rsidRPr="00FB3373" w:rsidTr="00CC0095">
        <w:trPr>
          <w:trHeight w:val="767"/>
        </w:trPr>
        <w:tc>
          <w:tcPr>
            <w:tcW w:w="5098" w:type="dxa"/>
          </w:tcPr>
          <w:p w:rsidR="00601BCC" w:rsidRPr="00FB3373" w:rsidRDefault="00601BCC" w:rsidP="00CC0095">
            <w:pPr>
              <w:widowControl w:val="0"/>
              <w:rPr>
                <w:rFonts w:cstheme="minorHAnsi"/>
                <w:b/>
                <w:sz w:val="18"/>
                <w:szCs w:val="18"/>
                <w:lang w:val="en-US"/>
              </w:rPr>
            </w:pPr>
            <w:r w:rsidRPr="00FB3373">
              <w:rPr>
                <w:rFonts w:cstheme="minorHAnsi"/>
                <w:b/>
                <w:sz w:val="18"/>
                <w:szCs w:val="18"/>
                <w:lang w:val="en-US"/>
              </w:rPr>
              <w:t>Lignin is underutilized.</w:t>
            </w:r>
          </w:p>
        </w:tc>
        <w:tc>
          <w:tcPr>
            <w:tcW w:w="3544" w:type="dxa"/>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 xml:space="preserve">[S.5, S.6, S.10, S.12, S.14, S.17, S.18, S.19, S.21, S.22, S.24, S.25, S.26, S.27, S.29, S.32, S.36, S.39, S.41, S.45, S.47, S.48] </w:t>
            </w:r>
          </w:p>
        </w:tc>
        <w:tc>
          <w:tcPr>
            <w:tcW w:w="425" w:type="dxa"/>
          </w:tcPr>
          <w:p w:rsidR="00601BCC" w:rsidRPr="00FB3373" w:rsidRDefault="00601BCC" w:rsidP="00CC0095">
            <w:pPr>
              <w:widowControl w:val="0"/>
              <w:jc w:val="right"/>
              <w:rPr>
                <w:rFonts w:cstheme="minorHAnsi"/>
                <w:sz w:val="18"/>
                <w:szCs w:val="18"/>
                <w:lang w:val="en-US"/>
              </w:rPr>
            </w:pPr>
            <w:r w:rsidRPr="00FB3373">
              <w:rPr>
                <w:rFonts w:cstheme="minorHAnsi"/>
                <w:sz w:val="18"/>
                <w:szCs w:val="18"/>
                <w:lang w:val="en-US"/>
              </w:rPr>
              <w:t>22</w:t>
            </w:r>
          </w:p>
        </w:tc>
      </w:tr>
      <w:tr w:rsidR="00601BCC" w:rsidRPr="00FB3373" w:rsidTr="00CC0095">
        <w:tc>
          <w:tcPr>
            <w:tcW w:w="5098" w:type="dxa"/>
          </w:tcPr>
          <w:p w:rsidR="00601BCC" w:rsidRPr="00FB3373" w:rsidRDefault="00601BCC" w:rsidP="00CC0095">
            <w:pPr>
              <w:widowControl w:val="0"/>
              <w:rPr>
                <w:rFonts w:cstheme="minorHAnsi"/>
                <w:b/>
                <w:sz w:val="18"/>
                <w:szCs w:val="18"/>
                <w:lang w:val="en-US"/>
              </w:rPr>
            </w:pPr>
            <w:r w:rsidRPr="00FB3373">
              <w:rPr>
                <w:rFonts w:cstheme="minorHAnsi"/>
                <w:b/>
                <w:sz w:val="18"/>
                <w:szCs w:val="18"/>
                <w:lang w:val="en-US"/>
              </w:rPr>
              <w:t xml:space="preserve">Lignin plays a major role in biorefinery conception. </w:t>
            </w:r>
          </w:p>
        </w:tc>
        <w:tc>
          <w:tcPr>
            <w:tcW w:w="3544" w:type="dxa"/>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[S.9, S.11, S.15, S.24, S.26, S.27, S.28, S.29, S.30, S.33, S.36, S.45, S.50]</w:t>
            </w:r>
          </w:p>
        </w:tc>
        <w:tc>
          <w:tcPr>
            <w:tcW w:w="425" w:type="dxa"/>
          </w:tcPr>
          <w:p w:rsidR="00601BCC" w:rsidRPr="00FB3373" w:rsidRDefault="00601BCC" w:rsidP="00CC0095">
            <w:pPr>
              <w:widowControl w:val="0"/>
              <w:jc w:val="right"/>
              <w:rPr>
                <w:rFonts w:cstheme="minorHAnsi"/>
                <w:sz w:val="18"/>
                <w:szCs w:val="18"/>
                <w:lang w:val="en-US"/>
              </w:rPr>
            </w:pPr>
            <w:r w:rsidRPr="00FB3373">
              <w:rPr>
                <w:rFonts w:cstheme="minorHAnsi"/>
                <w:sz w:val="18"/>
                <w:szCs w:val="18"/>
                <w:lang w:val="en-US"/>
              </w:rPr>
              <w:t>13</w:t>
            </w:r>
          </w:p>
        </w:tc>
      </w:tr>
      <w:tr w:rsidR="00601BCC" w:rsidRPr="00FB3373" w:rsidTr="00CC0095">
        <w:tc>
          <w:tcPr>
            <w:tcW w:w="5098" w:type="dxa"/>
          </w:tcPr>
          <w:p w:rsidR="00601BCC" w:rsidRPr="00FB3373" w:rsidRDefault="00601BCC" w:rsidP="00CC0095">
            <w:pPr>
              <w:widowControl w:val="0"/>
              <w:rPr>
                <w:rFonts w:cstheme="minorHAnsi"/>
                <w:b/>
                <w:sz w:val="18"/>
                <w:szCs w:val="18"/>
                <w:lang w:val="en-US"/>
              </w:rPr>
            </w:pPr>
            <w:r w:rsidRPr="00FB3373">
              <w:rPr>
                <w:rFonts w:cstheme="minorHAnsi"/>
                <w:b/>
                <w:sz w:val="18"/>
                <w:szCs w:val="18"/>
                <w:lang w:val="en-US"/>
              </w:rPr>
              <w:t>The use of lignin for certain applications could reduce costs.</w:t>
            </w:r>
          </w:p>
        </w:tc>
        <w:tc>
          <w:tcPr>
            <w:tcW w:w="3544" w:type="dxa"/>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[S.3, S.5, S.13, S.22, S.26, S.28, S.29, S.30, S.33, S.35, S.37, S.41, S.43]</w:t>
            </w:r>
          </w:p>
        </w:tc>
        <w:tc>
          <w:tcPr>
            <w:tcW w:w="425" w:type="dxa"/>
          </w:tcPr>
          <w:p w:rsidR="00601BCC" w:rsidRPr="00FB3373" w:rsidRDefault="00601BCC" w:rsidP="00CC0095">
            <w:pPr>
              <w:widowControl w:val="0"/>
              <w:jc w:val="right"/>
              <w:rPr>
                <w:rFonts w:cstheme="minorHAnsi"/>
                <w:sz w:val="18"/>
                <w:szCs w:val="18"/>
                <w:lang w:val="en-US"/>
              </w:rPr>
            </w:pPr>
            <w:r w:rsidRPr="00FB3373">
              <w:rPr>
                <w:rFonts w:cstheme="minorHAnsi"/>
                <w:sz w:val="18"/>
                <w:szCs w:val="18"/>
                <w:lang w:val="en-US"/>
              </w:rPr>
              <w:t>13</w:t>
            </w:r>
          </w:p>
        </w:tc>
      </w:tr>
      <w:tr w:rsidR="00601BCC" w:rsidRPr="00FB3373" w:rsidTr="00CC0095">
        <w:tc>
          <w:tcPr>
            <w:tcW w:w="5098" w:type="dxa"/>
          </w:tcPr>
          <w:p w:rsidR="00601BCC" w:rsidRPr="00FB3373" w:rsidRDefault="00601BCC" w:rsidP="00CC0095">
            <w:pPr>
              <w:widowControl w:val="0"/>
              <w:rPr>
                <w:rFonts w:cstheme="minorHAnsi"/>
                <w:b/>
                <w:sz w:val="18"/>
                <w:szCs w:val="18"/>
                <w:lang w:val="en-US"/>
              </w:rPr>
            </w:pPr>
            <w:r w:rsidRPr="00FB3373">
              <w:rPr>
                <w:rFonts w:cstheme="minorHAnsi"/>
                <w:b/>
                <w:sz w:val="18"/>
                <w:szCs w:val="18"/>
                <w:lang w:val="en-US"/>
              </w:rPr>
              <w:t>Lignin is a sustainable, environmentally friendly material.</w:t>
            </w:r>
          </w:p>
        </w:tc>
        <w:tc>
          <w:tcPr>
            <w:tcW w:w="3544" w:type="dxa"/>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[S.22, S.26, S.27, S.28, S.32, S.33, S.34, S.35, S.36, S.39, S.40, S.43]</w:t>
            </w:r>
          </w:p>
        </w:tc>
        <w:tc>
          <w:tcPr>
            <w:tcW w:w="425" w:type="dxa"/>
          </w:tcPr>
          <w:p w:rsidR="00601BCC" w:rsidRPr="00FB3373" w:rsidRDefault="00601BCC" w:rsidP="00CC0095">
            <w:pPr>
              <w:widowControl w:val="0"/>
              <w:jc w:val="right"/>
              <w:rPr>
                <w:rFonts w:cstheme="minorHAnsi"/>
                <w:sz w:val="18"/>
                <w:szCs w:val="18"/>
                <w:lang w:val="en-US"/>
              </w:rPr>
            </w:pPr>
            <w:r w:rsidRPr="00FB3373">
              <w:rPr>
                <w:rFonts w:cstheme="minorHAnsi"/>
                <w:sz w:val="18"/>
                <w:szCs w:val="18"/>
                <w:lang w:val="en-US"/>
              </w:rPr>
              <w:t>12</w:t>
            </w:r>
          </w:p>
        </w:tc>
      </w:tr>
      <w:tr w:rsidR="00601BCC" w:rsidRPr="00FB3373" w:rsidTr="00CC0095">
        <w:tc>
          <w:tcPr>
            <w:tcW w:w="5098" w:type="dxa"/>
          </w:tcPr>
          <w:p w:rsidR="00601BCC" w:rsidRPr="00FB3373" w:rsidRDefault="00601BCC" w:rsidP="00CC0095">
            <w:pPr>
              <w:widowControl w:val="0"/>
              <w:rPr>
                <w:rFonts w:cstheme="minorHAnsi"/>
                <w:b/>
                <w:sz w:val="18"/>
                <w:szCs w:val="18"/>
                <w:lang w:val="en-US"/>
              </w:rPr>
            </w:pPr>
            <w:r w:rsidRPr="00FB3373">
              <w:rPr>
                <w:rFonts w:cstheme="minorHAnsi"/>
                <w:b/>
                <w:sz w:val="18"/>
                <w:szCs w:val="18"/>
                <w:lang w:val="en-US"/>
              </w:rPr>
              <w:t>Lignin is a promising material and has the potential to serve as an alternative to other materials</w:t>
            </w:r>
          </w:p>
        </w:tc>
        <w:tc>
          <w:tcPr>
            <w:tcW w:w="3544" w:type="dxa"/>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[S.3, S.5, S.22, S.26, S.27, S.28, S.30, S.32, S.35, S.42, S.46]</w:t>
            </w:r>
          </w:p>
        </w:tc>
        <w:tc>
          <w:tcPr>
            <w:tcW w:w="425" w:type="dxa"/>
          </w:tcPr>
          <w:p w:rsidR="00601BCC" w:rsidRPr="00FB3373" w:rsidRDefault="00601BCC" w:rsidP="00CC0095">
            <w:pPr>
              <w:widowControl w:val="0"/>
              <w:jc w:val="right"/>
              <w:rPr>
                <w:rFonts w:cstheme="minorHAnsi"/>
                <w:sz w:val="18"/>
                <w:szCs w:val="18"/>
                <w:lang w:val="en-US"/>
              </w:rPr>
            </w:pPr>
            <w:r w:rsidRPr="00FB3373">
              <w:rPr>
                <w:rFonts w:cstheme="minorHAnsi"/>
                <w:sz w:val="18"/>
                <w:szCs w:val="18"/>
                <w:lang w:val="en-US"/>
              </w:rPr>
              <w:t>11</w:t>
            </w:r>
          </w:p>
        </w:tc>
      </w:tr>
      <w:tr w:rsidR="00601BCC" w:rsidRPr="00FB3373" w:rsidTr="00CC0095">
        <w:tc>
          <w:tcPr>
            <w:tcW w:w="5098" w:type="dxa"/>
          </w:tcPr>
          <w:p w:rsidR="00601BCC" w:rsidRPr="00FB3373" w:rsidRDefault="00601BCC" w:rsidP="00CC0095">
            <w:pPr>
              <w:widowControl w:val="0"/>
              <w:rPr>
                <w:rFonts w:cstheme="minorHAnsi"/>
                <w:b/>
                <w:sz w:val="18"/>
                <w:szCs w:val="18"/>
                <w:lang w:val="en-US"/>
              </w:rPr>
            </w:pPr>
            <w:r w:rsidRPr="00FB3373">
              <w:rPr>
                <w:rFonts w:cstheme="minorHAnsi"/>
                <w:b/>
                <w:sz w:val="18"/>
                <w:szCs w:val="18"/>
                <w:lang w:val="en-US"/>
              </w:rPr>
              <w:t>The amount of available lignin will increase.</w:t>
            </w:r>
          </w:p>
        </w:tc>
        <w:tc>
          <w:tcPr>
            <w:tcW w:w="3544" w:type="dxa"/>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[S.2, S.10, S.21, S.25, S.27, S.47]</w:t>
            </w:r>
          </w:p>
        </w:tc>
        <w:tc>
          <w:tcPr>
            <w:tcW w:w="425" w:type="dxa"/>
          </w:tcPr>
          <w:p w:rsidR="00601BCC" w:rsidRPr="00FB3373" w:rsidRDefault="00601BCC" w:rsidP="00CC0095">
            <w:pPr>
              <w:widowControl w:val="0"/>
              <w:jc w:val="right"/>
              <w:rPr>
                <w:rFonts w:cstheme="minorHAnsi"/>
                <w:sz w:val="18"/>
                <w:szCs w:val="18"/>
                <w:lang w:val="en-US"/>
              </w:rPr>
            </w:pPr>
            <w:r w:rsidRPr="00FB3373">
              <w:rPr>
                <w:rFonts w:cstheme="minorHAnsi"/>
                <w:sz w:val="18"/>
                <w:szCs w:val="18"/>
                <w:lang w:val="en-US"/>
              </w:rPr>
              <w:t>6</w:t>
            </w:r>
          </w:p>
        </w:tc>
      </w:tr>
    </w:tbl>
    <w:p w:rsidR="00601BCC" w:rsidRPr="00FB3373" w:rsidRDefault="00601BCC" w:rsidP="00601BCC">
      <w:pPr>
        <w:widowControl w:val="0"/>
        <w:rPr>
          <w:lang w:val="en-US"/>
        </w:rPr>
      </w:pPr>
    </w:p>
    <w:p w:rsidR="00601BCC" w:rsidRPr="00FB3373" w:rsidRDefault="00601BCC" w:rsidP="00601BCC">
      <w:pPr>
        <w:widowControl w:val="0"/>
        <w:rPr>
          <w:color w:val="A6A6A6" w:themeColor="background1" w:themeShade="A6"/>
          <w:lang w:val="en-US"/>
        </w:rPr>
      </w:pPr>
      <w:r w:rsidRPr="00FB3373">
        <w:rPr>
          <w:color w:val="A6A6A6" w:themeColor="background1" w:themeShade="A6"/>
          <w:lang w:val="en-US"/>
        </w:rPr>
        <w:lastRenderedPageBreak/>
        <w:t>Reference list for the statements with economic relevance:</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Doherty W, Halley P, Edye L, Rogers D, Cardona F, Park Y, et al. Studies on polymers and composites from lignin and fiber derived from sugar cane. Polym Adv Technol 2007;18(8):673-678. DOI:10.1002/pat.879.</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Doherty WOS, Mousavioun P, Fellows CM. Value-adding to cellulosic ethanol: Lignin polymers. Ind Crops Prod 2011;33(2):259-276. DOI:10.1016/j.indcrop.2010.10.022.</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Frank E, Steudle LM, Ingildeev D, Spörl JM, Buchmeiser MR. Carbon fibers: Precursor systems, processing, structure, and properties. Angew Chem Int Ed 2014;53(21):5262-5298. DOI:10.1002/anie.201306129.</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Gosselink RJA, De Jong E, Guran B, Abächerli A. Co-ordination network for lignin - Standardisation, production and applications adapted to market requirements (EUROLIGNIN). Ind Crops Prod 2004;20(2):121-129. DOI:10.1016/j.indcrop.2004.04.015.</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Gosselink RJA, Snijder MHB, Kranenbarg A, Keijsers ERP, De Jong E, Stigsson LL. Characterisation and application of NovaFiber lignin. Ind Crops Prod 2004;20(2):191-203. DOI:10.1016/j.indcrop.2004.04.021.</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Hu L, Pan H, Zhou Y, Zhang M. Methods to improve lignin's reactivity as a phenol substitute and as replacement for other phenolic compounds: A brief review. BioResour 2011;6(3):3515-3525.</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Kubo S, Kadla JF. Kraft lignin/poly(ethylene oxide) blends: Effect of lignin structure on miscibility and hydrogen bonding. J Appl Polym Sci 2005;98(3):1437-1444. DOI:10.1002/app.22245.</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Laszlo JA. Solubility and dye-binding properties of quaternized and peroxidase-polymerized kraft lignin. Environ Technol 1999;20(6):607-615. DOI:10.1080/09593332008616855.</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Li C, Zhao X, Wang A, Huber GW, Zhang T. Catalytic Transformation of Lignin for the Production of Chemicals and Fuels. Chem Rev 2015;115(21):11559-11624. DOI:10.1021/acs.chemrev.5b00155.</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Linger JG, Vardon DR, Guarnieri MT, Karp EM, Hunsinger GB, Franden MA, et al. Lignin valorization through integrated biological funneling and chemical catalysis. Proc Natl Acad Sci U S A 2014;111(33):12013-12018. DOI:10.1073/pnas.1410657111.</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Liu W-, Jiang H, Yu H-. Thermochemical conversion of lignin to functional materials: a review and future directions. Green Chem 2015;17(11):4888-4907. DOI:10.1039/c5gc01054c.</w:t>
      </w:r>
    </w:p>
    <w:p w:rsidR="00601BCC" w:rsidRPr="00FB3373" w:rsidRDefault="00601BCC" w:rsidP="00601BCC">
      <w:pPr>
        <w:pStyle w:val="ListParagraph"/>
        <w:widowControl w:val="0"/>
        <w:numPr>
          <w:ilvl w:val="0"/>
          <w:numId w:val="2"/>
        </w:numPr>
        <w:rPr>
          <w:rFonts w:cstheme="minorHAnsi"/>
          <w:color w:val="A6A6A6" w:themeColor="background1" w:themeShade="A6"/>
          <w:lang w:val="en-US"/>
        </w:rPr>
      </w:pPr>
      <w:r w:rsidRPr="00FB3373">
        <w:rPr>
          <w:rFonts w:cstheme="minorHAnsi"/>
          <w:color w:val="A6A6A6" w:themeColor="background1" w:themeShade="A6"/>
          <w:lang w:val="en-US"/>
        </w:rPr>
        <w:t>Lora JH, Glasser WG. Recent industrial applications of lignin: A sustainable alternative to nonrenewable materials. J Polym Environ 2002;10(1-2):39-48. DOI:10.1023/A:1021070006895.</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Mainka H. Lignin powder as a filler for thermoplastic automotive lightweight components. Annual Technical Conference - ANTEC, Conference Proceedings; 2015:245-248.</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Myint AA, Lee HW, Seo B, Son W-, Yoon J, Yoon TJ, et al. One pot synthesis of environmentally friendly lignin nanoparticles with compressed liquid carbon dioxide as an antisolvent. Green Chem 2016;18(7):2129-2146. DOI:10.1039/c5gc02398j.</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Nagy M, Kosa M, Theliander H, Ragauskas AJ. Characterization of CO2 precipitated Kraft lignin to promote its utilization. Green Chem 2010;12(1):31-34. DOI:10.1039/b913602a.</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Pińkowska H, Wolak P, Złocińska A. Hydrothermal decomposition of alkali lignin in sub- and supercritical water. Chem Eng J 2012;187:410-414. DOI:10.1016/j.cej.2012.01.092.</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Pizzi A, Mittal KLK, editors. Handbook of Adhesive Technology. CRC Press; 1994. p. 1-696.</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Pouteau C, Dole P, Cathala B, Averous L, Boquillon N. Antioxidant properties of lignin in polypropylene. Polym Degradation Stab 2003;81(1):9-18. DOI:10.1016/S0141-3910(03)00057-0.</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 xml:space="preserve">Pouteau C, Baumberger S, Cathala B, Dole P. Lignin-polymer blends: Evaluation of </w:t>
      </w:r>
      <w:r w:rsidRPr="00FB3373">
        <w:rPr>
          <w:color w:val="A6A6A6" w:themeColor="background1" w:themeShade="A6"/>
          <w:lang w:val="en-US"/>
        </w:rPr>
        <w:lastRenderedPageBreak/>
        <w:t>compatibility by image analysis. C R Biol 2004;327(9-10):935-943. DOI:10.1016/j.crvi.2004.08.008.</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Pucciariello R, Villani V, Bonini C, D'Auria M, Vetere T. Physical properties of straw lignin-based polymer blends. Polymer 2004;45(12):4159-4169. DOI:10.1016/j.polymer.2004.03.098.</w:t>
      </w:r>
    </w:p>
    <w:p w:rsidR="00601BCC" w:rsidRPr="00FB3373" w:rsidRDefault="00601BCC" w:rsidP="00601BCC">
      <w:pPr>
        <w:pStyle w:val="ListParagraph"/>
        <w:widowControl w:val="0"/>
        <w:numPr>
          <w:ilvl w:val="0"/>
          <w:numId w:val="2"/>
        </w:numPr>
        <w:rPr>
          <w:rFonts w:cstheme="minorHAnsi"/>
          <w:color w:val="A6A6A6" w:themeColor="background1" w:themeShade="A6"/>
          <w:lang w:val="en-US"/>
        </w:rPr>
      </w:pPr>
      <w:r w:rsidRPr="00FB3373">
        <w:rPr>
          <w:rFonts w:cstheme="minorHAnsi"/>
          <w:color w:val="A6A6A6" w:themeColor="background1" w:themeShade="A6"/>
          <w:lang w:val="en-US"/>
        </w:rPr>
        <w:t>Ragauskas AJ, Beckham GT, Biddy MJ, Chandra R, Chen F, Davis MF, et al. Lignin valorization: Improving lignin processing in the biorefinery. Science 2014;344(6185). DOI:10.1126/science.1246843.</w:t>
      </w:r>
    </w:p>
    <w:p w:rsidR="00601BCC" w:rsidRPr="00FB3373" w:rsidRDefault="00601BCC" w:rsidP="00601BCC">
      <w:pPr>
        <w:pStyle w:val="ListParagraph"/>
        <w:widowControl w:val="0"/>
        <w:numPr>
          <w:ilvl w:val="0"/>
          <w:numId w:val="2"/>
        </w:numPr>
        <w:rPr>
          <w:rFonts w:cstheme="minorHAnsi"/>
          <w:color w:val="A6A6A6" w:themeColor="background1" w:themeShade="A6"/>
          <w:lang w:val="en-US"/>
        </w:rPr>
      </w:pPr>
      <w:r w:rsidRPr="00FB3373">
        <w:rPr>
          <w:rFonts w:cstheme="minorHAnsi"/>
          <w:color w:val="A6A6A6" w:themeColor="background1" w:themeShade="A6"/>
          <w:lang w:val="en-US"/>
        </w:rPr>
        <w:t>Stewart D. Lignin as a base material for materials applications: Chemistry, application and economics. Ind Crops Prod 2008;27(2):202-207. DOI:10.1016/j.indcrop.2007.07.008.</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Tuck CO, Pérez E, Horváth IT, Sheldon RA, Poliakoff M. Valorization of biomass: Deriving more value from waste. Science 2012;337(6095):695-699. DOI:10.1126/science.1218930.</w:t>
      </w:r>
    </w:p>
    <w:p w:rsidR="00601BCC" w:rsidRPr="00FB3373" w:rsidRDefault="00601BCC" w:rsidP="00601BCC">
      <w:pPr>
        <w:pStyle w:val="ListParagraph"/>
        <w:widowControl w:val="0"/>
        <w:numPr>
          <w:ilvl w:val="0"/>
          <w:numId w:val="2"/>
        </w:numPr>
        <w:rPr>
          <w:rFonts w:cstheme="minorHAnsi"/>
          <w:color w:val="A6A6A6" w:themeColor="background1" w:themeShade="A6"/>
          <w:lang w:val="en-US"/>
        </w:rPr>
      </w:pPr>
      <w:r w:rsidRPr="00FB3373">
        <w:rPr>
          <w:rFonts w:cstheme="minorHAnsi"/>
          <w:color w:val="A6A6A6" w:themeColor="background1" w:themeShade="A6"/>
          <w:lang w:val="en-US"/>
        </w:rPr>
        <w:t>Vishtal A, Kraslawski A. Challenges in industrial applications of technical lignins. BioResour 2011;6(3):3547-3568.</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Zhang X, Tu M, Paice MG. Routes to Potential Bioproducts from Lignocellulosic Biomass Lignin and Hemicelluloses. Bioenergy Res 2011;4(4):246-257. DOI:10.1007/s12155-011-9147-1.</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Wang H, Pu Y, Ragauskas A, Yang B. From lignin to valuable products–strategies, challenges, and prospects. Bioresour Technol 2019;271:449-461. DOI:10.1016/j.biortech.2018.09.072.</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Collins MN, Nechifor M, Tanasă F, Zănoagă M, McLoughlin A, Stróżyk MA, et al. Valorization of lignin in polymer and composite systems for advanced engineering applications – A review. Int J Biol Macromol 2019;131:828-849. DOI:10.1016/j.ijbiomac.2019.03.069.</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Ponnusamy VK, Nguyen DD, Dharmaraja J, Shobana S, Banu JR, Saratale RG, et al. A review on lignin structure, pretreatments, fermentation reactions and biorefinery potential. Bioresour Technol 2019;271:462-472. DOI:10.1016/j.biortech.2018.09.070.</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Supanchaiyamat N, Jetsrisuparb K, Knijnenburg JTN, Tsang DCW, Hunt AJ. Lignin materials for adsorption: Current trend, perspectives and opportunities. Bioresour Technol 2019:570-581. DOI:10.1016/j.biortech.2018.09.139.</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Chio C, Sain M, Qin W. Lignin utilization: A review of lignin depolymerization from various aspects. Renewable Sustainable Energy Rev 2019;107:232-249. DOI:10.1016/j.rser.2019.03.008.</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Han X, Guo Y, Liu X, Xia Q, Wang Y. Catalytic conversion of lignocellulosic biomass into hydrocarbons: A mini review. Catal Today 2019;319:2-13. DOI:10.1016/j.cattod.2018.05.013.</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Beaucamp A, Wang Y, Culebras M, Collins MN. Carbon fibres from renewable resources: The role of the lignin molecular structure in its blendability with biobased poly(ethylene terephthalate). Green Chem 2019;21(18):5063-5072. DOI:10.1039/c9gc02041a.</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Liu Z-, Le RK, Kosa M, Yang B, Yuan J, Ragauskas AJ. Identifying and creating pathways to improve biological lignin valorization. Renewable Sustainable Energy Rev 2019;105:349-362. DOI:10.1016/j.rser.2019.02.009.</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Liu C, Wu S, Zhang H, Xiao R. Catalytic oxidation of lignin to valuable biomass-based platform chemicals: A review. Fuel Process Technol 2019;191:181-201. DOI:10.1016/j.fuproc.2019.04.007.</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Dalton N, Lynch RP, Collins MN, Culebras M. Thermoelectric properties of electrospun carbon nanofibres derived from lignin. Int J Biol Macromol 2019;121:472-479. DOI:10.1016/j.ijbiomac.2018.10.051.</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Giummarella N, Pu Y, Ragauskas AJ, Lawoko M. A critical review on the analysis of lignin carbohydrate bonds. Green Chem 2019;21(7):1573-1595. DOI:10.1039/c8gc03606c.</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 xml:space="preserve">Ghorbani M, Liebner F, van Herwijnen HWG, Pfungen L, Krahofer M, Budjav E, et al. Lignin phenol formaldehyde resoles: The impact of lignin type on adhesive properties. BioResour </w:t>
      </w:r>
      <w:r w:rsidRPr="00FB3373">
        <w:rPr>
          <w:color w:val="A6A6A6" w:themeColor="background1" w:themeShade="A6"/>
          <w:lang w:val="en-US"/>
        </w:rPr>
        <w:lastRenderedPageBreak/>
        <w:t>2016;11(3):6727-6741. DOI: 10.15376/biores.11.3.6727-6741.</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Lange H, Decina S, Crestini C. Oxidative upgrade of lignin - Recent routes reviewed. Eur Polym J 2013;49(6):1151-1173. DOI:10.1016/j.eurpolymj.2013.03.002.</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Milstein O, Gersonde R, Huttermann A, Chen M-, Meister JJ. Fungal biodegradation of lignopolystyrene graft copolymers. Appl Environ Microbiol 1992;58(10):3225-3232.</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Mousavioun P, Doherty WOS. Chemical and thermal properties of fractionated bagasse soda lignin. Ind Crops Prod 2010;31(1):52-58. DOI:10.1016/j.indcrop.2009.09.001.</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Pizzi A. Wood products and green chemistry. Ann Forest Sci 2016;73(1):185-203. DOI:10.1007/s13595-014-0448-3.</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Tejado A, Peña C, Labidi J, Echeverria JM, Mondragon I. Physico-chemical characterization of lignins from different sources for use in phenol-formaldehyde resin synthesis. Bioresour Technol 2007;98(8):1655-1663. DOI:10.1016/j.biortech.2006.05.042.</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Thakur VK, Thakur MK, Raghavan P, Kessler MR. Progress in green polymer composites from lignin for multifunctional applications: A review. ACS Sustainable Chem Eng 2014;2(5):1072-1092. DOI:10.1021/sc500087z.</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Vázquez G, González J, Freire S, Antorrena G. Effect of chemical modification of lignin on the gluebond performance of lignin-phenolic resins. Bioresour Technol 1997;60(3):191-198. DOI:10.1016/S0960-8524(97)00030-8.</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Zhao W, Simmons B, Singh S, Ragauskas A, Cheng G. From lignin association to nano-/micro-particle preparation: Extracting higher value of lignin. Green Chem 2016;18(21):5693-5700. DOI:10.1039/c6gc01813k.</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Çetin NS, Özmen N. Use of organosolv lignin in phenol-formaldehyde resins for particleboard production: I. Organosolv lignin modified resins. Int J Adhes Adhes 2002;22(6):477-480. DOI:10.1016/S0143-7496(02)00058-1.</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Lora JH. Industrial commercial lignins: Sources, properties and applications. Monomers, Polymers and Composites from Renewable Resources; 2008. p. 225-241. DOI:10.1016/B978-0-08-045316-3.00010-7.</w:t>
      </w:r>
    </w:p>
    <w:p w:rsidR="00601BCC" w:rsidRPr="00FB3373" w:rsidRDefault="00601BCC" w:rsidP="00601BCC">
      <w:pPr>
        <w:pStyle w:val="ListParagraph"/>
        <w:widowControl w:val="0"/>
        <w:numPr>
          <w:ilvl w:val="0"/>
          <w:numId w:val="2"/>
        </w:numPr>
        <w:rPr>
          <w:rFonts w:cstheme="minorHAnsi"/>
          <w:color w:val="A6A6A6" w:themeColor="background1" w:themeShade="A6"/>
          <w:lang w:val="en-US"/>
        </w:rPr>
      </w:pPr>
      <w:r w:rsidRPr="00FB3373">
        <w:rPr>
          <w:rFonts w:cstheme="minorHAnsi"/>
          <w:color w:val="A6A6A6" w:themeColor="background1" w:themeShade="A6"/>
          <w:lang w:val="en-US"/>
        </w:rPr>
        <w:t>Michels J, Wagemann K. The German Lignocellulose Feedstock Biorefinery project. Biofuel Bioprod Biorefining 2010;4(3):263-267. DOI:10.1002/bbb.216.</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Sixta H. Handbook of Pulp. Handbook of Pulp; 2008. p. 1-1352. DOI:10.1002/9783527619887.</w:t>
      </w:r>
    </w:p>
    <w:p w:rsidR="00601BCC" w:rsidRPr="00FB3373" w:rsidRDefault="00601BCC" w:rsidP="00601BCC">
      <w:pPr>
        <w:pStyle w:val="ListParagraph"/>
        <w:widowControl w:val="0"/>
        <w:numPr>
          <w:ilvl w:val="0"/>
          <w:numId w:val="2"/>
        </w:numPr>
        <w:rPr>
          <w:color w:val="A6A6A6" w:themeColor="background1" w:themeShade="A6"/>
          <w:lang w:val="en-US"/>
        </w:rPr>
      </w:pPr>
      <w:r w:rsidRPr="00FB3373">
        <w:rPr>
          <w:color w:val="A6A6A6" w:themeColor="background1" w:themeShade="A6"/>
          <w:lang w:val="en-US"/>
        </w:rPr>
        <w:t>Ragnar M, Henriksson G, Lindström ME, Wimby M, Blechschmidt J, Heinemann S. Pulp. In: Elvers B, Hawkins S, Harrer R, Kirsch-Pietz N, Pikart-Müller M, Rohn M, editors. Ullmann's Encyclopedia of Industrial Chemistry. Weinheim: Wiley‐VCH Verlag GmbH &amp; Co.; 2014. p. 15.</w:t>
      </w:r>
    </w:p>
    <w:p w:rsidR="00601BCC" w:rsidRPr="00FB3373" w:rsidRDefault="00601BCC" w:rsidP="00601BCC">
      <w:pPr>
        <w:widowControl w:val="0"/>
        <w:rPr>
          <w:color w:val="A6A6A6" w:themeColor="background1" w:themeShade="A6"/>
          <w:lang w:val="en-US"/>
        </w:rPr>
      </w:pPr>
    </w:p>
    <w:bookmarkEnd w:id="0"/>
    <w:p w:rsidR="00601BCC" w:rsidRPr="00FB3373" w:rsidRDefault="00601BCC" w:rsidP="00601BCC">
      <w:pPr>
        <w:widowControl w:val="0"/>
        <w:rPr>
          <w:b/>
          <w:lang w:val="en-US"/>
        </w:rPr>
      </w:pPr>
      <w:r w:rsidRPr="00FB3373">
        <w:rPr>
          <w:b/>
          <w:lang w:val="en-US"/>
        </w:rPr>
        <w:t>Ad (2) and (3) from the methods section: Selection of the reviews, environmental and techno-economic assessments, and market-related papers</w:t>
      </w:r>
    </w:p>
    <w:p w:rsidR="00601BCC" w:rsidRPr="00FB3373" w:rsidRDefault="00601BCC" w:rsidP="00601BCC">
      <w:pPr>
        <w:widowControl w:val="0"/>
        <w:rPr>
          <w:lang w:val="en-US"/>
        </w:rPr>
      </w:pPr>
      <w:r w:rsidRPr="00FB3373">
        <w:rPr>
          <w:lang w:val="en-US"/>
        </w:rPr>
        <w:t xml:space="preserve">At the beginning, more than 50,000 papers were identified by screening the Scopus database using the search query </w:t>
      </w:r>
      <w:r w:rsidRPr="00FB3373">
        <w:rPr>
          <w:i/>
          <w:lang w:val="en-US"/>
        </w:rPr>
        <w:t>TITLE-ABS-KEY ( lignin  OR  lignosul* )  AND  ( LIMIT-TO ( DOCTYPE ,  "ar" )  OR  LIMIT-TO ( DOCTYPE ,  "re" ) )</w:t>
      </w:r>
      <w:r w:rsidRPr="00FB3373">
        <w:rPr>
          <w:iCs/>
          <w:lang w:val="en-US"/>
        </w:rPr>
        <w:t>,</w:t>
      </w:r>
      <w:r w:rsidRPr="00FB3373">
        <w:rPr>
          <w:lang w:val="en-US"/>
        </w:rPr>
        <w:t xml:space="preserve"> and information such as the authors, year, title, and the whole abstract were exported to an Excel-File. To get an overview of the literature and to identify an ideal search query that would fit the aim of the study, a range of search terms were applied (to be searched in titles and abstracts), and the results were entered in columns (this allowed us to filter them by terms and identify patterns). The search terms that were included are shown in Table S.2.</w:t>
      </w:r>
    </w:p>
    <w:p w:rsidR="00601BCC" w:rsidRPr="00FB3373" w:rsidRDefault="00601BCC" w:rsidP="00601BCC">
      <w:pPr>
        <w:pStyle w:val="Caption"/>
        <w:widowControl w:val="0"/>
        <w:rPr>
          <w:lang w:val="en-US"/>
        </w:rPr>
      </w:pPr>
      <w:r w:rsidRPr="00FB3373">
        <w:rPr>
          <w:lang w:val="en-US"/>
        </w:rPr>
        <w:t xml:space="preserve">Table S. </w:t>
      </w:r>
      <w:r w:rsidRPr="00FB3373">
        <w:rPr>
          <w:lang w:val="en-US"/>
        </w:rPr>
        <w:fldChar w:fldCharType="begin"/>
      </w:r>
      <w:r w:rsidRPr="00FB3373">
        <w:rPr>
          <w:lang w:val="en-US"/>
        </w:rPr>
        <w:instrText xml:space="preserve"> SEQ Table_S. \* ARABIC </w:instrText>
      </w:r>
      <w:r w:rsidRPr="00FB3373">
        <w:rPr>
          <w:lang w:val="en-US"/>
        </w:rPr>
        <w:fldChar w:fldCharType="separate"/>
      </w:r>
      <w:r w:rsidRPr="00FB3373">
        <w:rPr>
          <w:noProof/>
          <w:lang w:val="en-US"/>
        </w:rPr>
        <w:t>2</w:t>
      </w:r>
      <w:r w:rsidRPr="00FB3373">
        <w:rPr>
          <w:lang w:val="en-US"/>
        </w:rPr>
        <w:fldChar w:fldCharType="end"/>
      </w:r>
      <w:r w:rsidRPr="00FB3373">
        <w:rPr>
          <w:lang w:val="en-US"/>
        </w:rPr>
        <w:t>: Search terms applied to titles and abstracts of lignin papers (exported from Scopus to Excel)</w:t>
      </w:r>
    </w:p>
    <w:tbl>
      <w:tblPr>
        <w:tblStyle w:val="TableGrid"/>
        <w:tblW w:w="9067" w:type="dxa"/>
        <w:tblLook w:val="04A0" w:firstRow="1" w:lastRow="0" w:firstColumn="1" w:lastColumn="0" w:noHBand="0" w:noVBand="1"/>
      </w:tblPr>
      <w:tblGrid>
        <w:gridCol w:w="2547"/>
        <w:gridCol w:w="1984"/>
        <w:gridCol w:w="1560"/>
        <w:gridCol w:w="2976"/>
      </w:tblGrid>
      <w:tr w:rsidR="00601BCC" w:rsidRPr="00FB3373" w:rsidTr="00CC0095">
        <w:trPr>
          <w:trHeight w:val="290"/>
        </w:trPr>
        <w:tc>
          <w:tcPr>
            <w:tcW w:w="9067" w:type="dxa"/>
            <w:gridSpan w:val="4"/>
            <w:noWrap/>
            <w:hideMark/>
          </w:tcPr>
          <w:p w:rsidR="00601BCC" w:rsidRPr="00FB3373" w:rsidRDefault="00601BCC" w:rsidP="00CC0095">
            <w:pPr>
              <w:widowControl w:val="0"/>
              <w:jc w:val="center"/>
              <w:rPr>
                <w:rFonts w:cstheme="minorHAnsi"/>
                <w:b/>
                <w:smallCaps/>
                <w:sz w:val="18"/>
                <w:szCs w:val="18"/>
                <w:lang w:val="en-US"/>
              </w:rPr>
            </w:pPr>
            <w:r w:rsidRPr="00FB3373">
              <w:rPr>
                <w:rFonts w:cstheme="minorHAnsi"/>
                <w:b/>
                <w:smallCaps/>
                <w:sz w:val="18"/>
                <w:szCs w:val="18"/>
                <w:lang w:val="en-US"/>
              </w:rPr>
              <w:t>List of search terms (word fragments)</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lastRenderedPageBreak/>
              <w:t xml:space="preserve">wood </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market</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polymer</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diesel</w:t>
            </w:r>
          </w:p>
        </w:tc>
      </w:tr>
      <w:tr w:rsidR="00601BCC" w:rsidRPr="00FB3373" w:rsidTr="00CC0095">
        <w:trPr>
          <w:trHeight w:val="721"/>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softwood</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econom, financ</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plastic, polyester, polyolefin, polyether, polystyr</w:t>
            </w:r>
          </w:p>
        </w:tc>
        <w:tc>
          <w:tcPr>
            <w:tcW w:w="2976" w:type="dxa"/>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bio-oil, biooil, bio oil, pyrolysis-oil,</w:t>
            </w:r>
            <w:r w:rsidRPr="00FB3373">
              <w:rPr>
                <w:rFonts w:cstheme="minorHAnsi"/>
                <w:sz w:val="18"/>
                <w:szCs w:val="18"/>
                <w:lang w:val="en-US"/>
              </w:rPr>
              <w:br/>
              <w:t>pyrolysis oil, biocrude, bio-crude</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hardwood</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techno-economic</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composite, blend</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heat</w:t>
            </w:r>
          </w:p>
        </w:tc>
      </w:tr>
      <w:tr w:rsidR="00601BCC" w:rsidRPr="00FB3373" w:rsidTr="00CC0095">
        <w:trPr>
          <w:trHeight w:val="667"/>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pulp</w:t>
            </w:r>
          </w:p>
        </w:tc>
        <w:tc>
          <w:tcPr>
            <w:tcW w:w="1984" w:type="dxa"/>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value-add, value add, added value,</w:t>
            </w:r>
            <w:r w:rsidRPr="00FB3373">
              <w:rPr>
                <w:rFonts w:cstheme="minorHAnsi"/>
                <w:sz w:val="18"/>
                <w:szCs w:val="18"/>
                <w:lang w:val="en-US"/>
              </w:rPr>
              <w:br/>
              <w:t>added-value, add value</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paper</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inciner</w:t>
            </w:r>
          </w:p>
        </w:tc>
      </w:tr>
      <w:tr w:rsidR="00601BCC" w:rsidRPr="00FB3373" w:rsidTr="00CC0095">
        <w:trPr>
          <w:trHeight w:val="420"/>
        </w:trPr>
        <w:tc>
          <w:tcPr>
            <w:tcW w:w="2547" w:type="dxa"/>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sulfite pulp, sulphite pulp, lignosulfo,</w:t>
            </w:r>
            <w:r w:rsidRPr="00FB3373">
              <w:rPr>
                <w:rFonts w:cstheme="minorHAnsi"/>
                <w:sz w:val="18"/>
                <w:szCs w:val="18"/>
                <w:lang w:val="en-US"/>
              </w:rPr>
              <w:br/>
              <w:t>lignosulpho, sulfonate, sulphonate</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cost</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board</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combust</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kraft, black liquor</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price</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panel</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electr</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soda</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 $, money</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foam</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batter, redox-flow, redox flow</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organosolv, organic solvent</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innov</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resin</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capacitor</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ionic liqu, ionic-liq</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valori</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epox</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coat</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steam explos, steam-ex</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decision</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urethan</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disper</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enzym</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business</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formaldehyd</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adhes</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alkal</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revenue</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rubber</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bind</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acid</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diffusion</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elastomer</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emuls</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acid hydroly, acidic hydroly</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adopt</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concrete, cement</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stabili</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hydroly</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environment</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asphalt, bitumen</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plasticis, plasticiz</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lysis, lyse</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green</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carbon fib</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flocculat</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biotech, bio-tech</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social</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activated carbon</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antioxid, anti-oxid, anti oxid</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base, basi</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chemical</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fertil</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filler</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catalys</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aromatic</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soil, humus</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adsorb</w:t>
            </w:r>
          </w:p>
        </w:tc>
      </w:tr>
      <w:tr w:rsidR="00601BCC" w:rsidRPr="00FB3373" w:rsidTr="00CC0095">
        <w:trPr>
          <w:trHeight w:val="721"/>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b: lignoboost, ligno boost; f: lignoforce, ligno force</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phenol</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dye</w:t>
            </w:r>
          </w:p>
        </w:tc>
        <w:tc>
          <w:tcPr>
            <w:tcW w:w="2976" w:type="dxa"/>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cidal, cides, antimicrob, anti-microb,</w:t>
            </w:r>
            <w:r w:rsidRPr="00FB3373">
              <w:rPr>
                <w:rFonts w:cstheme="minorHAnsi"/>
                <w:sz w:val="18"/>
                <w:szCs w:val="18"/>
                <w:lang w:val="en-US"/>
              </w:rPr>
              <w:br/>
              <w:t>antibact, anti-bact, antivir, anti-vir, antifung, anti-fung</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product</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polyol</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vanillin</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chelat</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 xml:space="preserve">co-prod, by-prod, coprod, byprod </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material</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medic, drug, pharma, cosmet</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polyol</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sustainab</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nano</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energ</w:t>
            </w:r>
          </w:p>
        </w:tc>
        <w:tc>
          <w:tcPr>
            <w:tcW w:w="2976"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carbon black, carbon-black</w:t>
            </w:r>
          </w:p>
        </w:tc>
      </w:tr>
      <w:tr w:rsidR="00601BCC" w:rsidRPr="00FB3373" w:rsidTr="00CC0095">
        <w:trPr>
          <w:trHeight w:val="290"/>
        </w:trPr>
        <w:tc>
          <w:tcPr>
            <w:tcW w:w="2547"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application</w:t>
            </w:r>
          </w:p>
        </w:tc>
        <w:tc>
          <w:tcPr>
            <w:tcW w:w="1984"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poly</w:t>
            </w:r>
          </w:p>
        </w:tc>
        <w:tc>
          <w:tcPr>
            <w:tcW w:w="1560" w:type="dxa"/>
            <w:noWrap/>
            <w:hideMark/>
          </w:tcPr>
          <w:p w:rsidR="00601BCC" w:rsidRPr="00FB3373" w:rsidRDefault="00601BCC" w:rsidP="00CC0095">
            <w:pPr>
              <w:widowControl w:val="0"/>
              <w:rPr>
                <w:rFonts w:cstheme="minorHAnsi"/>
                <w:sz w:val="18"/>
                <w:szCs w:val="18"/>
                <w:lang w:val="en-US"/>
              </w:rPr>
            </w:pPr>
            <w:r w:rsidRPr="00FB3373">
              <w:rPr>
                <w:rFonts w:cstheme="minorHAnsi"/>
                <w:sz w:val="18"/>
                <w:szCs w:val="18"/>
                <w:lang w:val="en-US"/>
              </w:rPr>
              <w:t>fuel</w:t>
            </w:r>
          </w:p>
        </w:tc>
        <w:tc>
          <w:tcPr>
            <w:tcW w:w="2976" w:type="dxa"/>
            <w:noWrap/>
            <w:hideMark/>
          </w:tcPr>
          <w:p w:rsidR="00601BCC" w:rsidRPr="00FB3373" w:rsidRDefault="00601BCC" w:rsidP="00CC0095">
            <w:pPr>
              <w:widowControl w:val="0"/>
              <w:rPr>
                <w:rFonts w:cstheme="minorHAnsi"/>
                <w:sz w:val="18"/>
                <w:szCs w:val="18"/>
                <w:lang w:val="en-US"/>
              </w:rPr>
            </w:pPr>
          </w:p>
        </w:tc>
      </w:tr>
    </w:tbl>
    <w:p w:rsidR="00601BCC" w:rsidRPr="00FB3373" w:rsidRDefault="00601BCC" w:rsidP="00601BCC">
      <w:pPr>
        <w:widowControl w:val="0"/>
        <w:rPr>
          <w:lang w:val="en-US"/>
        </w:rPr>
      </w:pPr>
    </w:p>
    <w:p w:rsidR="00601BCC" w:rsidRPr="00FB3373" w:rsidRDefault="00601BCC" w:rsidP="00601BCC">
      <w:pPr>
        <w:widowControl w:val="0"/>
        <w:rPr>
          <w:lang w:val="en-US"/>
        </w:rPr>
      </w:pPr>
      <w:r w:rsidRPr="00FB3373">
        <w:rPr>
          <w:lang w:val="en-US"/>
        </w:rPr>
        <w:t>After several combinations of search terms had been applied and checked to find conclusive patterns in the literature, the main body of literature was identified by conducting the following search query with the Scopus database:</w:t>
      </w:r>
    </w:p>
    <w:p w:rsidR="00601BCC" w:rsidRPr="00FB3373" w:rsidRDefault="00601BCC" w:rsidP="00601BCC">
      <w:pPr>
        <w:widowControl w:val="0"/>
        <w:rPr>
          <w:i/>
          <w:lang w:val="en-US"/>
        </w:rPr>
      </w:pPr>
      <w:r w:rsidRPr="00FB3373">
        <w:rPr>
          <w:i/>
          <w:lang w:val="en-US"/>
        </w:rPr>
        <w:t xml:space="preserve">TITLE ( ( lignin  OR  lignosul* OR "black liquor")  AND  ( sustainab*  OR  application  OR  market  OR  econom*  OR  financ*  OR  "techno-economic"  OR  value-add*  OR  "value add*"  OR  "added value"  OR  cost  OR  price  OR  money  OR  innov*  OR  valori*  OR  decision  OR  business  OR  revenue  OR  environment*  OR  green  OR  social  OR  "life-cycle"  OR  "life cycle" OR "LCA") )  AND  ( LIMIT-TO ( PUBYEAR ,  2019 )  OR  LIMIT-TO ( PUBYEAR ,  2018 )  OR  LIMIT-TO ( PUBYEAR ,  2017 )  OR  LIMIT-TO ( PUBYEAR ,  2016 )  OR  LIMIT-TO ( PUBYEAR ,  2015 ) )  AND  ( LIMIT-TO ( DOCTYPE ,  "ar" )  OR  LIMIT-TO ( DOCTYPE ,  "re" ) )  </w:t>
      </w:r>
    </w:p>
    <w:p w:rsidR="00601BCC" w:rsidRPr="00FB3373" w:rsidRDefault="00601BCC" w:rsidP="00601BCC">
      <w:pPr>
        <w:widowControl w:val="0"/>
        <w:rPr>
          <w:i/>
          <w:lang w:val="en-US"/>
        </w:rPr>
      </w:pPr>
    </w:p>
    <w:p w:rsidR="00601BCC" w:rsidRPr="00FB3373" w:rsidRDefault="00601BCC" w:rsidP="00601BCC">
      <w:pPr>
        <w:widowControl w:val="0"/>
        <w:rPr>
          <w:b/>
          <w:lang w:val="en-US"/>
        </w:rPr>
      </w:pPr>
      <w:r w:rsidRPr="00FB3373">
        <w:rPr>
          <w:b/>
          <w:lang w:val="en-US"/>
        </w:rPr>
        <w:t xml:space="preserve">This search query resulted in </w:t>
      </w:r>
      <w:r w:rsidRPr="00FB3373">
        <w:rPr>
          <w:b/>
          <w:u w:val="single"/>
          <w:lang w:val="en-US"/>
        </w:rPr>
        <w:t>681 search results</w:t>
      </w:r>
      <w:r w:rsidRPr="00FB3373">
        <w:rPr>
          <w:b/>
          <w:lang w:val="en-US"/>
        </w:rPr>
        <w:t xml:space="preserve">. All abstracts were screened and, thereby, the </w:t>
      </w:r>
      <w:r w:rsidRPr="00FB3373">
        <w:rPr>
          <w:b/>
          <w:lang w:val="en-US"/>
        </w:rPr>
        <w:lastRenderedPageBreak/>
        <w:t xml:space="preserve">selection could be reduced to </w:t>
      </w:r>
      <w:r w:rsidRPr="00FB3373">
        <w:rPr>
          <w:b/>
          <w:u w:val="single"/>
          <w:lang w:val="en-US"/>
        </w:rPr>
        <w:t>76 sources</w:t>
      </w:r>
      <w:r w:rsidRPr="00FB3373">
        <w:rPr>
          <w:b/>
          <w:lang w:val="en-US"/>
        </w:rPr>
        <w:t xml:space="preserve">. These papers were acquired where possible, then screened, and some additional references were included (mainly based on interesting references given in the respective papers). This led to a </w:t>
      </w:r>
      <w:r w:rsidRPr="00FB3373">
        <w:rPr>
          <w:b/>
          <w:u w:val="single"/>
          <w:lang w:val="en-US"/>
        </w:rPr>
        <w:t>pre-selection of 90 papers</w:t>
      </w:r>
      <w:r w:rsidRPr="00FB3373">
        <w:rPr>
          <w:b/>
          <w:lang w:val="en-US"/>
        </w:rPr>
        <w:t xml:space="preserve"> (41 reviews, 16 environmental, 19 techno-economic assessments, 9 market-related papers, and 5 other) altogether.</w:t>
      </w:r>
    </w:p>
    <w:p w:rsidR="00601BCC" w:rsidRPr="00FB3373" w:rsidRDefault="00601BCC" w:rsidP="00601BCC">
      <w:pPr>
        <w:widowControl w:val="0"/>
        <w:spacing w:after="0"/>
        <w:rPr>
          <w:b/>
          <w:lang w:val="en-US"/>
        </w:rPr>
      </w:pPr>
      <w:r w:rsidRPr="00FB3373">
        <w:rPr>
          <w:b/>
          <w:lang w:val="en-US"/>
        </w:rPr>
        <w:t>These were narrowed down by applying the following criteria:</w:t>
      </w:r>
    </w:p>
    <w:p w:rsidR="00601BCC" w:rsidRPr="00FB3373" w:rsidRDefault="00601BCC" w:rsidP="00601BCC">
      <w:pPr>
        <w:widowControl w:val="0"/>
        <w:spacing w:after="0"/>
        <w:rPr>
          <w:b/>
          <w:lang w:val="en-US"/>
        </w:rPr>
      </w:pPr>
      <w:r w:rsidRPr="00FB3373">
        <w:rPr>
          <w:b/>
          <w:lang w:val="en-US"/>
        </w:rPr>
        <w:t>(1) relevance with regard to our research aim (forest-based lignin for non-energy applications),</w:t>
      </w:r>
    </w:p>
    <w:p w:rsidR="00601BCC" w:rsidRPr="00FB3373" w:rsidRDefault="00601BCC" w:rsidP="00601BCC">
      <w:pPr>
        <w:widowControl w:val="0"/>
        <w:spacing w:after="0"/>
        <w:rPr>
          <w:b/>
          <w:lang w:val="en-US"/>
        </w:rPr>
      </w:pPr>
      <w:r w:rsidRPr="00FB3373">
        <w:rPr>
          <w:b/>
          <w:lang w:val="en-US"/>
        </w:rPr>
        <w:t>(2) existence and transparency of a methodological part (except reviews), and</w:t>
      </w:r>
    </w:p>
    <w:p w:rsidR="00601BCC" w:rsidRPr="00FB3373" w:rsidRDefault="00601BCC" w:rsidP="00601BCC">
      <w:pPr>
        <w:widowControl w:val="0"/>
        <w:rPr>
          <w:b/>
          <w:lang w:val="en-US"/>
        </w:rPr>
      </w:pPr>
      <w:r w:rsidRPr="00FB3373">
        <w:rPr>
          <w:b/>
          <w:lang w:val="en-US"/>
        </w:rPr>
        <w:t>(3) a certain focus on lignin (papers were excluded when lignin use played only a marginal role in the paper).</w:t>
      </w:r>
    </w:p>
    <w:p w:rsidR="00601BCC" w:rsidRPr="00FB3373" w:rsidRDefault="00601BCC" w:rsidP="00601BCC">
      <w:pPr>
        <w:widowControl w:val="0"/>
        <w:rPr>
          <w:b/>
          <w:lang w:val="en-US"/>
        </w:rPr>
      </w:pPr>
      <w:r w:rsidRPr="00FB3373">
        <w:rPr>
          <w:b/>
          <w:lang w:val="en-US"/>
        </w:rPr>
        <w:t xml:space="preserve">To perform a detailed consideration of this literature, a core </w:t>
      </w:r>
      <w:r w:rsidRPr="00FB3373">
        <w:rPr>
          <w:b/>
          <w:u w:val="single"/>
          <w:lang w:val="en-US"/>
        </w:rPr>
        <w:t>of 9 environmental, 10 TEA, and 7 market-related papers</w:t>
      </w:r>
      <w:r w:rsidRPr="00FB3373">
        <w:rPr>
          <w:b/>
          <w:lang w:val="en-US"/>
        </w:rPr>
        <w:t xml:space="preserve"> were chosen on the basis of the focus placed on wood-based lignin use for non-fuel applications and the transparent, methodological approach used. Out of these </w:t>
      </w:r>
      <w:r w:rsidRPr="00FB3373">
        <w:rPr>
          <w:b/>
          <w:u w:val="single"/>
          <w:lang w:val="en-US"/>
        </w:rPr>
        <w:t>recent reviews, 31</w:t>
      </w:r>
      <w:r w:rsidRPr="00FB3373">
        <w:rPr>
          <w:b/>
          <w:lang w:val="en-US"/>
        </w:rPr>
        <w:t xml:space="preserve"> were considered; 10 environmental and techno-economic papers, and 2 market-related papers beyond this core selection were also incorporated in the review.</w:t>
      </w:r>
    </w:p>
    <w:p w:rsidR="00601BCC" w:rsidRPr="00FB3373" w:rsidRDefault="00601BCC" w:rsidP="00601BCC">
      <w:pPr>
        <w:widowControl w:val="0"/>
        <w:rPr>
          <w:b/>
          <w:lang w:val="en-US"/>
        </w:rPr>
      </w:pPr>
    </w:p>
    <w:p w:rsidR="00601BCC" w:rsidRPr="00FB3373" w:rsidRDefault="00601BCC" w:rsidP="00601BCC">
      <w:pPr>
        <w:widowControl w:val="0"/>
        <w:rPr>
          <w:lang w:val="en-US"/>
        </w:rPr>
      </w:pPr>
      <w:r w:rsidRPr="00FB3373">
        <w:rPr>
          <w:lang w:val="en-US"/>
        </w:rPr>
        <w:t>In order to gain the most complete overview of the literature and to support the writing process, the papers were loaded into the MaxQDA Plus 2020 software and coded. Every paper was double-coded by either Verena Haas and Julia Wenger, or by Martin Popowicz and Julia Wenger, assigning papers to the following categories:</w:t>
      </w:r>
    </w:p>
    <w:p w:rsidR="00601BCC" w:rsidRPr="00FB3373" w:rsidRDefault="00601BCC" w:rsidP="00601BCC">
      <w:pPr>
        <w:pStyle w:val="Caption"/>
        <w:widowControl w:val="0"/>
        <w:rPr>
          <w:lang w:val="en-US"/>
        </w:rPr>
      </w:pPr>
      <w:r w:rsidRPr="00FB3373">
        <w:rPr>
          <w:lang w:val="en-US"/>
        </w:rPr>
        <w:t xml:space="preserve">Table S. </w:t>
      </w:r>
      <w:r w:rsidRPr="00FB3373">
        <w:rPr>
          <w:lang w:val="en-US"/>
        </w:rPr>
        <w:fldChar w:fldCharType="begin"/>
      </w:r>
      <w:r w:rsidRPr="00FB3373">
        <w:rPr>
          <w:lang w:val="en-US"/>
        </w:rPr>
        <w:instrText xml:space="preserve"> SEQ Table_S. \* ARABIC </w:instrText>
      </w:r>
      <w:r w:rsidRPr="00FB3373">
        <w:rPr>
          <w:lang w:val="en-US"/>
        </w:rPr>
        <w:fldChar w:fldCharType="separate"/>
      </w:r>
      <w:r w:rsidRPr="00FB3373">
        <w:rPr>
          <w:noProof/>
          <w:lang w:val="en-US"/>
        </w:rPr>
        <w:t>3</w:t>
      </w:r>
      <w:r w:rsidRPr="00FB3373">
        <w:rPr>
          <w:lang w:val="en-US"/>
        </w:rPr>
        <w:fldChar w:fldCharType="end"/>
      </w:r>
      <w:r w:rsidRPr="00FB3373">
        <w:rPr>
          <w:lang w:val="en-US"/>
        </w:rPr>
        <w:t>: List of codes used for coding the papers in MaxQDA Plus 2020</w:t>
      </w:r>
    </w:p>
    <w:tbl>
      <w:tblP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4248"/>
      </w:tblGrid>
      <w:tr w:rsidR="00601BCC" w:rsidRPr="00FB3373" w:rsidTr="00CC0095">
        <w:trPr>
          <w:trHeight w:val="290"/>
        </w:trPr>
        <w:tc>
          <w:tcPr>
            <w:tcW w:w="4248" w:type="dxa"/>
            <w:shd w:val="clear" w:color="auto" w:fill="FFFFFF" w:themeFill="background1"/>
            <w:noWrap/>
            <w:hideMark/>
          </w:tcPr>
          <w:p w:rsidR="00601BCC" w:rsidRPr="00FB3373" w:rsidRDefault="00601BCC" w:rsidP="00CC0095">
            <w:pPr>
              <w:widowControl w:val="0"/>
              <w:spacing w:after="0" w:line="240" w:lineRule="auto"/>
              <w:jc w:val="center"/>
              <w:rPr>
                <w:rFonts w:eastAsia="Times New Roman" w:cstheme="minorHAnsi"/>
                <w:b/>
                <w:bCs/>
                <w:sz w:val="18"/>
                <w:szCs w:val="18"/>
                <w:lang w:val="en-US" w:eastAsia="de-AT"/>
              </w:rPr>
            </w:pPr>
            <w:r w:rsidRPr="00FB3373">
              <w:rPr>
                <w:rFonts w:cstheme="minorHAnsi"/>
                <w:b/>
                <w:smallCaps/>
                <w:sz w:val="18"/>
                <w:szCs w:val="18"/>
                <w:lang w:val="en-US"/>
              </w:rPr>
              <w:t>List of MaxQDA codes</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Paraphrased segments\Approach</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Approach\Focus\Aim</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Approach\Method</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Approach\Findings</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Approach\Sensitive Factors</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Approach\Region</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Approach\Year</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Paraphrased segments\Raw Material</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Raw Material\Not forest-based</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Raw Material\Forest-based</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Paraphrased segments\Processes</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Processes\Process to gain lignin</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Processes\Process for lignin product</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Paraphrased segments\Lignin Application</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Lignin Application\Materials\Chemicals</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Lignin Application\Energy</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Lignin Application\Lignin Function</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Lignin Application\Substituted material</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Paraphrased segments\Lignin Market</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lastRenderedPageBreak/>
              <w:t>Lignin Market\Companies\Plants</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Lignin Market\Volumes</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Lignin Market\Prices\Values</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Lignin Market\Costs</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Lignin Market\Important features\Opportunities</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Lignin Market\Challenges\Barriers</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Lignin Market\Investments</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Paraphrased segments\Interesting!</w:t>
            </w:r>
          </w:p>
        </w:tc>
      </w:tr>
      <w:tr w:rsidR="00601BCC" w:rsidRPr="00FB3373" w:rsidTr="00CC0095">
        <w:trPr>
          <w:trHeight w:val="310"/>
        </w:trPr>
        <w:tc>
          <w:tcPr>
            <w:tcW w:w="4248" w:type="dxa"/>
            <w:shd w:val="clear" w:color="auto" w:fill="FFFFFF" w:themeFill="background1"/>
            <w:noWrap/>
            <w:hideMark/>
          </w:tcPr>
          <w:p w:rsidR="00601BCC" w:rsidRPr="00FB3373" w:rsidRDefault="00601BCC" w:rsidP="00CC0095">
            <w:pPr>
              <w:widowControl w:val="0"/>
              <w:spacing w:after="0" w:line="240" w:lineRule="auto"/>
              <w:rPr>
                <w:rFonts w:eastAsia="Times New Roman" w:cstheme="minorHAnsi"/>
                <w:color w:val="000000"/>
                <w:sz w:val="18"/>
                <w:szCs w:val="18"/>
                <w:lang w:val="en-US" w:eastAsia="de-AT"/>
              </w:rPr>
            </w:pPr>
            <w:r w:rsidRPr="00FB3373">
              <w:rPr>
                <w:rFonts w:eastAsia="Times New Roman" w:cstheme="minorHAnsi"/>
                <w:color w:val="000000"/>
                <w:sz w:val="18"/>
                <w:szCs w:val="18"/>
                <w:lang w:val="en-US" w:eastAsia="de-AT"/>
              </w:rPr>
              <w:t>Paraphrased segments\Economic (non-scientific sources)</w:t>
            </w:r>
          </w:p>
        </w:tc>
      </w:tr>
    </w:tbl>
    <w:p w:rsidR="00601BCC" w:rsidRPr="00FB3373" w:rsidRDefault="00601BCC" w:rsidP="00601BCC">
      <w:pPr>
        <w:widowControl w:val="0"/>
        <w:rPr>
          <w:b/>
          <w:lang w:val="en-US"/>
        </w:rPr>
      </w:pPr>
      <w:r w:rsidRPr="00FB3373">
        <w:rPr>
          <w:b/>
          <w:lang w:val="en-US"/>
        </w:rPr>
        <w:t>Illustrations: data extraction and processing</w:t>
      </w:r>
    </w:p>
    <w:p w:rsidR="00601BCC" w:rsidRPr="00FB3373" w:rsidRDefault="00601BCC" w:rsidP="00601BCC">
      <w:pPr>
        <w:widowControl w:val="0"/>
        <w:rPr>
          <w:b/>
          <w:lang w:val="en-US"/>
        </w:rPr>
      </w:pPr>
      <w:r w:rsidRPr="00FB3373">
        <w:rPr>
          <w:b/>
          <w:lang w:val="en-US"/>
        </w:rPr>
        <w:t>Figure 1</w:t>
      </w:r>
    </w:p>
    <w:p w:rsidR="00601BCC" w:rsidRPr="00FB3373" w:rsidRDefault="00601BCC" w:rsidP="00601BCC">
      <w:pPr>
        <w:widowControl w:val="0"/>
        <w:rPr>
          <w:lang w:val="en-US"/>
        </w:rPr>
      </w:pPr>
      <w:r w:rsidRPr="00FB3373">
        <w:rPr>
          <w:lang w:val="en-US"/>
        </w:rPr>
        <w:t>Scopus search query for Figure 1 (Number of papers published between 1990 and 2019, that have lignin or lingnosul* in their title):</w:t>
      </w:r>
    </w:p>
    <w:p w:rsidR="00601BCC" w:rsidRPr="00FB3373" w:rsidRDefault="00601BCC" w:rsidP="00601BCC">
      <w:pPr>
        <w:pStyle w:val="ListParagraph"/>
        <w:widowControl w:val="0"/>
        <w:numPr>
          <w:ilvl w:val="0"/>
          <w:numId w:val="1"/>
        </w:numPr>
        <w:jc w:val="left"/>
        <w:rPr>
          <w:i/>
          <w:lang w:val="en-US"/>
        </w:rPr>
      </w:pPr>
      <w:r w:rsidRPr="00FB3373">
        <w:rPr>
          <w:i/>
          <w:lang w:val="en-US"/>
        </w:rPr>
        <w:t xml:space="preserve">TITLE ( ( lignin  OR  lignosul* ) )  AND  PUBYEAR  &gt;  1989  AND  PUBYEAR  &lt;  2020  AND  ( LIMIT-TO ( DOCTYPE ,  "ar" ) ) </w:t>
      </w:r>
    </w:p>
    <w:p w:rsidR="00601BCC" w:rsidRPr="00FB3373" w:rsidRDefault="00601BCC" w:rsidP="00601BCC">
      <w:pPr>
        <w:pStyle w:val="ListParagraph"/>
        <w:widowControl w:val="0"/>
        <w:numPr>
          <w:ilvl w:val="0"/>
          <w:numId w:val="1"/>
        </w:numPr>
        <w:jc w:val="left"/>
        <w:rPr>
          <w:i/>
          <w:lang w:val="en-US"/>
        </w:rPr>
      </w:pPr>
      <w:r w:rsidRPr="00FB3373">
        <w:rPr>
          <w:i/>
          <w:lang w:val="en-US"/>
        </w:rPr>
        <w:t xml:space="preserve">TITLE ( ( lignin  OR  lignosul* ) )  AND  PUBYEAR  &gt;  1989  AND  PUBYEAR  &lt;  2020  AND  ( LIMIT-TO ( DOCTYPE ,  "re" ) ) </w:t>
      </w:r>
    </w:p>
    <w:p w:rsidR="00601BCC" w:rsidRPr="00FB3373" w:rsidRDefault="00601BCC" w:rsidP="00601BCC">
      <w:pPr>
        <w:widowControl w:val="0"/>
        <w:rPr>
          <w:lang w:val="en-US"/>
        </w:rPr>
      </w:pPr>
      <w:r w:rsidRPr="00FB3373">
        <w:rPr>
          <w:lang w:val="en-US"/>
        </w:rPr>
        <w:t>The terms were also searched in titles, keywords, and abstracts, which led to a higher number of, but similar relative increase in, the research articles identified. Because far more of these papers were not actually about lignin, the search query in which only the papers’ titles were considered was found to be more appropriate for the illustration. Data were processed in Microsoft Excel.</w:t>
      </w:r>
    </w:p>
    <w:p w:rsidR="00601BCC" w:rsidRPr="00FB3373" w:rsidRDefault="00601BCC" w:rsidP="00601BCC">
      <w:pPr>
        <w:widowControl w:val="0"/>
        <w:rPr>
          <w:lang w:val="en-US"/>
        </w:rPr>
      </w:pPr>
    </w:p>
    <w:p w:rsidR="00601BCC" w:rsidRPr="00FB3373" w:rsidRDefault="00601BCC" w:rsidP="00601BCC">
      <w:pPr>
        <w:widowControl w:val="0"/>
        <w:rPr>
          <w:b/>
          <w:lang w:val="en-US"/>
        </w:rPr>
      </w:pPr>
      <w:r w:rsidRPr="00FB3373">
        <w:rPr>
          <w:b/>
          <w:lang w:val="en-US"/>
        </w:rPr>
        <w:t>Figure 2</w:t>
      </w:r>
    </w:p>
    <w:p w:rsidR="00601BCC" w:rsidRPr="00FB3373" w:rsidRDefault="00601BCC" w:rsidP="00601BCC">
      <w:pPr>
        <w:widowControl w:val="0"/>
        <w:rPr>
          <w:lang w:val="en-US"/>
        </w:rPr>
      </w:pPr>
      <w:r w:rsidRPr="00FB3373">
        <w:rPr>
          <w:lang w:val="en-US"/>
        </w:rPr>
        <w:t xml:space="preserve">Scopus search queries for Figure 2: The search hits with selected, application-related search terms that occur in the titles, abstracts, or keywords of articles form a body of literature (16,700 papers) on the topic of lignin (Scopus database, articles up until 2019 included; TITLE(lignin or lignosul*)) are illustrated in </w:t>
      </w:r>
      <w:r w:rsidRPr="00FB3373">
        <w:rPr>
          <w:lang w:val="en-US"/>
        </w:rPr>
        <w:fldChar w:fldCharType="begin"/>
      </w:r>
      <w:r w:rsidRPr="00FB3373">
        <w:rPr>
          <w:lang w:val="en-US"/>
        </w:rPr>
        <w:instrText xml:space="preserve"> REF _Ref35624712 \h </w:instrText>
      </w:r>
      <w:r w:rsidRPr="00FB3373">
        <w:rPr>
          <w:lang w:val="en-US"/>
        </w:rPr>
      </w:r>
      <w:r>
        <w:rPr>
          <w:lang w:val="en-US"/>
        </w:rPr>
        <w:instrText xml:space="preserve"> \* MERGEFORMAT </w:instrText>
      </w:r>
      <w:r w:rsidRPr="00FB3373">
        <w:rPr>
          <w:lang w:val="en-US"/>
        </w:rPr>
        <w:fldChar w:fldCharType="separate"/>
      </w:r>
      <w:r w:rsidRPr="00FB3373">
        <w:rPr>
          <w:lang w:val="en-US"/>
        </w:rPr>
        <w:t xml:space="preserve">Table S. </w:t>
      </w:r>
      <w:r w:rsidRPr="00FB3373">
        <w:rPr>
          <w:noProof/>
          <w:lang w:val="en-US"/>
        </w:rPr>
        <w:t>4</w:t>
      </w:r>
      <w:r w:rsidRPr="00FB3373">
        <w:rPr>
          <w:lang w:val="en-US"/>
        </w:rPr>
        <w:fldChar w:fldCharType="end"/>
      </w:r>
      <w:r w:rsidRPr="00FB3373">
        <w:rPr>
          <w:lang w:val="en-US"/>
        </w:rPr>
        <w:t>. Data were processed in Microsoft Excel.</w:t>
      </w:r>
    </w:p>
    <w:p w:rsidR="00601BCC" w:rsidRPr="00FB3373" w:rsidRDefault="00601BCC" w:rsidP="00601BCC">
      <w:pPr>
        <w:widowControl w:val="0"/>
        <w:rPr>
          <w:lang w:val="en-US"/>
        </w:rPr>
      </w:pPr>
    </w:p>
    <w:p w:rsidR="00601BCC" w:rsidRPr="00FB3373" w:rsidRDefault="00601BCC" w:rsidP="00601BCC">
      <w:pPr>
        <w:pStyle w:val="Caption"/>
        <w:widowControl w:val="0"/>
        <w:rPr>
          <w:lang w:val="en-US"/>
        </w:rPr>
      </w:pPr>
      <w:bookmarkStart w:id="1" w:name="_Ref35624712"/>
      <w:r w:rsidRPr="00FB3373">
        <w:rPr>
          <w:lang w:val="en-US"/>
        </w:rPr>
        <w:t xml:space="preserve">Table S. </w:t>
      </w:r>
      <w:r w:rsidRPr="00FB3373">
        <w:rPr>
          <w:lang w:val="en-US"/>
        </w:rPr>
        <w:fldChar w:fldCharType="begin"/>
      </w:r>
      <w:r w:rsidRPr="00FB3373">
        <w:rPr>
          <w:lang w:val="en-US"/>
        </w:rPr>
        <w:instrText xml:space="preserve"> SEQ Table_S. \* ARABIC </w:instrText>
      </w:r>
      <w:r w:rsidRPr="00FB3373">
        <w:rPr>
          <w:lang w:val="en-US"/>
        </w:rPr>
        <w:fldChar w:fldCharType="separate"/>
      </w:r>
      <w:r w:rsidRPr="00FB3373">
        <w:rPr>
          <w:noProof/>
          <w:lang w:val="en-US"/>
        </w:rPr>
        <w:t>4</w:t>
      </w:r>
      <w:r w:rsidRPr="00FB3373">
        <w:rPr>
          <w:lang w:val="en-US"/>
        </w:rPr>
        <w:fldChar w:fldCharType="end"/>
      </w:r>
      <w:bookmarkEnd w:id="1"/>
      <w:r w:rsidRPr="00FB3373">
        <w:rPr>
          <w:lang w:val="en-US"/>
        </w:rPr>
        <w:t>: Search terms used related to articles about selected lignin applications; number of search results</w:t>
      </w:r>
    </w:p>
    <w:tbl>
      <w:tblPr>
        <w:tblStyle w:val="TableGrid"/>
        <w:tblW w:w="9260" w:type="dxa"/>
        <w:tblLook w:val="04A0" w:firstRow="1" w:lastRow="0" w:firstColumn="1" w:lastColumn="0" w:noHBand="0" w:noVBand="1"/>
      </w:tblPr>
      <w:tblGrid>
        <w:gridCol w:w="8405"/>
        <w:gridCol w:w="855"/>
      </w:tblGrid>
      <w:tr w:rsidR="00601BCC" w:rsidRPr="00FB3373" w:rsidTr="00CC0095">
        <w:trPr>
          <w:trHeight w:val="290"/>
        </w:trPr>
        <w:tc>
          <w:tcPr>
            <w:tcW w:w="8405" w:type="dxa"/>
            <w:noWrap/>
          </w:tcPr>
          <w:p w:rsidR="00601BCC" w:rsidRPr="00FB3373" w:rsidRDefault="00601BCC" w:rsidP="00CC0095">
            <w:pPr>
              <w:widowControl w:val="0"/>
              <w:rPr>
                <w:rFonts w:eastAsia="Times New Roman" w:cstheme="minorHAnsi"/>
                <w:b/>
                <w:smallCaps/>
                <w:color w:val="000000"/>
                <w:sz w:val="18"/>
                <w:szCs w:val="18"/>
                <w:lang w:val="en-US" w:eastAsia="de-AT"/>
              </w:rPr>
            </w:pPr>
            <w:r w:rsidRPr="00FB3373">
              <w:rPr>
                <w:rFonts w:eastAsia="Times New Roman" w:cstheme="minorHAnsi"/>
                <w:b/>
                <w:smallCaps/>
                <w:color w:val="000000"/>
                <w:sz w:val="18"/>
                <w:szCs w:val="18"/>
                <w:lang w:val="en-US" w:eastAsia="de-AT"/>
              </w:rPr>
              <w:t>Search query</w:t>
            </w:r>
          </w:p>
        </w:tc>
        <w:tc>
          <w:tcPr>
            <w:tcW w:w="855" w:type="dxa"/>
          </w:tcPr>
          <w:p w:rsidR="00601BCC" w:rsidRPr="00FB3373" w:rsidRDefault="00601BCC" w:rsidP="00CC0095">
            <w:pPr>
              <w:widowControl w:val="0"/>
              <w:rPr>
                <w:rFonts w:eastAsia="Times New Roman" w:cstheme="minorHAnsi"/>
                <w:b/>
                <w:smallCaps/>
                <w:color w:val="000000"/>
                <w:sz w:val="18"/>
                <w:szCs w:val="18"/>
                <w:lang w:val="en-US" w:eastAsia="de-AT"/>
              </w:rPr>
            </w:pPr>
            <w:r w:rsidRPr="00FB3373">
              <w:rPr>
                <w:rFonts w:eastAsia="Times New Roman" w:cstheme="minorHAnsi"/>
                <w:b/>
                <w:smallCaps/>
                <w:color w:val="000000"/>
                <w:sz w:val="18"/>
                <w:szCs w:val="18"/>
                <w:lang w:val="en-US" w:eastAsia="de-AT"/>
              </w:rPr>
              <w:t>Hits</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*composite*  OR  *blend*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1438</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*nano*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989</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*vanill*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908</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*plastic  OR  *plastics*  OR  *polyester*  OR  *polyolefin*  OR  *polyether*  OR  *polystyr*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748</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*resin*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855</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*concrete*  OR  *cement*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717</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lastRenderedPageBreak/>
              <w:t xml:space="preserve">TITLE ( lignin  OR  lignosul* )  AND  TITLE-ABS-KEY ( *formaldehyd*  OR  *form-aldehyd*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501</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*carbon  AND fib*  OR  *carbonfib*  OR  *carbon-fib*  OR  "*carbon material*"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388</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*board*  OR  *panel*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300</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*urethan*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254</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"*activ* *carbon*"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259</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*batter*  OR  *capacitor*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220</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*epox*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224</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*rubber*  OR  *elastom*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168</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*foam*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167</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*medical*  OR  *medicin*  OR  *pharma*  OR  *cosmet*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255</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*fertil*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163</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*hydrogel*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135</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*packaging*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73</w:t>
            </w:r>
          </w:p>
        </w:tc>
      </w:tr>
      <w:tr w:rsidR="00601BCC" w:rsidRPr="00FB3373" w:rsidTr="00CC0095">
        <w:trPr>
          <w:trHeight w:val="290"/>
        </w:trPr>
        <w:tc>
          <w:tcPr>
            <w:tcW w:w="8405" w:type="dxa"/>
            <w:noWrap/>
            <w:vAlign w:val="bottom"/>
            <w:hideMark/>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 xml:space="preserve">TITLE ( lignin  OR  lignosul* )  AND  TITLE-ABS-KEY ( *asphalt*  OR  *bitumen*  )  AND  ( LIMIT-TO ( DOCTYPE ,  "ar" ) )  AND  ( EXCLUDE ( PUBYEAR ,  2020 ) ) </w:t>
            </w:r>
          </w:p>
        </w:tc>
        <w:tc>
          <w:tcPr>
            <w:tcW w:w="855" w:type="dxa"/>
            <w:vAlign w:val="bottom"/>
          </w:tcPr>
          <w:p w:rsidR="00601BCC" w:rsidRPr="00FB3373" w:rsidRDefault="00601BCC" w:rsidP="00CC0095">
            <w:pPr>
              <w:widowControl w:val="0"/>
              <w:rPr>
                <w:rFonts w:eastAsia="Times New Roman" w:cstheme="minorHAnsi"/>
                <w:color w:val="000000"/>
                <w:sz w:val="18"/>
                <w:szCs w:val="18"/>
                <w:lang w:val="en-US" w:eastAsia="de-AT"/>
              </w:rPr>
            </w:pPr>
            <w:r w:rsidRPr="00FB3373">
              <w:rPr>
                <w:rFonts w:ascii="Calibri" w:hAnsi="Calibri" w:cs="Calibri"/>
                <w:color w:val="000000"/>
                <w:sz w:val="18"/>
                <w:szCs w:val="18"/>
                <w:lang w:val="en-US"/>
              </w:rPr>
              <w:t>40</w:t>
            </w:r>
          </w:p>
        </w:tc>
      </w:tr>
    </w:tbl>
    <w:p w:rsidR="00601BCC" w:rsidRPr="00FB3373" w:rsidRDefault="00601BCC" w:rsidP="00601BCC">
      <w:pPr>
        <w:widowControl w:val="0"/>
        <w:rPr>
          <w:lang w:val="en-US"/>
        </w:rPr>
      </w:pPr>
    </w:p>
    <w:p w:rsidR="00601BCC" w:rsidRPr="00FB3373" w:rsidRDefault="00601BCC" w:rsidP="00601BCC">
      <w:pPr>
        <w:widowControl w:val="0"/>
        <w:rPr>
          <w:lang w:val="en-US"/>
        </w:rPr>
      </w:pPr>
    </w:p>
    <w:p w:rsidR="00601BCC" w:rsidRPr="00FB3373" w:rsidRDefault="00601BCC" w:rsidP="00601BCC">
      <w:pPr>
        <w:widowControl w:val="0"/>
        <w:rPr>
          <w:b/>
          <w:lang w:val="en-US"/>
        </w:rPr>
      </w:pPr>
      <w:r w:rsidRPr="00FB3373">
        <w:rPr>
          <w:b/>
          <w:lang w:val="en-US"/>
        </w:rPr>
        <w:t>Figure 3</w:t>
      </w:r>
    </w:p>
    <w:p w:rsidR="00601BCC" w:rsidRPr="008F44EC" w:rsidRDefault="00601BCC" w:rsidP="00601BCC">
      <w:pPr>
        <w:widowControl w:val="0"/>
        <w:rPr>
          <w:lang w:val="en-US"/>
        </w:rPr>
      </w:pPr>
      <w:r w:rsidRPr="00FB3373">
        <w:rPr>
          <w:lang w:val="en-US"/>
        </w:rPr>
        <w:t>To create Figure 3, relevant drivers and barriers for lignin innovation diffusion were collected from the identified papers on socio-economic assessments in lignin research, thematically grouped, and assigned to components of the socio-technical regime (based on the multi-level perspective on transitions [100]). The identification and thematical grouping of drivers and barriers were double-checked by Julia Wenger and Verena Haas.</w:t>
      </w:r>
    </w:p>
    <w:p w:rsidR="006F0F51" w:rsidRDefault="006F0F51">
      <w:bookmarkStart w:id="2" w:name="_GoBack"/>
      <w:bookmarkEnd w:id="2"/>
    </w:p>
    <w:sectPr w:rsidR="006F0F51" w:rsidSect="00537E0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78781E"/>
    <w:multiLevelType w:val="hybridMultilevel"/>
    <w:tmpl w:val="D92E50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44FE7E83"/>
    <w:multiLevelType w:val="hybridMultilevel"/>
    <w:tmpl w:val="87BCD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BCC"/>
    <w:rsid w:val="000447D6"/>
    <w:rsid w:val="00601BCC"/>
    <w:rsid w:val="006F0F51"/>
    <w:rsid w:val="008D767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autoRedefine/>
    <w:uiPriority w:val="9"/>
    <w:unhideWhenUsed/>
    <w:qFormat/>
    <w:rsid w:val="00601BCC"/>
    <w:pPr>
      <w:keepNext/>
      <w:keepLines/>
      <w:spacing w:before="40" w:after="0" w:line="259" w:lineRule="auto"/>
      <w:jc w:val="both"/>
      <w:outlineLvl w:val="2"/>
    </w:pPr>
    <w:rPr>
      <w:rFonts w:eastAsiaTheme="majorEastAsia" w:cstheme="minorHAnsi"/>
      <w:b/>
      <w:color w:val="000000" w:themeColor="text1"/>
      <w:sz w:val="26"/>
      <w:lang w:val="en-US"/>
    </w:rPr>
  </w:style>
  <w:style w:type="paragraph" w:styleId="Heading4">
    <w:name w:val="heading 4"/>
    <w:basedOn w:val="Normal"/>
    <w:next w:val="Normal"/>
    <w:link w:val="Heading4Char"/>
    <w:autoRedefine/>
    <w:uiPriority w:val="9"/>
    <w:unhideWhenUsed/>
    <w:qFormat/>
    <w:rsid w:val="00601BCC"/>
    <w:pPr>
      <w:keepNext/>
      <w:keepLines/>
      <w:spacing w:before="40" w:after="0" w:line="259" w:lineRule="auto"/>
      <w:jc w:val="both"/>
      <w:outlineLvl w:val="3"/>
    </w:pPr>
    <w:rPr>
      <w:rFonts w:ascii="Calibri" w:eastAsiaTheme="majorEastAsia" w:hAnsi="Calibri" w:cstheme="majorBidi"/>
      <w:b/>
      <w:iCs/>
      <w:color w:val="000000" w:themeColor="tex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01BCC"/>
    <w:rPr>
      <w:rFonts w:eastAsiaTheme="majorEastAsia" w:cstheme="minorHAnsi"/>
      <w:b/>
      <w:color w:val="000000" w:themeColor="text1"/>
      <w:sz w:val="26"/>
      <w:lang w:val="en-US"/>
    </w:rPr>
  </w:style>
  <w:style w:type="character" w:customStyle="1" w:styleId="Heading4Char">
    <w:name w:val="Heading 4 Char"/>
    <w:basedOn w:val="DefaultParagraphFont"/>
    <w:link w:val="Heading4"/>
    <w:uiPriority w:val="9"/>
    <w:rsid w:val="00601BCC"/>
    <w:rPr>
      <w:rFonts w:ascii="Calibri" w:eastAsiaTheme="majorEastAsia" w:hAnsi="Calibri" w:cstheme="majorBidi"/>
      <w:b/>
      <w:iCs/>
      <w:color w:val="000000" w:themeColor="text1"/>
      <w:lang w:val="en-US"/>
    </w:rPr>
  </w:style>
  <w:style w:type="paragraph" w:styleId="Caption">
    <w:name w:val="caption"/>
    <w:basedOn w:val="Normal"/>
    <w:next w:val="Normal"/>
    <w:uiPriority w:val="35"/>
    <w:unhideWhenUsed/>
    <w:qFormat/>
    <w:rsid w:val="00601BCC"/>
    <w:pPr>
      <w:spacing w:line="240" w:lineRule="auto"/>
      <w:jc w:val="both"/>
    </w:pPr>
    <w:rPr>
      <w:i/>
      <w:iCs/>
      <w:color w:val="1F497D" w:themeColor="text2"/>
      <w:sz w:val="18"/>
      <w:szCs w:val="18"/>
      <w:lang w:val="de-AT"/>
    </w:rPr>
  </w:style>
  <w:style w:type="table" w:styleId="TableGrid">
    <w:name w:val="Table Grid"/>
    <w:basedOn w:val="TableNormal"/>
    <w:uiPriority w:val="39"/>
    <w:rsid w:val="00601BCC"/>
    <w:pPr>
      <w:spacing w:after="0" w:line="240" w:lineRule="auto"/>
    </w:pPr>
    <w:rPr>
      <w:lang w:val="de-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1BCC"/>
    <w:pPr>
      <w:spacing w:after="160" w:line="259" w:lineRule="auto"/>
      <w:ind w:left="720"/>
      <w:contextualSpacing/>
      <w:jc w:val="both"/>
    </w:pPr>
    <w:rPr>
      <w:lang w:val="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autoRedefine/>
    <w:uiPriority w:val="9"/>
    <w:unhideWhenUsed/>
    <w:qFormat/>
    <w:rsid w:val="00601BCC"/>
    <w:pPr>
      <w:keepNext/>
      <w:keepLines/>
      <w:spacing w:before="40" w:after="0" w:line="259" w:lineRule="auto"/>
      <w:jc w:val="both"/>
      <w:outlineLvl w:val="2"/>
    </w:pPr>
    <w:rPr>
      <w:rFonts w:eastAsiaTheme="majorEastAsia" w:cstheme="minorHAnsi"/>
      <w:b/>
      <w:color w:val="000000" w:themeColor="text1"/>
      <w:sz w:val="26"/>
      <w:lang w:val="en-US"/>
    </w:rPr>
  </w:style>
  <w:style w:type="paragraph" w:styleId="Heading4">
    <w:name w:val="heading 4"/>
    <w:basedOn w:val="Normal"/>
    <w:next w:val="Normal"/>
    <w:link w:val="Heading4Char"/>
    <w:autoRedefine/>
    <w:uiPriority w:val="9"/>
    <w:unhideWhenUsed/>
    <w:qFormat/>
    <w:rsid w:val="00601BCC"/>
    <w:pPr>
      <w:keepNext/>
      <w:keepLines/>
      <w:spacing w:before="40" w:after="0" w:line="259" w:lineRule="auto"/>
      <w:jc w:val="both"/>
      <w:outlineLvl w:val="3"/>
    </w:pPr>
    <w:rPr>
      <w:rFonts w:ascii="Calibri" w:eastAsiaTheme="majorEastAsia" w:hAnsi="Calibri" w:cstheme="majorBidi"/>
      <w:b/>
      <w:iCs/>
      <w:color w:val="000000" w:themeColor="tex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01BCC"/>
    <w:rPr>
      <w:rFonts w:eastAsiaTheme="majorEastAsia" w:cstheme="minorHAnsi"/>
      <w:b/>
      <w:color w:val="000000" w:themeColor="text1"/>
      <w:sz w:val="26"/>
      <w:lang w:val="en-US"/>
    </w:rPr>
  </w:style>
  <w:style w:type="character" w:customStyle="1" w:styleId="Heading4Char">
    <w:name w:val="Heading 4 Char"/>
    <w:basedOn w:val="DefaultParagraphFont"/>
    <w:link w:val="Heading4"/>
    <w:uiPriority w:val="9"/>
    <w:rsid w:val="00601BCC"/>
    <w:rPr>
      <w:rFonts w:ascii="Calibri" w:eastAsiaTheme="majorEastAsia" w:hAnsi="Calibri" w:cstheme="majorBidi"/>
      <w:b/>
      <w:iCs/>
      <w:color w:val="000000" w:themeColor="text1"/>
      <w:lang w:val="en-US"/>
    </w:rPr>
  </w:style>
  <w:style w:type="paragraph" w:styleId="Caption">
    <w:name w:val="caption"/>
    <w:basedOn w:val="Normal"/>
    <w:next w:val="Normal"/>
    <w:uiPriority w:val="35"/>
    <w:unhideWhenUsed/>
    <w:qFormat/>
    <w:rsid w:val="00601BCC"/>
    <w:pPr>
      <w:spacing w:line="240" w:lineRule="auto"/>
      <w:jc w:val="both"/>
    </w:pPr>
    <w:rPr>
      <w:i/>
      <w:iCs/>
      <w:color w:val="1F497D" w:themeColor="text2"/>
      <w:sz w:val="18"/>
      <w:szCs w:val="18"/>
      <w:lang w:val="de-AT"/>
    </w:rPr>
  </w:style>
  <w:style w:type="table" w:styleId="TableGrid">
    <w:name w:val="Table Grid"/>
    <w:basedOn w:val="TableNormal"/>
    <w:uiPriority w:val="39"/>
    <w:rsid w:val="00601BCC"/>
    <w:pPr>
      <w:spacing w:after="0" w:line="240" w:lineRule="auto"/>
    </w:pPr>
    <w:rPr>
      <w:lang w:val="de-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1BCC"/>
    <w:pPr>
      <w:spacing w:after="160" w:line="259" w:lineRule="auto"/>
      <w:ind w:left="720"/>
      <w:contextualSpacing/>
      <w:jc w:val="both"/>
    </w:pPr>
    <w:rPr>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3558</Words>
  <Characters>20285</Characters>
  <Application>Microsoft Office Word</Application>
  <DocSecurity>0</DocSecurity>
  <Lines>169</Lines>
  <Paragraphs>47</Paragraphs>
  <ScaleCrop>false</ScaleCrop>
  <Company/>
  <LinksUpToDate>false</LinksUpToDate>
  <CharactersWithSpaces>23796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JMGALABAY</dc:creator>
  <cp:lastModifiedBy>JMGALABAY</cp:lastModifiedBy>
  <cp:revision>1</cp:revision>
  <dcterms:created xsi:type="dcterms:W3CDTF">2020-09-25T12:29:00Z</dcterms:created>
  <dcterms:modified xsi:type="dcterms:W3CDTF">2020-09-25T12:30:00Z</dcterms:modified>
</cp:coreProperties>
</file>