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0CC863" w14:textId="54429745" w:rsidR="00966CAE" w:rsidRDefault="00966CAE" w:rsidP="00966CAE">
      <w:pPr>
        <w:spacing w:after="0" w:line="360" w:lineRule="auto"/>
        <w:jc w:val="both"/>
        <w:rPr>
          <w:b/>
          <w:bCs/>
        </w:rPr>
      </w:pPr>
      <w:r>
        <w:rPr>
          <w:b/>
          <w:bCs/>
        </w:rPr>
        <w:t>Supporting Information</w:t>
      </w:r>
    </w:p>
    <w:p w14:paraId="7A4DC9FB" w14:textId="77777777" w:rsidR="00966CAE" w:rsidRDefault="00966CAE" w:rsidP="00966CAE">
      <w:pPr>
        <w:spacing w:after="0" w:line="360" w:lineRule="auto"/>
        <w:jc w:val="both"/>
        <w:rPr>
          <w:b/>
          <w:bCs/>
        </w:rPr>
      </w:pPr>
    </w:p>
    <w:p w14:paraId="35BB3D04" w14:textId="5CB0EAD1" w:rsidR="00966CAE" w:rsidRPr="00966CAE" w:rsidRDefault="00966CAE" w:rsidP="00966CAE">
      <w:pPr>
        <w:spacing w:after="0" w:line="360" w:lineRule="auto"/>
        <w:rPr>
          <w:b/>
          <w:bCs/>
          <w:sz w:val="32"/>
          <w:szCs w:val="32"/>
        </w:rPr>
      </w:pPr>
      <w:r w:rsidRPr="00966CAE">
        <w:rPr>
          <w:b/>
          <w:bCs/>
          <w:sz w:val="32"/>
          <w:szCs w:val="32"/>
        </w:rPr>
        <w:t xml:space="preserve">Evaluating Indoor Low-Cost Particle Sensors: Algorithmic Insights and Calibration Approaches </w:t>
      </w:r>
    </w:p>
    <w:p w14:paraId="4FC2D400" w14:textId="77777777" w:rsidR="00966CAE" w:rsidRDefault="00966CAE" w:rsidP="00966CAE">
      <w:pPr>
        <w:spacing w:after="0" w:line="360" w:lineRule="auto"/>
        <w:jc w:val="both"/>
      </w:pPr>
    </w:p>
    <w:p w14:paraId="0B4BBEAA" w14:textId="04266379" w:rsidR="00966CAE" w:rsidRDefault="00966CAE" w:rsidP="00966CAE">
      <w:pPr>
        <w:spacing w:after="0" w:line="360" w:lineRule="auto"/>
        <w:jc w:val="both"/>
        <w:rPr>
          <w:vertAlign w:val="superscript"/>
        </w:rPr>
      </w:pPr>
      <w:r w:rsidRPr="00966CAE">
        <w:t xml:space="preserve">Nan Ma </w:t>
      </w:r>
      <w:r w:rsidRPr="00966CAE">
        <w:rPr>
          <w:vertAlign w:val="superscript"/>
        </w:rPr>
        <w:t>a</w:t>
      </w:r>
      <w:r w:rsidRPr="00966CAE">
        <w:t xml:space="preserve">, Ye Kang </w:t>
      </w:r>
      <w:r w:rsidRPr="00966CAE">
        <w:rPr>
          <w:vertAlign w:val="superscript"/>
        </w:rPr>
        <w:t>b</w:t>
      </w:r>
      <w:r w:rsidRPr="00966CAE">
        <w:t xml:space="preserve">, </w:t>
      </w:r>
      <w:proofErr w:type="spellStart"/>
      <w:r w:rsidRPr="00966CAE">
        <w:t>Weiduo</w:t>
      </w:r>
      <w:proofErr w:type="spellEnd"/>
      <w:r w:rsidRPr="00966CAE">
        <w:t xml:space="preserve"> Gan </w:t>
      </w:r>
      <w:r w:rsidRPr="00966CAE">
        <w:rPr>
          <w:vertAlign w:val="superscript"/>
        </w:rPr>
        <w:t>c</w:t>
      </w:r>
      <w:r w:rsidRPr="00966CAE">
        <w:t xml:space="preserve">, Jin Zhou </w:t>
      </w:r>
      <w:proofErr w:type="gramStart"/>
      <w:r w:rsidRPr="00966CAE">
        <w:rPr>
          <w:vertAlign w:val="superscript"/>
        </w:rPr>
        <w:t>c,*</w:t>
      </w:r>
      <w:proofErr w:type="gramEnd"/>
    </w:p>
    <w:p w14:paraId="40306A69" w14:textId="77777777" w:rsidR="004E1F59" w:rsidRPr="00966CAE" w:rsidRDefault="004E1F59" w:rsidP="00966CAE">
      <w:pPr>
        <w:spacing w:after="0" w:line="360" w:lineRule="auto"/>
        <w:jc w:val="both"/>
      </w:pPr>
    </w:p>
    <w:p w14:paraId="73DE2525" w14:textId="77777777" w:rsidR="00966CAE" w:rsidRPr="00966CAE" w:rsidRDefault="00966CAE" w:rsidP="00966CAE">
      <w:pPr>
        <w:spacing w:after="0" w:line="360" w:lineRule="auto"/>
        <w:jc w:val="both"/>
      </w:pPr>
      <w:r w:rsidRPr="00966CAE">
        <w:rPr>
          <w:vertAlign w:val="superscript"/>
        </w:rPr>
        <w:t>a</w:t>
      </w:r>
      <w:r w:rsidRPr="00966CAE">
        <w:t xml:space="preserve"> Department of Civil, Environmental, and Architectural Engineering, Worcester Polytechnic Institute, Worcester, MA 01609-2280, United States</w:t>
      </w:r>
    </w:p>
    <w:p w14:paraId="2C43EEC9" w14:textId="77777777" w:rsidR="00966CAE" w:rsidRPr="00966CAE" w:rsidRDefault="00966CAE" w:rsidP="00966CAE">
      <w:pPr>
        <w:spacing w:after="0" w:line="360" w:lineRule="auto"/>
        <w:jc w:val="both"/>
      </w:pPr>
      <w:r w:rsidRPr="00966CAE">
        <w:rPr>
          <w:vertAlign w:val="superscript"/>
        </w:rPr>
        <w:t>b</w:t>
      </w:r>
      <w:r w:rsidRPr="00966CAE">
        <w:t xml:space="preserve"> </w:t>
      </w:r>
      <w:proofErr w:type="spellStart"/>
      <w:r w:rsidRPr="00966CAE">
        <w:t>Taptana</w:t>
      </w:r>
      <w:proofErr w:type="spellEnd"/>
      <w:r w:rsidRPr="00966CAE">
        <w:t xml:space="preserve"> Data &amp; AI Pty Ltd, Kellyville, New South Wales 2155, Australia</w:t>
      </w:r>
    </w:p>
    <w:p w14:paraId="452C4FB0" w14:textId="77777777" w:rsidR="00966CAE" w:rsidRPr="00966CAE" w:rsidRDefault="00966CAE" w:rsidP="00966CAE">
      <w:pPr>
        <w:spacing w:after="0" w:line="360" w:lineRule="auto"/>
        <w:jc w:val="both"/>
      </w:pPr>
      <w:r w:rsidRPr="00966CAE">
        <w:rPr>
          <w:vertAlign w:val="superscript"/>
        </w:rPr>
        <w:t>c</w:t>
      </w:r>
      <w:r w:rsidRPr="00966CAE">
        <w:t xml:space="preserve"> Department of Civil Engineering, Monash University, Clayton, Victoria 3800, Australia</w:t>
      </w:r>
    </w:p>
    <w:p w14:paraId="5F76C9D4" w14:textId="4FF9F565" w:rsidR="00966CAE" w:rsidRPr="00966CAE" w:rsidRDefault="00966CAE" w:rsidP="00966CAE">
      <w:pPr>
        <w:spacing w:after="0" w:line="360" w:lineRule="auto"/>
        <w:jc w:val="both"/>
      </w:pPr>
      <w:r w:rsidRPr="00966CAE">
        <w:rPr>
          <w:vertAlign w:val="superscript"/>
        </w:rPr>
        <w:t>*</w:t>
      </w:r>
      <w:r w:rsidRPr="00966CAE">
        <w:t xml:space="preserve"> Corresponding author: E-mail address: Jenny.Zhou@monash.edu (Jin Zhou)</w:t>
      </w:r>
    </w:p>
    <w:p w14:paraId="7D368C7A" w14:textId="2286640E" w:rsidR="00966CAE" w:rsidRDefault="00966CAE" w:rsidP="00966CAE">
      <w:pPr>
        <w:spacing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br w:type="page"/>
      </w:r>
    </w:p>
    <w:sdt>
      <w:sdtPr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val="en-AU" w:eastAsia="zh-CN"/>
          <w14:ligatures w14:val="standardContextual"/>
        </w:rPr>
        <w:id w:val="1555345927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p w14:paraId="50FB9E39" w14:textId="6977A74E" w:rsidR="00966CAE" w:rsidRDefault="00966CAE" w:rsidP="00B7638C">
          <w:pPr>
            <w:pStyle w:val="TOCHeading"/>
          </w:pPr>
          <w:r>
            <w:t>Table of Contents</w:t>
          </w:r>
        </w:p>
        <w:p w14:paraId="059E1D4D" w14:textId="4F8F63E5" w:rsidR="008D78F5" w:rsidRDefault="00966CAE">
          <w:pPr>
            <w:pStyle w:val="TOC1"/>
            <w:tabs>
              <w:tab w:val="right" w:leader="dot" w:pos="9016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98650595" w:history="1">
            <w:r w:rsidR="008D78F5" w:rsidRPr="00297C11">
              <w:rPr>
                <w:rStyle w:val="Hyperlink"/>
                <w:b/>
                <w:bCs/>
                <w:noProof/>
              </w:rPr>
              <w:t>Fig. S1</w:t>
            </w:r>
            <w:r w:rsidR="008D78F5" w:rsidRPr="00297C11">
              <w:rPr>
                <w:rStyle w:val="Hyperlink"/>
                <w:noProof/>
              </w:rPr>
              <w:t xml:space="preserve"> Time-series comparison of particle number concentration (PNC) between the PMS5003 sensor and the reference instrument across five particle size bins (a: 0.3–0.5 μm, b: 0.5–1 μm, c: 1–2.5 μm, d: 2.5–5 μm, and e: 5–10 μm) under three indoor experiments. Please note that in this figure, Sensor #1 is presented as a representative example, as the results from the other 29 units showed similar trends</w:t>
            </w:r>
            <w:r w:rsidR="008D78F5">
              <w:rPr>
                <w:noProof/>
                <w:webHidden/>
              </w:rPr>
              <w:tab/>
            </w:r>
            <w:r w:rsidR="008D78F5">
              <w:rPr>
                <w:noProof/>
                <w:webHidden/>
              </w:rPr>
              <w:fldChar w:fldCharType="begin"/>
            </w:r>
            <w:r w:rsidR="008D78F5">
              <w:rPr>
                <w:noProof/>
                <w:webHidden/>
              </w:rPr>
              <w:instrText xml:space="preserve"> PAGEREF _Toc198650595 \h </w:instrText>
            </w:r>
            <w:r w:rsidR="008D78F5">
              <w:rPr>
                <w:noProof/>
                <w:webHidden/>
              </w:rPr>
            </w:r>
            <w:r w:rsidR="008D78F5">
              <w:rPr>
                <w:noProof/>
                <w:webHidden/>
              </w:rPr>
              <w:fldChar w:fldCharType="separate"/>
            </w:r>
            <w:r w:rsidR="003A5D5E">
              <w:rPr>
                <w:noProof/>
                <w:webHidden/>
              </w:rPr>
              <w:t>4</w:t>
            </w:r>
            <w:r w:rsidR="008D78F5">
              <w:rPr>
                <w:noProof/>
                <w:webHidden/>
              </w:rPr>
              <w:fldChar w:fldCharType="end"/>
            </w:r>
          </w:hyperlink>
        </w:p>
        <w:p w14:paraId="1DD6B8D0" w14:textId="0F209F40" w:rsidR="008D78F5" w:rsidRDefault="008D78F5">
          <w:pPr>
            <w:pStyle w:val="TOC1"/>
            <w:tabs>
              <w:tab w:val="right" w:leader="dot" w:pos="9016"/>
            </w:tabs>
            <w:rPr>
              <w:noProof/>
            </w:rPr>
          </w:pPr>
          <w:hyperlink w:anchor="_Toc198650596" w:history="1">
            <w:r w:rsidRPr="00297C11">
              <w:rPr>
                <w:rStyle w:val="Hyperlink"/>
                <w:b/>
                <w:bCs/>
                <w:noProof/>
              </w:rPr>
              <w:t>Fig. S2</w:t>
            </w:r>
            <w:r w:rsidRPr="00297C11">
              <w:rPr>
                <w:rStyle w:val="Hyperlink"/>
                <w:noProof/>
              </w:rPr>
              <w:t xml:space="preserve"> Normalised volume size distribution by SensorID #1 and reference instrument across three indoor experiments (Ex_Bushfire, Ex_Incense and Ex_Normal). Please note that in this figure, Sensor #1 is presented as a representative example, as the results from the other 29 units showed similar trends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_Toc198650596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A5D5E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7CD2FC" w14:textId="5948BE37" w:rsidR="008D78F5" w:rsidRDefault="008D78F5">
          <w:pPr>
            <w:pStyle w:val="TOC1"/>
            <w:tabs>
              <w:tab w:val="right" w:leader="dot" w:pos="9016"/>
            </w:tabs>
            <w:rPr>
              <w:noProof/>
            </w:rPr>
          </w:pPr>
          <w:hyperlink w:anchor="_Toc198650597" w:history="1">
            <w:r w:rsidRPr="00297C11">
              <w:rPr>
                <w:rStyle w:val="Hyperlink"/>
                <w:b/>
                <w:bCs/>
                <w:noProof/>
              </w:rPr>
              <w:t>Fig. S3</w:t>
            </w:r>
            <w:r w:rsidRPr="00297C11">
              <w:rPr>
                <w:rStyle w:val="Hyperlink"/>
                <w:noProof/>
              </w:rPr>
              <w:t xml:space="preserve"> Scatter plots of r², RMSE, MNB, and CV for 30 sensor modules across three particle size ranges (&lt;1, &lt;2.5, and &lt;10 μm) under three indoor experimental conditions (Ex_Bushfire, Ex_Incense and Ex_Normal)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_Toc198650597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A5D5E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F1DA34" w14:textId="3CB6FC11" w:rsidR="00966CAE" w:rsidRDefault="00966CAE">
          <w:r>
            <w:rPr>
              <w:b/>
              <w:bCs/>
              <w:noProof/>
            </w:rPr>
            <w:fldChar w:fldCharType="end"/>
          </w:r>
        </w:p>
      </w:sdtContent>
    </w:sdt>
    <w:p w14:paraId="6FFCF16B" w14:textId="77777777" w:rsidR="00966CAE" w:rsidRDefault="00966CAE" w:rsidP="00A1225A">
      <w:pPr>
        <w:jc w:val="both"/>
        <w:rPr>
          <w:b/>
          <w:bCs/>
        </w:rPr>
      </w:pPr>
    </w:p>
    <w:p w14:paraId="67BBBD09" w14:textId="77777777" w:rsidR="00966CAE" w:rsidRDefault="00966CAE" w:rsidP="00A1225A">
      <w:pPr>
        <w:jc w:val="both"/>
        <w:rPr>
          <w:b/>
          <w:bCs/>
        </w:rPr>
        <w:sectPr w:rsidR="00966CAE">
          <w:footerReference w:type="default" r:id="rId7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441C411" w14:textId="1F3D3049" w:rsidR="00311ADD" w:rsidRDefault="00F93BA4">
      <w:r>
        <w:rPr>
          <w:noProof/>
        </w:rPr>
        <w:lastRenderedPageBreak/>
        <w:drawing>
          <wp:inline distT="0" distB="0" distL="0" distR="0" wp14:anchorId="4172A66D" wp14:editId="597DB641">
            <wp:extent cx="5731510" cy="2851785"/>
            <wp:effectExtent l="0" t="0" r="2540" b="5715"/>
            <wp:docPr id="710434962" name="Picture 12" descr="A group of graphs showing different types of data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0434962" name="Picture 12" descr="A group of graphs showing different types of data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851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1DE57F" w14:textId="48811F49" w:rsidR="005620AA" w:rsidRDefault="00F93BA4">
      <w:r>
        <w:rPr>
          <w:noProof/>
        </w:rPr>
        <w:drawing>
          <wp:inline distT="0" distB="0" distL="0" distR="0" wp14:anchorId="24641DFC" wp14:editId="0D9CA044">
            <wp:extent cx="5731510" cy="2851785"/>
            <wp:effectExtent l="0" t="0" r="2540" b="5715"/>
            <wp:docPr id="255162737" name="Picture 13" descr="A group of graphs showing different types of data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162737" name="Picture 13" descr="A group of graphs showing different types of data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851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C85EA4" w14:textId="405DB19E" w:rsidR="005620AA" w:rsidRDefault="00F93BA4">
      <w:r>
        <w:rPr>
          <w:noProof/>
        </w:rPr>
        <w:drawing>
          <wp:inline distT="0" distB="0" distL="0" distR="0" wp14:anchorId="72D84628" wp14:editId="4E12906D">
            <wp:extent cx="5731510" cy="2849880"/>
            <wp:effectExtent l="0" t="0" r="2540" b="7620"/>
            <wp:docPr id="319754964" name="Picture 14" descr="A group of graphs showing different types of data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754964" name="Picture 14" descr="A group of graphs showing different types of data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84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53F4A7" w14:textId="03BF32B2" w:rsidR="005620AA" w:rsidRDefault="00F93BA4">
      <w:r>
        <w:rPr>
          <w:noProof/>
        </w:rPr>
        <w:lastRenderedPageBreak/>
        <w:drawing>
          <wp:inline distT="0" distB="0" distL="0" distR="0" wp14:anchorId="7C6CECA8" wp14:editId="5BDE349C">
            <wp:extent cx="5731510" cy="2851785"/>
            <wp:effectExtent l="0" t="0" r="2540" b="5715"/>
            <wp:docPr id="1533471019" name="Picture 15" descr="A group of graphs showing different types of data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3471019" name="Picture 15" descr="A group of graphs showing different types of data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851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2440E2" w14:textId="77777777" w:rsidR="00F93BA4" w:rsidRDefault="00F93BA4" w:rsidP="00F93BA4">
      <w:pPr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220B4DBF" wp14:editId="21F0BE34">
            <wp:extent cx="5731510" cy="2849880"/>
            <wp:effectExtent l="0" t="0" r="2540" b="7620"/>
            <wp:docPr id="72096397" name="Picture 16" descr="A graph of different types of graph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96397" name="Picture 16" descr="A graph of different types of graph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84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0683CA" w14:textId="6D8002DB" w:rsidR="00E2362F" w:rsidRPr="008D78F5" w:rsidRDefault="00E2362F" w:rsidP="00B7638C">
      <w:pPr>
        <w:pStyle w:val="Heading1"/>
        <w:rPr>
          <w:sz w:val="22"/>
          <w:szCs w:val="22"/>
        </w:rPr>
      </w:pPr>
      <w:bookmarkStart w:id="0" w:name="_Toc198650595"/>
      <w:r w:rsidRPr="008D78F5">
        <w:rPr>
          <w:b/>
          <w:bCs/>
          <w:sz w:val="22"/>
          <w:szCs w:val="22"/>
        </w:rPr>
        <w:t>Fig. S1</w:t>
      </w:r>
      <w:r w:rsidRPr="008D78F5">
        <w:rPr>
          <w:sz w:val="22"/>
          <w:szCs w:val="22"/>
        </w:rPr>
        <w:t xml:space="preserve"> </w:t>
      </w:r>
      <w:r w:rsidR="00F93BA4" w:rsidRPr="008D78F5">
        <w:rPr>
          <w:sz w:val="22"/>
          <w:szCs w:val="22"/>
        </w:rPr>
        <w:t>Time-series comparison of particle number concentration (PNC) between the PMS5003 sensor and the reference instrument across five particle size bins (a: 0.3–0.5 μm, b: 0.5–1 μm, c: 1–2.5 μm, d: 2.5–5 μm, and e: 5–10 μm) under three indoor experiments. Please note that in this figure, Sensor #1 is presented as a representative example, as the results from the other 29 units showed similar trends</w:t>
      </w:r>
      <w:bookmarkEnd w:id="0"/>
    </w:p>
    <w:p w14:paraId="54ADA34A" w14:textId="706DA958" w:rsidR="00212D9D" w:rsidRDefault="00212D9D">
      <w:r>
        <w:br w:type="page"/>
      </w:r>
    </w:p>
    <w:p w14:paraId="13B3F6E6" w14:textId="7A138A4D" w:rsidR="00B7638C" w:rsidRDefault="00B7638C">
      <w:r>
        <w:rPr>
          <w:noProof/>
        </w:rPr>
        <w:lastRenderedPageBreak/>
        <w:drawing>
          <wp:inline distT="0" distB="0" distL="0" distR="0" wp14:anchorId="5934D916" wp14:editId="47EBAE06">
            <wp:extent cx="5731510" cy="2273300"/>
            <wp:effectExtent l="0" t="0" r="2540" b="0"/>
            <wp:docPr id="939896283" name="Picture 17" descr="A graph of different colored squar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9896283" name="Picture 17" descr="A graph of different colored squar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27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04BC5B" w14:textId="00958F92" w:rsidR="00B7638C" w:rsidRPr="008D78F5" w:rsidRDefault="00B7638C" w:rsidP="00B7638C">
      <w:pPr>
        <w:pStyle w:val="Heading1"/>
        <w:rPr>
          <w:sz w:val="22"/>
          <w:szCs w:val="22"/>
        </w:rPr>
      </w:pPr>
      <w:bookmarkStart w:id="1" w:name="_Toc198650596"/>
      <w:r w:rsidRPr="008D78F5">
        <w:rPr>
          <w:b/>
          <w:bCs/>
          <w:sz w:val="22"/>
          <w:szCs w:val="22"/>
        </w:rPr>
        <w:t>Fig. S2</w:t>
      </w:r>
      <w:r w:rsidRPr="008D78F5">
        <w:rPr>
          <w:sz w:val="22"/>
          <w:szCs w:val="22"/>
        </w:rPr>
        <w:t xml:space="preserve"> Normalised volume size distribution by </w:t>
      </w:r>
      <w:proofErr w:type="spellStart"/>
      <w:r w:rsidRPr="008D78F5">
        <w:rPr>
          <w:sz w:val="22"/>
          <w:szCs w:val="22"/>
        </w:rPr>
        <w:t>SensorID</w:t>
      </w:r>
      <w:proofErr w:type="spellEnd"/>
      <w:r w:rsidRPr="008D78F5">
        <w:rPr>
          <w:sz w:val="22"/>
          <w:szCs w:val="22"/>
        </w:rPr>
        <w:t xml:space="preserve"> #1 and reference instrument across three indoor experiments (</w:t>
      </w:r>
      <w:proofErr w:type="spellStart"/>
      <w:r w:rsidRPr="008D78F5">
        <w:rPr>
          <w:sz w:val="22"/>
          <w:szCs w:val="22"/>
        </w:rPr>
        <w:t>Ex_Bushfire</w:t>
      </w:r>
      <w:proofErr w:type="spellEnd"/>
      <w:r w:rsidRPr="008D78F5">
        <w:rPr>
          <w:sz w:val="22"/>
          <w:szCs w:val="22"/>
        </w:rPr>
        <w:t xml:space="preserve">, </w:t>
      </w:r>
      <w:proofErr w:type="spellStart"/>
      <w:r w:rsidRPr="008D78F5">
        <w:rPr>
          <w:sz w:val="22"/>
          <w:szCs w:val="22"/>
        </w:rPr>
        <w:t>Ex_Incense</w:t>
      </w:r>
      <w:proofErr w:type="spellEnd"/>
      <w:r w:rsidRPr="008D78F5">
        <w:rPr>
          <w:sz w:val="22"/>
          <w:szCs w:val="22"/>
        </w:rPr>
        <w:t xml:space="preserve"> and </w:t>
      </w:r>
      <w:proofErr w:type="spellStart"/>
      <w:r w:rsidRPr="008D78F5">
        <w:rPr>
          <w:sz w:val="22"/>
          <w:szCs w:val="22"/>
        </w:rPr>
        <w:t>Ex_Normal</w:t>
      </w:r>
      <w:proofErr w:type="spellEnd"/>
      <w:r w:rsidRPr="008D78F5">
        <w:rPr>
          <w:sz w:val="22"/>
          <w:szCs w:val="22"/>
        </w:rPr>
        <w:t>)</w:t>
      </w:r>
      <w:r w:rsidR="00115D0C" w:rsidRPr="008D78F5">
        <w:rPr>
          <w:sz w:val="22"/>
          <w:szCs w:val="22"/>
        </w:rPr>
        <w:t>. Please note that in this figure, Sensor #1 is presented as a representative example, as the results from the other 29 units showed similar trends</w:t>
      </w:r>
      <w:bookmarkEnd w:id="1"/>
    </w:p>
    <w:p w14:paraId="6A5E1D64" w14:textId="3B3B8406" w:rsidR="00B7638C" w:rsidRDefault="00B7638C" w:rsidP="00B7638C">
      <w:pPr>
        <w:jc w:val="both"/>
      </w:pPr>
      <w:r>
        <w:br w:type="page"/>
      </w:r>
    </w:p>
    <w:p w14:paraId="137B8133" w14:textId="58311A67" w:rsidR="00A1225A" w:rsidRDefault="00E46D7E" w:rsidP="00A1225A">
      <w:r w:rsidRPr="00E46D7E">
        <w:rPr>
          <w:noProof/>
        </w:rPr>
        <w:lastRenderedPageBreak/>
        <w:drawing>
          <wp:inline distT="0" distB="0" distL="0" distR="0" wp14:anchorId="6ECED6E7" wp14:editId="69AD6B59">
            <wp:extent cx="5731510" cy="5064760"/>
            <wp:effectExtent l="0" t="0" r="2540" b="2540"/>
            <wp:docPr id="13" name="Picture 12">
              <a:extLst xmlns:a="http://schemas.openxmlformats.org/drawingml/2006/main">
                <a:ext uri="{FF2B5EF4-FFF2-40B4-BE49-F238E27FC236}">
                  <a16:creationId xmlns:a16="http://schemas.microsoft.com/office/drawing/2014/main" id="{917F4041-7F5C-9D41-58B5-992044550DB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2">
                      <a:extLst>
                        <a:ext uri="{FF2B5EF4-FFF2-40B4-BE49-F238E27FC236}">
                          <a16:creationId xmlns:a16="http://schemas.microsoft.com/office/drawing/2014/main" id="{917F4041-7F5C-9D41-58B5-992044550DB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064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AE5126" w14:textId="615521ED" w:rsidR="00B7638C" w:rsidRPr="008D78F5" w:rsidRDefault="00B7638C" w:rsidP="00E46D7E">
      <w:pPr>
        <w:pStyle w:val="Heading1"/>
        <w:rPr>
          <w:sz w:val="22"/>
          <w:szCs w:val="22"/>
        </w:rPr>
      </w:pPr>
      <w:bookmarkStart w:id="2" w:name="_Toc198650597"/>
      <w:r w:rsidRPr="008D78F5">
        <w:rPr>
          <w:b/>
          <w:bCs/>
          <w:sz w:val="22"/>
          <w:szCs w:val="22"/>
        </w:rPr>
        <w:t>Fig. S3</w:t>
      </w:r>
      <w:r w:rsidRPr="008D78F5">
        <w:rPr>
          <w:sz w:val="22"/>
          <w:szCs w:val="22"/>
        </w:rPr>
        <w:t xml:space="preserve"> </w:t>
      </w:r>
      <w:r w:rsidR="00E46D7E" w:rsidRPr="008D78F5">
        <w:rPr>
          <w:sz w:val="22"/>
          <w:szCs w:val="22"/>
        </w:rPr>
        <w:t>Scatter plots of r², RMSE, MNB, and CV for 30 sensor modules across three particle size ranges (&lt;1, &lt;2.5, and &lt;10 μm) under three indoor experimental conditions</w:t>
      </w:r>
      <w:r w:rsidR="00E52AC5" w:rsidRPr="008D78F5">
        <w:rPr>
          <w:sz w:val="22"/>
          <w:szCs w:val="22"/>
        </w:rPr>
        <w:t xml:space="preserve"> (</w:t>
      </w:r>
      <w:proofErr w:type="spellStart"/>
      <w:r w:rsidR="00E52AC5" w:rsidRPr="008D78F5">
        <w:rPr>
          <w:sz w:val="22"/>
          <w:szCs w:val="22"/>
        </w:rPr>
        <w:t>Ex_Bushfire</w:t>
      </w:r>
      <w:proofErr w:type="spellEnd"/>
      <w:r w:rsidR="00E52AC5" w:rsidRPr="008D78F5">
        <w:rPr>
          <w:sz w:val="22"/>
          <w:szCs w:val="22"/>
        </w:rPr>
        <w:t xml:space="preserve">, </w:t>
      </w:r>
      <w:proofErr w:type="spellStart"/>
      <w:r w:rsidR="00E52AC5" w:rsidRPr="008D78F5">
        <w:rPr>
          <w:sz w:val="22"/>
          <w:szCs w:val="22"/>
        </w:rPr>
        <w:t>Ex_Incense</w:t>
      </w:r>
      <w:proofErr w:type="spellEnd"/>
      <w:r w:rsidR="00E52AC5" w:rsidRPr="008D78F5">
        <w:rPr>
          <w:sz w:val="22"/>
          <w:szCs w:val="22"/>
        </w:rPr>
        <w:t xml:space="preserve"> and </w:t>
      </w:r>
      <w:proofErr w:type="spellStart"/>
      <w:r w:rsidR="00E52AC5" w:rsidRPr="008D78F5">
        <w:rPr>
          <w:sz w:val="22"/>
          <w:szCs w:val="22"/>
        </w:rPr>
        <w:t>Ex_Normal</w:t>
      </w:r>
      <w:proofErr w:type="spellEnd"/>
      <w:r w:rsidR="00E52AC5" w:rsidRPr="008D78F5">
        <w:rPr>
          <w:sz w:val="22"/>
          <w:szCs w:val="22"/>
        </w:rPr>
        <w:t>)</w:t>
      </w:r>
      <w:bookmarkEnd w:id="2"/>
    </w:p>
    <w:sectPr w:rsidR="00B7638C" w:rsidRPr="008D78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69611" w14:textId="77777777" w:rsidR="00427896" w:rsidRDefault="00427896" w:rsidP="00025AA9">
      <w:pPr>
        <w:spacing w:after="0" w:line="240" w:lineRule="auto"/>
      </w:pPr>
      <w:r>
        <w:separator/>
      </w:r>
    </w:p>
  </w:endnote>
  <w:endnote w:type="continuationSeparator" w:id="0">
    <w:p w14:paraId="563AFCAF" w14:textId="77777777" w:rsidR="00427896" w:rsidRDefault="00427896" w:rsidP="00025A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023455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BDABC1" w14:textId="509D7598" w:rsidR="00025AA9" w:rsidRDefault="00025AA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FA6060" w14:textId="77777777" w:rsidR="00025AA9" w:rsidRDefault="00025A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F091C0" w14:textId="77777777" w:rsidR="00427896" w:rsidRDefault="00427896" w:rsidP="00025AA9">
      <w:pPr>
        <w:spacing w:after="0" w:line="240" w:lineRule="auto"/>
      </w:pPr>
      <w:r>
        <w:separator/>
      </w:r>
    </w:p>
  </w:footnote>
  <w:footnote w:type="continuationSeparator" w:id="0">
    <w:p w14:paraId="6BC19570" w14:textId="77777777" w:rsidR="00427896" w:rsidRDefault="00427896" w:rsidP="00025A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6F8"/>
    <w:rsid w:val="00025AA9"/>
    <w:rsid w:val="00061F8D"/>
    <w:rsid w:val="00084081"/>
    <w:rsid w:val="00115D0C"/>
    <w:rsid w:val="00212D9D"/>
    <w:rsid w:val="00311ADD"/>
    <w:rsid w:val="0034322F"/>
    <w:rsid w:val="0035299A"/>
    <w:rsid w:val="003A5D5E"/>
    <w:rsid w:val="00427896"/>
    <w:rsid w:val="00440F4A"/>
    <w:rsid w:val="00457C0D"/>
    <w:rsid w:val="004E1F59"/>
    <w:rsid w:val="004F4E5E"/>
    <w:rsid w:val="005306F8"/>
    <w:rsid w:val="005620AA"/>
    <w:rsid w:val="0057049F"/>
    <w:rsid w:val="005D75EC"/>
    <w:rsid w:val="006B57CC"/>
    <w:rsid w:val="006C2782"/>
    <w:rsid w:val="00717FE2"/>
    <w:rsid w:val="007647B9"/>
    <w:rsid w:val="00781864"/>
    <w:rsid w:val="008D78F5"/>
    <w:rsid w:val="008F7EC6"/>
    <w:rsid w:val="00966CAE"/>
    <w:rsid w:val="0099021D"/>
    <w:rsid w:val="00A1225A"/>
    <w:rsid w:val="00B035EF"/>
    <w:rsid w:val="00B7638C"/>
    <w:rsid w:val="00BE4319"/>
    <w:rsid w:val="00D74D6E"/>
    <w:rsid w:val="00DB0B27"/>
    <w:rsid w:val="00E2362F"/>
    <w:rsid w:val="00E46D7E"/>
    <w:rsid w:val="00E52AC5"/>
    <w:rsid w:val="00F93BA4"/>
    <w:rsid w:val="00FE1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F404AF"/>
  <w15:chartTrackingRefBased/>
  <w15:docId w15:val="{6D671C66-18B8-4F7F-8713-0F80508B4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7638C"/>
    <w:pPr>
      <w:jc w:val="center"/>
      <w:outlineLvl w:val="0"/>
    </w:p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06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06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06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06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06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06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06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06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638C"/>
  </w:style>
  <w:style w:type="character" w:customStyle="1" w:styleId="Heading2Char">
    <w:name w:val="Heading 2 Char"/>
    <w:basedOn w:val="DefaultParagraphFont"/>
    <w:link w:val="Heading2"/>
    <w:uiPriority w:val="9"/>
    <w:semiHidden/>
    <w:rsid w:val="005306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06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06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06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06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06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06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06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06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06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06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06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06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06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06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06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06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06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06F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25A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5AA9"/>
  </w:style>
  <w:style w:type="paragraph" w:styleId="Footer">
    <w:name w:val="footer"/>
    <w:basedOn w:val="Normal"/>
    <w:link w:val="FooterChar"/>
    <w:uiPriority w:val="99"/>
    <w:unhideWhenUsed/>
    <w:rsid w:val="00025A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5AA9"/>
  </w:style>
  <w:style w:type="paragraph" w:styleId="TOCHeading">
    <w:name w:val="TOC Heading"/>
    <w:basedOn w:val="Heading1"/>
    <w:next w:val="Normal"/>
    <w:uiPriority w:val="39"/>
    <w:unhideWhenUsed/>
    <w:qFormat/>
    <w:rsid w:val="00966CAE"/>
    <w:pPr>
      <w:keepNext/>
      <w:keepLines/>
      <w:spacing w:after="120" w:line="360" w:lineRule="auto"/>
      <w:jc w:val="left"/>
      <w:outlineLvl w:val="9"/>
    </w:pPr>
    <w:rPr>
      <w:rFonts w:asciiTheme="majorHAnsi" w:eastAsiaTheme="majorEastAsia" w:hAnsiTheme="majorHAnsi" w:cstheme="majorBidi"/>
      <w:b/>
      <w:kern w:val="0"/>
      <w:sz w:val="28"/>
      <w:szCs w:val="32"/>
      <w:lang w:val="en-US" w:eastAsia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966CAE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966CAE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Manuscripts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859700-8E38-4EA7-86FF-5BE75B301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6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Gan</dc:creator>
  <cp:keywords/>
  <dc:description/>
  <cp:lastModifiedBy>Victor Gan</cp:lastModifiedBy>
  <cp:revision>20</cp:revision>
  <cp:lastPrinted>2025-05-20T06:23:00Z</cp:lastPrinted>
  <dcterms:created xsi:type="dcterms:W3CDTF">2025-05-14T07:34:00Z</dcterms:created>
  <dcterms:modified xsi:type="dcterms:W3CDTF">2025-05-20T06:23:00Z</dcterms:modified>
</cp:coreProperties>
</file>