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44" w:rsidRPr="007A6B44" w:rsidRDefault="007A6B44" w:rsidP="007A6B44">
      <w:pPr>
        <w:spacing w:before="120" w:after="24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6B44">
        <w:rPr>
          <w:rFonts w:ascii="Times New Roman" w:eastAsia="Times New Roman" w:hAnsi="Times New Roman" w:cs="Times New Roman"/>
          <w:b/>
          <w:sz w:val="28"/>
          <w:szCs w:val="28"/>
        </w:rPr>
        <w:t>SUPPLEMENTARY MATERIAL</w:t>
      </w:r>
    </w:p>
    <w:p w:rsidR="007A6B44" w:rsidRPr="007A6B44" w:rsidRDefault="007A6B44" w:rsidP="007A6B44">
      <w:pPr>
        <w:spacing w:before="120" w:after="24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A6B44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 </w:t>
      </w:r>
      <w:r w:rsidRPr="007A6B44">
        <w:rPr>
          <w:rFonts w:ascii="Times New Roman" w:eastAsia="Times New Roman" w:hAnsi="Times New Roman" w:cs="Times New Roman"/>
          <w:sz w:val="24"/>
          <w:szCs w:val="24"/>
        </w:rPr>
        <w:t>Additional demographics and baseline characteristics; pooled data from OPAL Broaden and OPAL Beyond</w:t>
      </w:r>
    </w:p>
    <w:tbl>
      <w:tblPr>
        <w:tblW w:w="9467" w:type="dxa"/>
        <w:tblLook w:val="04A0" w:firstRow="1" w:lastRow="0" w:firstColumn="1" w:lastColumn="0" w:noHBand="0" w:noVBand="1"/>
      </w:tblPr>
      <w:tblGrid>
        <w:gridCol w:w="3433"/>
        <w:gridCol w:w="1438"/>
        <w:gridCol w:w="1438"/>
        <w:gridCol w:w="1309"/>
        <w:gridCol w:w="1849"/>
      </w:tblGrid>
      <w:tr w:rsidR="007A6B44" w:rsidRPr="007A6B44" w:rsidTr="0056122B"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Tofacitinib 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5 mg BID</w:t>
            </w:r>
          </w:p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238)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Tofacitinib 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10 mg BID</w:t>
            </w:r>
          </w:p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236)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Placebo</w:t>
            </w:r>
          </w:p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236)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  <w:p w:rsidR="007A6B44" w:rsidRPr="007A6B44" w:rsidRDefault="007A6B44" w:rsidP="007A6B44">
            <w:pPr>
              <w:keepNext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710)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Geographic region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USA/Canada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58 (24.4)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56 (23.7)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45 (19.1)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159 (22.4)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Western Europe/Australia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58 (24.4)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59 (25.0)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49 (20.8)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166 (23.4)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Eastern Europe/Russia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93 (39.1)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100 (42.4)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112 (47.5)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305 (43.0)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Rest of World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29 (12.2)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 (8.9)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30 (12.7)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80 (11.3)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hsCRP (mg/L), mean (SD)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12.3 (20.5)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12.0 (21.9)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11.3 (20.2)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11.9 (20.9)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Screening &lt;5 joints or asymmetric involvement, n (%)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45 (18.9)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56 (23.7)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49 (20.8)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150 (21.1)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Screening ≥5 joints involvement, n (%)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213 (89.5)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212 (89.8)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216 (91.5)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641 (90.3)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Enthesitis assessed by SPARCC Enthesitis Index or LEI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187 (78.6)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195 (82.6)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188 (79.7)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570 (80.3)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Baseline BASDAI </w:t>
            </w:r>
            <w:r w:rsidR="002A7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&gt;0 cm to &lt;4 cm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, n (%)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 (2.9)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 (2.5)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 (2.5)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19 (2.7)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MTX dose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(day 1), mg/week, mean (SD)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B44" w:rsidRPr="007A6B44" w:rsidTr="0056122B">
        <w:tc>
          <w:tcPr>
            <w:tcW w:w="3433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OPAL Broaden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92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16.4 (3.8)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92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16.8 (11.7)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92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15.5 (4.1)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276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16.2 (7.5)</w:t>
            </w:r>
          </w:p>
        </w:tc>
      </w:tr>
      <w:tr w:rsidR="007A6B44" w:rsidRPr="007A6B44" w:rsidTr="0056122B">
        <w:tc>
          <w:tcPr>
            <w:tcW w:w="3433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OPAL Beyond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97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14.7 (4.4)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90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14.1 (4.6)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101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14.1 (4.3)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288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14.3 (4.4)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Corticosteroid dose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e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(day 1), mg/day, mean (SD)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OPAL Broaden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29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7.6 (3.4)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11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4.2 (1.5)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18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6.0 (2.4)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58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6.5 (2.8)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OPAL Beyond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37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6.1 (2.4)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25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7.3 (2.5)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31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6.8 (2.8)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N1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93</w:t>
            </w:r>
          </w:p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6.7 (2.5)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prior bDMARDs, n (%) [OPAL Beyond only]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131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132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131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= 394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 TNFi bDMARD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76 (58.0)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80 (60.6)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79 (60.3)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235 (59.6)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 TNFi bDMARDs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23 (17.6)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 (15.9)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27 (20.6)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71 (18.0)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shd w:val="clear" w:color="auto" w:fill="auto"/>
            <w:vAlign w:val="center"/>
          </w:tcPr>
          <w:p w:rsidR="007A6B44" w:rsidRPr="007A6B44" w:rsidRDefault="007A6B44" w:rsidP="007A6B44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≥3 TNFi bDMARDs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21 (16.0)</w:t>
            </w:r>
          </w:p>
        </w:tc>
        <w:tc>
          <w:tcPr>
            <w:tcW w:w="1438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17 (12.9)</w:t>
            </w:r>
          </w:p>
        </w:tc>
        <w:tc>
          <w:tcPr>
            <w:tcW w:w="130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 (10.7)</w:t>
            </w:r>
          </w:p>
        </w:tc>
        <w:tc>
          <w:tcPr>
            <w:tcW w:w="1849" w:type="dxa"/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52 (13.2)</w:t>
            </w:r>
          </w:p>
        </w:tc>
      </w:tr>
      <w:tr w:rsidR="007A6B44" w:rsidRPr="007A6B44" w:rsidTr="0056122B">
        <w:trPr>
          <w:trHeight w:val="460"/>
        </w:trPr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B44" w:rsidRPr="007A6B44" w:rsidRDefault="007A6B44" w:rsidP="007A6B44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≥1 non-TNFi bDMARDs</w:t>
            </w: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11 (8.4)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14 (10.6)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11 (8.4)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auto"/>
          </w:tcPr>
          <w:p w:rsidR="007A6B44" w:rsidRPr="007A6B44" w:rsidRDefault="007A6B44" w:rsidP="007A6B44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B44">
              <w:rPr>
                <w:rFonts w:ascii="Times New Roman" w:eastAsia="Times New Roman" w:hAnsi="Times New Roman" w:cs="Times New Roman"/>
                <w:sz w:val="24"/>
                <w:szCs w:val="24"/>
              </w:rPr>
              <w:t>36 (9.1)</w:t>
            </w:r>
          </w:p>
        </w:tc>
      </w:tr>
    </w:tbl>
    <w:p w:rsidR="007A6B44" w:rsidRPr="007A6B44" w:rsidRDefault="007A6B44" w:rsidP="007A6B44">
      <w:pPr>
        <w:autoSpaceDE w:val="0"/>
        <w:autoSpaceDN w:val="0"/>
        <w:adjustRightInd w:val="0"/>
        <w:spacing w:before="120" w:after="240" w:line="48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BASDAI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Bath Ankylosing Spondylitis Disease Activity Index,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bDMARD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biologic disease-modifying antirheumatic drug,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BID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twice daily,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 xml:space="preserve">BMI 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body mass index,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BSA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body surface area,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FAS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Full Analysis Set,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hsCRP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high-sensitivity C-reactive protein,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LEI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Leeds Enthesitis Index, 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MTX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methotrexate, 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n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number of patients meeting criterion, 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N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number of patients in FAS, 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N1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number of evaluable patients,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SD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standard deviation,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SPARCC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Spondyloarthritis Research Consortium of Canada, </w:t>
      </w:r>
      <w:r w:rsidRPr="007A6B44">
        <w:rPr>
          <w:rFonts w:ascii="Times New Roman" w:eastAsia="Times New Roman" w:hAnsi="Times New Roman" w:cs="Times New Roman"/>
          <w:i/>
          <w:sz w:val="20"/>
          <w:szCs w:val="24"/>
        </w:rPr>
        <w:t>TNFi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tumour necrosis factor inhibitor</w:t>
      </w:r>
    </w:p>
    <w:p w:rsidR="007A6B44" w:rsidRPr="007A6B44" w:rsidRDefault="007A6B44" w:rsidP="007A6B44">
      <w:pPr>
        <w:spacing w:before="120" w:after="240" w:line="480" w:lineRule="auto"/>
        <w:rPr>
          <w:rFonts w:ascii="Times New Roman" w:eastAsia="TimesNewRoman" w:hAnsi="Times New Roman" w:cs="Times New Roman"/>
          <w:sz w:val="20"/>
          <w:szCs w:val="24"/>
          <w:lang w:eastAsia="en-GB"/>
        </w:rPr>
      </w:pPr>
      <w:r w:rsidRPr="007A6B44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a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Eastern Europe included Bulgaria, Czech Republic, Hungary, Poland and Slovakia. Western Europe included Belgium, France, Germany, Spain and the UK; </w:t>
      </w:r>
      <w:r w:rsidRPr="007A6B44">
        <w:rPr>
          <w:rFonts w:ascii="Times New Roman" w:eastAsia="TimesNewRoman" w:hAnsi="Times New Roman" w:cs="Times New Roman"/>
          <w:sz w:val="20"/>
          <w:szCs w:val="24"/>
          <w:vertAlign w:val="superscript"/>
          <w:lang w:eastAsia="en-GB"/>
        </w:rPr>
        <w:t>b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>Determined by baseline SPARCC Enthesitis Index &gt;0 or LEI &gt;0;</w:t>
      </w:r>
      <w:r w:rsidRPr="007A6B44">
        <w:rPr>
          <w:rFonts w:ascii="Times New Roman" w:eastAsia="TimesNewRoman" w:hAnsi="Times New Roman" w:cs="Times New Roman"/>
          <w:sz w:val="20"/>
          <w:szCs w:val="24"/>
          <w:vertAlign w:val="superscript"/>
          <w:lang w:eastAsia="en-GB"/>
        </w:rPr>
        <w:t xml:space="preserve"> c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>Only patients with spondylitis (as determined by the investigator site’s qualified assessor) at screening;</w:t>
      </w:r>
      <w:r w:rsidRPr="007A6B44">
        <w:rPr>
          <w:rFonts w:ascii="Times New Roman" w:eastAsia="TimesNewRoman" w:hAnsi="Times New Roman" w:cs="Times New Roman"/>
          <w:sz w:val="20"/>
          <w:szCs w:val="24"/>
          <w:vertAlign w:val="superscript"/>
          <w:lang w:eastAsia="en-GB"/>
        </w:rPr>
        <w:t xml:space="preserve"> d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Maximum permitted dose of MTX was 20 mg/week; </w:t>
      </w:r>
      <w:r w:rsidRPr="007A6B44">
        <w:rPr>
          <w:rFonts w:ascii="Times New Roman" w:eastAsia="TimesNewRoman" w:hAnsi="Times New Roman" w:cs="Times New Roman"/>
          <w:sz w:val="20"/>
          <w:szCs w:val="24"/>
          <w:vertAlign w:val="superscript"/>
          <w:lang w:eastAsia="en-GB"/>
        </w:rPr>
        <w:t>e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Maximum permitted dose of 10 mg/day prednisone 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lastRenderedPageBreak/>
        <w:t>equivalent;</w:t>
      </w:r>
      <w:r w:rsidRPr="007A6B44">
        <w:rPr>
          <w:rFonts w:ascii="Times New Roman" w:eastAsia="TimesNewRoman" w:hAnsi="Times New Roman" w:cs="Times New Roman"/>
          <w:sz w:val="20"/>
          <w:szCs w:val="24"/>
          <w:vertAlign w:val="superscript"/>
          <w:lang w:eastAsia="en-GB"/>
        </w:rPr>
        <w:t xml:space="preserve"> f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>Patients who were treated with any non-TNFi bDMARD or both TNFi bDMARD and non-TNFi bDMARD were counted in the ≥1 non-TNFi bDMARD category</w:t>
      </w:r>
    </w:p>
    <w:p w:rsidR="007A6B44" w:rsidRPr="007A6B44" w:rsidRDefault="007A6B44" w:rsidP="007A6B44">
      <w:pPr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7A6B44" w:rsidRPr="007A6B4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A6B44" w:rsidRPr="007A6B44" w:rsidRDefault="007A6B44" w:rsidP="007A6B44">
      <w:pPr>
        <w:spacing w:before="240" w:after="0" w:line="480" w:lineRule="auto"/>
        <w:ind w:left="-42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</w:pPr>
      <w:r w:rsidRPr="007A6B4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 xml:space="preserve">Table S2 </w:t>
      </w:r>
      <w:r w:rsidRPr="007A6B44">
        <w:rPr>
          <w:rFonts w:ascii="Times New Roman" w:eastAsia="Times New Roman" w:hAnsi="Times New Roman" w:cs="Times New Roman"/>
          <w:sz w:val="24"/>
          <w:szCs w:val="24"/>
          <w:lang w:eastAsia="en-GB"/>
        </w:rPr>
        <w:t>Efficacy endpoints from OPAL Broaden and OPAL Beyond up to month 3</w:t>
      </w:r>
    </w:p>
    <w:tbl>
      <w:tblPr>
        <w:tblW w:w="13467" w:type="dxa"/>
        <w:tblInd w:w="-31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08"/>
        <w:gridCol w:w="1551"/>
        <w:gridCol w:w="1551"/>
        <w:gridCol w:w="1551"/>
        <w:gridCol w:w="1619"/>
        <w:gridCol w:w="1484"/>
        <w:gridCol w:w="1551"/>
        <w:gridCol w:w="1552"/>
      </w:tblGrid>
      <w:tr w:rsidR="007A6B44" w:rsidRPr="007A6B44" w:rsidTr="0056122B">
        <w:trPr>
          <w:cantSplit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OPAL Broaden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OPAL Beyond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Tofacitinib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5 mg BID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</w:t>
            </w:r>
            <w:r w:rsidRPr="007A6B4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= 107)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Tofacitinib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10 mg BID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</w:t>
            </w:r>
            <w:r w:rsidRPr="007A6B4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= 104)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Adalimumab 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40 mg SC Q2W (</w:t>
            </w:r>
            <w:r w:rsidRPr="007A6B4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= 106)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Placebo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</w:t>
            </w:r>
            <w:r w:rsidRPr="007A6B4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= 105)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Tofacitinib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5 mg BID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131)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Tofacitinib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10 mg BID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132)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Placebo</w:t>
            </w:r>
          </w:p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7A6B4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7A6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131)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Week 2</w:t>
            </w:r>
          </w:p>
        </w:tc>
        <w:tc>
          <w:tcPr>
            <w:tcW w:w="1551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ACR20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24 (22.4)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33 (31.7)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23 (21.7)***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 (5.7)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35 (26.7)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38 (28.8)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17 (13.0)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ACR50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7 (6.5)*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7 (6.7)*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 (4.7)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8 (6.1)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13 (9.9)*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4 (3.1)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ACR70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 (2.9)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2 (1.5)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 (2.3)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 (0.8)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HAQ-DI response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>b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 xml:space="preserve">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n/N1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br/>
              <w:t>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38/96 (39.6)***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28/92 (30.4)*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32/96 (33.3)**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16/94 (17.0)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41/116 (35.3)*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36/123 (29.3)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26/116 (22.4)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HAQ-DI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-0.18 (0.04)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-0.21 (0.04)*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-0.21 (0.04)*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-0.08 (0.05)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-0.22 (0.03)*** [129]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-0.17 (0.03)* [130]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-0.07 (0.03) 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[128]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Δpainful/tender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-2.8 (0.79)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-5.3 (0.80)*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-3.3 (0.82)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-2.8 (0.87)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-5.0 (0.77)*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-3.7 (0.77)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[130]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-2.4 (0.77)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[129]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Δswollen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-3.0 (0.47)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-3.4 (0.47)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-2.9 (0.48)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-2.3 (0.51)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-2.9 (0.46)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-3.3 (0.47)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[130]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-2.3 (0.46)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[129]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Month 1</w:t>
            </w:r>
          </w:p>
        </w:tc>
        <w:tc>
          <w:tcPr>
            <w:tcW w:w="1551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ACR20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37 (34.6)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50 (48.1)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30 (28.3)***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11 (10.5)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45 (34.4)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56 (42.4)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29 (22.1)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ACR50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 (12.2)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20 (19.2)**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12 (11.3)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 (4.8)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23 (17.6)**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14 (10.6)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8 (6.1)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ACR70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 (4.7)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8 (7.7)*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 (3.8)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7 (5.3)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 (3.8)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 (2.3)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HAQ-DI response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>b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 xml:space="preserve">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n/N1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br/>
              <w:t>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40/96 (41.7)**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39/92 (42.4)**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43/96 (44.8)***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20/94 (21.3)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51/116 (44.0)**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37/123 (30.1)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29/116 (25.0)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HAQ-DI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-0.20 (0.04)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-0.27 (0.04)*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-0.30 (0.04)**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-0.12 (0.05)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-0.32 (0.04)** [128]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-0.23 (0.04)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[129]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-0.15 (0.04)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[130]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LS mean Δpainful/tender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-5.2 (0.89)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-7.5 (0.90)**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-4.7 (0.91)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-3.9 (0.96)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-6.5 (0.79)*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-6.0 (0.79)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[129]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-3.9 (0.78)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[130]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Δswollen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-3.5 (0.51)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-4.9 (0.52)*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-4.4 (0.52)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-3.5 (0.55)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-4.0 (0.53)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-4.6 (0.54)*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[129]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-3.0 (0.53)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[130]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PASI75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19/82 (23.2)***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19/70 (27.1)***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11/77 (14.3)*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4/82 (4.9)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12/80 (15.0)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15/81 (18.5)*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5/86 (5.8)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-0.6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[63]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[75]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[65]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-1.0 (0.2)*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[82]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-0.8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[95]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-0.5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[91]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enthesitis resolution (LEI)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a,f,g,h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12/75 (16.0)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13/64 (20.3)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13/76 (17.1)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9/65 (13.9)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29/83 (34.9)*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21/99 (21.2)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17/93 (18.3)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green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SPARCC enthesitis index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-0.8 (0.3)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[79]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-1.3 (0.3)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[80]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-1.0 (0.3)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[80]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-0.6 (0.4)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[78]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-1.9 (0.3)*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[94]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-1.9 (0.3)*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-1.0 (0.3)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[98]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DSS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-1.8 (0.9)*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-3.1 (0.9)**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[59]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-2.1 (0.9)*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[56]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0.6 (1.0)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[56]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-2.8 (0.6)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[65]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-4.0 (0.7)**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[64]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-1.1 (0.6)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[62]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dactylitis resolution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f,h,i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13/61 (21.3)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16/60 (26.7)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16/58 (27.6)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8/58 (13.8)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29/66 (43.9)*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21/65 (32.3)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17/63 (27.0)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LS mean ΔBASDAI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j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-1.2 (0.5)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-1.6 (0.5)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[21]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-2.3 (0.7)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-1.3 (0.6)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-2.0 (0.4)**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-1.3 (0.4)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[25]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-0.3 (0.4)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[22]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LS mean ΔBASDAI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k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-1.2 (0.4)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-1.3 (0.5)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-2.4 (0.6)*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[8]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-1.1 (0.5)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[18]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-2.1 (0.4)*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-1.3 (0.4)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[24]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-0.6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[20]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Month 2</w:t>
            </w:r>
          </w:p>
        </w:tc>
        <w:tc>
          <w:tcPr>
            <w:tcW w:w="1551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ACR20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47 (43.9)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57 (54.8)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62 (58.5)***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28 (26.7)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63 (48.1)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63 (47.7)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34 (26.0)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ACR50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23 (21.5)**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34 (32.7)***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24 (22.6)**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8 (7.6)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33 (25.2)**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30 (22.7)**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14 (10.7)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ACR70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10 (9.4)*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14 (13.5)**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 (12.3)**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 (1.9)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17 (13.0)*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13 (9.9)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 (4.6)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HAQ-DI response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>b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 xml:space="preserve">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n/N1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br/>
              <w:t>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48/96 (50.0)***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42/92 (45.7)**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48/96 (50.0)***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25/94 (26.6)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58/116 (50.0)*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54/123 (43.9)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40/116 (34.5)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LS mean Δ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HAQ-DI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-0.27 (0.05)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-0.40 (0.05)***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-0.37 (0.05)***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-0.17 (0.05)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-0.41 (0.04)*** [125]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-0.31 (0.04)* [126]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-0.16 (0.04) 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[121]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Δpainful/tender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-7.2 (0.99)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-10.1 (1.00)**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-7.6 (1.01)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-5.7 (1.06)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[101]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-9.7 (0.98)*** [126]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-8.7 (0.98)** [126]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-4.3 (0.99)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[122]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Δswollen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-6.1 (0.57)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-6.7 (0.57)*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-5.5 (0.58)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[104]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-4.8 (0.60)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[101]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-6.1 (0.60)*** [126]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-5.5 (0.60)**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[126]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-2.9 (0.61)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[122]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Month 3</w:t>
            </w:r>
          </w:p>
        </w:tc>
        <w:tc>
          <w:tcPr>
            <w:tcW w:w="1551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ACR20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54 (50.5)†*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63 (60.6)†***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55 (51.9)**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35 (33.3)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65 (49.6)†***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62 (47.0)†***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31 (23.7)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ACR50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30 (28.0)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42 (40.4)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35 (33.0)***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10 (9.5)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39 (29.8)†**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37 (28.0)†**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19 (14.5)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ACR70 response rate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18 (16.8)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15 (14.4)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†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20 (18.9)**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 (4.8)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22 (16.8)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19 (14.4)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13 (9.9)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HAQ-DI response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>b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,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  <w:vertAlign w:val="superscript"/>
              </w:rPr>
              <w:t xml:space="preserve">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n/N1 </w:t>
            </w:r>
            <w:r w:rsidRPr="007A6B44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br/>
              <w:t>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51/96 (53.1)**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51/92 (55.4)***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51/96 (53.1)**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29/94 (30.9)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58/116 (50.0)***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50/123 (40.7)*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32/116 (27.6)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HAQ-DI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-0.35 (0.05)†**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[103]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-0.40 (0.05)†***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[103]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-0.38 (0.05)**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[101]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-0.18 (0.05)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-0.39 (0.05)†*** [124]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-0.35 (0.05)†*** [120]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-0.14 (0.05)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[117]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Δpainful/tender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-8.7 (1.04)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-11.0 (1.05)**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-7.6 (1.07)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[101]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-6.9 (1.10)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-9.9 (0.97)*** [123]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-9.7 (0.98)*** [120]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-4.5 (0.98)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[117]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LS mean Δswollen JC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-6.5 (0.58)*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-7.6 (0.58)*** [103]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-6.5 (0.59)*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[101]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-4.8 (0.62)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-7.6 (0.59)***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[123]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-6.7 (0.60)***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[120]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-2.7 (0.60)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[117]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PASI75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35/82 (42.7)†***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31/70 (44.3)†***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30/77 (39.0)***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12/82 (14.6)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17/80 (21.3)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35/81 (43.2)†***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12/86 (14.0)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-0.8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[70]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-1.5 (0.2)†***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[63]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-1.1 (0.2)*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[73]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-0.4 (0.2)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[63]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-1.3 (0.2)**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[79]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-1.3 (0.2)**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[86]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-0.5 (0.2)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[82]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enthesitis resolution (LEI)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a,f,g,h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25/75 (33.3)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26/64 (40.6)*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36/76 (47.4)***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14/65 (21.5)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33/83 (39.8)**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32/99 (32.3)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20/93 (21.5)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green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SPARCC enthesitis index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-1.8 (0.4)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[77]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-2.4 (0.4)**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[79]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-1.9 (0.4) 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[79]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-1.2 (0.4)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[78]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-2.5 (0.3)*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[92]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-2.8 (0.3)**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[96]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-1.3 (0.3)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[87]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LS mean 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DSS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-3.5 (1.0)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[58]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-5.5 (0.9)**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[60]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-4.0 (1.0)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[56]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-2.0 (1.1)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[55]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-5.2 (0.7)**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[64]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-5.4 (0.8)**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[58]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-1.9 (0.8)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[55]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Patients achieving dactylitis resolution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a,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f,h,i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n/N1 (%)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21/61 (34.4)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36/60 (60.0)**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27/58 (46.6)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19/58 (32.8)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34/66 (51.5)**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33/65 (50.8)**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18/63 (28.6)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LS mean ΔBASDAI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j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-1.8 (0.6)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[24]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-2.8 (0.6)*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[21]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-2.9 (0.8)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[10]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-1.6 (0.6)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[22]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-2.3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[26]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-1.9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[22]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-1.0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[19]</w:t>
            </w:r>
          </w:p>
        </w:tc>
      </w:tr>
      <w:tr w:rsidR="007A6B44" w:rsidRPr="007A6B44" w:rsidTr="0056122B">
        <w:trPr>
          <w:cantSplit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LS mean ΔBASDAI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k</w:t>
            </w:r>
            <w:r w:rsidRPr="007A6B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(SE) [N2]</w:t>
            </w:r>
          </w:p>
        </w:tc>
        <w:tc>
          <w:tcPr>
            <w:tcW w:w="1551" w:type="dxa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-1.6 (0.5)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[18]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-2.8 (0.6)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[16]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-3.3 (0.8)*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[8]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t>-1.4 (0.6)</w:t>
            </w:r>
            <w:r w:rsidRPr="007A6B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[18]</w:t>
            </w:r>
          </w:p>
        </w:tc>
        <w:tc>
          <w:tcPr>
            <w:tcW w:w="1484" w:type="dxa"/>
            <w:tcBorders>
              <w:top w:val="nil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-2.4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[25]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-2.0 (0.5)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[21]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B44" w:rsidRPr="007A6B44" w:rsidRDefault="007A6B44" w:rsidP="007A6B44">
            <w:pPr>
              <w:widowControl w:val="0"/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t>-1.1 (0.6)</w:t>
            </w:r>
            <w:r w:rsidRPr="007A6B4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[18]</w:t>
            </w:r>
          </w:p>
        </w:tc>
      </w:tr>
    </w:tbl>
    <w:p w:rsidR="007A6B44" w:rsidRPr="007A6B44" w:rsidRDefault="007A6B44" w:rsidP="007A6B44">
      <w:pPr>
        <w:spacing w:before="120" w:after="240" w:line="480" w:lineRule="auto"/>
        <w:ind w:left="-425"/>
        <w:rPr>
          <w:rFonts w:ascii="Times New Roman" w:eastAsia="Times New Roman" w:hAnsi="Times New Roman" w:cs="Times New Roman"/>
          <w:sz w:val="20"/>
          <w:szCs w:val="20"/>
        </w:rPr>
      </w:pP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Δ change from baseline,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ACR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American College of Rheumatology,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BASDAI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>Bath Ankylosing Spondylitis Disease Activity Index,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BID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twice daily,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BSA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body surface area,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DSS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 Dactylitis Severity Score,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FAS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Full Analysis Set,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HAQ-DI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Health Assessment Questionnaire-Disability Index,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JC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joint count,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LEI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Leeds Enthesitis Index,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LS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least squares,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 number of patients with response,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number of patients in FAS (ie, randomised to treatment and received ≥1 dose of study drug),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N1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number of patients in FAS meeting the baseline inclusion criteria for analysis,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N2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number of patients evaluable at each visit,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PASI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Psoriasis Area and Severity Index,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PASI75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≥75% improvement from baseline PASI,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Q2W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once every two weeks,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SC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subcutaneous,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SE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standard error,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SPARCC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Spondyloarthritis Research Consortium of Canada</w:t>
      </w:r>
    </w:p>
    <w:p w:rsidR="007A6B44" w:rsidRPr="007A6B44" w:rsidRDefault="007A6B44" w:rsidP="007A6B44">
      <w:pPr>
        <w:spacing w:before="120" w:after="240" w:line="480" w:lineRule="auto"/>
        <w:ind w:left="-425"/>
        <w:rPr>
          <w:rFonts w:ascii="Times New Roman" w:eastAsia="Times New Roman" w:hAnsi="Times New Roman" w:cs="Times New Roman"/>
          <w:sz w:val="20"/>
          <w:szCs w:val="20"/>
        </w:rPr>
      </w:pP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>Nominal *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p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≤ 0.05; **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p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&lt; 0.01; ***</w:t>
      </w:r>
      <w:r w:rsidRPr="007A6B44">
        <w:rPr>
          <w:rFonts w:ascii="Times New Roman" w:eastAsia="TimesNewRoman" w:hAnsi="Times New Roman" w:cs="Times New Roman"/>
          <w:i/>
          <w:sz w:val="20"/>
          <w:szCs w:val="24"/>
          <w:lang w:eastAsia="en-GB"/>
        </w:rPr>
        <w:t>p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 xml:space="preserve"> &lt; 0.001 vs. placebo;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†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Achieved statistical significance at </w:t>
      </w:r>
      <w:r w:rsidRPr="007A6B44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 ≤ 0.05 vs. placebo per the pre-specified step-down testing procedure</w:t>
      </w:r>
    </w:p>
    <w:p w:rsidR="007A6B44" w:rsidRPr="007A6B44" w:rsidRDefault="007A6B44" w:rsidP="007A6B44">
      <w:pPr>
        <w:spacing w:before="120" w:after="240" w:line="480" w:lineRule="auto"/>
        <w:ind w:left="-425"/>
        <w:rPr>
          <w:rFonts w:ascii="Times New Roman" w:eastAsia="Times New Roman" w:hAnsi="Times New Roman" w:cs="Times New Roman"/>
          <w:sz w:val="20"/>
          <w:szCs w:val="20"/>
        </w:rPr>
      </w:pP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Missing response = non-response; </w:t>
      </w:r>
      <w:r w:rsidRPr="007A6B44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b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t>Decrease from baseline of ≥0.35 in HAQ</w:t>
      </w:r>
      <w:r w:rsidRPr="007A6B44">
        <w:rPr>
          <w:rFonts w:ascii="Times New Roman" w:eastAsia="TimesNewRoman" w:hAnsi="Times New Roman" w:cs="Times New Roman"/>
          <w:sz w:val="20"/>
          <w:szCs w:val="24"/>
          <w:lang w:eastAsia="en-GB"/>
        </w:rPr>
        <w:noBreakHyphen/>
        <w:t>DI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 among patients with baseline HAQ-DI ≥0.35; </w:t>
      </w:r>
      <w:r w:rsidRPr="007A6B44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c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Out of 68 joints; </w:t>
      </w:r>
      <w:r w:rsidRPr="007A6B44">
        <w:rPr>
          <w:rFonts w:ascii="Times New Roman" w:eastAsia="Times New Roman" w:hAnsi="Times New Roman" w:cs="Times New Roman"/>
          <w:sz w:val="20"/>
          <w:szCs w:val="24"/>
          <w:vertAlign w:val="superscript"/>
        </w:rPr>
        <w:t>d</w:t>
      </w:r>
      <w:r w:rsidRPr="007A6B44">
        <w:rPr>
          <w:rFonts w:ascii="Times New Roman" w:eastAsia="Times New Roman" w:hAnsi="Times New Roman" w:cs="Times New Roman"/>
          <w:sz w:val="20"/>
          <w:szCs w:val="24"/>
        </w:rPr>
        <w:t xml:space="preserve">Out of 66 joints;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e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>Among patients with baseline BSA ≥3% and PASI &gt;0;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f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Among patients with baseline score &gt;0;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g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Enthesitis resolution is defined as having an LEI score of 0, ie absence of enthesitis in all of the six assessed sites;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h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Post-hoc analysis;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Dactylitis resolution is defined as having DSS score of 0, ie absence of dactylitis in all of the 20 assessed digits;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j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Among patients with </w:t>
      </w:r>
      <w:r w:rsidRPr="007A6B44">
        <w:rPr>
          <w:rFonts w:ascii="Times New Roman" w:eastAsia="Times New Roman" w:hAnsi="Times New Roman" w:cs="Times New Roman"/>
          <w:sz w:val="20"/>
          <w:szCs w:val="20"/>
          <w:lang w:eastAsia="en-GB"/>
        </w:rPr>
        <w:t>presence of spondylitis at screening and baseline BASDAI score &gt;0 cm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7A6B4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k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>Among patients with presence of spondylitis at screening and baseline BASDAI score ≥4 cm</w:t>
      </w:r>
    </w:p>
    <w:p w:rsidR="002F45CD" w:rsidRPr="002A761A" w:rsidRDefault="007A6B44" w:rsidP="002A761A">
      <w:pPr>
        <w:spacing w:before="120" w:after="240" w:line="480" w:lineRule="auto"/>
        <w:ind w:left="-425"/>
        <w:rPr>
          <w:rFonts w:ascii="Times New Roman" w:eastAsia="Times New Roman" w:hAnsi="Times New Roman" w:cs="Times New Roman"/>
          <w:sz w:val="20"/>
          <w:szCs w:val="20"/>
        </w:rPr>
      </w:pPr>
      <w:r w:rsidRPr="007A6B44">
        <w:rPr>
          <w:rFonts w:ascii="Times New Roman" w:eastAsia="Times New Roman" w:hAnsi="Times New Roman" w:cs="Times New Roman"/>
          <w:sz w:val="20"/>
          <w:szCs w:val="20"/>
        </w:rPr>
        <w:t>LS means were calculated based on a mixed model for repeated measures</w:t>
      </w:r>
      <w:r w:rsidRPr="007A6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t>without imputation for missing values</w:t>
      </w:r>
      <w:r w:rsidRPr="007A6B44">
        <w:rPr>
          <w:rFonts w:ascii="Times New Roman" w:eastAsia="Times New Roman" w:hAnsi="Times New Roman" w:cs="Times New Roman"/>
          <w:sz w:val="20"/>
          <w:szCs w:val="20"/>
        </w:rPr>
        <w:br/>
      </w:r>
      <w:bookmarkStart w:id="0" w:name="_GoBack"/>
      <w:bookmarkEnd w:id="0"/>
    </w:p>
    <w:sectPr w:rsidR="002F45CD" w:rsidRPr="002A761A" w:rsidSect="001B5A0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731"/>
    <w:multiLevelType w:val="hybridMultilevel"/>
    <w:tmpl w:val="3B8A8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71CED"/>
    <w:multiLevelType w:val="hybridMultilevel"/>
    <w:tmpl w:val="AACE4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C4793"/>
    <w:multiLevelType w:val="hybridMultilevel"/>
    <w:tmpl w:val="18BA0CBA"/>
    <w:lvl w:ilvl="0" w:tplc="B634A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6AE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61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A0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AB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42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C4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0D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2C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B07126"/>
    <w:multiLevelType w:val="hybridMultilevel"/>
    <w:tmpl w:val="23E8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36D83"/>
    <w:multiLevelType w:val="hybridMultilevel"/>
    <w:tmpl w:val="09541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44"/>
    <w:rsid w:val="002A761A"/>
    <w:rsid w:val="002F45CD"/>
    <w:rsid w:val="007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D10BD-B402-4826-9838-80511804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A6B44"/>
  </w:style>
  <w:style w:type="paragraph" w:styleId="CommentText">
    <w:name w:val="annotation text"/>
    <w:basedOn w:val="Normal"/>
    <w:link w:val="CommentTextChar"/>
    <w:uiPriority w:val="99"/>
    <w:unhideWhenUsed/>
    <w:rsid w:val="007A6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B4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ragraphChar">
    <w:name w:val="Paragraph Char"/>
    <w:link w:val="Paragraph"/>
    <w:uiPriority w:val="99"/>
    <w:locked/>
    <w:rsid w:val="007A6B44"/>
    <w:rPr>
      <w:sz w:val="24"/>
      <w:szCs w:val="24"/>
      <w:lang w:val="en-US"/>
    </w:rPr>
  </w:style>
  <w:style w:type="paragraph" w:customStyle="1" w:styleId="Paragraph">
    <w:name w:val="Paragraph"/>
    <w:link w:val="ParagraphChar"/>
    <w:uiPriority w:val="99"/>
    <w:qFormat/>
    <w:rsid w:val="007A6B44"/>
    <w:pPr>
      <w:spacing w:after="240" w:line="240" w:lineRule="auto"/>
    </w:pPr>
    <w:rPr>
      <w:sz w:val="24"/>
      <w:szCs w:val="24"/>
      <w:lang w:val="en-US"/>
    </w:rPr>
  </w:style>
  <w:style w:type="character" w:styleId="CommentReference">
    <w:name w:val="annotation reference"/>
    <w:uiPriority w:val="99"/>
    <w:unhideWhenUsed/>
    <w:rsid w:val="007A6B4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44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44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A6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6B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A6B4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6B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6B4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6B4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A6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Char1">
    <w:name w:val="Paragraph Char1"/>
    <w:uiPriority w:val="99"/>
    <w:locked/>
    <w:rsid w:val="007A6B44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B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A6B44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6B44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A6B44"/>
    <w:pPr>
      <w:spacing w:after="0" w:line="48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6B44"/>
    <w:rPr>
      <w:rFonts w:ascii="Times New Roman" w:eastAsia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3787C5DA6EC1D24C85F8C568B5352F4C" ma:contentTypeVersion="0" ma:contentTypeDescription="Create a new document." ma:contentTypeScope="" ma:versionID="5077d731f594f49c49b2c9da05e47b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DC0A4-7356-4F43-824D-F18BBC40026C}"/>
</file>

<file path=customXml/itemProps2.xml><?xml version="1.0" encoding="utf-8"?>
<ds:datastoreItem xmlns:ds="http://schemas.openxmlformats.org/officeDocument/2006/customXml" ds:itemID="{2E612BCA-DFCF-4BA5-A59F-05867AD8F9CD}"/>
</file>

<file path=customXml/itemProps3.xml><?xml version="1.0" encoding="utf-8"?>
<ds:datastoreItem xmlns:ds="http://schemas.openxmlformats.org/officeDocument/2006/customXml" ds:itemID="{E03DCB4B-7879-4409-9AB5-F5F7F615F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1649</Words>
  <Characters>9404</Characters>
  <Application>Microsoft Office Word</Application>
  <DocSecurity>0</DocSecurity>
  <Lines>78</Lines>
  <Paragraphs>22</Paragraphs>
  <ScaleCrop>false</ScaleCrop>
  <Company>MCM</Company>
  <LinksUpToDate>false</LinksUpToDate>
  <CharactersWithSpaces>11031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2</cp:revision>
  <dcterms:created xsi:type="dcterms:W3CDTF">2018-07-16T09:13:00Z</dcterms:created>
  <dcterms:modified xsi:type="dcterms:W3CDTF">2018-07-16T09:15:00Z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0x010100FA0963FA69A646AA916D2E41284FC100003787C5DA6EC1D24C85F8C568B5352F4C</vt:lpwstr>
  </property>
</Properties>
</file>