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65" w:rsidRPr="002303DF" w:rsidRDefault="00954D65" w:rsidP="00954D65">
      <w:pPr>
        <w:spacing w:line="480" w:lineRule="auto"/>
        <w:rPr>
          <w:rFonts w:ascii="Times New Roman" w:hAnsi="Times New Roman"/>
          <w:b/>
          <w:bCs/>
          <w:color w:val="000000" w:themeColor="text1"/>
          <w:kern w:val="24"/>
        </w:rPr>
      </w:pPr>
      <w:r w:rsidRPr="002303DF">
        <w:rPr>
          <w:rFonts w:ascii="Times New Roman" w:hAnsi="Times New Roman"/>
          <w:b/>
          <w:bCs/>
          <w:color w:val="000000" w:themeColor="text1"/>
          <w:kern w:val="24"/>
        </w:rPr>
        <w:t>SUPPLEMENTARY MATERIAL</w:t>
      </w:r>
    </w:p>
    <w:p w:rsidR="00954D65" w:rsidRPr="002303DF" w:rsidRDefault="00954D65" w:rsidP="00954D65">
      <w:pPr>
        <w:spacing w:line="480" w:lineRule="auto"/>
        <w:rPr>
          <w:rFonts w:ascii="Times New Roman" w:hAnsi="Times New Roman"/>
          <w:b/>
          <w:lang w:eastAsia="ja-JP"/>
        </w:rPr>
      </w:pPr>
      <w:r w:rsidRPr="002303DF">
        <w:rPr>
          <w:rFonts w:ascii="Times New Roman" w:hAnsi="Times New Roman"/>
          <w:b/>
          <w:bCs/>
          <w:color w:val="000000" w:themeColor="text1"/>
          <w:kern w:val="24"/>
        </w:rPr>
        <w:t xml:space="preserve">Table </w:t>
      </w:r>
      <w:proofErr w:type="spellStart"/>
      <w:r w:rsidRPr="002303DF">
        <w:rPr>
          <w:rFonts w:ascii="Times New Roman" w:hAnsi="Times New Roman"/>
          <w:b/>
          <w:bCs/>
          <w:color w:val="000000" w:themeColor="text1"/>
          <w:kern w:val="24"/>
        </w:rPr>
        <w:t>S1</w:t>
      </w:r>
      <w:proofErr w:type="spellEnd"/>
      <w:r w:rsidRPr="002303DF">
        <w:rPr>
          <w:rFonts w:ascii="Times New Roman" w:hAnsi="Times New Roman"/>
          <w:b/>
          <w:bCs/>
          <w:color w:val="000000" w:themeColor="text1"/>
          <w:kern w:val="24"/>
        </w:rPr>
        <w:t>:</w:t>
      </w:r>
      <w:r w:rsidRPr="002303DF">
        <w:rPr>
          <w:rFonts w:asciiTheme="majorHAnsi" w:eastAsia="Times New Roman" w:hAnsiTheme="majorHAnsi" w:cstheme="majorHAnsi"/>
          <w:b/>
          <w:bCs/>
          <w:color w:val="000000"/>
        </w:rPr>
        <w:t xml:space="preserve"> Study design and key inclusion/exclusion criteria of SELECT MONOTHERAPY and ORAL Standard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3420"/>
        <w:gridCol w:w="3780"/>
      </w:tblGrid>
      <w:tr w:rsidR="00954D65" w:rsidRPr="002303DF" w:rsidTr="00E53564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Upadacitinib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Tofacitinib</w:t>
            </w:r>
            <w:proofErr w:type="spellEnd"/>
          </w:p>
        </w:tc>
      </w:tr>
      <w:tr w:rsidR="00954D65" w:rsidRPr="002303DF" w:rsidTr="00E53564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Trial characteristics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SELECT MONOTHERAPY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ORAL Standard</w:t>
            </w:r>
          </w:p>
        </w:tc>
      </w:tr>
      <w:tr w:rsidR="00954D65" w:rsidRPr="002303DF" w:rsidTr="00E53564">
        <w:trPr>
          <w:trHeight w:val="6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Trial design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 14-week multicenter, randomized, Phase III, double-blind, parallel-group, controlled trial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A 12-month, multicenter, randomized, Phase III, parallel-group, placebo-controlled trial</w:t>
            </w:r>
          </w:p>
        </w:tc>
      </w:tr>
      <w:tr w:rsidR="00954D65" w:rsidRPr="002303DF" w:rsidTr="00E53564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Population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-IR patients with moderate-to-severe 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-IR patients with moderate-to-severe RA</w:t>
            </w:r>
          </w:p>
        </w:tc>
      </w:tr>
      <w:tr w:rsidR="00954D65" w:rsidRPr="002303DF" w:rsidTr="00E53564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Number of patients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717</w:t>
            </w:r>
          </w:p>
        </w:tc>
      </w:tr>
      <w:tr w:rsidR="00954D65" w:rsidRPr="002303DF" w:rsidTr="00E53564">
        <w:trPr>
          <w:trHeight w:val="300"/>
        </w:trPr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Active arms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UPA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15 mg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TOFA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5 mg BID +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</w:tr>
      <w:tr w:rsidR="00954D65" w:rsidRPr="002303DF" w:rsidTr="00E53564">
        <w:trPr>
          <w:trHeight w:val="300"/>
        </w:trPr>
        <w:tc>
          <w:tcPr>
            <w:tcW w:w="2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UPA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30 mg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QD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TOFA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10 mg BID +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</w:tr>
      <w:tr w:rsidR="00954D65" w:rsidRPr="002303DF" w:rsidTr="00E53564">
        <w:trPr>
          <w:trHeight w:val="300"/>
        </w:trPr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Comparator arm(s)</w:t>
            </w:r>
          </w:p>
        </w:tc>
        <w:tc>
          <w:tcPr>
            <w:tcW w:w="3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ADA 40 mg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EOW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 +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</w:tr>
      <w:tr w:rsidR="00954D65" w:rsidRPr="002303DF" w:rsidTr="00E53564">
        <w:trPr>
          <w:trHeight w:val="300"/>
        </w:trPr>
        <w:tc>
          <w:tcPr>
            <w:tcW w:w="2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</w:tr>
      <w:tr w:rsidR="00954D65" w:rsidRPr="002303DF" w:rsidTr="00E53564">
        <w:trPr>
          <w:trHeight w:val="6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Outcome assessment time points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14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12 and 24 weeks</w:t>
            </w:r>
          </w:p>
        </w:tc>
      </w:tr>
      <w:tr w:rsidR="00954D65" w:rsidRPr="002303DF" w:rsidTr="00E53564">
        <w:trPr>
          <w:trHeight w:val="6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Escaping study treatment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Allowed at Week 12</w:t>
            </w:r>
          </w:p>
        </w:tc>
      </w:tr>
      <w:tr w:rsidR="00954D65" w:rsidRPr="002303DF" w:rsidTr="00E53564">
        <w:trPr>
          <w:trHeight w:val="81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Key inclusion criteria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- ≥18 years of age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Diagnosis of RA for ≥ 3 months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≥ 6/66 swollen joints and ≥6/68 tender joints at screening and baseline; and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hsCRP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≥3 mg/L (central lab) at screening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Must have discontinued all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csDMARDs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other than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≥4 weeks prior to first dose of study drug. There was a washout period.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-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therapy at stable dose of 15 to 25 mg/week for ≥3 months and stable dose for ≥4 weeks prior to first dose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- ≥18 years of age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≥6/66 swollen joints and ≥6/68 tender joints at screening and baseline; either an ESR greater than 28 mm/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hr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or a CRP level exceeding 7 mg/L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Patients had an incomplete response to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and were required to discontinue all other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csDMARDs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Previous treatment with biologic agents allowed, unless there was a lack of response to anti-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TNF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biologic treatment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Patients were receiving 7.5 to 25 mg of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weekly and had an incomplete response (defined as sufficient residual disease activity to meet entry criteria)</w:t>
            </w:r>
          </w:p>
        </w:tc>
      </w:tr>
      <w:tr w:rsidR="00954D65" w:rsidRPr="002303DF" w:rsidTr="00E53564">
        <w:trPr>
          <w:trHeight w:val="12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Key exclusion criteria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- Prior exposure to any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bDMARDs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Prior exposure to any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JAK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inhibitor (e.g.,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TOFA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,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baricitinib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, and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filgotinib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- Current treatment with other antirheumatic agents including biologic agents; 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Prior treatment with ADA 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Lack of response to prior anti-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TNF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biologic treatment.     </w:t>
            </w:r>
          </w:p>
        </w:tc>
      </w:tr>
    </w:tbl>
    <w:p w:rsidR="00954D65" w:rsidRPr="002303DF" w:rsidRDefault="00954D65" w:rsidP="00954D65">
      <w:pPr>
        <w:spacing w:line="360" w:lineRule="auto"/>
        <w:rPr>
          <w:rFonts w:asciiTheme="majorHAnsi" w:hAnsiTheme="majorHAnsi" w:cstheme="majorHAnsi"/>
          <w:sz w:val="22"/>
          <w:szCs w:val="22"/>
          <w:lang w:eastAsia="ja-JP"/>
        </w:rPr>
      </w:pPr>
    </w:p>
    <w:p w:rsidR="00954D65" w:rsidRPr="002303DF" w:rsidRDefault="00954D65" w:rsidP="00954D65">
      <w:pPr>
        <w:spacing w:line="480" w:lineRule="auto"/>
        <w:rPr>
          <w:rFonts w:ascii="Times New Roman" w:hAnsi="Times New Roman"/>
          <w:bCs/>
          <w:color w:val="000000" w:themeColor="text1"/>
          <w:kern w:val="24"/>
        </w:rPr>
      </w:pPr>
      <w:r w:rsidRPr="002303DF">
        <w:rPr>
          <w:rFonts w:ascii="Times New Roman" w:hAnsi="Times New Roman"/>
          <w:b/>
          <w:bCs/>
          <w:color w:val="000000" w:themeColor="text1"/>
          <w:kern w:val="24"/>
        </w:rPr>
        <w:lastRenderedPageBreak/>
        <w:t>Abbreviations</w:t>
      </w:r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: ADA =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adalimumab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bDMARD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biologic disease-modifying anti-rheumatic drug; BID = twice daily;</w:t>
      </w:r>
      <w:r w:rsidRPr="002303DF">
        <w:rPr>
          <w:rFonts w:ascii="Times New Roman" w:eastAsia="MS Mincho" w:hAnsi="Times New Roman"/>
          <w:lang w:eastAsia="ja-JP"/>
        </w:rPr>
        <w:t xml:space="preserve">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csDMARD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conventional synthetic disease-modifying anti-rheumatic drug; </w:t>
      </w:r>
      <w:r w:rsidRPr="002303DF">
        <w:rPr>
          <w:rFonts w:ascii="Times New Roman" w:eastAsia="MS Mincho" w:hAnsi="Times New Roman"/>
          <w:lang w:eastAsia="ja-JP"/>
        </w:rPr>
        <w:t xml:space="preserve">CRP = C reactive protein; </w:t>
      </w:r>
      <w:proofErr w:type="spellStart"/>
      <w:r w:rsidRPr="002303DF">
        <w:rPr>
          <w:rFonts w:ascii="Times New Roman" w:eastAsia="MS Mincho" w:hAnsi="Times New Roman"/>
          <w:lang w:eastAsia="ja-JP"/>
        </w:rPr>
        <w:t>EOW</w:t>
      </w:r>
      <w:proofErr w:type="spellEnd"/>
      <w:r w:rsidRPr="002303DF">
        <w:rPr>
          <w:rFonts w:ascii="Times New Roman" w:eastAsia="MS Mincho" w:hAnsi="Times New Roman"/>
          <w:lang w:eastAsia="ja-JP"/>
        </w:rPr>
        <w:t xml:space="preserve"> = every other week; </w:t>
      </w:r>
      <w:proofErr w:type="spellStart"/>
      <w:r w:rsidRPr="002303DF">
        <w:rPr>
          <w:rFonts w:ascii="Times New Roman" w:eastAsia="MS Mincho" w:hAnsi="Times New Roman"/>
          <w:lang w:eastAsia="ja-JP"/>
        </w:rPr>
        <w:t>hsCRP</w:t>
      </w:r>
      <w:proofErr w:type="spellEnd"/>
      <w:r w:rsidRPr="002303DF">
        <w:rPr>
          <w:rFonts w:ascii="Times New Roman" w:eastAsia="MS Mincho" w:hAnsi="Times New Roman"/>
          <w:lang w:eastAsia="ja-JP"/>
        </w:rPr>
        <w:t xml:space="preserve"> = high sensitivity C reactive protein; </w:t>
      </w:r>
      <w:proofErr w:type="spellStart"/>
      <w:r w:rsidRPr="002303DF">
        <w:rPr>
          <w:rFonts w:ascii="Times New Roman" w:eastAsia="MS Mincho" w:hAnsi="Times New Roman"/>
          <w:lang w:eastAsia="ja-JP"/>
        </w:rPr>
        <w:t>JAK</w:t>
      </w:r>
      <w:proofErr w:type="spellEnd"/>
      <w:r w:rsidRPr="002303DF">
        <w:rPr>
          <w:rFonts w:ascii="Times New Roman" w:eastAsia="MS Mincho" w:hAnsi="Times New Roman"/>
          <w:lang w:eastAsia="ja-JP"/>
        </w:rPr>
        <w:t xml:space="preserve"> = Janus kinase;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MTX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methotrexate;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MTX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-IR = intolerance or inadequate response to methotrexate;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QD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daily; RA = rheumatoid arthritis;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TOFA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tofacitinib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TNF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tumor necrosis factor;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UPA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upadacitinib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. </w:t>
      </w:r>
    </w:p>
    <w:p w:rsidR="00954D65" w:rsidRPr="002303DF" w:rsidRDefault="00954D65" w:rsidP="00954D65">
      <w:pPr>
        <w:rPr>
          <w:rFonts w:asciiTheme="majorHAnsi" w:hAnsiTheme="majorHAnsi" w:cstheme="majorHAnsi"/>
          <w:sz w:val="22"/>
          <w:szCs w:val="22"/>
          <w:lang w:eastAsia="ja-JP"/>
        </w:rPr>
      </w:pPr>
      <w:r w:rsidRPr="002303DF">
        <w:rPr>
          <w:rFonts w:asciiTheme="majorHAnsi" w:hAnsiTheme="majorHAnsi" w:cstheme="majorHAnsi"/>
          <w:sz w:val="22"/>
          <w:szCs w:val="22"/>
          <w:lang w:eastAsia="ja-JP"/>
        </w:rPr>
        <w:br w:type="page"/>
      </w:r>
    </w:p>
    <w:p w:rsidR="00954D65" w:rsidRPr="002303DF" w:rsidRDefault="00954D65" w:rsidP="00954D65">
      <w:pPr>
        <w:spacing w:line="360" w:lineRule="auto"/>
        <w:rPr>
          <w:rFonts w:asciiTheme="majorHAnsi" w:hAnsiTheme="majorHAnsi" w:cstheme="majorHAnsi"/>
          <w:lang w:eastAsia="ja-JP"/>
        </w:rPr>
      </w:pPr>
      <w:r w:rsidRPr="002303DF">
        <w:rPr>
          <w:rFonts w:asciiTheme="majorHAnsi" w:hAnsiTheme="majorHAnsi" w:cstheme="majorHAnsi"/>
          <w:b/>
          <w:lang w:eastAsia="ja-JP"/>
        </w:rPr>
        <w:lastRenderedPageBreak/>
        <w:t xml:space="preserve">Table </w:t>
      </w:r>
      <w:proofErr w:type="spellStart"/>
      <w:r w:rsidRPr="002303DF">
        <w:rPr>
          <w:rFonts w:asciiTheme="majorHAnsi" w:hAnsiTheme="majorHAnsi" w:cstheme="majorHAnsi"/>
          <w:b/>
          <w:lang w:eastAsia="ja-JP"/>
        </w:rPr>
        <w:t>S2</w:t>
      </w:r>
      <w:proofErr w:type="spellEnd"/>
      <w:r w:rsidRPr="002303DF">
        <w:rPr>
          <w:rFonts w:asciiTheme="majorHAnsi" w:hAnsiTheme="majorHAnsi" w:cstheme="majorHAnsi"/>
          <w:b/>
          <w:lang w:eastAsia="ja-JP"/>
        </w:rPr>
        <w:t>:</w:t>
      </w:r>
      <w:r w:rsidRPr="002303DF">
        <w:rPr>
          <w:rFonts w:asciiTheme="majorHAnsi" w:hAnsiTheme="majorHAnsi" w:cstheme="majorHAnsi"/>
          <w:lang w:eastAsia="ja-JP"/>
        </w:rPr>
        <w:t xml:space="preserve"> </w:t>
      </w:r>
      <w:r w:rsidRPr="002303DF">
        <w:rPr>
          <w:rFonts w:asciiTheme="majorHAnsi" w:eastAsia="Times New Roman" w:hAnsiTheme="majorHAnsi" w:cstheme="majorHAnsi"/>
          <w:b/>
          <w:bCs/>
          <w:color w:val="000000"/>
        </w:rPr>
        <w:t>Study design and key inclusion/exclusion criteria of SELECT COMPARE and ORAL STRATEGY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62"/>
        <w:gridCol w:w="3675"/>
        <w:gridCol w:w="3923"/>
      </w:tblGrid>
      <w:tr w:rsidR="00954D65" w:rsidRPr="002303DF" w:rsidTr="00E5356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Upadacitinib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Tofacitinib</w:t>
            </w:r>
            <w:proofErr w:type="spellEnd"/>
          </w:p>
        </w:tc>
      </w:tr>
      <w:tr w:rsidR="00954D65" w:rsidRPr="002303DF" w:rsidTr="00E5356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Trial characteristics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SELECT COMPARE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</w:rPr>
              <w:t>ORAL STRATEGY</w:t>
            </w:r>
          </w:p>
        </w:tc>
      </w:tr>
      <w:tr w:rsidR="00954D65" w:rsidRPr="002303DF" w:rsidTr="00E53564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Trial design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 48-week multicenter, randomized, phase III, double-blind, parallel-group, controlled trial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A 12-month, multicenter, randomized, phase III/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IVb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, head to head, placebo-controlled trial</w:t>
            </w:r>
          </w:p>
        </w:tc>
      </w:tr>
      <w:tr w:rsidR="00954D65" w:rsidRPr="002303DF" w:rsidTr="00E5356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Population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-IR patients with moderate-to-severe 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Patients who met the 2010 ACR and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EULAR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classification criteria for active RA at baseline despite treatment with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</w:tr>
      <w:tr w:rsidR="00954D65" w:rsidRPr="002303DF" w:rsidTr="00E5356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Number of patients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1,629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1,146</w:t>
            </w:r>
          </w:p>
        </w:tc>
      </w:tr>
      <w:tr w:rsidR="00954D65" w:rsidRPr="002303DF" w:rsidTr="00E53564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Active arms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UPA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15 mg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QD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+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TOFA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5 mg BID</w:t>
            </w:r>
          </w:p>
        </w:tc>
      </w:tr>
      <w:tr w:rsidR="00954D65" w:rsidRPr="002303DF" w:rsidTr="00E5356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TOFA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5 mg BID +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</w:tr>
      <w:tr w:rsidR="00954D65" w:rsidRPr="002303DF" w:rsidTr="00E53564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Comparator arm(s)</w:t>
            </w:r>
          </w:p>
        </w:tc>
        <w:tc>
          <w:tcPr>
            <w:tcW w:w="36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ADA 40 mg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EOW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+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ADA 40 mg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EOW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 +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</w:tr>
      <w:tr w:rsidR="00954D65" w:rsidRPr="002303DF" w:rsidTr="00E5356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36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</w:p>
        </w:tc>
      </w:tr>
      <w:tr w:rsidR="00954D65" w:rsidRPr="002303DF" w:rsidTr="00E53564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Outcome assessment time points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14 and 26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12 and 24 weeks</w:t>
            </w:r>
          </w:p>
        </w:tc>
      </w:tr>
      <w:tr w:rsidR="00954D65" w:rsidRPr="002303DF" w:rsidTr="00E53564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Escaping study treatment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Allowed at Week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-</w:t>
            </w:r>
          </w:p>
        </w:tc>
      </w:tr>
      <w:tr w:rsidR="00954D65" w:rsidRPr="002303DF" w:rsidTr="00E53564">
        <w:trPr>
          <w:trHeight w:val="4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Key inclusion criteria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- ≥18 years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Diagnosis of RA for ≥ 3 months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≥6/66 swollen joints and ≥ 6/68 tender joints at screening and baseline; and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hsCRP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≥ 5 mg/L (central lab) at screening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Must have discontinued all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csDMARDs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other than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≥4 weeks prior to first dose of study drug. There was a washout period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-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therapy at stable dose of 10 to 25 mg/week for ≥3 months and stable dose for ≥4 weeks prior to first dose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- ≥18 years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Presence of 4 or more tender or painful joints (of 28 joints examined) and 4 or more swollen joints (of 28 joints examined); and a CRP level exceeding 3 mg/L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Patients had an incomplete response to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and were required to discontinue all other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csDMARDs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Patients were receiving 15 to 25 mg of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MTX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weekly at a stable dose at least 6 weeks before baseline and had an incomplete response</w:t>
            </w:r>
          </w:p>
        </w:tc>
      </w:tr>
      <w:tr w:rsidR="00954D65" w:rsidRPr="002303DF" w:rsidTr="00E53564">
        <w:trPr>
          <w:trHeight w:val="12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Key exclusion criteria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- Prior exposure to more than one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bDMARD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or ADA. Exposure to a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bDMARD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limited to up to 20% of the total study population. Patients with exposure to one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bDMARD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were eligible if exposure was less than 3 months or if they were responding to treatment, but had to discontinue due 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to intolerability. Subjects must have discontinued treatment in accordance with a washout period prior to study enrollment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Prior exposure to any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JAK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inhibitor (e.g.,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TOFA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,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baricitinib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, and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filgotinib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4D65" w:rsidRPr="002303DF" w:rsidRDefault="00954D65" w:rsidP="00E53564">
            <w:pP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 - Patients who had absence of efficacy or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bDMARD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-related adverse events with previous treatment with a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TNF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inhibitor, or who had previously received </w:t>
            </w:r>
            <w:proofErr w:type="spellStart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>TOFA</w:t>
            </w:r>
            <w:proofErr w:type="spellEnd"/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or ADA were excluded</w:t>
            </w:r>
            <w:r w:rsidRPr="002303DF">
              <w:rPr>
                <w:rFonts w:asciiTheme="majorHAnsi" w:eastAsia="Times New Roman" w:hAnsiTheme="majorHAnsi" w:cstheme="majorHAnsi"/>
                <w:sz w:val="22"/>
                <w:szCs w:val="22"/>
              </w:rPr>
              <w:br/>
              <w:t xml:space="preserve"> - Prior exposure to glucocorticoids equivalent to &gt;10 mg/day prednisone within the previous 4 weeks</w:t>
            </w:r>
          </w:p>
        </w:tc>
      </w:tr>
    </w:tbl>
    <w:p w:rsidR="00954D65" w:rsidRPr="002303DF" w:rsidRDefault="00954D65" w:rsidP="00954D65">
      <w:pPr>
        <w:spacing w:line="360" w:lineRule="auto"/>
        <w:rPr>
          <w:rFonts w:asciiTheme="majorHAnsi" w:hAnsiTheme="majorHAnsi" w:cstheme="majorHAnsi"/>
          <w:sz w:val="22"/>
          <w:szCs w:val="22"/>
          <w:lang w:eastAsia="ja-JP"/>
        </w:rPr>
      </w:pPr>
    </w:p>
    <w:p w:rsidR="00954D65" w:rsidRDefault="00954D65" w:rsidP="00954D65">
      <w:pPr>
        <w:spacing w:line="480" w:lineRule="auto"/>
        <w:rPr>
          <w:rFonts w:ascii="Times New Roman" w:hAnsi="Times New Roman"/>
          <w:bCs/>
          <w:color w:val="000000" w:themeColor="text1"/>
          <w:kern w:val="24"/>
        </w:rPr>
      </w:pPr>
      <w:r w:rsidRPr="002303DF">
        <w:rPr>
          <w:rFonts w:ascii="Times New Roman" w:hAnsi="Times New Roman"/>
          <w:b/>
          <w:bCs/>
          <w:color w:val="000000" w:themeColor="text1"/>
          <w:kern w:val="24"/>
        </w:rPr>
        <w:t>Abbreviations</w:t>
      </w:r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: ACR = American College of Rheumatology; ADA =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adalimumab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bDMARD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biologic disease-modifying anti-rheumatic drug; BID = twice daily;</w:t>
      </w:r>
      <w:r w:rsidRPr="002303DF">
        <w:rPr>
          <w:rFonts w:ascii="Times New Roman" w:eastAsia="MS Mincho" w:hAnsi="Times New Roman"/>
          <w:lang w:eastAsia="ja-JP"/>
        </w:rPr>
        <w:t xml:space="preserve">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csDMARD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conventional synthetic disease-modifying anti-rheumatic drug; CRP = C-reactive protein; </w:t>
      </w:r>
      <w:proofErr w:type="spellStart"/>
      <w:r w:rsidRPr="002303DF">
        <w:rPr>
          <w:rFonts w:ascii="Times New Roman" w:eastAsia="MS Mincho" w:hAnsi="Times New Roman"/>
          <w:lang w:eastAsia="ja-JP"/>
        </w:rPr>
        <w:t>EOW</w:t>
      </w:r>
      <w:proofErr w:type="spellEnd"/>
      <w:r w:rsidRPr="002303DF">
        <w:rPr>
          <w:rFonts w:ascii="Times New Roman" w:eastAsia="MS Mincho" w:hAnsi="Times New Roman"/>
          <w:lang w:eastAsia="ja-JP"/>
        </w:rPr>
        <w:t xml:space="preserve"> = every other week; </w:t>
      </w:r>
      <w:proofErr w:type="spellStart"/>
      <w:r w:rsidRPr="002303DF">
        <w:rPr>
          <w:rFonts w:ascii="Times New Roman" w:eastAsia="MS Mincho" w:hAnsi="Times New Roman"/>
          <w:lang w:eastAsia="ja-JP"/>
        </w:rPr>
        <w:t>EULAR</w:t>
      </w:r>
      <w:proofErr w:type="spellEnd"/>
      <w:r w:rsidRPr="002303DF">
        <w:rPr>
          <w:rFonts w:ascii="Times New Roman" w:eastAsia="MS Mincho" w:hAnsi="Times New Roman"/>
          <w:lang w:eastAsia="ja-JP"/>
        </w:rPr>
        <w:t xml:space="preserve"> = European League Against Rheumatism; </w:t>
      </w:r>
      <w:proofErr w:type="spellStart"/>
      <w:r w:rsidRPr="002303DF">
        <w:rPr>
          <w:rFonts w:ascii="Times New Roman" w:eastAsia="MS Mincho" w:hAnsi="Times New Roman"/>
          <w:lang w:eastAsia="ja-JP"/>
        </w:rPr>
        <w:t>JAK</w:t>
      </w:r>
      <w:proofErr w:type="spellEnd"/>
      <w:r w:rsidRPr="002303DF">
        <w:rPr>
          <w:rFonts w:ascii="Times New Roman" w:eastAsia="MS Mincho" w:hAnsi="Times New Roman"/>
          <w:lang w:eastAsia="ja-JP"/>
        </w:rPr>
        <w:t xml:space="preserve"> = Janus kinase; </w:t>
      </w:r>
      <w:proofErr w:type="spellStart"/>
      <w:r w:rsidRPr="002303DF">
        <w:rPr>
          <w:rFonts w:ascii="Times New Roman" w:eastAsia="MS Mincho" w:hAnsi="Times New Roman"/>
          <w:lang w:eastAsia="ja-JP"/>
        </w:rPr>
        <w:t>hsCRP</w:t>
      </w:r>
      <w:proofErr w:type="spellEnd"/>
      <w:r w:rsidRPr="002303DF">
        <w:rPr>
          <w:rFonts w:ascii="Times New Roman" w:eastAsia="MS Mincho" w:hAnsi="Times New Roman"/>
          <w:lang w:eastAsia="ja-JP"/>
        </w:rPr>
        <w:t xml:space="preserve"> = high sensitivity C-reactive protein;</w:t>
      </w:r>
      <w:r w:rsidRPr="002303DF">
        <w:rPr>
          <w:rFonts w:ascii="Times New Roman" w:eastAsia="MS Mincho" w:hAnsi="Times New Roman"/>
          <w:bCs/>
          <w:lang w:eastAsia="ja-JP"/>
        </w:rPr>
        <w:t xml:space="preserve">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MTX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methotrexate;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MTX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-IR = intolerance or inadequate response to methotrexate;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QD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daily; RA = rheumatoid arthritis;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TOFA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tofacitinib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; </w:t>
      </w:r>
      <w:proofErr w:type="spellStart"/>
      <w:r w:rsidRPr="002303DF">
        <w:rPr>
          <w:rFonts w:ascii="Times New Roman" w:hAnsi="Times New Roman"/>
          <w:bCs/>
          <w:color w:val="000000" w:themeColor="text1"/>
          <w:kern w:val="24"/>
        </w:rPr>
        <w:t>TNF</w:t>
      </w:r>
      <w:proofErr w:type="spellEnd"/>
      <w:r w:rsidRPr="002303DF">
        <w:rPr>
          <w:rFonts w:ascii="Times New Roman" w:hAnsi="Times New Roman"/>
          <w:bCs/>
          <w:color w:val="000000" w:themeColor="text1"/>
          <w:kern w:val="24"/>
        </w:rPr>
        <w:t xml:space="preserve"> = tumor necrosis factor.</w:t>
      </w:r>
    </w:p>
    <w:p w:rsidR="00954D65" w:rsidRPr="00DC6C77" w:rsidRDefault="00954D65" w:rsidP="00954D65">
      <w:pPr>
        <w:spacing w:line="360" w:lineRule="auto"/>
        <w:rPr>
          <w:rFonts w:asciiTheme="majorHAnsi" w:hAnsiTheme="majorHAnsi" w:cstheme="majorHAnsi"/>
          <w:sz w:val="22"/>
          <w:szCs w:val="22"/>
          <w:lang w:eastAsia="ja-JP"/>
        </w:rPr>
      </w:pPr>
    </w:p>
    <w:p w:rsidR="002E49B2" w:rsidRDefault="002303DF"/>
    <w:sectPr w:rsidR="002E49B2"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65"/>
    <w:rsid w:val="000D10DA"/>
    <w:rsid w:val="002303DF"/>
    <w:rsid w:val="00274D9A"/>
    <w:rsid w:val="008441D3"/>
    <w:rsid w:val="00954D65"/>
    <w:rsid w:val="00A0622F"/>
    <w:rsid w:val="00B45288"/>
    <w:rsid w:val="00C163A3"/>
    <w:rsid w:val="00EA218E"/>
    <w:rsid w:val="00EA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6543B-D8EE-4D4E-A962-FE304035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D65"/>
    <w:pPr>
      <w:spacing w:after="0" w:line="240" w:lineRule="auto"/>
    </w:pPr>
    <w:rPr>
      <w:rFonts w:eastAsiaTheme="minorEastAs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3C4ED-2DA3-4EA3-9E2B-EB15DA09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Pearson</dc:creator>
  <cp:keywords/>
  <dc:description/>
  <cp:lastModifiedBy>sinthiya M.</cp:lastModifiedBy>
  <cp:revision>2</cp:revision>
  <dcterms:created xsi:type="dcterms:W3CDTF">2020-11-09T14:59:00Z</dcterms:created>
  <dcterms:modified xsi:type="dcterms:W3CDTF">2020-11-15T06:55:00Z</dcterms:modified>
</cp:coreProperties>
</file>