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9FC" w:rsidRPr="00A205F7" w:rsidRDefault="006359FC" w:rsidP="006359F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205F7">
        <w:rPr>
          <w:rFonts w:ascii="Times New Roman" w:hAnsi="Times New Roman" w:cs="Times New Roman"/>
          <w:b/>
          <w:sz w:val="24"/>
          <w:szCs w:val="24"/>
        </w:rPr>
        <w:t>Supplementary Table. Comparative safety of azathioprine and cyclosporine for initial treatment of idiopathic inflammatory myositis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0"/>
        <w:gridCol w:w="849"/>
        <w:gridCol w:w="992"/>
        <w:gridCol w:w="1846"/>
        <w:gridCol w:w="849"/>
        <w:gridCol w:w="992"/>
        <w:gridCol w:w="2126"/>
        <w:gridCol w:w="1844"/>
        <w:gridCol w:w="1430"/>
        <w:gridCol w:w="219"/>
      </w:tblGrid>
      <w:tr w:rsidR="00A205F7" w:rsidRPr="00A205F7" w:rsidTr="006359FC">
        <w:trPr>
          <w:trHeight w:val="330"/>
        </w:trPr>
        <w:tc>
          <w:tcPr>
            <w:tcW w:w="93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134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  <w:t>Azathioprine users (N=288)</w:t>
            </w:r>
          </w:p>
        </w:tc>
        <w:tc>
          <w:tcPr>
            <w:tcW w:w="144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  <w:t>Cyclosporine users (N=88)</w:t>
            </w:r>
          </w:p>
        </w:tc>
        <w:tc>
          <w:tcPr>
            <w:tcW w:w="119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  <w:t xml:space="preserve">Incidence rate ratio </w:t>
            </w:r>
          </w:p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  <w:t>(Cyclosporine vs Azathioprine)</w:t>
            </w:r>
          </w:p>
        </w:tc>
        <w:tc>
          <w:tcPr>
            <w:tcW w:w="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</w:tr>
      <w:tr w:rsidR="00A205F7" w:rsidRPr="00A205F7" w:rsidTr="006359FC">
        <w:trPr>
          <w:trHeight w:val="330"/>
        </w:trPr>
        <w:tc>
          <w:tcPr>
            <w:tcW w:w="93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No of events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PYs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Incidence rate per 100 PYs (95% CI)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No of events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PYs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Incidence rate per 100 PYs (95% CI)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Crude RR</w:t>
            </w:r>
          </w:p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(95% CI)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Adjusted RR</w:t>
            </w: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</w:t>
            </w:r>
          </w:p>
          <w:p w:rsidR="006359FC" w:rsidRPr="00A205F7" w:rsidRDefault="006359FC" w:rsidP="006C232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(95% CI)</w:t>
            </w:r>
          </w:p>
        </w:tc>
      </w:tr>
      <w:tr w:rsidR="00A205F7" w:rsidRPr="00A205F7" w:rsidTr="006359FC">
        <w:trPr>
          <w:trHeight w:val="33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  <w:t>Hospitalization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205F7" w:rsidRPr="00A205F7" w:rsidTr="006359FC">
        <w:trPr>
          <w:trHeight w:val="141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All-cause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224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686.95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32.61 (32.57-32.65)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78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164.10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47.53 (47.43-47.64)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1.32 (1.02 -1.71)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1.36 (1.04-1.79)</w:t>
            </w:r>
          </w:p>
        </w:tc>
      </w:tr>
      <w:tr w:rsidR="00A205F7" w:rsidRPr="00A205F7" w:rsidTr="006359FC">
        <w:trPr>
          <w:trHeight w:val="343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IM-related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136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1188.58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11.44 (11.42-11.46)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48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334.82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14.34 (14.30-14.38)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1.23 (0.88 -1.71)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1.20 (0.85-1.69)</w:t>
            </w:r>
          </w:p>
        </w:tc>
      </w:tr>
      <w:tr w:rsidR="00A205F7" w:rsidRPr="00A205F7" w:rsidTr="006359FC">
        <w:trPr>
          <w:trHeight w:val="33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  <w:t>Emergency visit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205F7" w:rsidRPr="00A205F7" w:rsidTr="006359FC">
        <w:trPr>
          <w:trHeight w:val="225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All-cause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195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964.26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20.22 (20.19-20.25)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63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282.70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22.29 (22.23-22.34)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1.09 (0.82 -1.45)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1.00 (0.74-1.37)</w:t>
            </w:r>
          </w:p>
        </w:tc>
      </w:tr>
      <w:tr w:rsidR="00A205F7" w:rsidRPr="00A205F7" w:rsidTr="006359FC">
        <w:trPr>
          <w:trHeight w:val="284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IM-related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80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1526.37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5.24 (5.23-5.25)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29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464.17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6.25 (6.22-6.27)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1.20 (0.79 -1.84)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1.08 (0.68-1.70)</w:t>
            </w:r>
          </w:p>
        </w:tc>
      </w:tr>
      <w:tr w:rsidR="00A205F7" w:rsidRPr="00A205F7" w:rsidTr="006359FC">
        <w:trPr>
          <w:trHeight w:val="33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  <w:t>Death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205F7" w:rsidRPr="00A205F7" w:rsidTr="006359FC">
        <w:trPr>
          <w:trHeight w:val="238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All-cause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60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1702.97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3.52 (3.51-3.53)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20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488.37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4.10 (4.08-4.11)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1.16 (0.70 -1.92)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1.55 (0.90-2.66)</w:t>
            </w:r>
          </w:p>
        </w:tc>
      </w:tr>
      <w:tr w:rsidR="00A205F7" w:rsidRPr="00A205F7" w:rsidTr="006359FC">
        <w:trPr>
          <w:trHeight w:val="330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b/>
                <w:kern w:val="0"/>
                <w:szCs w:val="20"/>
              </w:rPr>
              <w:t>Opportunistic infections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A205F7" w:rsidRPr="00A205F7" w:rsidTr="006359FC">
        <w:trPr>
          <w:trHeight w:val="247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Tuberculosis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0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582.46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0.34 (0.34-0.35)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hAnsi="Times New Roman" w:cs="Times New Roman" w:hint="eastAsia"/>
                <w:kern w:val="0"/>
                <w:szCs w:val="20"/>
              </w:rPr>
              <w:t>-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hAnsi="Times New Roman" w:cs="Times New Roman" w:hint="eastAsia"/>
                <w:kern w:val="0"/>
                <w:szCs w:val="20"/>
              </w:rPr>
              <w:t>-</w:t>
            </w:r>
          </w:p>
        </w:tc>
      </w:tr>
      <w:tr w:rsidR="00A205F7" w:rsidRPr="00A205F7" w:rsidTr="006359FC">
        <w:trPr>
          <w:trHeight w:val="263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Deep seated mycosis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1877.29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0.75 (0.74-0.75)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5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560.19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0.89 (0.88-0.90)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1.21 (0.43 -3.35)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1.59 (0.53-4.79)</w:t>
            </w:r>
          </w:p>
        </w:tc>
      </w:tr>
      <w:tr w:rsidR="00A205F7" w:rsidRPr="00A205F7" w:rsidTr="006359FC">
        <w:trPr>
          <w:trHeight w:val="153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proofErr w:type="spellStart"/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Pneumocystosis</w:t>
            </w:r>
            <w:proofErr w:type="spellEnd"/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1941.65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0.05 (0.05-0.05)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586.95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0.17 (0.17-0.17)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3.28 (0.21 -52.44)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3.03 (0.18-51.67)</w:t>
            </w:r>
          </w:p>
        </w:tc>
      </w:tr>
      <w:tr w:rsidR="00A205F7" w:rsidRPr="00A205F7" w:rsidTr="006359FC">
        <w:trPr>
          <w:trHeight w:val="291"/>
        </w:trPr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Viral infections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24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1833.81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1.31 (1.30-1.31)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584.33</w:t>
            </w:r>
          </w:p>
        </w:tc>
        <w:tc>
          <w:tcPr>
            <w:tcW w:w="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0.34 (0.34-0.35)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0.27 (0.06 -1.13)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0.31 (0.07-1.36)</w:t>
            </w:r>
          </w:p>
        </w:tc>
      </w:tr>
      <w:tr w:rsidR="00A205F7" w:rsidRPr="00A205F7" w:rsidTr="006359FC">
        <w:trPr>
          <w:trHeight w:val="139"/>
        </w:trPr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ind w:firstLineChars="50" w:firstLine="100"/>
              <w:jc w:val="left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Retropharyngeal abscess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1931.69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0.21 (0.21-0.21)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582.93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0.34 (0.34-0.35)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1.67 (0.31 -9.10)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59FC" w:rsidRPr="00A205F7" w:rsidRDefault="006359FC" w:rsidP="006359F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A205F7">
              <w:rPr>
                <w:rFonts w:ascii="Times New Roman" w:eastAsia="Malgun Gothic" w:hAnsi="Times New Roman" w:cs="Times New Roman"/>
                <w:kern w:val="0"/>
                <w:szCs w:val="20"/>
              </w:rPr>
              <w:t>1.46 (0.23-9.24)</w:t>
            </w:r>
          </w:p>
        </w:tc>
      </w:tr>
    </w:tbl>
    <w:p w:rsidR="006359FC" w:rsidRPr="00A205F7" w:rsidRDefault="006359FC" w:rsidP="006359FC">
      <w:pPr>
        <w:spacing w:line="360" w:lineRule="auto"/>
        <w:rPr>
          <w:rFonts w:ascii="Times New Roman" w:eastAsia="Malgun Gothic" w:hAnsi="Times New Roman" w:cs="Times New Roman"/>
          <w:kern w:val="0"/>
          <w:sz w:val="22"/>
          <w:szCs w:val="24"/>
        </w:rPr>
      </w:pPr>
      <w:r w:rsidRPr="00A205F7">
        <w:rPr>
          <w:rFonts w:ascii="Times New Roman" w:eastAsia="Malgun Gothic" w:hAnsi="Times New Roman" w:cs="Times New Roman" w:hint="eastAsia"/>
          <w:kern w:val="0"/>
          <w:sz w:val="22"/>
          <w:szCs w:val="24"/>
        </w:rPr>
        <w:t>PY</w:t>
      </w:r>
      <w:r w:rsidRPr="00A205F7">
        <w:rPr>
          <w:rFonts w:ascii="Times New Roman" w:eastAsia="Malgun Gothic" w:hAnsi="Times New Roman" w:cs="Times New Roman"/>
          <w:kern w:val="0"/>
          <w:sz w:val="22"/>
          <w:szCs w:val="24"/>
        </w:rPr>
        <w:t>s, person-years; RR, relative risk; CI, confidence interval</w:t>
      </w:r>
    </w:p>
    <w:p w:rsidR="006359FC" w:rsidRPr="00A205F7" w:rsidRDefault="006359FC" w:rsidP="006359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05F7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Pr="00A205F7">
        <w:rPr>
          <w:rFonts w:ascii="Times New Roman" w:hAnsi="Times New Roman" w:cs="Times New Roman"/>
          <w:sz w:val="24"/>
          <w:szCs w:val="24"/>
        </w:rPr>
        <w:t xml:space="preserve">Adjusted for </w:t>
      </w:r>
      <w:r w:rsidRPr="00A205F7">
        <w:rPr>
          <w:rFonts w:ascii="Times New Roman" w:eastAsia="Malgun Gothic" w:hAnsi="Times New Roman" w:cs="Times New Roman"/>
          <w:kern w:val="0"/>
          <w:sz w:val="22"/>
        </w:rPr>
        <w:t xml:space="preserve">age, gender, IM type, time from first diagnosis of IM to index date, medication use history, </w:t>
      </w:r>
      <w:proofErr w:type="spellStart"/>
      <w:r w:rsidRPr="00A205F7">
        <w:rPr>
          <w:rFonts w:ascii="Times New Roman" w:eastAsia="Malgun Gothic" w:hAnsi="Times New Roman" w:cs="Times New Roman"/>
          <w:kern w:val="0"/>
          <w:sz w:val="22"/>
        </w:rPr>
        <w:t>Elixhauser</w:t>
      </w:r>
      <w:proofErr w:type="spellEnd"/>
      <w:r w:rsidRPr="00A205F7">
        <w:rPr>
          <w:rFonts w:ascii="Times New Roman" w:eastAsia="Malgun Gothic" w:hAnsi="Times New Roman" w:cs="Times New Roman"/>
          <w:kern w:val="0"/>
          <w:sz w:val="22"/>
        </w:rPr>
        <w:t xml:space="preserve"> comorbidity score, ILD, baseline steroid daily dose, MTX use at index date, IV steroid use at index date.</w:t>
      </w:r>
    </w:p>
    <w:bookmarkEnd w:id="0"/>
    <w:p w:rsidR="008A5112" w:rsidRPr="00A205F7" w:rsidRDefault="008A5112"/>
    <w:sectPr w:rsidR="008A5112" w:rsidRPr="00A205F7" w:rsidSect="00F43BA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9FC"/>
    <w:rsid w:val="006359FC"/>
    <w:rsid w:val="008A5112"/>
    <w:rsid w:val="00A205F7"/>
    <w:rsid w:val="00F4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C1680B-82CA-4273-B632-7D8AF906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9FC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동관2층연구실</dc:creator>
  <cp:keywords/>
  <dc:description/>
  <cp:lastModifiedBy>ASWINI VIJAYAKUMAR</cp:lastModifiedBy>
  <cp:revision>3</cp:revision>
  <dcterms:created xsi:type="dcterms:W3CDTF">2021-09-28T06:57:00Z</dcterms:created>
  <dcterms:modified xsi:type="dcterms:W3CDTF">2021-10-28T03:46:00Z</dcterms:modified>
</cp:coreProperties>
</file>