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9E6F8" w14:textId="6E7B98E2" w:rsidR="00701F21" w:rsidRDefault="00701F21" w:rsidP="00701F21">
      <w:pPr>
        <w:pStyle w:val="Heading2"/>
        <w:spacing w:before="0" w:after="0"/>
        <w:rPr>
          <w:rFonts w:cs="Arial"/>
          <w:color w:val="auto"/>
          <w:sz w:val="24"/>
          <w:szCs w:val="24"/>
        </w:rPr>
      </w:pPr>
      <w:bookmarkStart w:id="0" w:name="_Hlk51337556"/>
      <w:bookmarkEnd w:id="0"/>
      <w:r w:rsidRPr="003B237A">
        <w:rPr>
          <w:rFonts w:cs="Arial"/>
          <w:color w:val="auto"/>
          <w:sz w:val="24"/>
          <w:szCs w:val="24"/>
        </w:rPr>
        <w:t>Patient-reported nausea and fatigue related to methotrexate: A prospective, self-controlled study in the ArthritisPower</w:t>
      </w:r>
      <w:r w:rsidRPr="003B237A">
        <w:rPr>
          <w:rFonts w:cs="Arial"/>
          <w:color w:val="auto"/>
          <w:sz w:val="24"/>
          <w:szCs w:val="24"/>
          <w:vertAlign w:val="superscript"/>
        </w:rPr>
        <w:t>®</w:t>
      </w:r>
      <w:r w:rsidRPr="003B237A">
        <w:rPr>
          <w:rFonts w:cs="Arial"/>
          <w:color w:val="auto"/>
          <w:sz w:val="24"/>
          <w:szCs w:val="24"/>
        </w:rPr>
        <w:t xml:space="preserve"> Registry</w:t>
      </w:r>
    </w:p>
    <w:p w14:paraId="3038BFCE" w14:textId="68C94DCA" w:rsidR="00B2596E" w:rsidRPr="007B6693" w:rsidRDefault="001D107C" w:rsidP="00701F21">
      <w:pPr>
        <w:spacing w:before="0" w:after="160"/>
        <w:ind w:left="2160" w:firstLine="720"/>
        <w:rPr>
          <w:rFonts w:cs="Arial"/>
          <w:b/>
          <w:bCs/>
        </w:rPr>
      </w:pPr>
      <w:r>
        <w:rPr>
          <w:rFonts w:cs="Arial"/>
          <w:b/>
          <w:bCs/>
        </w:rPr>
        <w:t xml:space="preserve">ONLINE </w:t>
      </w:r>
      <w:r w:rsidR="00B2596E" w:rsidRPr="007B6693">
        <w:rPr>
          <w:rFonts w:cs="Arial"/>
          <w:b/>
          <w:bCs/>
        </w:rPr>
        <w:t>SUPPLEMENTARY MATERIAL</w:t>
      </w:r>
    </w:p>
    <w:p w14:paraId="0C23080C" w14:textId="77777777" w:rsidR="00B2596E" w:rsidRPr="007B6693" w:rsidRDefault="00B2596E" w:rsidP="00B2596E">
      <w:pPr>
        <w:pStyle w:val="Heading2"/>
        <w:rPr>
          <w:rFonts w:cs="Arial"/>
          <w:color w:val="auto"/>
          <w:szCs w:val="22"/>
        </w:rPr>
      </w:pPr>
      <w:r w:rsidRPr="007B6693">
        <w:rPr>
          <w:rFonts w:cs="Arial"/>
          <w:color w:val="auto"/>
          <w:szCs w:val="22"/>
        </w:rPr>
        <w:t>Phase 1 Survey Questions</w:t>
      </w:r>
      <w:bookmarkStart w:id="1" w:name="_GoBack"/>
      <w:bookmarkEnd w:id="1"/>
    </w:p>
    <w:p w14:paraId="36F86F67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A474C2">
        <w:rPr>
          <w:rFonts w:cs="Arial"/>
        </w:rPr>
        <w:t>What is your age?</w:t>
      </w:r>
    </w:p>
    <w:p w14:paraId="73D6A159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What is your current country of residence?</w:t>
      </w:r>
    </w:p>
    <w:p w14:paraId="0BF8D8DC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What is the highest level of education you have completed?</w:t>
      </w:r>
    </w:p>
    <w:p w14:paraId="64A41768" w14:textId="77777777" w:rsidR="00B2596E" w:rsidRPr="007B6693" w:rsidRDefault="00B2596E" w:rsidP="00A63890">
      <w:pPr>
        <w:pStyle w:val="lowercaselettering"/>
        <w:spacing w:line="240" w:lineRule="auto"/>
        <w:ind w:left="806"/>
        <w:contextualSpacing w:val="0"/>
        <w:rPr>
          <w:rFonts w:cs="Arial"/>
        </w:rPr>
      </w:pPr>
      <w:r w:rsidRPr="007B6693">
        <w:rPr>
          <w:rFonts w:cs="Arial"/>
        </w:rPr>
        <w:t>Less than high school</w:t>
      </w:r>
    </w:p>
    <w:p w14:paraId="0622E66C" w14:textId="77777777" w:rsidR="00B2596E" w:rsidRPr="007B6693" w:rsidRDefault="00B2596E" w:rsidP="00A63890">
      <w:pPr>
        <w:pStyle w:val="lowercaselettering"/>
        <w:spacing w:line="240" w:lineRule="auto"/>
        <w:ind w:left="806"/>
        <w:contextualSpacing w:val="0"/>
        <w:rPr>
          <w:rFonts w:cs="Arial"/>
        </w:rPr>
      </w:pPr>
      <w:r w:rsidRPr="007B6693">
        <w:rPr>
          <w:rFonts w:cs="Arial"/>
        </w:rPr>
        <w:t>High school/GED</w:t>
      </w:r>
    </w:p>
    <w:p w14:paraId="03EE7775" w14:textId="77777777" w:rsidR="00B2596E" w:rsidRPr="007B6693" w:rsidRDefault="00B2596E" w:rsidP="00A63890">
      <w:pPr>
        <w:pStyle w:val="lowercaselettering"/>
        <w:spacing w:line="240" w:lineRule="auto"/>
        <w:ind w:left="806"/>
        <w:contextualSpacing w:val="0"/>
        <w:rPr>
          <w:rFonts w:cs="Arial"/>
        </w:rPr>
      </w:pPr>
      <w:r w:rsidRPr="007B6693">
        <w:rPr>
          <w:rFonts w:cs="Arial"/>
        </w:rPr>
        <w:t>Some college (no degree)</w:t>
      </w:r>
    </w:p>
    <w:p w14:paraId="6E697C26" w14:textId="77777777" w:rsidR="00B2596E" w:rsidRPr="007B6693" w:rsidRDefault="00B2596E" w:rsidP="00A63890">
      <w:pPr>
        <w:pStyle w:val="lowercaselettering"/>
        <w:spacing w:line="240" w:lineRule="auto"/>
        <w:ind w:left="806"/>
        <w:contextualSpacing w:val="0"/>
        <w:rPr>
          <w:rFonts w:cs="Arial"/>
        </w:rPr>
      </w:pPr>
      <w:r w:rsidRPr="007B6693">
        <w:rPr>
          <w:rFonts w:cs="Arial"/>
        </w:rPr>
        <w:t>Associate’s degree</w:t>
      </w:r>
    </w:p>
    <w:p w14:paraId="5FCCA3EE" w14:textId="77777777" w:rsidR="00B2596E" w:rsidRPr="007B6693" w:rsidRDefault="00B2596E" w:rsidP="00A63890">
      <w:pPr>
        <w:pStyle w:val="lowercaselettering"/>
        <w:spacing w:line="240" w:lineRule="auto"/>
        <w:ind w:left="806"/>
        <w:contextualSpacing w:val="0"/>
        <w:rPr>
          <w:rFonts w:cs="Arial"/>
        </w:rPr>
      </w:pPr>
      <w:r w:rsidRPr="007B6693">
        <w:rPr>
          <w:rFonts w:cs="Arial"/>
        </w:rPr>
        <w:t>Trade school</w:t>
      </w:r>
    </w:p>
    <w:p w14:paraId="48B9D17B" w14:textId="77777777" w:rsidR="00B2596E" w:rsidRPr="007B6693" w:rsidRDefault="00B2596E" w:rsidP="00A63890">
      <w:pPr>
        <w:pStyle w:val="lowercaselettering"/>
        <w:spacing w:line="240" w:lineRule="auto"/>
        <w:ind w:left="806"/>
        <w:contextualSpacing w:val="0"/>
        <w:rPr>
          <w:rFonts w:cs="Arial"/>
        </w:rPr>
      </w:pPr>
      <w:r w:rsidRPr="007B6693">
        <w:rPr>
          <w:rFonts w:cs="Arial"/>
        </w:rPr>
        <w:t>Undergraduate degree (Bachelor’s)</w:t>
      </w:r>
    </w:p>
    <w:p w14:paraId="1BA6245E" w14:textId="77777777" w:rsidR="00B2596E" w:rsidRPr="007B6693" w:rsidRDefault="00B2596E" w:rsidP="00A63890">
      <w:pPr>
        <w:pStyle w:val="lowercaselettering"/>
        <w:spacing w:line="240" w:lineRule="auto"/>
        <w:ind w:left="806"/>
        <w:contextualSpacing w:val="0"/>
        <w:rPr>
          <w:rFonts w:cs="Arial"/>
        </w:rPr>
      </w:pPr>
      <w:r w:rsidRPr="007B6693">
        <w:rPr>
          <w:rFonts w:cs="Arial"/>
        </w:rPr>
        <w:t>Post-graduate degree (Master’s, Doctoral)</w:t>
      </w:r>
    </w:p>
    <w:p w14:paraId="4FCDE4F7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Have you been diagnosed with rheumatoid arthritis (RA) by a physician?</w:t>
      </w:r>
    </w:p>
    <w:p w14:paraId="28D5C820" w14:textId="77777777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Yes</w:t>
      </w:r>
    </w:p>
    <w:p w14:paraId="2C6B38C9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No</w:t>
      </w:r>
    </w:p>
    <w:p w14:paraId="286E4399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Have you been diagnosed with psoriatic arthritis (PsA) by a physician?</w:t>
      </w:r>
    </w:p>
    <w:p w14:paraId="2924107C" w14:textId="77777777" w:rsidR="00B2596E" w:rsidRPr="007B6693" w:rsidRDefault="00B2596E" w:rsidP="00A63890">
      <w:pPr>
        <w:pStyle w:val="lowercaselettering"/>
        <w:numPr>
          <w:ilvl w:val="0"/>
          <w:numId w:val="5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Yes</w:t>
      </w:r>
    </w:p>
    <w:p w14:paraId="67993EF5" w14:textId="77777777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No</w:t>
      </w:r>
    </w:p>
    <w:p w14:paraId="7D113C01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What is the name of your current rheumatologist or other physician treating your RA/PsA?</w:t>
      </w:r>
    </w:p>
    <w:p w14:paraId="1937EDFF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What are the prescription medications that you currently take for your RA/PsA? Please select all that apply.</w:t>
      </w:r>
    </w:p>
    <w:p w14:paraId="11B21E64" w14:textId="5C3CD41D" w:rsidR="00B2596E" w:rsidRPr="007B6693" w:rsidRDefault="00B2596E" w:rsidP="00A63890">
      <w:pPr>
        <w:pStyle w:val="lowercaselettering"/>
        <w:numPr>
          <w:ilvl w:val="0"/>
          <w:numId w:val="6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biologic medication given by injection (for example, adalimumab/Humira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golimumab/Simponi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etanercept/Enbrel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certolizumab pegol/Cimzia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sarilumab/</w:t>
      </w:r>
      <w:r w:rsidR="00A63890">
        <w:rPr>
          <w:rFonts w:cs="Arial"/>
        </w:rPr>
        <w:br/>
      </w:r>
      <w:r w:rsidRPr="007B6693">
        <w:rPr>
          <w:rFonts w:cs="Arial"/>
        </w:rPr>
        <w:t>Kevzara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tocilizumab/Actemra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anakinra/Kineret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and abatacept/Orencia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79449221" w14:textId="77777777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biologic medication given by infusion (for example, infliximab/Remicade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tocilizumab/Actemra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 xml:space="preserve"> infusion, infliximab-dyyb/Inflectra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infliximab-abda/Renflexis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rituximab/Rituxan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abatacept/Orencia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 xml:space="preserve"> infusion, and golimumab/Simponi Aria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56A6F7D8" w14:textId="647C78FD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conventional synthetic DMARD (for example, methotrexate, hydroxychloroquine/</w:t>
      </w:r>
      <w:r w:rsidR="00A63890">
        <w:rPr>
          <w:rFonts w:cs="Arial"/>
        </w:rPr>
        <w:br/>
      </w:r>
      <w:r w:rsidRPr="007B6693">
        <w:rPr>
          <w:rFonts w:cs="Arial"/>
        </w:rPr>
        <w:t>Plaquenil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sulfasalazine/Azulfidine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leflunomide/Arava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azathioprine/Imuran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5E7EFD0C" w14:textId="77777777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targeted synthetic DMARD (for example, tofacitinib citrate/Xeljanz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/Xeljanz XR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 xml:space="preserve"> and baricitinib/Olumiant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48BE9E8F" w14:textId="77777777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steroid medication (for example, prednisone, betamethasone, budesonide, hydrocortisone, prednisolone, prednisone, triamcinolone)</w:t>
      </w:r>
    </w:p>
    <w:p w14:paraId="53D5AEB0" w14:textId="77777777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prescription NSAID (for example, ibuprofen, naproxen, celecoxib/Celebrex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meloxicam/Mobic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and diclofenac/Voltaren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479B6E81" w14:textId="77777777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Opioid pain medications (for example, Percocet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morphine, and oxycodone)</w:t>
      </w:r>
    </w:p>
    <w:p w14:paraId="30EB192A" w14:textId="77777777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Other prescription pain medications (for example, tramadol and gabapentin)</w:t>
      </w:r>
    </w:p>
    <w:p w14:paraId="463132FB" w14:textId="77777777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Prescription sleep medications (for example, zolpidem/Ambien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687D8F0A" w14:textId="77777777" w:rsidR="00B2596E" w:rsidRPr="007B6693" w:rsidRDefault="00B2596E" w:rsidP="00A63890">
      <w:pPr>
        <w:pStyle w:val="lowercaselettering"/>
        <w:numPr>
          <w:ilvl w:val="0"/>
          <w:numId w:val="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Other prescription medication</w:t>
      </w:r>
    </w:p>
    <w:p w14:paraId="33E553E4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Which conventional synthetic DMARD do you currently take for your RA/PsA? Please select all that apply.</w:t>
      </w:r>
    </w:p>
    <w:p w14:paraId="7FD022D2" w14:textId="77777777" w:rsidR="00B2596E" w:rsidRPr="007B6693" w:rsidRDefault="00B2596E" w:rsidP="00A63890">
      <w:pPr>
        <w:pStyle w:val="lowercaselettering"/>
        <w:numPr>
          <w:ilvl w:val="0"/>
          <w:numId w:val="7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Methotrexate</w:t>
      </w:r>
    </w:p>
    <w:p w14:paraId="6ED4E00D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Hydroxychloroquine/Plaquenil</w:t>
      </w:r>
      <w:r w:rsidRPr="007B6693">
        <w:rPr>
          <w:rFonts w:cs="Arial"/>
          <w:vertAlign w:val="superscript"/>
        </w:rPr>
        <w:t>®</w:t>
      </w:r>
    </w:p>
    <w:p w14:paraId="77A44609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Sulfasalazine/Azulfidine</w:t>
      </w:r>
      <w:r w:rsidRPr="007B6693">
        <w:rPr>
          <w:rFonts w:cs="Arial"/>
          <w:vertAlign w:val="superscript"/>
        </w:rPr>
        <w:t>®</w:t>
      </w:r>
    </w:p>
    <w:p w14:paraId="741FB616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Leflunomide/Arava</w:t>
      </w:r>
      <w:r w:rsidRPr="007B6693">
        <w:rPr>
          <w:rFonts w:cs="Arial"/>
          <w:vertAlign w:val="superscript"/>
        </w:rPr>
        <w:t>®</w:t>
      </w:r>
    </w:p>
    <w:p w14:paraId="7F995CB4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Azathioprine/Imuran</w:t>
      </w:r>
      <w:r w:rsidRPr="007B6693">
        <w:rPr>
          <w:rFonts w:cs="Arial"/>
          <w:vertAlign w:val="superscript"/>
        </w:rPr>
        <w:t>®</w:t>
      </w:r>
    </w:p>
    <w:p w14:paraId="39866931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How do you currently take your methotrexate dose?</w:t>
      </w:r>
    </w:p>
    <w:p w14:paraId="747E43C1" w14:textId="77777777" w:rsidR="00B2596E" w:rsidRPr="007B6693" w:rsidRDefault="00B2596E" w:rsidP="00A63890">
      <w:pPr>
        <w:pStyle w:val="lowercaselettering"/>
        <w:numPr>
          <w:ilvl w:val="0"/>
          <w:numId w:val="8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By an oral pill</w:t>
      </w:r>
    </w:p>
    <w:p w14:paraId="2AFA43D7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By an injection</w:t>
      </w:r>
    </w:p>
    <w:p w14:paraId="5E096B57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Do you take folic acid?</w:t>
      </w:r>
    </w:p>
    <w:p w14:paraId="2A67D973" w14:textId="77777777" w:rsidR="00B2596E" w:rsidRPr="007B6693" w:rsidRDefault="00B2596E" w:rsidP="00A63890">
      <w:pPr>
        <w:pStyle w:val="lowercaselettering"/>
        <w:numPr>
          <w:ilvl w:val="0"/>
          <w:numId w:val="9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Yes</w:t>
      </w:r>
    </w:p>
    <w:p w14:paraId="6D0DD961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No</w:t>
      </w:r>
    </w:p>
    <w:p w14:paraId="47595ED1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I don’t know</w:t>
      </w:r>
    </w:p>
    <w:p w14:paraId="4A974613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What are the prescription medications that you ever have previously taken for your RA/PsA but are no longer taking? Please select all that apply.</w:t>
      </w:r>
    </w:p>
    <w:p w14:paraId="2868320D" w14:textId="0329302A" w:rsidR="00B2596E" w:rsidRPr="007B6693" w:rsidRDefault="00B2596E" w:rsidP="00A63890">
      <w:pPr>
        <w:pStyle w:val="lowercaselettering"/>
        <w:numPr>
          <w:ilvl w:val="0"/>
          <w:numId w:val="10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biologic medication given by injection (for example, adalimumab/Humira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golimumab/Simponi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etanercept/Enbrel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certolizumab pegol/Cimzia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sarilumab/</w:t>
      </w:r>
      <w:r w:rsidR="00A63890">
        <w:rPr>
          <w:rFonts w:cs="Arial"/>
        </w:rPr>
        <w:br/>
      </w:r>
      <w:r w:rsidRPr="007B6693">
        <w:rPr>
          <w:rFonts w:cs="Arial"/>
        </w:rPr>
        <w:t>Kevzara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tocilizumab/Actemra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anakinra/Kineret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and abatacept/Orencia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4054ECD2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biologic medication given by infusion (for example, infliximab/Remicade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tocilizumab/Actemra</w:t>
      </w:r>
      <w:r w:rsidRPr="007B6693">
        <w:rPr>
          <w:rFonts w:cs="Arial"/>
          <w:vanish/>
          <w:vertAlign w:val="superscript"/>
        </w:rPr>
        <w:t>®</w:t>
      </w:r>
      <w:r w:rsidRPr="007B6693">
        <w:rPr>
          <w:rFonts w:cs="Arial"/>
        </w:rPr>
        <w:t xml:space="preserve"> infusion, infliximab-dyyb/Inflectra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infliximab-abda/Renflexis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rituximab/Rituxan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abatacept/Orencia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 xml:space="preserve"> infusion, and golimumab/Simponi Aria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150E14CD" w14:textId="163A78E6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conventional synthetic DMARD (for example, methotrexate, hydroxychloroquine/</w:t>
      </w:r>
      <w:r w:rsidR="00A63890">
        <w:rPr>
          <w:rFonts w:cs="Arial"/>
        </w:rPr>
        <w:br/>
      </w:r>
      <w:r w:rsidRPr="007B6693">
        <w:rPr>
          <w:rFonts w:cs="Arial"/>
        </w:rPr>
        <w:t>Plaquenil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sulfasalazine/Azulfidine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leflunomide/Arava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azathioprine/Imuran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5840AE26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targeted synthetic DMARD (for example, tofacitinib citrate/Xeljanz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/Xeljanz XR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 xml:space="preserve"> and baricitinib/Olumiant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4465D20E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steroid medication (for example, prednisone, betamethasone, budesonide, hydrocortisone, prednisolone, prednisone, triamcinolone)</w:t>
      </w:r>
    </w:p>
    <w:p w14:paraId="11382C4B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 prescription NSAID (for example, ibuprofen, naproxen, celecoxib/Celebrex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meloxicam/Mobic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and diclofenac/Voltaren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3307FE7B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Opioid pain medications (for example, Percocet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, morphine, and oxycodone)</w:t>
      </w:r>
    </w:p>
    <w:p w14:paraId="54BA883A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Other prescription pain medications (for example, tramadol and gabapentin)</w:t>
      </w:r>
    </w:p>
    <w:p w14:paraId="13090738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Prescription sleep medications (for example, zolpidem/Ambien</w:t>
      </w:r>
      <w:r w:rsidRPr="007B6693">
        <w:rPr>
          <w:rFonts w:cs="Arial"/>
          <w:vertAlign w:val="superscript"/>
        </w:rPr>
        <w:t>®</w:t>
      </w:r>
      <w:r w:rsidRPr="007B6693">
        <w:rPr>
          <w:rFonts w:cs="Arial"/>
        </w:rPr>
        <w:t>)</w:t>
      </w:r>
    </w:p>
    <w:p w14:paraId="5C66A345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Other prescription medication</w:t>
      </w:r>
    </w:p>
    <w:p w14:paraId="6892632F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Which conventional synthetic DMARD have you ever previously taken for your RA/PsA? Please select all that apply.</w:t>
      </w:r>
    </w:p>
    <w:p w14:paraId="52F3E91A" w14:textId="77777777" w:rsidR="00B2596E" w:rsidRPr="007B6693" w:rsidRDefault="00B2596E" w:rsidP="00A63890">
      <w:pPr>
        <w:pStyle w:val="lowercaselettering"/>
        <w:numPr>
          <w:ilvl w:val="0"/>
          <w:numId w:val="11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Methotrexate</w:t>
      </w:r>
    </w:p>
    <w:p w14:paraId="72425AEA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Hydroxychloroquine/Plaquenil</w:t>
      </w:r>
      <w:r w:rsidRPr="007B6693">
        <w:rPr>
          <w:rFonts w:cs="Arial"/>
          <w:vertAlign w:val="superscript"/>
        </w:rPr>
        <w:t>®</w:t>
      </w:r>
    </w:p>
    <w:p w14:paraId="76A6C65B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Sulfasalazine/Azulfidine</w:t>
      </w:r>
      <w:r w:rsidRPr="007B6693">
        <w:rPr>
          <w:rFonts w:cs="Arial"/>
          <w:vertAlign w:val="superscript"/>
        </w:rPr>
        <w:t>®</w:t>
      </w:r>
    </w:p>
    <w:p w14:paraId="77147AEE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Leflunomide/Arava</w:t>
      </w:r>
      <w:r w:rsidRPr="007B6693">
        <w:rPr>
          <w:rFonts w:cs="Arial"/>
          <w:vertAlign w:val="superscript"/>
        </w:rPr>
        <w:t>®</w:t>
      </w:r>
    </w:p>
    <w:p w14:paraId="67BCEFA0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Azathioprine/Imuran</w:t>
      </w:r>
      <w:r w:rsidRPr="007B6693">
        <w:rPr>
          <w:rFonts w:cs="Arial"/>
          <w:vertAlign w:val="superscript"/>
        </w:rPr>
        <w:t>®</w:t>
      </w:r>
    </w:p>
    <w:p w14:paraId="5641AE02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How did you previously take your methotrexate dose?</w:t>
      </w:r>
    </w:p>
    <w:p w14:paraId="30BD573F" w14:textId="77777777" w:rsidR="00B2596E" w:rsidRPr="007B6693" w:rsidRDefault="00B2596E" w:rsidP="00A63890">
      <w:pPr>
        <w:pStyle w:val="lowercaselettering"/>
        <w:numPr>
          <w:ilvl w:val="0"/>
          <w:numId w:val="12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By an oral pill</w:t>
      </w:r>
    </w:p>
    <w:p w14:paraId="6AC8E187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By an injection</w:t>
      </w:r>
    </w:p>
    <w:p w14:paraId="3780E97C" w14:textId="77777777" w:rsidR="00B2596E" w:rsidRPr="003541C8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3541C8">
        <w:rPr>
          <w:rFonts w:cs="Arial"/>
        </w:rPr>
        <w:t>When you took methotrexate previously, did you stop taking it because of unwanted side effects that you think were related to taking your methotrexate?</w:t>
      </w:r>
    </w:p>
    <w:p w14:paraId="678A142F" w14:textId="77777777" w:rsidR="00B2596E" w:rsidRPr="007B6693" w:rsidRDefault="00B2596E" w:rsidP="00A63890">
      <w:pPr>
        <w:pStyle w:val="lowercaselettering"/>
        <w:numPr>
          <w:ilvl w:val="0"/>
          <w:numId w:val="13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Yes</w:t>
      </w:r>
    </w:p>
    <w:p w14:paraId="37353C9F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No</w:t>
      </w:r>
    </w:p>
    <w:p w14:paraId="106368AC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How often do you take your methotrexate?</w:t>
      </w:r>
    </w:p>
    <w:p w14:paraId="50B337D8" w14:textId="77777777" w:rsidR="00B2596E" w:rsidRPr="007B6693" w:rsidRDefault="00B2596E" w:rsidP="00A63890">
      <w:pPr>
        <w:pStyle w:val="lowercaselettering"/>
        <w:numPr>
          <w:ilvl w:val="0"/>
          <w:numId w:val="14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Once every week</w:t>
      </w:r>
    </w:p>
    <w:p w14:paraId="06723D80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Multiple days every week</w:t>
      </w:r>
    </w:p>
    <w:p w14:paraId="67AE1DC8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When did you start taking this medication?</w:t>
      </w:r>
    </w:p>
    <w:p w14:paraId="1DB96A09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If you were to add up the total number of years that you have been taking methotrexate on a weekly basis, about how many years would that be? (Subtracting the time that you stopped or were not taking methotrexate.)</w:t>
      </w:r>
    </w:p>
    <w:p w14:paraId="6D258FB8" w14:textId="77777777" w:rsidR="00B2596E" w:rsidRPr="007B6693" w:rsidRDefault="00B2596E" w:rsidP="00A63890">
      <w:pPr>
        <w:spacing w:line="240" w:lineRule="auto"/>
        <w:rPr>
          <w:rFonts w:cs="Arial"/>
        </w:rPr>
      </w:pPr>
      <w:r w:rsidRPr="007B6693">
        <w:rPr>
          <w:rFonts w:cs="Arial"/>
        </w:rPr>
        <w:t>***Questions 18 to 22 have the responses: strongly agree, agree, neither agree nor disagree, disagree, or strongly disagree***</w:t>
      </w:r>
    </w:p>
    <w:p w14:paraId="55076560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My life would be impossible without my methotrexate</w:t>
      </w:r>
    </w:p>
    <w:p w14:paraId="17C9047F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Without my methotrexate, I would be very sick</w:t>
      </w:r>
    </w:p>
    <w:p w14:paraId="15BE2FD7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My health, at present, depends on my methotrexate</w:t>
      </w:r>
    </w:p>
    <w:p w14:paraId="3C3E0B52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My methotrexate protects me from becoming worse</w:t>
      </w:r>
    </w:p>
    <w:p w14:paraId="334515D1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My health in the future will depend on my methotrexate</w:t>
      </w:r>
    </w:p>
    <w:p w14:paraId="7C62C245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Do you have any unwanted side effects that you think are related to taking your methotrexate?</w:t>
      </w:r>
    </w:p>
    <w:p w14:paraId="73C3DEFA" w14:textId="77777777" w:rsidR="00B2596E" w:rsidRPr="007B6693" w:rsidRDefault="00B2596E" w:rsidP="00A63890">
      <w:pPr>
        <w:pStyle w:val="lowercaselettering"/>
        <w:numPr>
          <w:ilvl w:val="0"/>
          <w:numId w:val="15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Yes</w:t>
      </w:r>
    </w:p>
    <w:p w14:paraId="3C4E1E39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No</w:t>
      </w:r>
    </w:p>
    <w:p w14:paraId="1BEA3EDC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Which of the following have you experienced in relation to methotrexate? (Select all that apply)</w:t>
      </w:r>
    </w:p>
    <w:p w14:paraId="047A42B6" w14:textId="77777777" w:rsidR="00B2596E" w:rsidRPr="007B6693" w:rsidRDefault="00B2596E" w:rsidP="00A63890">
      <w:pPr>
        <w:pStyle w:val="lowercaselettering"/>
        <w:numPr>
          <w:ilvl w:val="0"/>
          <w:numId w:val="16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Hair thinning</w:t>
      </w:r>
    </w:p>
    <w:p w14:paraId="615DE9DA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Hair loss</w:t>
      </w:r>
    </w:p>
    <w:p w14:paraId="6AE130B3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Nausea</w:t>
      </w:r>
    </w:p>
    <w:p w14:paraId="5C16416E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Abdominal pain</w:t>
      </w:r>
    </w:p>
    <w:p w14:paraId="5CD90348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Loss of appetite</w:t>
      </w:r>
    </w:p>
    <w:p w14:paraId="0C5FD7B2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Diarrhea</w:t>
      </w:r>
    </w:p>
    <w:p w14:paraId="53E288C7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Fatigue/tiredness</w:t>
      </w:r>
    </w:p>
    <w:p w14:paraId="34A60E37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Brain fog</w:t>
      </w:r>
    </w:p>
    <w:p w14:paraId="617C183D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Flu-like feeling</w:t>
      </w:r>
    </w:p>
    <w:p w14:paraId="70BAC834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Mouth sores or ulcers</w:t>
      </w:r>
    </w:p>
    <w:p w14:paraId="489F703F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Difficulty sleeping</w:t>
      </w:r>
    </w:p>
    <w:p w14:paraId="27A1F662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None</w:t>
      </w:r>
    </w:p>
    <w:p w14:paraId="0B75CABF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Others</w:t>
      </w:r>
    </w:p>
    <w:p w14:paraId="40EFBD41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Do you commonly feel fatigue within a day of taking methotrexate compared with other times?</w:t>
      </w:r>
    </w:p>
    <w:p w14:paraId="483C4579" w14:textId="77777777" w:rsidR="00B2596E" w:rsidRPr="007B6693" w:rsidRDefault="00B2596E" w:rsidP="00A63890">
      <w:pPr>
        <w:pStyle w:val="lowercaselettering"/>
        <w:numPr>
          <w:ilvl w:val="0"/>
          <w:numId w:val="17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Yes</w:t>
      </w:r>
    </w:p>
    <w:p w14:paraId="4B420B26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No</w:t>
      </w:r>
    </w:p>
    <w:p w14:paraId="3FB282A0" w14:textId="77777777" w:rsidR="00B2596E" w:rsidRPr="003541C8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3541C8">
        <w:rPr>
          <w:rFonts w:cs="Arial"/>
        </w:rPr>
        <w:t>Do you commonly have gastrointestinal symptoms, like nausea or vomiting, within a day of taking methotrexate compared with other times?</w:t>
      </w:r>
    </w:p>
    <w:p w14:paraId="3E4A1B74" w14:textId="77777777" w:rsidR="00B2596E" w:rsidRPr="007B6693" w:rsidRDefault="00B2596E" w:rsidP="00A63890">
      <w:pPr>
        <w:pStyle w:val="lowercaselettering"/>
        <w:numPr>
          <w:ilvl w:val="0"/>
          <w:numId w:val="18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Yes</w:t>
      </w:r>
    </w:p>
    <w:p w14:paraId="3C0BF720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No</w:t>
      </w:r>
    </w:p>
    <w:p w14:paraId="32145321" w14:textId="77777777" w:rsidR="00B2596E" w:rsidRPr="007B6693" w:rsidRDefault="00B2596E" w:rsidP="00A63890">
      <w:pPr>
        <w:pStyle w:val="Numbered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Indicate your level of agreement with the following statement: “If my RA/PsA was well-controlled and my doctor said it was okay to stop taking methotrexate, I would stop taking it.”</w:t>
      </w:r>
    </w:p>
    <w:p w14:paraId="50C5DDEC" w14:textId="77777777" w:rsidR="00B2596E" w:rsidRPr="007B6693" w:rsidRDefault="00B2596E" w:rsidP="00A63890">
      <w:pPr>
        <w:pStyle w:val="lowercaselettering"/>
        <w:numPr>
          <w:ilvl w:val="0"/>
          <w:numId w:val="19"/>
        </w:numPr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Strongly agree</w:t>
      </w:r>
    </w:p>
    <w:p w14:paraId="51DF84C5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Agree</w:t>
      </w:r>
    </w:p>
    <w:p w14:paraId="06F551D6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Neither agree nor disagree</w:t>
      </w:r>
    </w:p>
    <w:p w14:paraId="0C51312C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Disagree</w:t>
      </w:r>
    </w:p>
    <w:p w14:paraId="21D821D4" w14:textId="77777777" w:rsidR="00B2596E" w:rsidRPr="007B6693" w:rsidRDefault="00B2596E" w:rsidP="00A63890">
      <w:pPr>
        <w:pStyle w:val="lowercaselettering"/>
        <w:spacing w:line="240" w:lineRule="auto"/>
        <w:contextualSpacing w:val="0"/>
        <w:rPr>
          <w:rFonts w:cs="Arial"/>
        </w:rPr>
      </w:pPr>
      <w:r w:rsidRPr="007B6693">
        <w:rPr>
          <w:rFonts w:cs="Arial"/>
        </w:rPr>
        <w:t>Strongly disagree</w:t>
      </w:r>
    </w:p>
    <w:p w14:paraId="7B96885F" w14:textId="77777777" w:rsidR="00B2596E" w:rsidRPr="007B6693" w:rsidRDefault="00B2596E" w:rsidP="00A63890">
      <w:pPr>
        <w:spacing w:line="240" w:lineRule="auto"/>
        <w:rPr>
          <w:rFonts w:cs="Arial"/>
          <w:b/>
        </w:rPr>
      </w:pPr>
      <w:r w:rsidRPr="007B6693">
        <w:rPr>
          <w:rFonts w:cs="Arial"/>
          <w:b/>
        </w:rPr>
        <w:br w:type="page"/>
      </w:r>
    </w:p>
    <w:p w14:paraId="58FA93DB" w14:textId="4DA898B6" w:rsidR="00B2596E" w:rsidRPr="00700013" w:rsidRDefault="00B2596E" w:rsidP="00B2596E">
      <w:pPr>
        <w:pStyle w:val="Heading2"/>
        <w:rPr>
          <w:rFonts w:cs="Arial"/>
          <w:b w:val="0"/>
          <w:bCs/>
          <w:color w:val="auto"/>
          <w:szCs w:val="22"/>
        </w:rPr>
      </w:pPr>
      <w:r w:rsidRPr="007B6693">
        <w:rPr>
          <w:rFonts w:cs="Arial"/>
          <w:color w:val="auto"/>
          <w:szCs w:val="22"/>
        </w:rPr>
        <w:t xml:space="preserve">Supplementary Table 1. </w:t>
      </w:r>
      <w:r w:rsidRPr="00700013">
        <w:rPr>
          <w:rFonts w:cs="Arial"/>
          <w:b w:val="0"/>
          <w:bCs/>
          <w:color w:val="auto"/>
          <w:szCs w:val="22"/>
        </w:rPr>
        <w:t xml:space="preserve">Phase 2 </w:t>
      </w:r>
      <w:r w:rsidR="00700013">
        <w:rPr>
          <w:rFonts w:cs="Arial"/>
          <w:b w:val="0"/>
          <w:bCs/>
          <w:color w:val="auto"/>
          <w:szCs w:val="22"/>
        </w:rPr>
        <w:t>a</w:t>
      </w:r>
      <w:r w:rsidRPr="00700013">
        <w:rPr>
          <w:rFonts w:cs="Arial"/>
          <w:b w:val="0"/>
          <w:bCs/>
          <w:color w:val="auto"/>
          <w:szCs w:val="22"/>
        </w:rPr>
        <w:t xml:space="preserve">ssessments: </w:t>
      </w:r>
      <w:r w:rsidR="00700013">
        <w:rPr>
          <w:rFonts w:cs="Arial"/>
          <w:b w:val="0"/>
          <w:bCs/>
          <w:color w:val="auto"/>
          <w:szCs w:val="22"/>
        </w:rPr>
        <w:t>e</w:t>
      </w:r>
      <w:r w:rsidRPr="00700013">
        <w:rPr>
          <w:rFonts w:cs="Arial"/>
          <w:b w:val="0"/>
          <w:bCs/>
          <w:color w:val="auto"/>
          <w:szCs w:val="22"/>
        </w:rPr>
        <w:t xml:space="preserve">lectronic </w:t>
      </w:r>
      <w:r w:rsidR="00700013">
        <w:rPr>
          <w:rFonts w:cs="Arial"/>
          <w:b w:val="0"/>
          <w:bCs/>
          <w:color w:val="auto"/>
          <w:szCs w:val="22"/>
        </w:rPr>
        <w:t>p</w:t>
      </w:r>
      <w:r w:rsidRPr="00700013">
        <w:rPr>
          <w:rFonts w:cs="Arial"/>
          <w:b w:val="0"/>
          <w:bCs/>
          <w:color w:val="auto"/>
          <w:szCs w:val="22"/>
        </w:rPr>
        <w:t>atient-</w:t>
      </w:r>
      <w:r w:rsidR="00700013">
        <w:rPr>
          <w:rFonts w:cs="Arial"/>
          <w:b w:val="0"/>
          <w:bCs/>
          <w:color w:val="auto"/>
          <w:szCs w:val="22"/>
        </w:rPr>
        <w:t>r</w:t>
      </w:r>
      <w:r w:rsidRPr="00700013">
        <w:rPr>
          <w:rFonts w:cs="Arial"/>
          <w:b w:val="0"/>
          <w:bCs/>
          <w:color w:val="auto"/>
          <w:szCs w:val="22"/>
        </w:rPr>
        <w:t xml:space="preserve">eported </w:t>
      </w:r>
      <w:r w:rsidR="00700013">
        <w:rPr>
          <w:rFonts w:cs="Arial"/>
          <w:b w:val="0"/>
          <w:bCs/>
          <w:color w:val="auto"/>
          <w:szCs w:val="22"/>
        </w:rPr>
        <w:t>o</w:t>
      </w:r>
      <w:r w:rsidRPr="00700013">
        <w:rPr>
          <w:rFonts w:cs="Arial"/>
          <w:b w:val="0"/>
          <w:bCs/>
          <w:color w:val="auto"/>
          <w:szCs w:val="22"/>
        </w:rPr>
        <w:t xml:space="preserve">utcome </w:t>
      </w:r>
      <w:r w:rsidR="00700013">
        <w:rPr>
          <w:rFonts w:cs="Arial"/>
          <w:b w:val="0"/>
          <w:bCs/>
          <w:color w:val="auto"/>
          <w:szCs w:val="22"/>
        </w:rPr>
        <w:t>m</w:t>
      </w:r>
      <w:r w:rsidRPr="00700013">
        <w:rPr>
          <w:rFonts w:cs="Arial"/>
          <w:b w:val="0"/>
          <w:bCs/>
          <w:color w:val="auto"/>
          <w:szCs w:val="22"/>
        </w:rPr>
        <w:t>easures</w:t>
      </w:r>
      <w:r w:rsidR="00DD3D92">
        <w:rPr>
          <w:rFonts w:cs="Arial"/>
          <w:b w:val="0"/>
          <w:bCs/>
          <w:color w:val="auto"/>
          <w:szCs w:val="22"/>
        </w:rPr>
        <w:t>.</w:t>
      </w:r>
      <w:r w:rsidRPr="00700013">
        <w:rPr>
          <w:rFonts w:cs="Arial"/>
          <w:b w:val="0"/>
          <w:bCs/>
          <w:color w:val="auto"/>
          <w:szCs w:val="22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7105"/>
      </w:tblGrid>
      <w:tr w:rsidR="00B2596E" w:rsidRPr="007B6693" w14:paraId="3110C156" w14:textId="77777777" w:rsidTr="00700013">
        <w:trPr>
          <w:trHeight w:val="70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14:paraId="20070F67" w14:textId="30DAD698" w:rsidR="00B2596E" w:rsidRPr="00DD3D92" w:rsidRDefault="00B2596E" w:rsidP="00700013">
            <w:pPr>
              <w:spacing w:line="240" w:lineRule="auto"/>
              <w:rPr>
                <w:rFonts w:cs="Arial"/>
                <w:bCs/>
              </w:rPr>
            </w:pPr>
            <w:r w:rsidRPr="00DD3D92">
              <w:rPr>
                <w:rFonts w:cs="Arial"/>
                <w:bCs/>
              </w:rPr>
              <w:t xml:space="preserve">Health </w:t>
            </w:r>
            <w:r w:rsidR="00700013" w:rsidRPr="00DD3D92">
              <w:rPr>
                <w:rFonts w:cs="Arial"/>
                <w:bCs/>
              </w:rPr>
              <w:t>d</w:t>
            </w:r>
            <w:r w:rsidRPr="00DD3D92">
              <w:rPr>
                <w:rFonts w:cs="Arial"/>
                <w:bCs/>
              </w:rPr>
              <w:t>omain</w:t>
            </w:r>
          </w:p>
        </w:tc>
        <w:tc>
          <w:tcPr>
            <w:tcW w:w="7105" w:type="dxa"/>
            <w:tcBorders>
              <w:top w:val="single" w:sz="4" w:space="0" w:color="auto"/>
              <w:bottom w:val="single" w:sz="4" w:space="0" w:color="auto"/>
            </w:tcBorders>
          </w:tcPr>
          <w:p w14:paraId="49E6A9E6" w14:textId="51FC6A91" w:rsidR="00B2596E" w:rsidRPr="00DD3D92" w:rsidRDefault="00B2596E" w:rsidP="00700013">
            <w:pPr>
              <w:spacing w:line="240" w:lineRule="auto"/>
              <w:rPr>
                <w:rFonts w:cs="Arial"/>
                <w:bCs/>
              </w:rPr>
            </w:pPr>
            <w:r w:rsidRPr="00DD3D92">
              <w:rPr>
                <w:rFonts w:cs="Arial"/>
                <w:bCs/>
              </w:rPr>
              <w:t xml:space="preserve">PRO </w:t>
            </w:r>
            <w:r w:rsidR="00700013" w:rsidRPr="00DD3D92">
              <w:rPr>
                <w:rFonts w:cs="Arial"/>
                <w:bCs/>
              </w:rPr>
              <w:t>i</w:t>
            </w:r>
            <w:r w:rsidRPr="00DD3D92">
              <w:rPr>
                <w:rFonts w:cs="Arial"/>
                <w:bCs/>
              </w:rPr>
              <w:t>nstrument</w:t>
            </w:r>
            <w:r w:rsidR="00700013" w:rsidRPr="00DD3D92">
              <w:rPr>
                <w:rFonts w:cs="Arial"/>
                <w:bCs/>
              </w:rPr>
              <w:t>*</w:t>
            </w:r>
          </w:p>
        </w:tc>
      </w:tr>
      <w:tr w:rsidR="00B2596E" w:rsidRPr="007B6693" w14:paraId="1D1C996E" w14:textId="77777777" w:rsidTr="0078552E">
        <w:tc>
          <w:tcPr>
            <w:tcW w:w="2245" w:type="dxa"/>
            <w:tcBorders>
              <w:top w:val="single" w:sz="4" w:space="0" w:color="auto"/>
            </w:tcBorders>
          </w:tcPr>
          <w:p w14:paraId="6AD5BF7B" w14:textId="77777777" w:rsidR="00B2596E" w:rsidRPr="007B6693" w:rsidRDefault="00B2596E" w:rsidP="00700013">
            <w:pPr>
              <w:spacing w:line="240" w:lineRule="auto"/>
              <w:rPr>
                <w:rFonts w:cs="Arial"/>
              </w:rPr>
            </w:pPr>
            <w:r w:rsidRPr="007B6693">
              <w:rPr>
                <w:rFonts w:cs="Arial"/>
              </w:rPr>
              <w:t>Physical health</w:t>
            </w:r>
          </w:p>
        </w:tc>
        <w:tc>
          <w:tcPr>
            <w:tcW w:w="7105" w:type="dxa"/>
            <w:tcBorders>
              <w:top w:val="single" w:sz="4" w:space="0" w:color="auto"/>
            </w:tcBorders>
          </w:tcPr>
          <w:p w14:paraId="251FB737" w14:textId="5B911EAE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Global Health Physical v2.1 (PROMIS) (2-item measure)</w:t>
            </w:r>
            <w:r w:rsidR="00700013">
              <w:rPr>
                <w:vertAlign w:val="superscript"/>
              </w:rPr>
              <w:t>†</w:t>
            </w:r>
          </w:p>
          <w:p w14:paraId="4CC47140" w14:textId="6952E987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PROMIS CAT Bank v1.0 – Sleep Disturbance</w:t>
            </w:r>
            <w:r w:rsidR="00700013">
              <w:rPr>
                <w:vertAlign w:val="superscript"/>
              </w:rPr>
              <w:t>†</w:t>
            </w:r>
          </w:p>
          <w:p w14:paraId="27398DE7" w14:textId="77777777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PROMIS – Fatigue (1-day recall period, fixed-item)</w:t>
            </w:r>
          </w:p>
          <w:p w14:paraId="66058EBD" w14:textId="77777777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PROMIS Gastrointestinal Nausea and Vomiting (custom instrument, adapted from the 4-item Short Form v1.0, and excluding question #4)</w:t>
            </w:r>
          </w:p>
          <w:p w14:paraId="7E41CEDC" w14:textId="77777777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PROMIS short form Bank v1.2 – Physical Function</w:t>
            </w:r>
          </w:p>
          <w:p w14:paraId="3DA9C4D5" w14:textId="77777777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PROMIS short form Bank v1.1 – Pain Interference</w:t>
            </w:r>
          </w:p>
          <w:p w14:paraId="34F10369" w14:textId="77777777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Pain Intensity – Numeric Rating Scale</w:t>
            </w:r>
          </w:p>
        </w:tc>
      </w:tr>
      <w:tr w:rsidR="00B2596E" w:rsidRPr="007B6693" w14:paraId="1EF9D398" w14:textId="77777777" w:rsidTr="0078552E">
        <w:tc>
          <w:tcPr>
            <w:tcW w:w="2245" w:type="dxa"/>
          </w:tcPr>
          <w:p w14:paraId="6D36D2F8" w14:textId="77777777" w:rsidR="00B2596E" w:rsidRPr="007B6693" w:rsidRDefault="00B2596E" w:rsidP="00700013">
            <w:pPr>
              <w:spacing w:line="240" w:lineRule="auto"/>
              <w:rPr>
                <w:rFonts w:cs="Arial"/>
              </w:rPr>
            </w:pPr>
            <w:r w:rsidRPr="007B6693">
              <w:rPr>
                <w:rFonts w:cs="Arial"/>
              </w:rPr>
              <w:t>Mental health</w:t>
            </w:r>
          </w:p>
        </w:tc>
        <w:tc>
          <w:tcPr>
            <w:tcW w:w="7105" w:type="dxa"/>
          </w:tcPr>
          <w:p w14:paraId="6B487545" w14:textId="2CD5C499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PROMIS CAT Bank v1.0 – Depression</w:t>
            </w:r>
            <w:r w:rsidR="00700013">
              <w:rPr>
                <w:vertAlign w:val="superscript"/>
              </w:rPr>
              <w:t>†</w:t>
            </w:r>
          </w:p>
          <w:p w14:paraId="55C7B799" w14:textId="77777777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PROMIS short form Bank v1.0 – Anxiety</w:t>
            </w:r>
          </w:p>
          <w:p w14:paraId="69DB5932" w14:textId="77777777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PROMIS short form Bank v1.0 – Applied Cognition Abilities (“brain fog”)</w:t>
            </w:r>
          </w:p>
        </w:tc>
      </w:tr>
      <w:tr w:rsidR="00B2596E" w:rsidRPr="007B6693" w14:paraId="468EBD0B" w14:textId="77777777" w:rsidTr="0078552E">
        <w:tc>
          <w:tcPr>
            <w:tcW w:w="2245" w:type="dxa"/>
          </w:tcPr>
          <w:p w14:paraId="71372E6E" w14:textId="77777777" w:rsidR="00B2596E" w:rsidRPr="007B6693" w:rsidRDefault="00B2596E" w:rsidP="00700013">
            <w:pPr>
              <w:spacing w:line="240" w:lineRule="auto"/>
              <w:rPr>
                <w:rFonts w:cs="Arial"/>
              </w:rPr>
            </w:pPr>
            <w:r w:rsidRPr="007B6693">
              <w:rPr>
                <w:rFonts w:cs="Arial"/>
              </w:rPr>
              <w:t>Social health</w:t>
            </w:r>
          </w:p>
        </w:tc>
        <w:tc>
          <w:tcPr>
            <w:tcW w:w="7105" w:type="dxa"/>
          </w:tcPr>
          <w:p w14:paraId="6CFD2559" w14:textId="77777777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PROMIS short form v2.0 – Ability to Participate in Social Roles &amp; Activities (8 items, with time referent of “today” in the question stem)</w:t>
            </w:r>
          </w:p>
        </w:tc>
      </w:tr>
      <w:tr w:rsidR="00B2596E" w:rsidRPr="007B6693" w14:paraId="1E299CD5" w14:textId="77777777" w:rsidTr="0078552E">
        <w:tc>
          <w:tcPr>
            <w:tcW w:w="2245" w:type="dxa"/>
            <w:tcBorders>
              <w:bottom w:val="single" w:sz="4" w:space="0" w:color="auto"/>
            </w:tcBorders>
          </w:tcPr>
          <w:p w14:paraId="6CF7369F" w14:textId="77777777" w:rsidR="00B2596E" w:rsidRPr="007B6693" w:rsidRDefault="00B2596E" w:rsidP="00700013">
            <w:pPr>
              <w:spacing w:line="240" w:lineRule="auto"/>
              <w:rPr>
                <w:rFonts w:cs="Arial"/>
              </w:rPr>
            </w:pPr>
            <w:r w:rsidRPr="007B6693">
              <w:rPr>
                <w:rFonts w:cs="Arial"/>
              </w:rPr>
              <w:t>Methotrexate tolerance and satisfaction</w:t>
            </w:r>
          </w:p>
        </w:tc>
        <w:tc>
          <w:tcPr>
            <w:tcW w:w="7105" w:type="dxa"/>
            <w:tcBorders>
              <w:bottom w:val="single" w:sz="4" w:space="0" w:color="auto"/>
            </w:tcBorders>
          </w:tcPr>
          <w:p w14:paraId="62F7539E" w14:textId="1FE3F248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Treatment Satisfaction Questionnaire for Medication (TSQM)</w:t>
            </w:r>
            <w:r w:rsidR="00700013">
              <w:rPr>
                <w:vertAlign w:val="superscript"/>
              </w:rPr>
              <w:t>†</w:t>
            </w:r>
          </w:p>
          <w:p w14:paraId="454FB6EE" w14:textId="77777777" w:rsidR="00B2596E" w:rsidRPr="007B6693" w:rsidRDefault="00B2596E" w:rsidP="00700013">
            <w:pPr>
              <w:pStyle w:val="Bullet1"/>
              <w:spacing w:line="240" w:lineRule="auto"/>
            </w:pPr>
            <w:r w:rsidRPr="007B6693">
              <w:t>Methotrexate Intolerance Severity Score (MISS) questionnaire</w:t>
            </w:r>
          </w:p>
        </w:tc>
      </w:tr>
    </w:tbl>
    <w:p w14:paraId="647DB04D" w14:textId="0C96C2F4" w:rsidR="00B2596E" w:rsidRPr="007B6693" w:rsidRDefault="00700013" w:rsidP="00700013">
      <w:pPr>
        <w:spacing w:line="276" w:lineRule="auto"/>
        <w:rPr>
          <w:rFonts w:cs="Arial"/>
        </w:rPr>
      </w:pPr>
      <w:r>
        <w:rPr>
          <w:rFonts w:cs="Arial"/>
        </w:rPr>
        <w:t>*</w:t>
      </w:r>
      <w:r w:rsidR="00B2596E" w:rsidRPr="00700013">
        <w:rPr>
          <w:rFonts w:cs="Arial"/>
        </w:rPr>
        <w:t>All</w:t>
      </w:r>
      <w:r w:rsidR="00B2596E" w:rsidRPr="007B6693">
        <w:rPr>
          <w:rFonts w:cs="Arial"/>
        </w:rPr>
        <w:t xml:space="preserve"> PROMIS short form stems “In the past 7 days…” were changed to “In the past 24 hours…” or “Since you woke up…”.</w:t>
      </w:r>
      <w:r>
        <w:rPr>
          <w:rFonts w:cs="Arial"/>
        </w:rPr>
        <w:t xml:space="preserve"> </w:t>
      </w:r>
      <w:r>
        <w:rPr>
          <w:rFonts w:cs="Arial"/>
          <w:vertAlign w:val="superscript"/>
        </w:rPr>
        <w:t>†</w:t>
      </w:r>
      <w:r w:rsidR="00B2596E" w:rsidRPr="007B6693">
        <w:rPr>
          <w:rFonts w:cs="Arial"/>
        </w:rPr>
        <w:t>Baseline only.</w:t>
      </w:r>
      <w:r>
        <w:rPr>
          <w:rFonts w:cs="Arial"/>
        </w:rPr>
        <w:t xml:space="preserve"> </w:t>
      </w:r>
      <w:r w:rsidR="00B2596E" w:rsidRPr="007B6693">
        <w:rPr>
          <w:rFonts w:cs="Arial"/>
        </w:rPr>
        <w:t>CAT</w:t>
      </w:r>
      <w:r>
        <w:rPr>
          <w:rFonts w:cs="Arial"/>
        </w:rPr>
        <w:t>:</w:t>
      </w:r>
      <w:r w:rsidR="00B2596E" w:rsidRPr="007B6693">
        <w:rPr>
          <w:rFonts w:cs="Arial"/>
        </w:rPr>
        <w:t xml:space="preserve"> computer-adaptive testing; PROMIS</w:t>
      </w:r>
      <w:r>
        <w:rPr>
          <w:rFonts w:cs="Arial"/>
        </w:rPr>
        <w:t>:</w:t>
      </w:r>
      <w:r w:rsidR="00B2596E" w:rsidRPr="007B6693">
        <w:rPr>
          <w:rFonts w:cs="Arial"/>
        </w:rPr>
        <w:t xml:space="preserve"> Patient Reported Outcomes Measurement Information System.</w:t>
      </w:r>
    </w:p>
    <w:p w14:paraId="44E160A0" w14:textId="77777777" w:rsidR="00B2596E" w:rsidRPr="007B6693" w:rsidRDefault="00B2596E" w:rsidP="00B2596E">
      <w:pPr>
        <w:spacing w:before="0" w:after="160"/>
        <w:rPr>
          <w:rFonts w:cs="Arial"/>
        </w:rPr>
      </w:pPr>
      <w:r w:rsidRPr="007B6693">
        <w:rPr>
          <w:rFonts w:cs="Arial"/>
        </w:rPr>
        <w:br w:type="page"/>
      </w:r>
    </w:p>
    <w:p w14:paraId="1544AE1F" w14:textId="3D9C4A64" w:rsidR="00B2596E" w:rsidRPr="00700013" w:rsidRDefault="00B2596E" w:rsidP="00B2596E">
      <w:pPr>
        <w:tabs>
          <w:tab w:val="left" w:pos="2244"/>
        </w:tabs>
        <w:rPr>
          <w:rFonts w:cs="Arial"/>
        </w:rPr>
      </w:pPr>
      <w:r w:rsidRPr="007B6693">
        <w:rPr>
          <w:rFonts w:cs="Arial"/>
          <w:b/>
          <w:bCs/>
        </w:rPr>
        <w:t>Supplementary Fig</w:t>
      </w:r>
      <w:r w:rsidR="001D107C">
        <w:rPr>
          <w:rFonts w:cs="Arial"/>
          <w:b/>
          <w:bCs/>
        </w:rPr>
        <w:t>ure</w:t>
      </w:r>
      <w:r w:rsidRPr="007B6693">
        <w:rPr>
          <w:rFonts w:cs="Arial"/>
          <w:b/>
          <w:bCs/>
        </w:rPr>
        <w:t xml:space="preserve"> 1. </w:t>
      </w:r>
      <w:r w:rsidRPr="00700013">
        <w:rPr>
          <w:rFonts w:cs="Arial"/>
        </w:rPr>
        <w:t xml:space="preserve">Participant </w:t>
      </w:r>
      <w:r w:rsidR="00700013">
        <w:rPr>
          <w:rFonts w:cs="Arial"/>
        </w:rPr>
        <w:t>w</w:t>
      </w:r>
      <w:r w:rsidRPr="00700013">
        <w:rPr>
          <w:rFonts w:cs="Arial"/>
        </w:rPr>
        <w:t xml:space="preserve">orkflow for </w:t>
      </w:r>
      <w:r w:rsidR="00700013">
        <w:rPr>
          <w:rFonts w:cs="Arial"/>
        </w:rPr>
        <w:t>s</w:t>
      </w:r>
      <w:r w:rsidRPr="00700013">
        <w:rPr>
          <w:rFonts w:cs="Arial"/>
        </w:rPr>
        <w:t xml:space="preserve">tudy in </w:t>
      </w:r>
      <w:r w:rsidR="00700013">
        <w:rPr>
          <w:rFonts w:cs="Arial"/>
        </w:rPr>
        <w:t xml:space="preserve">the </w:t>
      </w:r>
      <w:r w:rsidRPr="00700013">
        <w:rPr>
          <w:rFonts w:cs="Arial"/>
        </w:rPr>
        <w:t xml:space="preserve">ArthritisPower Registry </w:t>
      </w:r>
      <w:r w:rsidR="00700013">
        <w:rPr>
          <w:rFonts w:cs="Arial"/>
        </w:rPr>
        <w:t>m</w:t>
      </w:r>
      <w:r w:rsidRPr="00700013">
        <w:rPr>
          <w:rFonts w:cs="Arial"/>
        </w:rPr>
        <w:t xml:space="preserve">obile </w:t>
      </w:r>
      <w:r w:rsidR="00700013">
        <w:rPr>
          <w:rFonts w:cs="Arial"/>
        </w:rPr>
        <w:t>a</w:t>
      </w:r>
      <w:r w:rsidRPr="00700013">
        <w:rPr>
          <w:rFonts w:cs="Arial"/>
        </w:rPr>
        <w:t>pp</w:t>
      </w:r>
      <w:r w:rsidR="001D107C">
        <w:rPr>
          <w:rFonts w:cs="Arial"/>
        </w:rPr>
        <w:t xml:space="preserve">. </w:t>
      </w:r>
    </w:p>
    <w:p w14:paraId="06D8A67E" w14:textId="77777777" w:rsidR="00B2596E" w:rsidRPr="00A474C2" w:rsidRDefault="00B2596E" w:rsidP="00B2596E">
      <w:pPr>
        <w:pStyle w:val="Numbered"/>
        <w:numPr>
          <w:ilvl w:val="0"/>
          <w:numId w:val="0"/>
        </w:numPr>
        <w:ind w:left="360" w:hanging="360"/>
        <w:rPr>
          <w:rFonts w:cs="Arial"/>
        </w:rPr>
      </w:pPr>
      <w:r w:rsidRPr="00A474C2">
        <w:rPr>
          <w:rFonts w:cs="Arial"/>
          <w:noProof/>
          <w:lang w:val="en-IN" w:eastAsia="en-IN"/>
        </w:rPr>
        <w:drawing>
          <wp:inline distT="0" distB="0" distL="0" distR="0" wp14:anchorId="7BD991F8" wp14:editId="64C1BF51">
            <wp:extent cx="5943600" cy="4378325"/>
            <wp:effectExtent l="0" t="0" r="0" b="317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ppendix Figure_Workflow in App_GRAPHI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7F156" w14:textId="77777777" w:rsidR="00B2596E" w:rsidRPr="007B6693" w:rsidRDefault="00B2596E" w:rsidP="00B2596E">
      <w:pPr>
        <w:spacing w:before="0" w:after="160" w:line="259" w:lineRule="auto"/>
        <w:rPr>
          <w:rFonts w:cs="Arial"/>
          <w:b/>
        </w:rPr>
      </w:pPr>
      <w:r w:rsidRPr="007B6693">
        <w:rPr>
          <w:rFonts w:cs="Arial"/>
          <w:b/>
        </w:rPr>
        <w:br w:type="page"/>
      </w:r>
    </w:p>
    <w:p w14:paraId="6E7AB190" w14:textId="2FDEA3A3" w:rsidR="004A06D8" w:rsidRDefault="00B2596E" w:rsidP="00123289">
      <w:pPr>
        <w:spacing w:before="0" w:line="276" w:lineRule="auto"/>
        <w:rPr>
          <w:rFonts w:cs="Arial"/>
        </w:rPr>
      </w:pPr>
      <w:r w:rsidRPr="007B6693">
        <w:rPr>
          <w:rFonts w:cs="Arial"/>
          <w:b/>
        </w:rPr>
        <w:t>Supplementary Fig</w:t>
      </w:r>
      <w:r w:rsidR="001D107C">
        <w:rPr>
          <w:rFonts w:cs="Arial"/>
          <w:b/>
        </w:rPr>
        <w:t>ure</w:t>
      </w:r>
      <w:r w:rsidRPr="007B6693">
        <w:rPr>
          <w:rFonts w:cs="Arial"/>
          <w:b/>
        </w:rPr>
        <w:t xml:space="preserve"> 2.</w:t>
      </w:r>
      <w:r w:rsidRPr="007B6693">
        <w:rPr>
          <w:rFonts w:cs="Arial"/>
          <w:b/>
          <w:bCs/>
        </w:rPr>
        <w:t xml:space="preserve"> </w:t>
      </w:r>
      <w:r w:rsidRPr="00700013">
        <w:rPr>
          <w:rFonts w:cs="Arial"/>
        </w:rPr>
        <w:t xml:space="preserve">Distribution of </w:t>
      </w:r>
      <w:r w:rsidR="00700013">
        <w:rPr>
          <w:rFonts w:cs="Arial"/>
        </w:rPr>
        <w:t>c</w:t>
      </w:r>
      <w:r w:rsidRPr="00700013">
        <w:rPr>
          <w:rFonts w:cs="Arial"/>
        </w:rPr>
        <w:t xml:space="preserve">hange in PROMIS </w:t>
      </w:r>
      <w:r w:rsidR="004A06D8">
        <w:rPr>
          <w:rFonts w:cs="Arial"/>
        </w:rPr>
        <w:t>nausea</w:t>
      </w:r>
      <w:r w:rsidR="004A06D8" w:rsidRPr="00700013">
        <w:rPr>
          <w:rFonts w:cs="Arial"/>
        </w:rPr>
        <w:t xml:space="preserve"> </w:t>
      </w:r>
      <w:r w:rsidRPr="00700013">
        <w:rPr>
          <w:rFonts w:cs="Arial"/>
        </w:rPr>
        <w:t xml:space="preserve">(A) and </w:t>
      </w:r>
      <w:r w:rsidR="004A06D8">
        <w:rPr>
          <w:rFonts w:cs="Arial"/>
        </w:rPr>
        <w:t>fatigue</w:t>
      </w:r>
      <w:r w:rsidR="00DD6B26">
        <w:rPr>
          <w:rFonts w:cs="Arial"/>
        </w:rPr>
        <w:t xml:space="preserve"> </w:t>
      </w:r>
      <w:r w:rsidRPr="00700013">
        <w:rPr>
          <w:rFonts w:cs="Arial"/>
        </w:rPr>
        <w:t>(</w:t>
      </w:r>
      <w:r w:rsidR="004A06D8">
        <w:rPr>
          <w:rFonts w:cs="Arial"/>
        </w:rPr>
        <w:t>B</w:t>
      </w:r>
      <w:r w:rsidRPr="00700013">
        <w:rPr>
          <w:rFonts w:cs="Arial"/>
        </w:rPr>
        <w:t xml:space="preserve">) </w:t>
      </w:r>
      <w:r w:rsidR="00700013">
        <w:rPr>
          <w:rFonts w:cs="Arial"/>
        </w:rPr>
        <w:t>s</w:t>
      </w:r>
      <w:r w:rsidRPr="00700013">
        <w:rPr>
          <w:rFonts w:cs="Arial"/>
        </w:rPr>
        <w:t xml:space="preserve">core </w:t>
      </w:r>
      <w:r w:rsidR="00700013">
        <w:rPr>
          <w:rFonts w:cs="Arial"/>
        </w:rPr>
        <w:t>b</w:t>
      </w:r>
      <w:r w:rsidRPr="00700013">
        <w:rPr>
          <w:rFonts w:cs="Arial"/>
        </w:rPr>
        <w:t xml:space="preserve">etween </w:t>
      </w:r>
      <w:r w:rsidR="00700013">
        <w:rPr>
          <w:rFonts w:cs="Arial"/>
        </w:rPr>
        <w:t>r</w:t>
      </w:r>
      <w:r w:rsidRPr="00700013">
        <w:rPr>
          <w:rFonts w:cs="Arial"/>
        </w:rPr>
        <w:t xml:space="preserve">isk and </w:t>
      </w:r>
      <w:r w:rsidR="00700013">
        <w:rPr>
          <w:rFonts w:cs="Arial"/>
        </w:rPr>
        <w:t>c</w:t>
      </w:r>
      <w:r w:rsidRPr="00700013">
        <w:rPr>
          <w:rFonts w:cs="Arial"/>
        </w:rPr>
        <w:t xml:space="preserve">ontrol </w:t>
      </w:r>
      <w:r w:rsidR="00700013">
        <w:rPr>
          <w:rFonts w:cs="Arial"/>
        </w:rPr>
        <w:t>w</w:t>
      </w:r>
      <w:r w:rsidRPr="00700013">
        <w:rPr>
          <w:rFonts w:cs="Arial"/>
        </w:rPr>
        <w:t>indows (6</w:t>
      </w:r>
      <w:r w:rsidR="005C70DD">
        <w:rPr>
          <w:rFonts w:cs="Arial"/>
        </w:rPr>
        <w:t>‒</w:t>
      </w:r>
      <w:r w:rsidRPr="00700013">
        <w:rPr>
          <w:rFonts w:cs="Arial"/>
        </w:rPr>
        <w:t xml:space="preserve">36 </w:t>
      </w:r>
      <w:r w:rsidR="00700013">
        <w:rPr>
          <w:rFonts w:cs="Arial"/>
        </w:rPr>
        <w:t>h</w:t>
      </w:r>
      <w:r w:rsidRPr="00700013">
        <w:rPr>
          <w:rFonts w:cs="Arial"/>
        </w:rPr>
        <w:t>ours and 96</w:t>
      </w:r>
      <w:r w:rsidR="005C70DD">
        <w:rPr>
          <w:rFonts w:cs="Arial"/>
        </w:rPr>
        <w:t>‒</w:t>
      </w:r>
      <w:r w:rsidRPr="00700013">
        <w:rPr>
          <w:rFonts w:cs="Arial"/>
        </w:rPr>
        <w:t xml:space="preserve">144 </w:t>
      </w:r>
      <w:r w:rsidR="00700013">
        <w:rPr>
          <w:rFonts w:cs="Arial"/>
        </w:rPr>
        <w:t>h</w:t>
      </w:r>
      <w:r w:rsidRPr="00700013">
        <w:rPr>
          <w:rFonts w:cs="Arial"/>
        </w:rPr>
        <w:t xml:space="preserve">ours </w:t>
      </w:r>
      <w:r w:rsidR="00700013">
        <w:rPr>
          <w:rFonts w:cs="Arial"/>
        </w:rPr>
        <w:t>a</w:t>
      </w:r>
      <w:r w:rsidRPr="00700013">
        <w:rPr>
          <w:rFonts w:cs="Arial"/>
        </w:rPr>
        <w:t xml:space="preserve">fter </w:t>
      </w:r>
      <w:r w:rsidR="00700013">
        <w:rPr>
          <w:rFonts w:cs="Arial"/>
        </w:rPr>
        <w:t>w</w:t>
      </w:r>
      <w:r w:rsidRPr="00700013">
        <w:rPr>
          <w:rFonts w:cs="Arial"/>
        </w:rPr>
        <w:t xml:space="preserve">eekly MTX </w:t>
      </w:r>
      <w:r w:rsidR="00700013">
        <w:rPr>
          <w:rFonts w:cs="Arial"/>
        </w:rPr>
        <w:t>d</w:t>
      </w:r>
      <w:r w:rsidRPr="00700013">
        <w:rPr>
          <w:rFonts w:cs="Arial"/>
        </w:rPr>
        <w:t>osing)</w:t>
      </w:r>
      <w:r w:rsidR="004A06D8">
        <w:rPr>
          <w:rFonts w:cs="Arial"/>
        </w:rPr>
        <w:t xml:space="preserve"> in participants with baseline nausea (</w:t>
      </w:r>
      <w:r w:rsidR="003E4555" w:rsidRPr="001D107C">
        <w:rPr>
          <w:rFonts w:cs="Arial"/>
        </w:rPr>
        <w:t>N</w:t>
      </w:r>
      <w:r w:rsidR="003E4555">
        <w:rPr>
          <w:rFonts w:cs="Arial"/>
        </w:rPr>
        <w:t xml:space="preserve"> = 43 pairs) and </w:t>
      </w:r>
      <w:r w:rsidR="004A06D8">
        <w:rPr>
          <w:rFonts w:cs="Arial"/>
        </w:rPr>
        <w:t>baseline fatigue (</w:t>
      </w:r>
      <w:r w:rsidR="004A06D8" w:rsidRPr="001D107C">
        <w:rPr>
          <w:rFonts w:cs="Arial"/>
        </w:rPr>
        <w:t>N</w:t>
      </w:r>
      <w:r w:rsidR="004A06D8">
        <w:rPr>
          <w:rFonts w:cs="Arial"/>
        </w:rPr>
        <w:t xml:space="preserve"> = 62 pairs)</w:t>
      </w:r>
      <w:r w:rsidR="003E4555">
        <w:rPr>
          <w:rFonts w:cs="Arial"/>
        </w:rPr>
        <w:t>, respectively</w:t>
      </w:r>
    </w:p>
    <w:p w14:paraId="3AEE7AE8" w14:textId="7B971D5A" w:rsidR="004A06D8" w:rsidRDefault="003E4555" w:rsidP="00123289">
      <w:pPr>
        <w:spacing w:before="0" w:after="0" w:line="240" w:lineRule="auto"/>
        <w:rPr>
          <w:rFonts w:cs="Arial"/>
        </w:rPr>
      </w:pPr>
      <w:r w:rsidRPr="003E4555">
        <w:rPr>
          <w:rFonts w:cs="Arial"/>
          <w:b/>
          <w:bCs/>
        </w:rPr>
        <w:t>A</w:t>
      </w:r>
    </w:p>
    <w:p w14:paraId="624E0517" w14:textId="0FFD966A" w:rsidR="003E4555" w:rsidRDefault="003E4555" w:rsidP="00123289">
      <w:pPr>
        <w:spacing w:before="0" w:after="0" w:line="240" w:lineRule="auto"/>
        <w:rPr>
          <w:rFonts w:cs="Arial"/>
        </w:rPr>
      </w:pPr>
      <w:r w:rsidRPr="003E4555">
        <w:rPr>
          <w:rFonts w:cs="Arial"/>
          <w:noProof/>
          <w:lang w:val="en-IN" w:eastAsia="en-IN"/>
        </w:rPr>
        <w:drawing>
          <wp:inline distT="0" distB="0" distL="0" distR="0" wp14:anchorId="0E802A3E" wp14:editId="3E0794F2">
            <wp:extent cx="3952875" cy="2971800"/>
            <wp:effectExtent l="0" t="0" r="9525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41E830-7BA9-48D5-BBA9-7D25A957ED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41E830-7BA9-48D5-BBA9-7D25A957EDAB}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" t="54239" r="48964" b="2088"/>
                    <a:stretch/>
                  </pic:blipFill>
                  <pic:spPr bwMode="auto">
                    <a:xfrm>
                      <a:off x="0" y="0"/>
                      <a:ext cx="3952876" cy="297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F07E8" w14:textId="6F4DF2B7" w:rsidR="003E4555" w:rsidRDefault="003E4555" w:rsidP="00123289">
      <w:pPr>
        <w:spacing w:before="0" w:after="0" w:line="240" w:lineRule="auto"/>
        <w:rPr>
          <w:rFonts w:cs="Arial"/>
          <w:b/>
          <w:bCs/>
        </w:rPr>
      </w:pPr>
      <w:r w:rsidRPr="003E4555">
        <w:rPr>
          <w:rFonts w:cs="Arial"/>
          <w:b/>
          <w:bCs/>
        </w:rPr>
        <w:t>B</w:t>
      </w:r>
    </w:p>
    <w:p w14:paraId="130E94E6" w14:textId="30D389F1" w:rsidR="003E4555" w:rsidRPr="003E4555" w:rsidRDefault="003E4555" w:rsidP="00700013">
      <w:pPr>
        <w:spacing w:before="0" w:after="0" w:line="276" w:lineRule="auto"/>
        <w:rPr>
          <w:rFonts w:cs="Arial"/>
          <w:b/>
          <w:bCs/>
        </w:rPr>
      </w:pPr>
      <w:r w:rsidRPr="003E4555">
        <w:rPr>
          <w:rFonts w:cs="Arial"/>
          <w:b/>
          <w:bCs/>
          <w:noProof/>
          <w:lang w:val="en-IN" w:eastAsia="en-IN"/>
        </w:rPr>
        <w:drawing>
          <wp:inline distT="0" distB="0" distL="0" distR="0" wp14:anchorId="3E5FA90F" wp14:editId="44E3844B">
            <wp:extent cx="4019550" cy="304800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4D6840-4792-4887-BBEA-DE77EC4967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4D6840-4792-4887-BBEA-DE77EC496713}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" t="3216" r="50583" b="51723"/>
                    <a:stretch/>
                  </pic:blipFill>
                  <pic:spPr bwMode="auto">
                    <a:xfrm>
                      <a:off x="0" y="0"/>
                      <a:ext cx="4019551" cy="304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E8E97" w14:textId="798EF175" w:rsidR="00034B67" w:rsidRDefault="00034B67" w:rsidP="00123289">
      <w:pPr>
        <w:spacing w:line="240" w:lineRule="auto"/>
      </w:pPr>
    </w:p>
    <w:p w14:paraId="7BD1FE5D" w14:textId="42182AC0" w:rsidR="003D6951" w:rsidRDefault="003D6951" w:rsidP="00123289">
      <w:pPr>
        <w:spacing w:line="240" w:lineRule="auto"/>
      </w:pPr>
    </w:p>
    <w:p w14:paraId="342CD00F" w14:textId="36368DCA" w:rsidR="003D6951" w:rsidRDefault="003D6951" w:rsidP="00123289">
      <w:pPr>
        <w:spacing w:line="240" w:lineRule="auto"/>
      </w:pPr>
    </w:p>
    <w:p w14:paraId="65EA5D04" w14:textId="6AFF4C1A" w:rsidR="003D6951" w:rsidRDefault="003D6951" w:rsidP="00123289">
      <w:pPr>
        <w:spacing w:line="240" w:lineRule="auto"/>
      </w:pPr>
    </w:p>
    <w:p w14:paraId="5F175FA1" w14:textId="1EBC89C5" w:rsidR="003D6951" w:rsidRDefault="003D6951" w:rsidP="00123289">
      <w:pPr>
        <w:spacing w:line="240" w:lineRule="auto"/>
      </w:pPr>
    </w:p>
    <w:p w14:paraId="4C0C72FF" w14:textId="182150DD" w:rsidR="00700FF9" w:rsidRPr="00E15522" w:rsidRDefault="003D6951" w:rsidP="00F2598F">
      <w:pPr>
        <w:spacing w:line="240" w:lineRule="auto"/>
        <w:rPr>
          <w:rFonts w:cs="Arial"/>
        </w:rPr>
      </w:pPr>
      <w:r w:rsidRPr="003D6951">
        <w:rPr>
          <w:b/>
          <w:bCs/>
        </w:rPr>
        <w:t>Supplementary Figure 3.</w:t>
      </w:r>
      <w:r w:rsidR="00F2598F">
        <w:rPr>
          <w:b/>
          <w:bCs/>
        </w:rPr>
        <w:t xml:space="preserve"> </w:t>
      </w:r>
      <w:r w:rsidR="00700FF9" w:rsidRPr="00E15522">
        <w:rPr>
          <w:rFonts w:cs="Arial"/>
        </w:rPr>
        <w:t>Scatter plots representing the change in PROMIS fatigue and nausea scores from baseline in patients with and without fatigue (</w:t>
      </w:r>
      <w:r w:rsidR="00D7712A">
        <w:rPr>
          <w:rFonts w:cs="Arial"/>
        </w:rPr>
        <w:t>A</w:t>
      </w:r>
      <w:r w:rsidR="00700FF9" w:rsidRPr="00E15522">
        <w:rPr>
          <w:rFonts w:cs="Arial"/>
        </w:rPr>
        <w:t>) and nausea (</w:t>
      </w:r>
      <w:r w:rsidR="00D7712A">
        <w:rPr>
          <w:rFonts w:cs="Arial"/>
        </w:rPr>
        <w:t>B</w:t>
      </w:r>
      <w:r w:rsidR="00700FF9" w:rsidRPr="00E15522">
        <w:rPr>
          <w:rFonts w:cs="Arial"/>
        </w:rPr>
        <w:t>)</w:t>
      </w:r>
    </w:p>
    <w:p w14:paraId="14A47515" w14:textId="76979DB7" w:rsidR="00700FF9" w:rsidRPr="00F2598F" w:rsidRDefault="00F2598F" w:rsidP="00700FF9">
      <w:pPr>
        <w:spacing w:after="0"/>
        <w:rPr>
          <w:rFonts w:cs="Arial"/>
          <w:b/>
          <w:bCs/>
        </w:rPr>
      </w:pPr>
      <w:r w:rsidRPr="00F2598F">
        <w:rPr>
          <w:rFonts w:cs="Arial"/>
          <w:b/>
          <w:bCs/>
        </w:rPr>
        <w:t>A</w:t>
      </w:r>
    </w:p>
    <w:p w14:paraId="042C754F" w14:textId="77777777" w:rsidR="00700FF9" w:rsidRDefault="00700FF9" w:rsidP="00700FF9">
      <w:pPr>
        <w:spacing w:after="0"/>
        <w:rPr>
          <w:rFonts w:cs="Arial"/>
          <w:color w:val="4472C4" w:themeColor="accent1"/>
          <w:highlight w:val="yellow"/>
        </w:rPr>
      </w:pPr>
      <w:r>
        <w:rPr>
          <w:noProof/>
          <w:lang w:val="en-IN" w:eastAsia="en-IN"/>
        </w:rPr>
        <w:drawing>
          <wp:inline distT="0" distB="0" distL="0" distR="0" wp14:anchorId="46E6CFBB" wp14:editId="70DA8799">
            <wp:extent cx="4702493" cy="3134995"/>
            <wp:effectExtent l="0" t="0" r="3175" b="8255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220" cy="313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D0089" w14:textId="26CED7F6" w:rsidR="00700FF9" w:rsidRPr="00700FF9" w:rsidRDefault="00D7712A" w:rsidP="00700FF9">
      <w:pPr>
        <w:spacing w:after="0"/>
        <w:rPr>
          <w:rFonts w:cs="Arial"/>
        </w:rPr>
      </w:pPr>
      <w:r w:rsidRPr="00F2598F">
        <w:rPr>
          <w:rFonts w:cs="Arial"/>
          <w:b/>
          <w:bCs/>
        </w:rPr>
        <w:t>B</w:t>
      </w:r>
    </w:p>
    <w:p w14:paraId="2D7E6582" w14:textId="78DA205F" w:rsidR="003D6951" w:rsidRDefault="00700FF9" w:rsidP="00700FF9">
      <w:r>
        <w:rPr>
          <w:b/>
          <w:noProof/>
          <w:lang w:val="en-IN" w:eastAsia="en-IN"/>
        </w:rPr>
        <w:drawing>
          <wp:inline distT="0" distB="0" distL="0" distR="0" wp14:anchorId="0EF4F2EA" wp14:editId="132D1DC7">
            <wp:extent cx="4518413" cy="3012423"/>
            <wp:effectExtent l="0" t="0" r="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302" cy="302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6951" w:rsidSect="00836B6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D086C" w14:textId="77777777" w:rsidR="00D0031A" w:rsidRDefault="00D0031A">
      <w:pPr>
        <w:spacing w:before="0" w:after="0" w:line="240" w:lineRule="auto"/>
      </w:pPr>
      <w:r>
        <w:separator/>
      </w:r>
    </w:p>
  </w:endnote>
  <w:endnote w:type="continuationSeparator" w:id="0">
    <w:p w14:paraId="56B7A578" w14:textId="77777777" w:rsidR="00D0031A" w:rsidRDefault="00D003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370732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BAAA11" w14:textId="73D693F7" w:rsidR="00BC3BDD" w:rsidRPr="00BC3BDD" w:rsidRDefault="00BC3BDD" w:rsidP="00BC3BDD">
        <w:pPr>
          <w:pStyle w:val="Footer"/>
          <w:jc w:val="right"/>
          <w:rPr>
            <w:sz w:val="20"/>
            <w:szCs w:val="20"/>
          </w:rPr>
        </w:pPr>
        <w:r w:rsidRPr="00BC3BDD">
          <w:rPr>
            <w:sz w:val="20"/>
            <w:szCs w:val="20"/>
          </w:rPr>
          <w:fldChar w:fldCharType="begin"/>
        </w:r>
        <w:r w:rsidRPr="00BC3BDD">
          <w:rPr>
            <w:sz w:val="20"/>
            <w:szCs w:val="20"/>
          </w:rPr>
          <w:instrText xml:space="preserve"> PAGE   \* MERGEFORMAT </w:instrText>
        </w:r>
        <w:r w:rsidRPr="00BC3BDD">
          <w:rPr>
            <w:sz w:val="20"/>
            <w:szCs w:val="20"/>
          </w:rPr>
          <w:fldChar w:fldCharType="separate"/>
        </w:r>
        <w:r w:rsidRPr="00BC3BDD">
          <w:rPr>
            <w:noProof/>
            <w:sz w:val="20"/>
            <w:szCs w:val="20"/>
          </w:rPr>
          <w:t>2</w:t>
        </w:r>
        <w:r w:rsidRPr="00BC3BDD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1BE8B" w14:textId="77777777" w:rsidR="00D0031A" w:rsidRDefault="00D0031A">
      <w:pPr>
        <w:spacing w:before="0" w:after="0" w:line="240" w:lineRule="auto"/>
      </w:pPr>
      <w:r>
        <w:separator/>
      </w:r>
    </w:p>
  </w:footnote>
  <w:footnote w:type="continuationSeparator" w:id="0">
    <w:p w14:paraId="53D05D7F" w14:textId="77777777" w:rsidR="00D0031A" w:rsidRDefault="00D0031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F74E6"/>
    <w:multiLevelType w:val="hybridMultilevel"/>
    <w:tmpl w:val="F3720346"/>
    <w:lvl w:ilvl="0" w:tplc="E766C42A">
      <w:start w:val="1"/>
      <w:numFmt w:val="decimal"/>
      <w:pStyle w:val="Numbere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1A74"/>
    <w:multiLevelType w:val="hybridMultilevel"/>
    <w:tmpl w:val="688EA960"/>
    <w:lvl w:ilvl="0" w:tplc="37263952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27EA1"/>
    <w:multiLevelType w:val="hybridMultilevel"/>
    <w:tmpl w:val="956A6D72"/>
    <w:lvl w:ilvl="0" w:tplc="15025FC6">
      <w:start w:val="1"/>
      <w:numFmt w:val="lowerLetter"/>
      <w:pStyle w:val="lowercaselettering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29D"/>
    <w:rsid w:val="000031DE"/>
    <w:rsid w:val="00034B67"/>
    <w:rsid w:val="00035E4D"/>
    <w:rsid w:val="000B6E91"/>
    <w:rsid w:val="00122C21"/>
    <w:rsid w:val="00123289"/>
    <w:rsid w:val="001760F9"/>
    <w:rsid w:val="001D107C"/>
    <w:rsid w:val="00233787"/>
    <w:rsid w:val="00291EA2"/>
    <w:rsid w:val="002D2DBB"/>
    <w:rsid w:val="00344048"/>
    <w:rsid w:val="003541C8"/>
    <w:rsid w:val="0037606E"/>
    <w:rsid w:val="003C7D3E"/>
    <w:rsid w:val="003D6951"/>
    <w:rsid w:val="003E29F3"/>
    <w:rsid w:val="003E4555"/>
    <w:rsid w:val="004847E4"/>
    <w:rsid w:val="004A06D8"/>
    <w:rsid w:val="004E3EF2"/>
    <w:rsid w:val="004E7BA4"/>
    <w:rsid w:val="0050129D"/>
    <w:rsid w:val="00592AFC"/>
    <w:rsid w:val="005C70DD"/>
    <w:rsid w:val="005F4066"/>
    <w:rsid w:val="0066742D"/>
    <w:rsid w:val="006919AC"/>
    <w:rsid w:val="006937CB"/>
    <w:rsid w:val="006B05FC"/>
    <w:rsid w:val="006C655E"/>
    <w:rsid w:val="00700013"/>
    <w:rsid w:val="00700FF9"/>
    <w:rsid w:val="00701F21"/>
    <w:rsid w:val="007A3AA6"/>
    <w:rsid w:val="007B0C5E"/>
    <w:rsid w:val="00836B6F"/>
    <w:rsid w:val="008C0BF6"/>
    <w:rsid w:val="008E222A"/>
    <w:rsid w:val="008E64E5"/>
    <w:rsid w:val="00912FF8"/>
    <w:rsid w:val="00953B25"/>
    <w:rsid w:val="009D60A4"/>
    <w:rsid w:val="00A34A6F"/>
    <w:rsid w:val="00A63890"/>
    <w:rsid w:val="00A93656"/>
    <w:rsid w:val="00B20020"/>
    <w:rsid w:val="00B2596E"/>
    <w:rsid w:val="00B324DD"/>
    <w:rsid w:val="00B54FCE"/>
    <w:rsid w:val="00BA6582"/>
    <w:rsid w:val="00BC3BDD"/>
    <w:rsid w:val="00C926D2"/>
    <w:rsid w:val="00CE7086"/>
    <w:rsid w:val="00CF2690"/>
    <w:rsid w:val="00D0031A"/>
    <w:rsid w:val="00D76754"/>
    <w:rsid w:val="00D7712A"/>
    <w:rsid w:val="00DB1EF6"/>
    <w:rsid w:val="00DD3D92"/>
    <w:rsid w:val="00DD6B26"/>
    <w:rsid w:val="00E9759C"/>
    <w:rsid w:val="00EE344A"/>
    <w:rsid w:val="00F2598F"/>
    <w:rsid w:val="00F26278"/>
    <w:rsid w:val="00F5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3176"/>
  <w15:chartTrackingRefBased/>
  <w15:docId w15:val="{81A1EB99-451A-4BA8-BFD1-D1DA2BE9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96E"/>
    <w:pPr>
      <w:spacing w:before="120" w:after="120" w:line="480" w:lineRule="auto"/>
    </w:pPr>
    <w:rPr>
      <w:rFonts w:ascii="Arial" w:eastAsiaTheme="minorEastAsia" w:hAnsi="Arial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96E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596E"/>
    <w:rPr>
      <w:rFonts w:ascii="Arial" w:eastAsiaTheme="majorEastAsia" w:hAnsi="Arial" w:cstheme="majorBidi"/>
      <w:b/>
      <w:color w:val="000000" w:themeColor="text1"/>
      <w:szCs w:val="2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25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96E"/>
    <w:rPr>
      <w:rFonts w:ascii="Arial" w:eastAsiaTheme="minorEastAsia" w:hAnsi="Arial"/>
      <w:lang w:eastAsia="ja-JP"/>
    </w:rPr>
  </w:style>
  <w:style w:type="paragraph" w:customStyle="1" w:styleId="Bullet1">
    <w:name w:val="Bullet 1"/>
    <w:basedOn w:val="ListParagraph"/>
    <w:link w:val="Bullet1Char"/>
    <w:qFormat/>
    <w:rsid w:val="00B2596E"/>
    <w:pPr>
      <w:numPr>
        <w:numId w:val="1"/>
      </w:numPr>
      <w:ind w:left="360"/>
    </w:pPr>
    <w:rPr>
      <w:rFonts w:cs="Arial"/>
    </w:rPr>
  </w:style>
  <w:style w:type="character" w:customStyle="1" w:styleId="Bullet1Char">
    <w:name w:val="Bullet 1 Char"/>
    <w:basedOn w:val="DefaultParagraphFont"/>
    <w:link w:val="Bullet1"/>
    <w:rsid w:val="00B2596E"/>
    <w:rPr>
      <w:rFonts w:ascii="Arial" w:eastAsiaTheme="minorEastAsia" w:hAnsi="Arial" w:cs="Arial"/>
      <w:lang w:eastAsia="ja-JP"/>
    </w:rPr>
  </w:style>
  <w:style w:type="paragraph" w:customStyle="1" w:styleId="Numbered">
    <w:name w:val="Numbered"/>
    <w:basedOn w:val="ListParagraph"/>
    <w:link w:val="NumberedChar"/>
    <w:qFormat/>
    <w:rsid w:val="00B2596E"/>
    <w:pPr>
      <w:numPr>
        <w:numId w:val="2"/>
      </w:numPr>
      <w:ind w:left="360"/>
    </w:pPr>
  </w:style>
  <w:style w:type="paragraph" w:customStyle="1" w:styleId="lowercaselettering">
    <w:name w:val="lowercase lettering"/>
    <w:basedOn w:val="ListParagraph"/>
    <w:link w:val="lowercaseletteringChar"/>
    <w:qFormat/>
    <w:rsid w:val="00B2596E"/>
    <w:pPr>
      <w:numPr>
        <w:numId w:val="3"/>
      </w:numPr>
    </w:pPr>
  </w:style>
  <w:style w:type="character" w:customStyle="1" w:styleId="NumberedChar">
    <w:name w:val="Numbered Char"/>
    <w:basedOn w:val="DefaultParagraphFont"/>
    <w:link w:val="Numbered"/>
    <w:rsid w:val="00B2596E"/>
    <w:rPr>
      <w:rFonts w:ascii="Arial" w:eastAsiaTheme="minorEastAsia" w:hAnsi="Arial"/>
      <w:lang w:eastAsia="ja-JP"/>
    </w:rPr>
  </w:style>
  <w:style w:type="character" w:customStyle="1" w:styleId="lowercaseletteringChar">
    <w:name w:val="lowercase lettering Char"/>
    <w:basedOn w:val="DefaultParagraphFont"/>
    <w:link w:val="lowercaselettering"/>
    <w:rsid w:val="00B2596E"/>
    <w:rPr>
      <w:rFonts w:ascii="Arial" w:eastAsiaTheme="minorEastAsia" w:hAnsi="Arial"/>
      <w:lang w:eastAsia="ja-JP"/>
    </w:rPr>
  </w:style>
  <w:style w:type="table" w:styleId="TableGrid">
    <w:name w:val="Table Grid"/>
    <w:basedOn w:val="TableNormal"/>
    <w:uiPriority w:val="39"/>
    <w:rsid w:val="00B2596E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59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93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37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37CB"/>
    <w:rPr>
      <w:rFonts w:ascii="Arial" w:eastAsiaTheme="minorEastAsia" w:hAnsi="Arial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7CB"/>
    <w:rPr>
      <w:rFonts w:ascii="Arial" w:eastAsiaTheme="minorEastAsia" w:hAnsi="Arial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7C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7CB"/>
    <w:rPr>
      <w:rFonts w:ascii="Segoe UI" w:eastAsiaTheme="minorEastAsia" w:hAnsi="Segoe UI" w:cs="Segoe UI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C3BD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BDD"/>
    <w:rPr>
      <w:rFonts w:ascii="Arial" w:eastAsiaTheme="minorEastAsia" w:hAnsi="Aria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1144</Words>
  <Characters>6522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Phase 1 Survey Questions</vt:lpstr>
      <vt:lpstr>    Supplementary Table 1. Phase 2 assessments: electronic patient-reported outcome </vt:lpstr>
    </vt:vector>
  </TitlesOfParts>
  <Company/>
  <LinksUpToDate>false</LinksUpToDate>
  <CharactersWithSpaces>7651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Lakshmi Narendra</dc:creator>
  <cp:keywords/>
  <dc:description/>
  <cp:lastModifiedBy>Sheela Devi R.</cp:lastModifiedBy>
  <cp:revision>14</cp:revision>
  <dcterms:created xsi:type="dcterms:W3CDTF">2021-04-16T20:44:00Z</dcterms:created>
  <dcterms:modified xsi:type="dcterms:W3CDTF">2021-11-06T06:43:00Z</dcterms:modified>
</cp:coreProperties>
</file>