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D1ABF" w14:textId="77777777" w:rsidR="00330A86" w:rsidRPr="00330A86" w:rsidRDefault="00330A86" w:rsidP="00330A86">
      <w:pPr>
        <w:keepNext/>
        <w:spacing w:before="120" w:after="120" w:line="480" w:lineRule="auto"/>
        <w:outlineLvl w:val="0"/>
        <w:rPr>
          <w:rFonts w:ascii="Arial" w:eastAsia="Times New Roman" w:hAnsi="Arial" w:cs="Times New Roman"/>
          <w:b/>
          <w:kern w:val="0"/>
          <w:sz w:val="28"/>
          <w:lang w:val="en-US"/>
          <w14:ligatures w14:val="none"/>
        </w:rPr>
      </w:pPr>
      <w:r w:rsidRPr="00330A86">
        <w:rPr>
          <w:rFonts w:ascii="Arial" w:eastAsia="Times New Roman" w:hAnsi="Arial" w:cs="Times New Roman"/>
          <w:b/>
          <w:kern w:val="0"/>
          <w:sz w:val="28"/>
          <w:lang w:val="en-US"/>
          <w14:ligatures w14:val="none"/>
        </w:rPr>
        <w:t>Supplementary Information</w:t>
      </w:r>
    </w:p>
    <w:p w14:paraId="0D77FA84" w14:textId="1888BD16" w:rsidR="00330A86" w:rsidRPr="00330A86" w:rsidRDefault="00330A86" w:rsidP="00330A86">
      <w:pPr>
        <w:spacing w:before="120" w:after="120" w:line="480" w:lineRule="auto"/>
        <w:outlineLvl w:val="0"/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</w:pPr>
      <w:r w:rsidRPr="00330A86"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  <w:t>US Clinical Practice Experience with Eculizumab in Myasthenia Gravis: Acute Clinical Events and Healthcare Resource Utilization</w:t>
      </w:r>
    </w:p>
    <w:p w14:paraId="4ED2475C" w14:textId="77777777" w:rsidR="00330A86" w:rsidRPr="00330A86" w:rsidRDefault="00330A86" w:rsidP="00330A86">
      <w:pPr>
        <w:spacing w:before="120" w:after="120" w:line="480" w:lineRule="auto"/>
        <w:outlineLvl w:val="0"/>
        <w:rPr>
          <w:rFonts w:ascii="Arial" w:eastAsia="Times New Roman" w:hAnsi="Arial" w:cs="Times New Roman"/>
          <w:b/>
          <w:i/>
          <w:iCs/>
          <w:kern w:val="0"/>
          <w:sz w:val="24"/>
          <w:szCs w:val="24"/>
          <w:lang w:val="en-US"/>
          <w14:ligatures w14:val="none"/>
        </w:rPr>
      </w:pPr>
      <w:r w:rsidRPr="00330A86">
        <w:rPr>
          <w:rFonts w:ascii="Arial" w:eastAsia="Times New Roman" w:hAnsi="Arial" w:cs="Times New Roman"/>
          <w:b/>
          <w:i/>
          <w:iCs/>
          <w:kern w:val="0"/>
          <w:sz w:val="24"/>
          <w:szCs w:val="24"/>
          <w:lang w:val="en-US"/>
          <w14:ligatures w14:val="none"/>
        </w:rPr>
        <w:t>Drugs – Real World Outcomes</w:t>
      </w:r>
    </w:p>
    <w:p w14:paraId="7408711B" w14:textId="77777777" w:rsidR="00330A86" w:rsidRPr="00330A86" w:rsidRDefault="00330A86" w:rsidP="00330A86">
      <w:pPr>
        <w:spacing w:before="120" w:after="120" w:line="480" w:lineRule="auto"/>
        <w:rPr>
          <w:rFonts w:ascii="Arial" w:eastAsia="Times New Roman" w:hAnsi="Arial" w:cs="Times New Roman"/>
          <w:i/>
          <w:kern w:val="0"/>
          <w:sz w:val="24"/>
          <w:szCs w:val="24"/>
          <w:lang w:val="en-US"/>
          <w14:ligatures w14:val="none"/>
        </w:rPr>
      </w:pPr>
      <w:r w:rsidRPr="00330A86">
        <w:rPr>
          <w:rFonts w:ascii="Arial" w:eastAsia="Times New Roman" w:hAnsi="Arial" w:cs="Times New Roman"/>
          <w:kern w:val="0"/>
          <w:sz w:val="24"/>
          <w:szCs w:val="24"/>
          <w:lang w:val="en-US"/>
          <w14:ligatures w14:val="none"/>
        </w:rPr>
        <w:t>Richard J. Nowak; Ali A. Habib; Andrew J. Klink; Srikanth Muppidi; Anju Parthan; S. Chloe Sader; Alexandrina Balanean; Ajeet Gajra; James F. Howard Jr; and the ELEVATE Study Group</w:t>
      </w:r>
    </w:p>
    <w:p w14:paraId="02E80D1A" w14:textId="77777777" w:rsidR="00330A86" w:rsidRPr="00330A86" w:rsidRDefault="00330A86" w:rsidP="00330A86">
      <w:pPr>
        <w:spacing w:before="240" w:after="120" w:line="480" w:lineRule="auto"/>
        <w:rPr>
          <w:rFonts w:ascii="Arial" w:eastAsia="Times New Roman" w:hAnsi="Arial" w:cs="Times New Roman"/>
          <w:kern w:val="0"/>
          <w:szCs w:val="20"/>
          <w:lang w:val="en-US"/>
          <w14:ligatures w14:val="none"/>
        </w:rPr>
      </w:pPr>
      <w:r w:rsidRPr="00330A86">
        <w:rPr>
          <w:rFonts w:ascii="Arial" w:eastAsia="Times New Roman" w:hAnsi="Arial" w:cs="Times New Roman"/>
          <w:kern w:val="0"/>
          <w:szCs w:val="20"/>
          <w:lang w:val="en-US"/>
          <w14:ligatures w14:val="none"/>
        </w:rPr>
        <w:t xml:space="preserve">Correspondence: </w:t>
      </w:r>
      <w:r w:rsidRPr="00330A86">
        <w:rPr>
          <w:rFonts w:ascii="Arial" w:eastAsia="Times New Roman" w:hAnsi="Arial" w:cs="Times New Roman"/>
          <w:kern w:val="0"/>
          <w:szCs w:val="20"/>
          <w:lang w:val="en-US"/>
          <w14:ligatures w14:val="none"/>
        </w:rPr>
        <w:br/>
        <w:t xml:space="preserve">Dr. J.F. Howard Jr, Department of Neurology, The University of North Carolina, Chapel Hill, NC, USA. Email: </w:t>
      </w:r>
      <w:hyperlink r:id="rId7" w:history="1">
        <w:r w:rsidRPr="00330A86">
          <w:rPr>
            <w:rFonts w:ascii="Arial" w:eastAsia="Times New Roman" w:hAnsi="Arial" w:cs="Times New Roman"/>
            <w:color w:val="0000FF"/>
            <w:kern w:val="0"/>
            <w:szCs w:val="20"/>
            <w:u w:val="single"/>
            <w:lang w:val="en-US"/>
            <w14:ligatures w14:val="none"/>
          </w:rPr>
          <w:t>howardj@neurology.unc.edu</w:t>
        </w:r>
      </w:hyperlink>
    </w:p>
    <w:p w14:paraId="1B4B4E54" w14:textId="77777777" w:rsidR="00330A86" w:rsidRPr="00330A86" w:rsidRDefault="00330A86" w:rsidP="00330A86">
      <w:pPr>
        <w:spacing w:after="0" w:line="240" w:lineRule="auto"/>
        <w:rPr>
          <w:rFonts w:ascii="Arial" w:eastAsia="Times New Roman" w:hAnsi="Arial" w:cs="Times New Roman"/>
          <w:kern w:val="0"/>
          <w:szCs w:val="20"/>
          <w:lang w:val="en-US"/>
          <w14:ligatures w14:val="none"/>
        </w:rPr>
      </w:pPr>
      <w:r w:rsidRPr="00330A86">
        <w:rPr>
          <w:rFonts w:ascii="Arial" w:eastAsia="Times New Roman" w:hAnsi="Arial" w:cs="Times New Roman"/>
          <w:kern w:val="0"/>
          <w:szCs w:val="20"/>
          <w:lang w:val="en-US"/>
          <w14:ligatures w14:val="none"/>
        </w:rPr>
        <w:br w:type="page"/>
      </w:r>
    </w:p>
    <w:p w14:paraId="3308A29E" w14:textId="77777777" w:rsidR="00330A86" w:rsidRPr="00330A86" w:rsidRDefault="00330A86" w:rsidP="00330A86">
      <w:pPr>
        <w:spacing w:before="240" w:after="120" w:line="480" w:lineRule="auto"/>
        <w:rPr>
          <w:rFonts w:ascii="Arial" w:eastAsia="Times New Roman" w:hAnsi="Arial" w:cs="Arial"/>
          <w:kern w:val="24"/>
          <w:lang w:val="en-US" w:eastAsia="en-GB"/>
          <w14:ligatures w14:val="none"/>
        </w:rPr>
      </w:pPr>
      <w:r w:rsidRPr="00330A86">
        <w:rPr>
          <w:rFonts w:ascii="Arial" w:eastAsia="Times New Roman" w:hAnsi="Arial" w:cs="Times New Roman"/>
          <w:b/>
          <w:bCs/>
          <w:kern w:val="0"/>
          <w:szCs w:val="20"/>
          <w:lang w:val="en-US"/>
          <w14:ligatures w14:val="none"/>
        </w:rPr>
        <w:lastRenderedPageBreak/>
        <w:t>Table S1</w:t>
      </w:r>
      <w:r w:rsidRPr="00330A86">
        <w:rPr>
          <w:rFonts w:ascii="Arial" w:eastAsia="Times New Roman" w:hAnsi="Arial" w:cs="Times New Roman"/>
          <w:b/>
          <w:bCs/>
          <w:kern w:val="0"/>
          <w:szCs w:val="20"/>
          <w:lang w:val="en-US"/>
          <w14:ligatures w14:val="none"/>
        </w:rPr>
        <w:tab/>
      </w:r>
      <w:r w:rsidRPr="00330A86">
        <w:rPr>
          <w:rFonts w:ascii="Arial" w:eastAsia="Times New Roman" w:hAnsi="Arial" w:cs="Times New Roman"/>
          <w:kern w:val="0"/>
          <w:lang w:val="en-US"/>
          <w14:ligatures w14:val="none"/>
        </w:rPr>
        <w:t xml:space="preserve">Reasons for eculizumab discontinuation </w:t>
      </w:r>
      <w:r w:rsidRPr="00330A86">
        <w:rPr>
          <w:rFonts w:ascii="Arial" w:eastAsia="Times New Roman" w:hAnsi="Arial" w:cs="Arial"/>
          <w:kern w:val="24"/>
          <w:lang w:val="en-US" w:eastAsia="en-GB"/>
          <w14:ligatures w14:val="none"/>
        </w:rPr>
        <w:t>(</w:t>
      </w:r>
      <w:r w:rsidRPr="00330A86">
        <w:rPr>
          <w:rFonts w:ascii="Arial" w:eastAsia="Times New Roman" w:hAnsi="Arial" w:cs="Arial"/>
          <w:i/>
          <w:iCs/>
          <w:kern w:val="24"/>
          <w:lang w:val="en-US" w:eastAsia="en-GB"/>
          <w14:ligatures w14:val="none"/>
        </w:rPr>
        <w:t>n</w:t>
      </w:r>
      <w:r w:rsidRPr="00330A86">
        <w:rPr>
          <w:rFonts w:ascii="Arial" w:eastAsia="Times New Roman" w:hAnsi="Arial" w:cs="Arial"/>
          <w:kern w:val="24"/>
          <w:lang w:val="en-US" w:eastAsia="en-GB"/>
          <w14:ligatures w14:val="none"/>
        </w:rPr>
        <w:t xml:space="preserve"> = 16)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126"/>
      </w:tblGrid>
      <w:tr w:rsidR="00330A86" w:rsidRPr="00330A86" w14:paraId="0A90BF2C" w14:textId="77777777" w:rsidTr="00572826"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14:paraId="6D53576B" w14:textId="77777777" w:rsidR="00330A86" w:rsidRPr="00330A86" w:rsidRDefault="00330A86" w:rsidP="00330A86">
            <w:pPr>
              <w:spacing w:before="120" w:after="120" w:line="360" w:lineRule="auto"/>
              <w:rPr>
                <w:rFonts w:ascii="Arial" w:hAnsi="Arial"/>
                <w:b/>
                <w:bCs/>
                <w:lang w:val="en-US"/>
              </w:rPr>
            </w:pPr>
            <w:proofErr w:type="spellStart"/>
            <w:r w:rsidRPr="00330A86">
              <w:rPr>
                <w:rFonts w:ascii="Arial" w:hAnsi="Arial"/>
                <w:b/>
                <w:bCs/>
                <w:lang w:val="en-US"/>
              </w:rPr>
              <w:t>Reason</w:t>
            </w:r>
            <w:r w:rsidRPr="00330A86">
              <w:rPr>
                <w:rFonts w:ascii="Arial" w:hAnsi="Arial"/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4DA3C6" w14:textId="77777777" w:rsidR="00330A86" w:rsidRPr="00330A86" w:rsidRDefault="00330A86" w:rsidP="00330A86">
            <w:pPr>
              <w:spacing w:before="120" w:after="120" w:line="360" w:lineRule="auto"/>
              <w:ind w:left="346" w:right="158" w:hanging="173"/>
              <w:jc w:val="center"/>
              <w:rPr>
                <w:rFonts w:ascii="Arial" w:hAnsi="Arial"/>
                <w:sz w:val="24"/>
                <w:szCs w:val="18"/>
                <w:lang w:val="en-US"/>
              </w:rPr>
            </w:pPr>
            <w:r w:rsidRPr="00330A86">
              <w:rPr>
                <w:rFonts w:ascii="Arial" w:hAnsi="Arial" w:cs="Arial"/>
                <w:b/>
                <w:bCs/>
                <w:kern w:val="24"/>
                <w:lang w:val="en-US" w:eastAsia="en-GB"/>
              </w:rPr>
              <w:t xml:space="preserve">No. patients </w:t>
            </w:r>
          </w:p>
        </w:tc>
      </w:tr>
      <w:tr w:rsidR="00330A86" w:rsidRPr="00330A86" w14:paraId="5A63DA03" w14:textId="77777777" w:rsidTr="00572826">
        <w:tc>
          <w:tcPr>
            <w:tcW w:w="5240" w:type="dxa"/>
            <w:tcBorders>
              <w:top w:val="single" w:sz="4" w:space="0" w:color="auto"/>
            </w:tcBorders>
          </w:tcPr>
          <w:p w14:paraId="6E029F19" w14:textId="77777777" w:rsidR="00330A86" w:rsidRPr="00330A86" w:rsidRDefault="00330A86" w:rsidP="00330A86">
            <w:pPr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lang w:val="en-US"/>
              </w:rPr>
              <w:t>Therapy not well tolerated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9E710C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5</w:t>
            </w:r>
          </w:p>
        </w:tc>
      </w:tr>
      <w:tr w:rsidR="00330A86" w:rsidRPr="00330A86" w14:paraId="2FD94685" w14:textId="77777777" w:rsidTr="00572826">
        <w:tc>
          <w:tcPr>
            <w:tcW w:w="5240" w:type="dxa"/>
          </w:tcPr>
          <w:p w14:paraId="43AF7A49" w14:textId="77777777" w:rsidR="00330A86" w:rsidRPr="00330A86" w:rsidRDefault="00330A86" w:rsidP="00330A86">
            <w:pPr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lang w:val="en-US"/>
              </w:rPr>
              <w:t>Patient has improved clinically</w:t>
            </w:r>
          </w:p>
        </w:tc>
        <w:tc>
          <w:tcPr>
            <w:tcW w:w="2126" w:type="dxa"/>
          </w:tcPr>
          <w:p w14:paraId="3DF30A27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4</w:t>
            </w:r>
          </w:p>
        </w:tc>
      </w:tr>
      <w:tr w:rsidR="00330A86" w:rsidRPr="00330A86" w14:paraId="130B0B25" w14:textId="77777777" w:rsidTr="00572826">
        <w:tc>
          <w:tcPr>
            <w:tcW w:w="5240" w:type="dxa"/>
          </w:tcPr>
          <w:p w14:paraId="3D7339AD" w14:textId="77777777" w:rsidR="00330A86" w:rsidRPr="00330A86" w:rsidRDefault="00330A86" w:rsidP="00330A86">
            <w:pPr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lang w:val="en-US"/>
              </w:rPr>
              <w:t>Disease symptoms inadequately controlled</w:t>
            </w:r>
          </w:p>
        </w:tc>
        <w:tc>
          <w:tcPr>
            <w:tcW w:w="2126" w:type="dxa"/>
          </w:tcPr>
          <w:p w14:paraId="08788821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2</w:t>
            </w:r>
          </w:p>
        </w:tc>
      </w:tr>
      <w:tr w:rsidR="00330A86" w:rsidRPr="00330A86" w14:paraId="1EC0C0A4" w14:textId="77777777" w:rsidTr="00572826">
        <w:tc>
          <w:tcPr>
            <w:tcW w:w="5240" w:type="dxa"/>
            <w:shd w:val="clear" w:color="auto" w:fill="auto"/>
            <w:vAlign w:val="bottom"/>
          </w:tcPr>
          <w:p w14:paraId="29B743EA" w14:textId="77777777" w:rsidR="00330A86" w:rsidRPr="00330A86" w:rsidRDefault="00330A86" w:rsidP="00330A86">
            <w:pPr>
              <w:tabs>
                <w:tab w:val="left" w:pos="1365"/>
              </w:tabs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color w:val="000000"/>
                <w:lang w:val="en-US"/>
              </w:rPr>
              <w:t>Patient preference</w:t>
            </w:r>
          </w:p>
        </w:tc>
        <w:tc>
          <w:tcPr>
            <w:tcW w:w="2126" w:type="dxa"/>
          </w:tcPr>
          <w:p w14:paraId="76B527B2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2</w:t>
            </w:r>
          </w:p>
        </w:tc>
      </w:tr>
      <w:tr w:rsidR="00330A86" w:rsidRPr="00330A86" w14:paraId="5C6E2DF8" w14:textId="77777777" w:rsidTr="00572826">
        <w:tc>
          <w:tcPr>
            <w:tcW w:w="5240" w:type="dxa"/>
            <w:shd w:val="clear" w:color="auto" w:fill="auto"/>
            <w:vAlign w:val="bottom"/>
          </w:tcPr>
          <w:p w14:paraId="63AB197C" w14:textId="77777777" w:rsidR="00330A86" w:rsidRPr="00330A86" w:rsidRDefault="00330A86" w:rsidP="00330A86">
            <w:pPr>
              <w:tabs>
                <w:tab w:val="left" w:pos="1365"/>
              </w:tabs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color w:val="000000"/>
                <w:lang w:val="en-US"/>
              </w:rPr>
              <w:t>Financial factors (e.g., out-of-pocket costs)</w:t>
            </w:r>
          </w:p>
        </w:tc>
        <w:tc>
          <w:tcPr>
            <w:tcW w:w="2126" w:type="dxa"/>
          </w:tcPr>
          <w:p w14:paraId="35FD95F2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3</w:t>
            </w:r>
          </w:p>
        </w:tc>
      </w:tr>
      <w:tr w:rsidR="00330A86" w:rsidRPr="00330A86" w14:paraId="27A80FF4" w14:textId="77777777" w:rsidTr="00572826">
        <w:tc>
          <w:tcPr>
            <w:tcW w:w="5240" w:type="dxa"/>
          </w:tcPr>
          <w:p w14:paraId="09E660C2" w14:textId="77777777" w:rsidR="00330A86" w:rsidRPr="00330A86" w:rsidRDefault="00330A86" w:rsidP="00330A86">
            <w:pPr>
              <w:tabs>
                <w:tab w:val="left" w:pos="1365"/>
              </w:tabs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lang w:val="en-US"/>
              </w:rPr>
              <w:t>MG exacerbation</w:t>
            </w:r>
          </w:p>
        </w:tc>
        <w:tc>
          <w:tcPr>
            <w:tcW w:w="2126" w:type="dxa"/>
          </w:tcPr>
          <w:p w14:paraId="661AA7E6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1</w:t>
            </w:r>
          </w:p>
        </w:tc>
      </w:tr>
      <w:tr w:rsidR="00330A86" w:rsidRPr="00330A86" w14:paraId="79B0D6A4" w14:textId="77777777" w:rsidTr="00572826">
        <w:tc>
          <w:tcPr>
            <w:tcW w:w="5240" w:type="dxa"/>
          </w:tcPr>
          <w:p w14:paraId="7578BE9B" w14:textId="77777777" w:rsidR="00330A86" w:rsidRPr="00330A86" w:rsidRDefault="00330A86" w:rsidP="00330A86">
            <w:pPr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lang w:val="en-US"/>
              </w:rPr>
              <w:t>Acute MG crisis</w:t>
            </w:r>
          </w:p>
        </w:tc>
        <w:tc>
          <w:tcPr>
            <w:tcW w:w="2126" w:type="dxa"/>
          </w:tcPr>
          <w:p w14:paraId="34353EA4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1</w:t>
            </w:r>
          </w:p>
        </w:tc>
      </w:tr>
      <w:tr w:rsidR="00330A86" w:rsidRPr="00330A86" w14:paraId="278C0692" w14:textId="77777777" w:rsidTr="00572826">
        <w:tc>
          <w:tcPr>
            <w:tcW w:w="5240" w:type="dxa"/>
            <w:shd w:val="clear" w:color="auto" w:fill="auto"/>
            <w:vAlign w:val="bottom"/>
          </w:tcPr>
          <w:p w14:paraId="10275335" w14:textId="77777777" w:rsidR="00330A86" w:rsidRPr="00330A86" w:rsidRDefault="00330A86" w:rsidP="00330A86">
            <w:pPr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 w:rsidRPr="00330A86">
              <w:rPr>
                <w:rFonts w:ascii="Arial" w:hAnsi="Arial" w:cs="Arial"/>
                <w:color w:val="000000"/>
                <w:lang w:val="en-US"/>
              </w:rPr>
              <w:t>Insurance coverage (no reapproval)</w:t>
            </w:r>
          </w:p>
        </w:tc>
        <w:tc>
          <w:tcPr>
            <w:tcW w:w="2126" w:type="dxa"/>
          </w:tcPr>
          <w:p w14:paraId="4FAFD505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1</w:t>
            </w:r>
          </w:p>
        </w:tc>
      </w:tr>
      <w:tr w:rsidR="00330A86" w:rsidRPr="00330A86" w14:paraId="7C9A311E" w14:textId="77777777" w:rsidTr="00572826"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E4DC24" w14:textId="77777777" w:rsidR="00330A86" w:rsidRPr="00330A86" w:rsidRDefault="00330A86" w:rsidP="00330A86">
            <w:pPr>
              <w:spacing w:before="120" w:after="120"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330A86">
              <w:rPr>
                <w:rFonts w:ascii="Arial" w:hAnsi="Arial" w:cs="Arial"/>
                <w:color w:val="000000"/>
                <w:lang w:val="en-US"/>
              </w:rPr>
              <w:t xml:space="preserve">Other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DE2766" w14:textId="77777777" w:rsidR="00330A86" w:rsidRPr="00330A86" w:rsidRDefault="00330A86" w:rsidP="00330A86">
            <w:pPr>
              <w:spacing w:before="120" w:after="120" w:line="360" w:lineRule="auto"/>
              <w:jc w:val="center"/>
              <w:rPr>
                <w:rFonts w:ascii="Arial" w:hAnsi="Arial"/>
                <w:lang w:val="en-US"/>
              </w:rPr>
            </w:pPr>
            <w:r w:rsidRPr="00330A86">
              <w:rPr>
                <w:rFonts w:ascii="Arial" w:hAnsi="Arial"/>
                <w:lang w:val="en-US"/>
              </w:rPr>
              <w:t>1</w:t>
            </w:r>
          </w:p>
        </w:tc>
      </w:tr>
    </w:tbl>
    <w:p w14:paraId="425B4D86" w14:textId="77777777" w:rsidR="00330A86" w:rsidRPr="00330A86" w:rsidRDefault="00330A86" w:rsidP="00330A86">
      <w:pPr>
        <w:spacing w:before="120" w:after="120" w:line="360" w:lineRule="auto"/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</w:pPr>
      <w:proofErr w:type="spellStart"/>
      <w:r w:rsidRPr="00330A86">
        <w:rPr>
          <w:rFonts w:ascii="Arial" w:eastAsia="Times New Roman" w:hAnsi="Arial" w:cs="Times New Roman"/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330A86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More</w:t>
      </w:r>
      <w:proofErr w:type="spellEnd"/>
      <w:r w:rsidRPr="00330A86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than one reason may be recorded for each person who discontinued</w:t>
      </w:r>
    </w:p>
    <w:p w14:paraId="43B9F0CF" w14:textId="77777777" w:rsidR="00330A86" w:rsidRPr="00330A86" w:rsidRDefault="00330A86" w:rsidP="00330A86">
      <w:pPr>
        <w:spacing w:before="120" w:after="120" w:line="360" w:lineRule="auto"/>
        <w:rPr>
          <w:rFonts w:ascii="Arial" w:eastAsia="Times New Roman" w:hAnsi="Arial" w:cs="Times New Roman"/>
          <w:kern w:val="0"/>
          <w:szCs w:val="20"/>
          <w:lang w:val="en-US"/>
          <w14:ligatures w14:val="none"/>
        </w:rPr>
      </w:pPr>
      <w:r w:rsidRPr="00330A86">
        <w:rPr>
          <w:rFonts w:ascii="Arial" w:eastAsia="Times New Roman" w:hAnsi="Arial" w:cs="Times New Roman"/>
          <w:i/>
          <w:iCs/>
          <w:kern w:val="0"/>
          <w:sz w:val="20"/>
          <w:szCs w:val="20"/>
          <w:lang w:val="en-US"/>
          <w14:ligatures w14:val="none"/>
        </w:rPr>
        <w:t>MG</w:t>
      </w:r>
      <w:r w:rsidRPr="00330A86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myasthenia gravis</w:t>
      </w:r>
    </w:p>
    <w:p w14:paraId="289F105B" w14:textId="77777777" w:rsidR="00E458D3" w:rsidRDefault="00E458D3"/>
    <w:sectPr w:rsidR="00E45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86"/>
    <w:rsid w:val="00330A86"/>
    <w:rsid w:val="003A2EFC"/>
    <w:rsid w:val="00851870"/>
    <w:rsid w:val="00886AB1"/>
    <w:rsid w:val="008B785C"/>
    <w:rsid w:val="00B750DC"/>
    <w:rsid w:val="00CD027D"/>
    <w:rsid w:val="00DE0593"/>
    <w:rsid w:val="00E3419E"/>
    <w:rsid w:val="00E4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BA6B"/>
  <w15:chartTrackingRefBased/>
  <w15:docId w15:val="{E3D1BE66-901A-4D62-A443-B2F79D69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A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30A86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howardj@neurology.un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6905c6-e305-427f-9567-e89b7f22410e"/>
    <lcf76f155ced4ddcb4097134ff3c332f xmlns="78eb445d-b485-4f54-9b7b-4fa0f417c7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5B09A4FADBB40950032DB90C9BD02" ma:contentTypeVersion="17" ma:contentTypeDescription="Create a new document." ma:contentTypeScope="" ma:versionID="f1b11a269e8837eb083690d425c8353a">
  <xsd:schema xmlns:xsd="http://www.w3.org/2001/XMLSchema" xmlns:xs="http://www.w3.org/2001/XMLSchema" xmlns:p="http://schemas.microsoft.com/office/2006/metadata/properties" xmlns:ns2="78eb445d-b485-4f54-9b7b-4fa0f417c7a6" xmlns:ns3="4692d980-38cf-4173-bdb9-705370328e8b" xmlns:ns4="9e6905c6-e305-427f-9567-e89b7f22410e" targetNamespace="http://schemas.microsoft.com/office/2006/metadata/properties" ma:root="true" ma:fieldsID="280309f0a4dccfd3f84b2d3f3134fb30" ns2:_="" ns3:_="" ns4:_="">
    <xsd:import namespace="78eb445d-b485-4f54-9b7b-4fa0f417c7a6"/>
    <xsd:import namespace="4692d980-38cf-4173-bdb9-705370328e8b"/>
    <xsd:import namespace="9e6905c6-e305-427f-9567-e89b7f224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b445d-b485-4f54-9b7b-4fa0f417c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e3f9e4a-36b6-48c5-b803-268b4c762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2d980-38cf-4173-bdb9-705370328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905c6-e305-427f-9567-e89b7f22410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b55462c-fa27-485d-88c9-8cc67a468820}" ma:internalName="TaxCatchAll" ma:showField="CatchAllData" ma:web="9e6905c6-e305-427f-9567-e89b7f224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1B80A-7749-4096-B047-7317B824825B}">
  <ds:schemaRefs>
    <ds:schemaRef ds:uri="78eb445d-b485-4f54-9b7b-4fa0f417c7a6"/>
    <ds:schemaRef ds:uri="http://www.w3.org/XML/1998/namespace"/>
    <ds:schemaRef ds:uri="http://purl.org/dc/elements/1.1/"/>
    <ds:schemaRef ds:uri="http://purl.org/dc/terms/"/>
    <ds:schemaRef ds:uri="4692d980-38cf-4173-bdb9-705370328e8b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e6905c6-e305-427f-9567-e89b7f22410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2E1189-3915-4826-9CFC-3AAB82E0B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ADDE0-B6E0-4C27-B437-E7A5A8928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b445d-b485-4f54-9b7b-4fa0f417c7a6"/>
    <ds:schemaRef ds:uri="4692d980-38cf-4173-bdb9-705370328e8b"/>
    <ds:schemaRef ds:uri="9e6905c6-e305-427f-9567-e89b7f224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4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Writer</cp:lastModifiedBy>
  <cp:revision>2</cp:revision>
  <dcterms:created xsi:type="dcterms:W3CDTF">2024-10-14T14:23:00Z</dcterms:created>
  <dcterms:modified xsi:type="dcterms:W3CDTF">2024-10-14T14:23:00Z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0x0101007525B09A4FADBB40950032DB90C9BD02</vt:lpwstr>
  </property>
</Properties>
</file>