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F7559A" w14:textId="030156A1" w:rsidR="00487409" w:rsidRPr="003747A4" w:rsidRDefault="00487409" w:rsidP="00487409">
      <w:pPr>
        <w:spacing w:line="480" w:lineRule="auto"/>
        <w:rPr>
          <w:rFonts w:asciiTheme="majorBidi" w:hAnsiTheme="majorBidi" w:cstheme="majorBidi"/>
          <w:b/>
          <w:bCs/>
          <w:sz w:val="28"/>
          <w:szCs w:val="28"/>
        </w:rPr>
      </w:pPr>
      <w:bookmarkStart w:id="0" w:name="_GoBack"/>
      <w:bookmarkEnd w:id="0"/>
      <w:r w:rsidRPr="003747A4">
        <w:rPr>
          <w:rFonts w:asciiTheme="majorBidi" w:hAnsiTheme="majorBidi" w:cstheme="majorBidi"/>
          <w:b/>
          <w:bCs/>
          <w:sz w:val="28"/>
          <w:szCs w:val="28"/>
        </w:rPr>
        <w:t xml:space="preserve">A SWAT model depicts the impact of land use change on </w:t>
      </w:r>
      <w:r w:rsidR="007D1E3A">
        <w:rPr>
          <w:rFonts w:asciiTheme="majorBidi" w:hAnsiTheme="majorBidi" w:cstheme="majorBidi"/>
          <w:b/>
          <w:bCs/>
          <w:sz w:val="28"/>
          <w:szCs w:val="28"/>
        </w:rPr>
        <w:t>hydrology</w:t>
      </w:r>
      <w:r w:rsidRPr="003747A4">
        <w:rPr>
          <w:rFonts w:asciiTheme="majorBidi" w:hAnsiTheme="majorBidi" w:cstheme="majorBidi"/>
          <w:b/>
          <w:bCs/>
          <w:sz w:val="28"/>
          <w:szCs w:val="28"/>
        </w:rPr>
        <w:t>, nutrient, and sediment loads in a Lake Michigan watershed.</w:t>
      </w:r>
    </w:p>
    <w:p w14:paraId="7096A618" w14:textId="77777777" w:rsidR="00487409" w:rsidRDefault="00487409">
      <w:pPr>
        <w:rPr>
          <w:rFonts w:asciiTheme="majorBidi" w:hAnsiTheme="majorBidi" w:cstheme="majorBidi"/>
          <w:b/>
          <w:szCs w:val="24"/>
        </w:rPr>
      </w:pPr>
      <w:r>
        <w:rPr>
          <w:rFonts w:asciiTheme="majorBidi" w:hAnsiTheme="majorBidi" w:cstheme="majorBidi"/>
          <w:b/>
          <w:i/>
          <w:iCs/>
          <w:szCs w:val="24"/>
        </w:rPr>
        <w:br w:type="page"/>
      </w:r>
    </w:p>
    <w:p w14:paraId="3E129D88" w14:textId="4F3648E0" w:rsidR="00CA53B5" w:rsidRPr="001A46CB" w:rsidRDefault="00CA53B5" w:rsidP="00CA53B5">
      <w:pPr>
        <w:pStyle w:val="Caption"/>
        <w:keepNext/>
        <w:rPr>
          <w:rFonts w:asciiTheme="majorBidi" w:hAnsiTheme="majorBidi" w:cstheme="majorBidi"/>
          <w:i w:val="0"/>
          <w:iCs w:val="0"/>
          <w:color w:val="auto"/>
          <w:sz w:val="22"/>
          <w:szCs w:val="24"/>
        </w:rPr>
      </w:pPr>
      <w:r w:rsidRPr="001A46CB">
        <w:rPr>
          <w:rFonts w:asciiTheme="majorBidi" w:hAnsiTheme="majorBidi" w:cstheme="majorBidi"/>
          <w:b/>
          <w:i w:val="0"/>
          <w:iCs w:val="0"/>
          <w:color w:val="auto"/>
          <w:sz w:val="22"/>
          <w:szCs w:val="24"/>
        </w:rPr>
        <w:t xml:space="preserve">Table </w:t>
      </w:r>
      <w:r w:rsidRPr="001A46CB">
        <w:rPr>
          <w:rFonts w:asciiTheme="majorBidi" w:hAnsiTheme="majorBidi" w:cstheme="majorBidi"/>
          <w:b/>
          <w:i w:val="0"/>
          <w:iCs w:val="0"/>
          <w:color w:val="auto"/>
          <w:sz w:val="22"/>
          <w:szCs w:val="24"/>
        </w:rPr>
        <w:fldChar w:fldCharType="begin"/>
      </w:r>
      <w:r w:rsidRPr="001A46CB">
        <w:rPr>
          <w:rFonts w:asciiTheme="majorBidi" w:hAnsiTheme="majorBidi" w:cstheme="majorBidi"/>
          <w:b/>
          <w:i w:val="0"/>
          <w:iCs w:val="0"/>
          <w:color w:val="auto"/>
          <w:sz w:val="22"/>
          <w:szCs w:val="24"/>
        </w:rPr>
        <w:instrText xml:space="preserve"> SEQ Table \* ARABIC </w:instrText>
      </w:r>
      <w:r w:rsidRPr="001A46CB">
        <w:rPr>
          <w:rFonts w:asciiTheme="majorBidi" w:hAnsiTheme="majorBidi" w:cstheme="majorBidi"/>
          <w:b/>
          <w:i w:val="0"/>
          <w:iCs w:val="0"/>
          <w:color w:val="auto"/>
          <w:sz w:val="22"/>
          <w:szCs w:val="24"/>
        </w:rPr>
        <w:fldChar w:fldCharType="separate"/>
      </w:r>
      <w:r w:rsidRPr="001A46CB">
        <w:rPr>
          <w:rFonts w:asciiTheme="majorBidi" w:hAnsiTheme="majorBidi" w:cstheme="majorBidi"/>
          <w:b/>
          <w:i w:val="0"/>
          <w:iCs w:val="0"/>
          <w:noProof/>
          <w:color w:val="auto"/>
          <w:sz w:val="22"/>
          <w:szCs w:val="24"/>
        </w:rPr>
        <w:t>1</w:t>
      </w:r>
      <w:r w:rsidRPr="001A46CB">
        <w:rPr>
          <w:rFonts w:asciiTheme="majorBidi" w:hAnsiTheme="majorBidi" w:cstheme="majorBidi"/>
          <w:b/>
          <w:i w:val="0"/>
          <w:iCs w:val="0"/>
          <w:color w:val="auto"/>
          <w:sz w:val="22"/>
          <w:szCs w:val="24"/>
        </w:rPr>
        <w:fldChar w:fldCharType="end"/>
      </w:r>
      <w:r w:rsidRPr="001A46CB">
        <w:rPr>
          <w:rFonts w:asciiTheme="majorBidi" w:hAnsiTheme="majorBidi" w:cstheme="majorBidi"/>
          <w:b/>
          <w:i w:val="0"/>
          <w:iCs w:val="0"/>
          <w:color w:val="auto"/>
          <w:sz w:val="22"/>
          <w:szCs w:val="24"/>
        </w:rPr>
        <w:t xml:space="preserve"> SM</w:t>
      </w:r>
      <w:r w:rsidRPr="001A46CB">
        <w:rPr>
          <w:rFonts w:asciiTheme="majorBidi" w:hAnsiTheme="majorBidi" w:cstheme="majorBidi"/>
          <w:i w:val="0"/>
          <w:iCs w:val="0"/>
          <w:color w:val="auto"/>
          <w:sz w:val="22"/>
          <w:szCs w:val="24"/>
        </w:rPr>
        <w:t>: Review of some studies investigating the impact of different land use on watershed hydrology in the U.S. Midwest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8"/>
        <w:gridCol w:w="1740"/>
        <w:gridCol w:w="1871"/>
        <w:gridCol w:w="1743"/>
        <w:gridCol w:w="2558"/>
      </w:tblGrid>
      <w:tr w:rsidR="00CA53B5" w:rsidRPr="001A46CB" w14:paraId="4F471865" w14:textId="77777777" w:rsidTr="00880B30">
        <w:tc>
          <w:tcPr>
            <w:tcW w:w="0" w:type="auto"/>
            <w:tcBorders>
              <w:top w:val="single" w:sz="4" w:space="0" w:color="auto"/>
              <w:bottom w:val="single" w:sz="4" w:space="0" w:color="auto"/>
            </w:tcBorders>
          </w:tcPr>
          <w:p w14:paraId="6B3243F1" w14:textId="77777777" w:rsidR="00CA53B5" w:rsidRPr="001A46CB" w:rsidRDefault="00CA53B5" w:rsidP="00880B30">
            <w:pPr>
              <w:jc w:val="both"/>
              <w:rPr>
                <w:rFonts w:asciiTheme="majorBidi" w:hAnsiTheme="majorBidi" w:cstheme="majorBidi"/>
                <w:b/>
                <w:sz w:val="20"/>
                <w:szCs w:val="24"/>
              </w:rPr>
            </w:pPr>
            <w:r w:rsidRPr="001A46CB">
              <w:rPr>
                <w:rFonts w:asciiTheme="majorBidi" w:hAnsiTheme="majorBidi" w:cstheme="majorBidi"/>
                <w:b/>
                <w:sz w:val="20"/>
                <w:szCs w:val="24"/>
              </w:rPr>
              <w:t>Authors</w:t>
            </w:r>
          </w:p>
        </w:tc>
        <w:tc>
          <w:tcPr>
            <w:tcW w:w="0" w:type="auto"/>
            <w:tcBorders>
              <w:top w:val="single" w:sz="4" w:space="0" w:color="auto"/>
              <w:bottom w:val="single" w:sz="4" w:space="0" w:color="auto"/>
            </w:tcBorders>
          </w:tcPr>
          <w:p w14:paraId="02657714" w14:textId="77777777" w:rsidR="00CA53B5" w:rsidRPr="001A46CB" w:rsidRDefault="00CA53B5" w:rsidP="00880B30">
            <w:pPr>
              <w:jc w:val="both"/>
              <w:rPr>
                <w:rFonts w:asciiTheme="majorBidi" w:hAnsiTheme="majorBidi" w:cstheme="majorBidi"/>
                <w:b/>
                <w:sz w:val="20"/>
                <w:szCs w:val="24"/>
              </w:rPr>
            </w:pPr>
            <w:r w:rsidRPr="001A46CB">
              <w:rPr>
                <w:rFonts w:asciiTheme="majorBidi" w:hAnsiTheme="majorBidi" w:cstheme="majorBidi"/>
                <w:b/>
                <w:sz w:val="20"/>
                <w:szCs w:val="24"/>
              </w:rPr>
              <w:t xml:space="preserve">Study areas </w:t>
            </w:r>
          </w:p>
        </w:tc>
        <w:tc>
          <w:tcPr>
            <w:tcW w:w="0" w:type="auto"/>
            <w:tcBorders>
              <w:top w:val="single" w:sz="4" w:space="0" w:color="auto"/>
              <w:bottom w:val="single" w:sz="4" w:space="0" w:color="auto"/>
            </w:tcBorders>
          </w:tcPr>
          <w:p w14:paraId="0995FDEE" w14:textId="77777777" w:rsidR="00CA53B5" w:rsidRPr="001A46CB" w:rsidRDefault="00CA53B5" w:rsidP="00880B30">
            <w:pPr>
              <w:jc w:val="both"/>
              <w:rPr>
                <w:rFonts w:asciiTheme="majorBidi" w:hAnsiTheme="majorBidi" w:cstheme="majorBidi"/>
                <w:b/>
                <w:sz w:val="20"/>
                <w:szCs w:val="24"/>
              </w:rPr>
            </w:pPr>
            <w:r w:rsidRPr="001A46CB">
              <w:rPr>
                <w:rFonts w:asciiTheme="majorBidi" w:hAnsiTheme="majorBidi" w:cstheme="majorBidi"/>
                <w:b/>
                <w:sz w:val="20"/>
                <w:szCs w:val="24"/>
              </w:rPr>
              <w:t>State</w:t>
            </w:r>
          </w:p>
        </w:tc>
        <w:tc>
          <w:tcPr>
            <w:tcW w:w="0" w:type="auto"/>
            <w:tcBorders>
              <w:top w:val="single" w:sz="4" w:space="0" w:color="auto"/>
              <w:bottom w:val="single" w:sz="4" w:space="0" w:color="auto"/>
            </w:tcBorders>
          </w:tcPr>
          <w:p w14:paraId="5A3B47C3" w14:textId="77777777" w:rsidR="00CA53B5" w:rsidRPr="001A46CB" w:rsidRDefault="00CA53B5" w:rsidP="00880B30">
            <w:pPr>
              <w:jc w:val="both"/>
              <w:rPr>
                <w:rFonts w:asciiTheme="majorBidi" w:hAnsiTheme="majorBidi" w:cstheme="majorBidi"/>
                <w:b/>
                <w:sz w:val="20"/>
                <w:szCs w:val="24"/>
              </w:rPr>
            </w:pPr>
            <w:r w:rsidRPr="001A46CB">
              <w:rPr>
                <w:rFonts w:asciiTheme="majorBidi" w:hAnsiTheme="majorBidi" w:cstheme="majorBidi"/>
                <w:b/>
                <w:sz w:val="20"/>
                <w:szCs w:val="24"/>
              </w:rPr>
              <w:t>Methods</w:t>
            </w:r>
          </w:p>
        </w:tc>
        <w:tc>
          <w:tcPr>
            <w:tcW w:w="0" w:type="auto"/>
            <w:tcBorders>
              <w:top w:val="single" w:sz="4" w:space="0" w:color="auto"/>
              <w:bottom w:val="single" w:sz="4" w:space="0" w:color="auto"/>
            </w:tcBorders>
          </w:tcPr>
          <w:p w14:paraId="2F3CEC6F" w14:textId="77777777" w:rsidR="00CA53B5" w:rsidRPr="001A46CB" w:rsidRDefault="00CA53B5" w:rsidP="00880B30">
            <w:pPr>
              <w:jc w:val="both"/>
              <w:rPr>
                <w:rFonts w:asciiTheme="majorBidi" w:hAnsiTheme="majorBidi" w:cstheme="majorBidi"/>
                <w:b/>
                <w:sz w:val="20"/>
                <w:szCs w:val="24"/>
              </w:rPr>
            </w:pPr>
            <w:r w:rsidRPr="001A46CB">
              <w:rPr>
                <w:rFonts w:asciiTheme="majorBidi" w:hAnsiTheme="majorBidi" w:cstheme="majorBidi"/>
                <w:b/>
                <w:sz w:val="20"/>
                <w:szCs w:val="24"/>
              </w:rPr>
              <w:t>Responses</w:t>
            </w:r>
          </w:p>
        </w:tc>
      </w:tr>
      <w:tr w:rsidR="00CA53B5" w:rsidRPr="001A46CB" w14:paraId="58C72EF9" w14:textId="77777777" w:rsidTr="00880B30">
        <w:tc>
          <w:tcPr>
            <w:tcW w:w="0" w:type="auto"/>
            <w:tcBorders>
              <w:top w:val="single" w:sz="4" w:space="0" w:color="auto"/>
            </w:tcBorders>
          </w:tcPr>
          <w:p w14:paraId="757FABC3"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{"citationItems":[{"id":"ITEM-1","itemData":{"ISSN":"0301-4797","author":[{"dropping-particle":"","family":"Tong","given":"Susanna T Y","non-dropping-particle":"","parse-names":false,"suffix":""},{"dropping-particle":"","family":"Chen","given":"Wenli","non-dropping-particle":"","parse-names":false,"suffix":""}],"container-title":"Journal of environmental management","id":"ITEM-1","issue":"4","issued":{"date-parts":[["2002"]]},"page":"377-393","publisher":"Elsevier","title":"Modeling the relationship between land use and surface water quality","type":"article-journal","volume":"66"},"uris":["http://www.mendeley.com/documents/?uuid=a7b57b93-f81f-4f80-870a-c4e5cc091757"]}],"mendeley":{"formattedCitation":"(Tong &amp; Chen, 2002)","manualFormatting":"Tong and Chen (2002)","plainTextFormattedCitation":"(Tong &amp; Chen, 2002)","previouslyFormattedCitation":"(Tong &amp; Chen, 2002)"},"properties":{"noteIndex":0},"schema":"https://github.com/citation-style-language/schema/raw/master/csl-citation.json"}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Tong and Chen (2002)</w:t>
            </w:r>
            <w:r w:rsidRPr="001A46CB">
              <w:rPr>
                <w:rFonts w:asciiTheme="majorBidi" w:hAnsiTheme="majorBidi" w:cstheme="majorBidi"/>
                <w:sz w:val="20"/>
                <w:szCs w:val="24"/>
              </w:rPr>
              <w:fldChar w:fldCharType="end"/>
            </w:r>
          </w:p>
        </w:tc>
        <w:tc>
          <w:tcPr>
            <w:tcW w:w="0" w:type="auto"/>
            <w:tcBorders>
              <w:top w:val="single" w:sz="4" w:space="0" w:color="auto"/>
            </w:tcBorders>
          </w:tcPr>
          <w:p w14:paraId="3DED4636"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East Fork Little Miami watershed</w:t>
            </w:r>
          </w:p>
        </w:tc>
        <w:tc>
          <w:tcPr>
            <w:tcW w:w="0" w:type="auto"/>
            <w:tcBorders>
              <w:top w:val="single" w:sz="4" w:space="0" w:color="auto"/>
            </w:tcBorders>
          </w:tcPr>
          <w:p w14:paraId="52AB4E86"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Ohio</w:t>
            </w:r>
          </w:p>
        </w:tc>
        <w:tc>
          <w:tcPr>
            <w:tcW w:w="0" w:type="auto"/>
            <w:tcBorders>
              <w:top w:val="single" w:sz="4" w:space="0" w:color="auto"/>
            </w:tcBorders>
          </w:tcPr>
          <w:p w14:paraId="10F03A68"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Better Assessment Science Integrating</w:t>
            </w:r>
          </w:p>
          <w:p w14:paraId="6AFD6572"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Point and Nonpoint Sources (BASINS)</w:t>
            </w:r>
          </w:p>
        </w:tc>
        <w:tc>
          <w:tcPr>
            <w:tcW w:w="0" w:type="auto"/>
            <w:tcBorders>
              <w:top w:val="single" w:sz="4" w:space="0" w:color="auto"/>
            </w:tcBorders>
          </w:tcPr>
          <w:p w14:paraId="1629B310"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Phosphorus and nitrogen</w:t>
            </w:r>
          </w:p>
        </w:tc>
      </w:tr>
      <w:tr w:rsidR="00CA53B5" w:rsidRPr="001A46CB" w14:paraId="1F22BDF3" w14:textId="77777777" w:rsidTr="00880B30">
        <w:tc>
          <w:tcPr>
            <w:tcW w:w="0" w:type="auto"/>
          </w:tcPr>
          <w:p w14:paraId="6C61EF34"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{"citationItems":[{"id":"ITEM-1","itemData":{"DOI":"https://doi.org/10.1016/j.jhydrol.2005.09.033","ISSN":"0022-1694","abstract":"A trend of increasing streamflow has been observed in the Mississippi River (MR) basin since the 1940s as a result of increased precipitation. Herein we show that increasing MR flow is mainly in its baseflow as a result of land use change and accompanying agricultural activities that occurred in the MR basin during the last 60 years. Agricultural land use change in the MR basin has affected the basin-scale hydrology: more precipitation is being routed into streams as baseflow than stormflow since 1940s. We explain that the conversion of perennial vegetation to seasonal row crops, especially soybeans, in the basin since 1940s may have reduced evapotranspiration, increased groundwater recharge, and thus increased baseflow and streamflow. This explanation is supported with a data analysis of the annually and monthly flow rates at various river stations in the MR basin. Results from this study will help to direct our effort in managing land use and in reducing nutrient levels in MR and other major rivers since nutrient concentrations and loads carried by storm water and baseflow are different.","author":[{"dropping-particle":"","family":"Zhang","given":"Y.-K.","non-dropping-particle":"","parse-names":false,"suffix":""},{"dropping-particle":"","family":"Schilling","given":"K E","non-dropping-particle":"","parse-names":false,"suffix":""}],"container-title":"Journal of Hydrology","id":"ITEM-1","issue":"1","issued":{"date-parts":[["2006"]]},"page":"412-422","title":"Increasing streamflow and baseflow in Mississippi River since the 1940s: Effect of land use change","type":"article-journal","volume":"324"},"uris":["http://www.mendeley.com/documents/?uuid=acccfb59-453f-4921-a561-a6b37cedd6a1"]}],"mendeley":{"formattedCitation":"(Y.-K. Zhang &amp; Schilling, 2006)","manualFormatting":"Zhang and Schilling (2006)","plainTextFormattedCitation":"(Y.-K. Zhang &amp; Schilling, 2006)","previouslyFormattedCitation":"(Y.-K. Zhang &amp; Schilling, 2006)"},"properties":{"noteIndex":0},"schema":"https://github.com/citation-style-language/schema/raw/master/csl-citation.json"}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Zhang and Schilling (2006)</w:t>
            </w:r>
            <w:r w:rsidRPr="001A46CB">
              <w:rPr>
                <w:rFonts w:asciiTheme="majorBidi" w:hAnsiTheme="majorBidi" w:cstheme="majorBidi"/>
                <w:sz w:val="20"/>
                <w:szCs w:val="24"/>
              </w:rPr>
              <w:fldChar w:fldCharType="end"/>
            </w:r>
          </w:p>
        </w:tc>
        <w:tc>
          <w:tcPr>
            <w:tcW w:w="0" w:type="auto"/>
          </w:tcPr>
          <w:p w14:paraId="04229B8D"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Mississippi River basin</w:t>
            </w:r>
          </w:p>
        </w:tc>
        <w:tc>
          <w:tcPr>
            <w:tcW w:w="0" w:type="auto"/>
          </w:tcPr>
          <w:p w14:paraId="3EB614DD"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Minnesota, Wisconsin, Iowa, Illinois, Missouri, Kentucky, and Tennessee</w:t>
            </w:r>
          </w:p>
        </w:tc>
        <w:tc>
          <w:tcPr>
            <w:tcW w:w="0" w:type="auto"/>
          </w:tcPr>
          <w:p w14:paraId="6A4B354E"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Trend analysis</w:t>
            </w:r>
          </w:p>
        </w:tc>
        <w:tc>
          <w:tcPr>
            <w:tcW w:w="0" w:type="auto"/>
          </w:tcPr>
          <w:p w14:paraId="6248D510"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Streamflow and baseflow</w:t>
            </w:r>
          </w:p>
        </w:tc>
      </w:tr>
      <w:tr w:rsidR="00CA53B5" w:rsidRPr="001A46CB" w14:paraId="6030E4F2" w14:textId="77777777" w:rsidTr="00880B30">
        <w:tc>
          <w:tcPr>
            <w:tcW w:w="0" w:type="auto"/>
          </w:tcPr>
          <w:p w14:paraId="12DDE5C7"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{"citationItems":[{"id":"ITEM-1","itemData":{"DOI":"10.1007/s00267-006-0307-6","ISBN":"0026700603","ISSN":"0364152X","PMID":"17453272","abstract":"Since intensive farming practices are essential to produce enough food for the increasing population, farmers have been using more inorganic fertilizers, pesticides, and herbicides. Agricultural lands are currently one of the major sources of non-point source pollution. However, by changing farming practices in terms of tillage and crop rotation, the levels of contamination can be reduced and the quality of soil and water resources can be improved. Thus, there is a need to investigate the amalgamated hydrologic effects when various tillage and crop rotation practices are operated in tandem. In this study, the Soil Water Assessment Tool (SWAT) was utilized to evaluate the individual and combined impacts of various farming practices on flow, sediment, ammonia, and total phosphorus loads in the Little Miami River basin. The model was calibrated and validated using the 1990-1994 and 1980-1984 data sets, respectively. The simulated results revealed that the SWAT model provided a good simulation performance. For those tested farming scenarios, no-tillage (NT) offered more environmental benefits than moldboard plowing (MP). Flow, sediment, ammonia, and total phosphorus under NT were lower than those under MP. In terms of crop rotation, continuous soybean and corn-soybean rotation were able to reduce sediment, ammonia, and total phosphorus loads. When the combined effects of tillage and crop rotation were examined, it was found that NT with continuous soybean or corn-soybean rotation could greatly restrain the loss of sediments and nutrients to receiving waters. Since corn-soybean rotation provides higher economic revenue, a combination of NT and corn-soybean rotation can be a viable system for successful farming. © 2007 Springer Science+Business Media, LLC.","author":[{"dropping-particle":"","family":"Tong","given":"Susanna T.Y.","non-dropping-particle":"","parse-names":false,"suffix":""},{"dropping-particle":"","family":"Naramngam","given":"Sarawuth","non-dropping-particle":"","parse-names":false,"suffix":""}],"container-title":"Environmental Management","id":"ITEM-1","issue":"6","issued":{"date-parts":[["2007"]]},"page":"853-866","title":"Modeling the impacts of farming practices on water quality in the Little Miami River basin","type":"article-journal","volume":"39"},"uris":["http://www.mendeley.com/documents/?uuid=cb84763e-6538-4ec2-adec-a5daad02aba2"]}],"mendeley":{"formattedCitation":"(Tong &amp; Naramngam, 2007)","manualFormatting":"Tong and Naramngam (2007)","plainTextFormattedCitation":"(Tong &amp; Naramngam, 2007)","previouslyFormattedCitation":"(Tong &amp; Naramngam, 2007)"},"properties":{"noteIndex":0},"schema":"https://github.com/citation-style-language/schema/raw/master/csl-citation.json"}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Tong and Naramngam (2007)</w:t>
            </w:r>
            <w:r w:rsidRPr="001A46CB">
              <w:rPr>
                <w:rFonts w:asciiTheme="majorBidi" w:hAnsiTheme="majorBidi" w:cstheme="majorBidi"/>
                <w:sz w:val="20"/>
                <w:szCs w:val="24"/>
              </w:rPr>
              <w:fldChar w:fldCharType="end"/>
            </w:r>
          </w:p>
        </w:tc>
        <w:tc>
          <w:tcPr>
            <w:tcW w:w="0" w:type="auto"/>
          </w:tcPr>
          <w:p w14:paraId="65C4B63E"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Little Miami River watershed</w:t>
            </w:r>
          </w:p>
        </w:tc>
        <w:tc>
          <w:tcPr>
            <w:tcW w:w="0" w:type="auto"/>
          </w:tcPr>
          <w:p w14:paraId="46905625"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Ohio</w:t>
            </w:r>
          </w:p>
        </w:tc>
        <w:tc>
          <w:tcPr>
            <w:tcW w:w="0" w:type="auto"/>
          </w:tcPr>
          <w:p w14:paraId="2A459951"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SWAT and BASINS</w:t>
            </w:r>
          </w:p>
        </w:tc>
        <w:tc>
          <w:tcPr>
            <w:tcW w:w="0" w:type="auto"/>
          </w:tcPr>
          <w:p w14:paraId="4B178407"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Streamflow, sediment, ammonia, and phosphorus</w:t>
            </w:r>
          </w:p>
        </w:tc>
      </w:tr>
      <w:tr w:rsidR="00CA53B5" w:rsidRPr="001A46CB" w14:paraId="1CD249E5" w14:textId="77777777" w:rsidTr="00880B30">
        <w:tc>
          <w:tcPr>
            <w:tcW w:w="0" w:type="auto"/>
          </w:tcPr>
          <w:p w14:paraId="4ECC010A"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{"citationItems":[{"id":"ITEM-1","itemData":{"DOI":"10.1016/j.jenvman.2007.06.001","ISSN":"03014797","PMID":"17689854","abstract":"We connected a cellular, dynamic, spatial urban growth model and a semi-distributed continuous hydrology model to quantitatively predict streamflow in response to possible future urban growth at a basin scale. The main goal was to demonstrate the utility of the approach for informing public planning policy and investment choices. The Hydrological Simulation Program-Fortran (HSPF) was set up and calibrated for the Kishwaukee River basin in the Midwestern USA and was repeatedly run with various land use scenarios generated either by the urban growth model (LEAMluc) or hypothetically. The results indicate that (1) the land use scenarios generated by LEAMluc result in little changes in total runoff but some noticeable changes in surface flow; (2) the argument that low flows tend to decrease with more urbanized areas in a basin was confirmed in this study but the selection of indicators for low flows can result in misleading conclusions; (3) dynamic simulation modeling by connecting a distributed land use change model and a semi-distributed hydrological model can be a good decision support tool demanding reasonable amount of efforts and capable of long-term scenario-based assessments. © 2007 Elsevier Ltd. All rights reserved.","author":[{"dropping-particle":"","family":"Choi","given":"Woonsup","non-dropping-particle":"","parse-names":false,"suffix":""},{"dropping-particle":"","family":"Deal","given":"Brian M.","non-dropping-particle":"","parse-names":false,"suffix":""}],"container-title":"Journal of Environmental Management","id":"ITEM-1","issue":"4","issued":{"date-parts":[["2008"]]},"page":"1119-1130","title":"Assessing hydrological impact of potential land use change through hydrological and land use change modeling for the Kishwaukee River basin (USA)","type":"article-journal","volume":"88"},"uris":["http://www.mendeley.com/documents/?uuid=9fbeda1f-497e-4f76-9b5c-8a09aa46b9c2"]}],"mendeley":{"formattedCitation":"(Choi &amp; Deal, 2008)","manualFormatting":"Choi and Deal (2008)","plainTextFormattedCitation":"(Choi &amp; Deal, 2008)","previouslyFormattedCitation":"(Choi &amp; Deal, 2008)"},"properties":{"noteIndex":0},"schema":"https://github.com/citation-style-language/schema/raw/master/csl-citation.json"}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Choi and Deal (2008)</w:t>
            </w:r>
            <w:r w:rsidRPr="001A46CB">
              <w:rPr>
                <w:rFonts w:asciiTheme="majorBidi" w:hAnsiTheme="majorBidi" w:cstheme="majorBidi"/>
                <w:sz w:val="20"/>
                <w:szCs w:val="24"/>
              </w:rPr>
              <w:fldChar w:fldCharType="end"/>
            </w:r>
          </w:p>
        </w:tc>
        <w:tc>
          <w:tcPr>
            <w:tcW w:w="0" w:type="auto"/>
          </w:tcPr>
          <w:p w14:paraId="0350B068"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Kishwaukee River basin</w:t>
            </w:r>
          </w:p>
        </w:tc>
        <w:tc>
          <w:tcPr>
            <w:tcW w:w="0" w:type="auto"/>
          </w:tcPr>
          <w:p w14:paraId="498C3C1B"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Illinois</w:t>
            </w:r>
          </w:p>
        </w:tc>
        <w:tc>
          <w:tcPr>
            <w:tcW w:w="0" w:type="auto"/>
          </w:tcPr>
          <w:p w14:paraId="23EAA5BD"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Hydrological Simulation Program—Fortran (HSPF)</w:t>
            </w:r>
          </w:p>
        </w:tc>
        <w:tc>
          <w:tcPr>
            <w:tcW w:w="0" w:type="auto"/>
          </w:tcPr>
          <w:p w14:paraId="7BE50A8A"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Streamflow (runoff and baseflow)</w:t>
            </w:r>
          </w:p>
        </w:tc>
      </w:tr>
      <w:tr w:rsidR="00CA53B5" w:rsidRPr="001A46CB" w14:paraId="11BE7645" w14:textId="77777777" w:rsidTr="00880B30">
        <w:tc>
          <w:tcPr>
            <w:tcW w:w="0" w:type="auto"/>
          </w:tcPr>
          <w:p w14:paraId="4A69901C"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{"citationItems":[{"id":"ITEM-1","itemData":{"DOI":"10.4236/jwarp.2012.47049","ISSN":"1945-3094","abstract":"The potential future increase in corn-based biofuel may be expected to have a negative impact on water quality in streams and lakes of the Midwestern US due to increased agricultural chemicals usage. This study used the SWAT model to assess the impact of continuous-corn farming on sediment and phosphorus loading in Upper Rock River wa- tershed in Wisconsin. It was assumed that farmers in the area where corn was rotated with soybean would progressively skip soybean for continuous corn as corn became more profitable. Simulations using SWAT indicated that conversion of corn-soybean to corn-corn-soybean would cause 11% and 2% increase in sediment yield and TP loss, respectively. The conversion of corn-soybean to continuous corn caused 55% and 35% increase in sediment yield and TP loss, re- spectively. However, this increase could be mitigated by applying various BMPs and/or conservation practices such as conservation tillage, fertilizer management and vegetative buffer strips. The conversion to continuous corn tilled with conservation tillage reduced sediment yield by 2% and did not change TP loss. Increase in P fertilizer amount was roughly proportional to increase in TP loss and 11% more TP was lost when fertilizer was applied four months before planting. Vegetative buffer strips, 15 to 30 m wide, around corn farms reduced sediment yield by 51% to 70% and TP loss by 41% to 63%. Keywords:","author":[{"dropping-particle":"","family":"Mbonimpa","given":"Eric G.","non-dropping-particle":"","parse-names":false,"suffix":""},{"dropping-particle":"","family":"Yuan","given":"Yongping","non-dropping-particle":"","parse-names":false,"suffix":""},{"dropping-particle":"","family":"Mehaffey","given":"Megan H.","non-dropping-particle":"","parse-names":false,"suffix":""},{"dropping-particle":"","family":"Jackson","given":"Michael A.","non-dropping-particle":"","parse-names":false,"suffix":""}],"container-title":"Journal of Water Resource and Protection","id":"ITEM-1","issue":"07","issued":{"date-parts":[["2012"]]},"page":"423-431","title":"SWAT Model Application to Assess the Impact of Intensive Corn-farming on Runoff, Sediments and Phosphorous loss from an Agricultural Watershed in Wisconsin","type":"article","volume":"04"},"uris":["http://www.mendeley.com/documents/?uuid=ca21cc71-41cc-4e51-ba4f-01ee9b78a8ab"]}],"mendeley":{"formattedCitation":"(Mbonimpa et al., 2012)","manualFormatting":"Mbonimpa et al. (2012)","plainTextFormattedCitation":"(Mbonimpa et al., 2012)","previouslyFormattedCitation":"(Mbonimpa et al., 2012)"},"properties":{"noteIndex":0},"schema":"https://github.com/citation-style-language/schema/raw/master/csl-citation.json"}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Mbonimpa et al. (2012)</w:t>
            </w:r>
            <w:r w:rsidRPr="001A46CB">
              <w:rPr>
                <w:rFonts w:asciiTheme="majorBidi" w:hAnsiTheme="majorBidi" w:cstheme="majorBidi"/>
                <w:sz w:val="20"/>
                <w:szCs w:val="24"/>
              </w:rPr>
              <w:fldChar w:fldCharType="end"/>
            </w:r>
          </w:p>
        </w:tc>
        <w:tc>
          <w:tcPr>
            <w:tcW w:w="0" w:type="auto"/>
          </w:tcPr>
          <w:p w14:paraId="4ECA6BAC"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Upper Rock River watershed</w:t>
            </w:r>
          </w:p>
        </w:tc>
        <w:tc>
          <w:tcPr>
            <w:tcW w:w="0" w:type="auto"/>
          </w:tcPr>
          <w:p w14:paraId="469175BC"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Wisconsin</w:t>
            </w:r>
          </w:p>
        </w:tc>
        <w:tc>
          <w:tcPr>
            <w:tcW w:w="0" w:type="auto"/>
          </w:tcPr>
          <w:p w14:paraId="555E7560"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SWAT</w:t>
            </w:r>
          </w:p>
        </w:tc>
        <w:tc>
          <w:tcPr>
            <w:tcW w:w="0" w:type="auto"/>
          </w:tcPr>
          <w:p w14:paraId="23C9DA0A"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Runoff, sediments and phosphorous</w:t>
            </w:r>
          </w:p>
        </w:tc>
      </w:tr>
      <w:tr w:rsidR="00CA53B5" w:rsidRPr="001A46CB" w14:paraId="78F3F53D" w14:textId="77777777" w:rsidTr="00880B30">
        <w:tc>
          <w:tcPr>
            <w:tcW w:w="0" w:type="auto"/>
          </w:tcPr>
          <w:p w14:paraId="52CBF73A"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{"citationItems":[{"id":"ITEM-1","itemData":{"ISSN":"0341-8162","author":[{"dropping-particle":"","family":"Maalim","given":"Fukhrudin K","non-dropping-particle":"","parse-names":false,"suffix":""},{"dropping-particle":"","family":"Melesse","given":"Assefa M","non-dropping-particle":"","parse-names":false,"suffix":""},{"dropping-particle":"","family":"Belmont","given":"Patrick","non-dropping-particle":"","parse-names":false,"suffix":""},{"dropping-particle":"","family":"Gran","given":"Karen B","non-dropping-particle":"","parse-names":false,"suffix":""}],"container-title":"Catena","id":"ITEM-1","issued":{"date-parts":[["2013"]]},"page":"35-45","publisher":"Elsevier","title":"Modeling the impact of land use changes on runoff and sediment yield in the Le Sueur watershed, Minnesota using GeoWEPP","type":"article-journal","volume":"107"},"uris":["http://www.mendeley.com/documents/?uuid=58a60e5e-c9b6-4aa5-a830-b7b3e1989cbb"]}],"mendeley":{"formattedCitation":"(Maalim et al., 2013)","manualFormatting":"Maalim et al. (2013)","plainTextFormattedCitation":"(Maalim et al., 2013)","previouslyFormattedCitation":"(Maalim et al., 2013)"},"properties":{"noteIndex":0},"schema":"https://github.com/citation-style-language/schema/raw/master/csl-citation.json"}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Maalim et al. (2013)</w:t>
            </w:r>
            <w:r w:rsidRPr="001A46CB">
              <w:rPr>
                <w:rFonts w:asciiTheme="majorBidi" w:hAnsiTheme="majorBidi" w:cstheme="majorBidi"/>
                <w:sz w:val="20"/>
                <w:szCs w:val="24"/>
              </w:rPr>
              <w:fldChar w:fldCharType="end"/>
            </w:r>
          </w:p>
        </w:tc>
        <w:tc>
          <w:tcPr>
            <w:tcW w:w="0" w:type="auto"/>
          </w:tcPr>
          <w:p w14:paraId="75D854D1"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Minnesota River Basin</w:t>
            </w:r>
          </w:p>
        </w:tc>
        <w:tc>
          <w:tcPr>
            <w:tcW w:w="0" w:type="auto"/>
          </w:tcPr>
          <w:p w14:paraId="073AD396"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Minnesota</w:t>
            </w:r>
          </w:p>
        </w:tc>
        <w:tc>
          <w:tcPr>
            <w:tcW w:w="0" w:type="auto"/>
          </w:tcPr>
          <w:p w14:paraId="76D3C621"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Water Erosion Prediction Project (WEPP)</w:t>
            </w:r>
          </w:p>
        </w:tc>
        <w:tc>
          <w:tcPr>
            <w:tcW w:w="0" w:type="auto"/>
          </w:tcPr>
          <w:p w14:paraId="3564D960"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Runoff and sediment yield</w:t>
            </w:r>
          </w:p>
        </w:tc>
      </w:tr>
      <w:tr w:rsidR="00CA53B5" w:rsidRPr="001A46CB" w14:paraId="2C94E72A" w14:textId="77777777" w:rsidTr="00880B30">
        <w:tc>
          <w:tcPr>
            <w:tcW w:w="0" w:type="auto"/>
          </w:tcPr>
          <w:p w14:paraId="42141C4C"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{"citationItems":[{"id":"ITEM-1","itemData":{"ISSN":"0022-1694","author":[{"dropping-particle":"","family":"Xu","given":"Xianli","non-dropping-particle":"","parse-names":false,"suffix":""},{"dropping-particle":"","family":"Scanlon","given":"Bridget R","non-dropping-particle":"","parse-names":false,"suffix":""},{"dropping-particle":"","family":"Schilling","given":"Keith","non-dropping-particle":"","parse-names":false,"suffix":""},{"dropping-particle":"","family":"Sun","given":"Alex","non-dropping-particle":"","parse-names":false,"suffix":""}],"container-title":"Journal of hydrology","id":"ITEM-1","issued":{"date-parts":[["2013"]]},"page":"110-120","publisher":"Elsevier","title":"Relative importance of climate and land surface changes on hydrologic changes in the US Midwest since the 1930s: Implications for biofuel production","type":"article-journal","volume":"497"},"uris":["http://www.mendeley.com/documents/?uuid=b60c603f-1b35-4b8a-9239-a3a0fa82088a"]}],"mendeley":{"formattedCitation":"(Xu et al., 2013)","manualFormatting":"Xu et al. (2013)","plainTextFormattedCitation":"(Xu et al., 2013)","previouslyFormattedCitation":"(Xu et al., 2013)"},"properties":{"noteIndex":0},"schema":"https://github.com/citation-style-language/schema/raw/master/csl-citation.json"}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Xu et al. (2013)</w:t>
            </w:r>
            <w:r w:rsidRPr="001A46CB">
              <w:rPr>
                <w:rFonts w:asciiTheme="majorBidi" w:hAnsiTheme="majorBidi" w:cstheme="majorBidi"/>
                <w:sz w:val="20"/>
                <w:szCs w:val="24"/>
              </w:rPr>
              <w:fldChar w:fldCharType="end"/>
            </w:r>
          </w:p>
        </w:tc>
        <w:tc>
          <w:tcPr>
            <w:tcW w:w="0" w:type="auto"/>
          </w:tcPr>
          <w:p w14:paraId="188E6242"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50 different basins</w:t>
            </w:r>
          </w:p>
        </w:tc>
        <w:tc>
          <w:tcPr>
            <w:tcW w:w="0" w:type="auto"/>
          </w:tcPr>
          <w:p w14:paraId="295C3EDE"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Iowa, Illinois, Indiana and Ohio</w:t>
            </w:r>
          </w:p>
        </w:tc>
        <w:tc>
          <w:tcPr>
            <w:tcW w:w="0" w:type="auto"/>
          </w:tcPr>
          <w:p w14:paraId="52E489AA"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Statistical and trend analysis</w:t>
            </w:r>
          </w:p>
        </w:tc>
        <w:tc>
          <w:tcPr>
            <w:tcW w:w="0" w:type="auto"/>
          </w:tcPr>
          <w:p w14:paraId="24820F62"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Streamflow and baseflow</w:t>
            </w:r>
          </w:p>
        </w:tc>
      </w:tr>
      <w:tr w:rsidR="00CA53B5" w:rsidRPr="001A46CB" w14:paraId="3B2B5391" w14:textId="77777777" w:rsidTr="00880B30">
        <w:tc>
          <w:tcPr>
            <w:tcW w:w="0" w:type="auto"/>
          </w:tcPr>
          <w:p w14:paraId="6774F173"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{"citationItems":[{"id":"ITEM-1","itemData":{"DOI":"10.1111/gcbb.12307","ISSN":"17571707","abstract":"Cellulosic bioenergy feedstock such as perennial grasses and crop residues are expected to play a significant role in meeting US biofuel production targets. We used an improved version of the Soil and Water Assessment Tool (SWAT) to forecast impacts on watershed hydrology and water quality by implementing an array of plausible land-use changes associated with commercial bioenergy crop production for two watersheds in the Midwest USA. Watershed-scale impacts were estimated for 13 bioenergy crop production scenarios, including: production of Miscanthus × giganteus and upland Shawnee switchgrass on highly erodible landscape positions, agricultural marginal land areas and pastures, removal of corn stover and combinations of these options. Water quality, measured as erosion and sediment loading, was forecasted to improve compared to baseline when perennial grasses were used for bioenergy production, but not with stover removal scenarios. Erosion reduction with perennial energy crop production scenarios ranged between 0.2% and 59%. Stream flow at the watershed outlet was reduced between 0 and 8% across these bioenergy crop production scenarios compared to baseline across the study watersheds. Results indicate that bioenergy production scenarios that incorporate perennial grasses reduced the nonpoint source pollutant load at the watershed outlet compared to the baseline conditions (0–20% for nitrate-nitrogen and 3–56% for mineral phosphorus); however, the reduction rates were specific to site characteristics and management practices.","author":[{"dropping-particle":"","family":"Cibin","given":"Raj","non-dropping-particle":"","parse-names":false,"suffix":""},{"dropping-particle":"","family":"Trybula","given":"Elizabeth","non-dropping-particle":"","parse-names":false,"suffix":""},{"dropping-particle":"","family":"Chaubey","given":"Indrajeet","non-dropping-particle":"","parse-names":false,"suffix":""},{"dropping-particle":"","family":"Brouder","given":"Sylvie M.","non-dropping-particle":"","parse-names":false,"suffix":""},{"dropping-particle":"","family":"Volenec","given":"Jeffrey J.","non-dropping-particle":"","parse-names":false,"suffix":""}],"container-title":"GCB Bioenergy","id":"ITEM-1","issue":"4","issued":{"date-parts":[["2016"]]},"page":"837-848","title":"Watershed-scale impacts of bioenergy crops on hydrology and water quality using improved SWAT model","type":"article-journal","volume":"8"},"uris":["http://www.mendeley.com/documents/?uuid=c2f60fd6-a362-4b63-8920-7b9f91a6413a"]}],"mendeley":{"formattedCitation":"(Cibin et al., 2016)","manualFormatting":"Cibin et al. (2016)","plainTextFormattedCitation":"(Cibin et al., 2016)","previouslyFormattedCitation":"(Cibin et al., 2016)"},"properties":{"noteIndex":0},"schema":"https://github.com/citation-style-language/schema/raw/master/csl-citation.json"}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Cibin et al. (2016)</w:t>
            </w:r>
            <w:r w:rsidRPr="001A46CB">
              <w:rPr>
                <w:rFonts w:asciiTheme="majorBidi" w:hAnsiTheme="majorBidi" w:cstheme="majorBidi"/>
                <w:sz w:val="20"/>
                <w:szCs w:val="24"/>
              </w:rPr>
              <w:fldChar w:fldCharType="end"/>
            </w:r>
          </w:p>
        </w:tc>
        <w:tc>
          <w:tcPr>
            <w:tcW w:w="0" w:type="auto"/>
          </w:tcPr>
          <w:p w14:paraId="0C5FB5A7"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Wildcat Creek watershed and St Joseph River watershed</w:t>
            </w:r>
          </w:p>
        </w:tc>
        <w:tc>
          <w:tcPr>
            <w:tcW w:w="0" w:type="auto"/>
          </w:tcPr>
          <w:p w14:paraId="4EC87839"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Indiana and Ohio</w:t>
            </w:r>
          </w:p>
        </w:tc>
        <w:tc>
          <w:tcPr>
            <w:tcW w:w="0" w:type="auto"/>
          </w:tcPr>
          <w:p w14:paraId="7BB8F127"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SWAT</w:t>
            </w:r>
          </w:p>
        </w:tc>
        <w:tc>
          <w:tcPr>
            <w:tcW w:w="0" w:type="auto"/>
          </w:tcPr>
          <w:p w14:paraId="01086C31"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Flow, sediment, nitrogen and phosphorus</w:t>
            </w:r>
          </w:p>
        </w:tc>
      </w:tr>
      <w:tr w:rsidR="00CA53B5" w:rsidRPr="001A46CB" w14:paraId="768EC8BA" w14:textId="77777777" w:rsidTr="00880B30">
        <w:tc>
          <w:tcPr>
            <w:tcW w:w="0" w:type="auto"/>
          </w:tcPr>
          <w:p w14:paraId="0831AB43"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{"citationItems":[{"id":"ITEM-1","itemData":{"DOI":"10.5194/hess-2016-34","ISSN":"18122116","abstract":"Model-data comparisons are always challenging, especially when working at a large spatial scale and evaluating multiple response variables. We implemented the Soil and Water Assessment Tool (SWAT) to simulate water quantity and quality for the Tennessee River Basin. We developed three innovations to overcome hurdles associated with limited data for model evaluation: 1) we implemented an auto-calibration approach to allow simultaneous calibration against multiple responses, including intermediate response variables, 2) we identified empirical spatiotemporal datasets to use in our comparison, and 3) we compared functional patterns in landuse-nutrient relationships between SWAT and empirical data. Comparing monthly SWAT-simulated runoff against USGS data produced satisfactory median Nash-Sutcliffe Efficiencies of 0.83 and 0.72 for calibration and validation periods, respectively. SWAT-simulated water quality responses (sediment, TP, TN, and inorganic N) reproduced the seasonal patterns found in LOADEST data. SWAT-simulated spatial TN loadings were significantly correlated with empirical SPARROW estimates. The spatial correlation analyses indicated that SWAT-modeled runoff was primarily controlled by precipitation; sedimentation was controlled by topography; and NO3 and soluble P were highly influenced by land management, particularly the proportion of agricultural lands in a subbasin.","author":[{"dropping-particle":"","family":"Wang","given":"Gangsheng","non-dropping-particle":"","parse-names":false,"suffix":""},{"dropping-particle":"","family":"Jager","given":"Henriette I.","non-dropping-particle":"","parse-names":false,"suffix":""},{"dropping-particle":"","family":"Baskaran","given":"Latha M.","non-dropping-particle":"","parse-names":false,"suffix":""},{"dropping-particle":"","family":"Baker","given":"Tyler F.","non-dropping-particle":"","parse-names":false,"suffix":""},{"dropping-particle":"","family":"Brandt","given":"Craig C.","non-dropping-particle":"","parse-names":false,"suffix":""}],"container-title":"Hydrology and Earth System Sciences Discussions","id":"ITEM-1","issue":"January","issued":{"date-parts":[["2016"]]},"title":"SWAT Modeling of Water Quantity and Quality in the Tennessee River Basin: Spatiotemporal Calibration and Validation","type":"article-journal","volume":"2016"},"uris":["http://www.mendeley.com/documents/?uuid=fd70629e-7426-447a-89ed-83dc7b7b6e04"]}],"mendeley":{"formattedCitation":"(Wang et al., 2016)","manualFormatting":"Wang et al. (2016)","plainTextFormattedCitation":"(Wang et al., 2016)","previouslyFormattedCitation":"(Wang et al., 2016)"},"properties":{"noteIndex":0},"schema":"https://github.com/citation-style-language/schema/raw/master/csl-citation.json"}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Wang et al. (2016)</w:t>
            </w:r>
            <w:r w:rsidRPr="001A46CB">
              <w:rPr>
                <w:rFonts w:asciiTheme="majorBidi" w:hAnsiTheme="majorBidi" w:cstheme="majorBidi"/>
                <w:sz w:val="20"/>
                <w:szCs w:val="24"/>
              </w:rPr>
              <w:fldChar w:fldCharType="end"/>
            </w:r>
          </w:p>
        </w:tc>
        <w:tc>
          <w:tcPr>
            <w:tcW w:w="0" w:type="auto"/>
          </w:tcPr>
          <w:p w14:paraId="7483D026"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Tennessee River Basin</w:t>
            </w:r>
          </w:p>
        </w:tc>
        <w:tc>
          <w:tcPr>
            <w:tcW w:w="0" w:type="auto"/>
          </w:tcPr>
          <w:p w14:paraId="7FD54573"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Tennessee</w:t>
            </w:r>
          </w:p>
        </w:tc>
        <w:tc>
          <w:tcPr>
            <w:tcW w:w="0" w:type="auto"/>
          </w:tcPr>
          <w:p w14:paraId="33D65287"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SWAT</w:t>
            </w:r>
          </w:p>
        </w:tc>
        <w:tc>
          <w:tcPr>
            <w:tcW w:w="0" w:type="auto"/>
          </w:tcPr>
          <w:p w14:paraId="4028C15C"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Streamflow, nitrogen and phosphorus</w:t>
            </w:r>
          </w:p>
        </w:tc>
      </w:tr>
      <w:tr w:rsidR="00CA53B5" w:rsidRPr="001A46CB" w14:paraId="5D92E79C" w14:textId="77777777" w:rsidTr="00880B30">
        <w:tc>
          <w:tcPr>
            <w:tcW w:w="0" w:type="auto"/>
          </w:tcPr>
          <w:p w14:paraId="5EB76D65"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{"citationItems":[{"id":"ITEM-1","itemData":{"DOI":"10.3390/w11081603","ISSN":"20734441","abstract":"The change in both streamflow and baseflow in urban catchments has received significant attention in recent decades as a result of their drastic variability. In this research, effects of climate variation and dynamics of land use are measured separately and in combination with streamflow and baseflow in the Little Eagle Creek (LEC) watershed (Indianapolis, Indiana). These effects are examined using land-use maps, statistical tests, and hydrological modeling. Transition matrix analysis was used to investigate the change in land use between 1992 and 2011. Temporal trends and changes in meteorological data were evaluated from 1980-2017 using the Mann-Kendall test. Changes in streamflow and baseflow were assessed using the Soil andWater Assessment Tool (SWAT) hydrological model using multiple scenarios that varied in land use and climate change. Evaluation of the model outputs showed streamflow and baseflow in LEC are well represented using SWAT. During 1992-2011, roughly 30% of the watershed experienced change, typically cultivated agricultural areas became urbanized. Baseflow is significantly affected by the observed urbanization; however, the combination of land and climate variability has a larger effect on the baseflow in LEC. Generally, the variability in the baseflow and streamflow appears to be heavily driven by the response to climate change in comparison to variability due to altered land use. The results reported herein expand the current understanding of variation in hydrological components, and provide useful information for management planning regarding water resources, as well as water and soil conservation in urban watersheds in Indiana and beyond.","author":[{"dropping-particle":"","family":"Aboelnour","given":"Mohamed","non-dropping-particle":"","parse-names":false,"suffix":""},{"dropping-particle":"","family":"Gitau","given":"Margaret W.","non-dropping-particle":"","parse-names":false,"suffix":""},{"dropping-particle":"","family":"Engel","given":"Bernard A.","non-dropping-particle":"","parse-names":false,"suffix":""}],"container-title":"Water (Switzerland)","id":"ITEM-1","issue":"8","issued":{"date-parts":[["2019"]]},"page":"1-23","title":"Hydrologic response in an urban watershed as affected by climate and land-use change","type":"article-journal","volume":"11"},"uris":["http://www.mendeley.com/documents/?uuid=829a6235-ff99-4f88-a360-c7daa5dc9198"]}],"mendeley":{"formattedCitation":"(Aboelnour et al., 2019)","manualFormatting":"Aboelnour et al. (2019)","plainTextFormattedCitation":"(Aboelnour et al., 2019)","previouslyFormattedCitation":"(Aboelnour et al., 2019)"},"properties":{"noteIndex":0},"schema":"https://github.com/citation-style-language/schema/raw/master/csl-citation.json"}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Aboelnour et al. (2019)</w:t>
            </w:r>
            <w:r w:rsidRPr="001A46CB">
              <w:rPr>
                <w:rFonts w:asciiTheme="majorBidi" w:hAnsiTheme="majorBidi" w:cstheme="majorBidi"/>
                <w:sz w:val="20"/>
                <w:szCs w:val="24"/>
              </w:rPr>
              <w:fldChar w:fldCharType="end"/>
            </w:r>
          </w:p>
        </w:tc>
        <w:tc>
          <w:tcPr>
            <w:tcW w:w="0" w:type="auto"/>
          </w:tcPr>
          <w:p w14:paraId="3DECB633"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Little Eagle Creek</w:t>
            </w:r>
          </w:p>
        </w:tc>
        <w:tc>
          <w:tcPr>
            <w:tcW w:w="0" w:type="auto"/>
          </w:tcPr>
          <w:p w14:paraId="3D169BB1"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Indiana</w:t>
            </w:r>
          </w:p>
        </w:tc>
        <w:tc>
          <w:tcPr>
            <w:tcW w:w="0" w:type="auto"/>
          </w:tcPr>
          <w:p w14:paraId="275FB4FC"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SWAT</w:t>
            </w:r>
          </w:p>
        </w:tc>
        <w:tc>
          <w:tcPr>
            <w:tcW w:w="0" w:type="auto"/>
          </w:tcPr>
          <w:p w14:paraId="1DAEFFAA"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Streamflow and baseflow</w:t>
            </w:r>
          </w:p>
        </w:tc>
      </w:tr>
      <w:tr w:rsidR="00CA53B5" w:rsidRPr="001A46CB" w14:paraId="0A5E4615" w14:textId="77777777" w:rsidTr="00880B30">
        <w:tc>
          <w:tcPr>
            <w:tcW w:w="0" w:type="auto"/>
          </w:tcPr>
          <w:p w14:paraId="67CC371E"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{"citationItems":[{"id":"ITEM-1","itemData":{"ISSN":"2073-4441","author":[{"dropping-particle":"","family":"Hubbart","given":"Jason A","non-dropping-particle":"","parse-names":false,"suffix":""},{"dropping-particle":"","family":"Kellner","given":"Elliott","non-dropping-particle":"","parse-names":false,"suffix":""},{"dropping-particle":"","family":"Zeiger","given":"Sean J","non-dropping-particle":"","parse-names":false,"suffix":""}],"container-title":"Water","id":"ITEM-1","issue":"11","issued":{"date-parts":[["2019"]]},"page":"2355","publisher":"MDPI","title":"A case-study application of the experimental watershed study design to advance adaptive management of contemporary watersheds","type":"article-journal","volume":"11"},"uris":["http://www.mendeley.com/documents/?uuid=19cc57ac-864b-4ea4-a49c-e520174a2340"]}],"mendeley":{"formattedCitation":"(Hubbart et al., 2019)","manualFormatting":"Hubbart et al. (2019)","plainTextFormattedCitation":"(Hubbart et al., 2019)","previouslyFormattedCitation":"(Hubbart et al., 2019)"},"properties":{"noteIndex":0},"schema":"https://github.com/citation-style-language/schema/raw/master/csl-citation.json"}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Hubbart et al. (2019)</w:t>
            </w:r>
            <w:r w:rsidRPr="001A46CB">
              <w:rPr>
                <w:rFonts w:asciiTheme="majorBidi" w:hAnsiTheme="majorBidi" w:cstheme="majorBidi"/>
                <w:sz w:val="20"/>
                <w:szCs w:val="24"/>
              </w:rPr>
              <w:fldChar w:fldCharType="end"/>
            </w:r>
          </w:p>
        </w:tc>
        <w:tc>
          <w:tcPr>
            <w:tcW w:w="0" w:type="auto"/>
          </w:tcPr>
          <w:p w14:paraId="206B65DF"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Hinkson Creek Watershed</w:t>
            </w:r>
          </w:p>
          <w:p w14:paraId="532FEC09" w14:textId="77777777" w:rsidR="00CA53B5" w:rsidRPr="001A46CB" w:rsidRDefault="00CA53B5" w:rsidP="00880B30">
            <w:pPr>
              <w:jc w:val="both"/>
              <w:rPr>
                <w:rFonts w:asciiTheme="majorBidi" w:hAnsiTheme="majorBidi" w:cstheme="majorBidi"/>
                <w:sz w:val="20"/>
                <w:szCs w:val="24"/>
              </w:rPr>
            </w:pPr>
          </w:p>
        </w:tc>
        <w:tc>
          <w:tcPr>
            <w:tcW w:w="0" w:type="auto"/>
          </w:tcPr>
          <w:p w14:paraId="707EEECE"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Missouri</w:t>
            </w:r>
          </w:p>
        </w:tc>
        <w:tc>
          <w:tcPr>
            <w:tcW w:w="0" w:type="auto"/>
          </w:tcPr>
          <w:p w14:paraId="509C575C"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Nested-scale experimental watershed study design</w:t>
            </w:r>
          </w:p>
        </w:tc>
        <w:tc>
          <w:tcPr>
            <w:tcW w:w="0" w:type="auto"/>
          </w:tcPr>
          <w:p w14:paraId="18D04E73"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Hydrology regime and nutrient yield</w:t>
            </w:r>
          </w:p>
        </w:tc>
      </w:tr>
      <w:tr w:rsidR="00CA53B5" w:rsidRPr="001A46CB" w14:paraId="57FB9D08" w14:textId="77777777" w:rsidTr="00880B30">
        <w:tc>
          <w:tcPr>
            <w:tcW w:w="0" w:type="auto"/>
          </w:tcPr>
          <w:p w14:paraId="5DB33EDC"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{"citationItems":[{"id":"ITEM-1","itemData":{"DOI":"10.3390/w12010191","ISSN":"20734441","abstract":"Alteration of land use and climate change are among the main variables affecting watershed hydrology. Characterizing the impacts of climate variation and land use alteration on water resources is essential in managing watersheds. Thus, in this research, streamflow and baseflow responses to climate and land use variation were modeled in two watersheds, the UpperWest Branch DuPage River (UWBDR) watershed in Illinois and Walzem Creek watershed in Texas. The variations in streamflow and baseflow were evaluated using the Soil and Water Assessment Tool (SWAT) hydrological model. The alteration in land use between 1992 and 2011 was evaluated using transition matrix analysis. The non-parametric Mann-Kendall test was adopted to investigate changes in meteorological data for 1980-2017. Our results indicate that the baseflow accounted for almost 55.3% and 33.3% of the annual streamflow in the UWBDR and Walzem Creek watersheds, respectively. The contribution of both land use alteration and climate variability on the flow variation is higher in the UWBDR watershed. In Walzem Creek, the alteration in streamflow and baseflow appears to be driven by the effect of urbanization more than that of climate variability. The results reported herein are compared with results reported in recent work by the authors in order to provide necessary information for water resources management planning, as well as soil and water conservation, and to broaden the current understanding of hydrological components variation in different climate regions.","author":[{"dropping-particle":"","family":"Aboelnour","given":"Mohamed","non-dropping-particle":"","parse-names":false,"suffix":""},{"dropping-particle":"","family":"Gitau","given":"Margaret W.","non-dropping-particle":"","parse-names":false,"suffix":""},{"dropping-particle":"","family":"Engel","given":"Bernard A.","non-dropping-particle":"","parse-names":false,"suffix":""}],"container-title":"Water (Switzerland)","id":"ITEM-1","issue":"1","issued":{"date-parts":[["2020"]]},"title":"A comparison of streamflow and baseflow responses to land-use change and the variation in climate parameters using SWAT","type":"article-journal","volume":"12"},"uris":["http://www.mendeley.com/documents/?uuid=058afe71-a4f3-4dd2-b5da-eaece5372056"]}],"mendeley":{"formattedCitation":"(Aboelnour et al., 2020)","manualFormatting":"Aboelnour et al. (2020)","plainTextFormattedCitation":"(Aboelnour et al., 2020)","previouslyFormattedCitation":"(Aboelnour et al., 2020)"},"properties":{"noteIndex":0},"schema":"https://github.com/citation-style-language/schema/raw/master/csl-citation.json"}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Aboelnour et al. (2020)</w:t>
            </w:r>
            <w:r w:rsidRPr="001A46CB">
              <w:rPr>
                <w:rFonts w:asciiTheme="majorBidi" w:hAnsiTheme="majorBidi" w:cstheme="majorBidi"/>
                <w:sz w:val="20"/>
                <w:szCs w:val="24"/>
              </w:rPr>
              <w:fldChar w:fldCharType="end"/>
            </w:r>
          </w:p>
        </w:tc>
        <w:tc>
          <w:tcPr>
            <w:tcW w:w="0" w:type="auto"/>
          </w:tcPr>
          <w:p w14:paraId="407F76B5"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Upper West Branch DuPage River</w:t>
            </w:r>
          </w:p>
        </w:tc>
        <w:tc>
          <w:tcPr>
            <w:tcW w:w="0" w:type="auto"/>
          </w:tcPr>
          <w:p w14:paraId="74F9D019"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Illinois</w:t>
            </w:r>
          </w:p>
        </w:tc>
        <w:tc>
          <w:tcPr>
            <w:tcW w:w="0" w:type="auto"/>
          </w:tcPr>
          <w:p w14:paraId="2EB140D3"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SWAT</w:t>
            </w:r>
          </w:p>
        </w:tc>
        <w:tc>
          <w:tcPr>
            <w:tcW w:w="0" w:type="auto"/>
          </w:tcPr>
          <w:p w14:paraId="6110AE4D"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Streamflow and baseflow</w:t>
            </w:r>
          </w:p>
        </w:tc>
      </w:tr>
      <w:tr w:rsidR="00CA53B5" w:rsidRPr="001A46CB" w14:paraId="095CCC80" w14:textId="77777777" w:rsidTr="00880B30">
        <w:tc>
          <w:tcPr>
            <w:tcW w:w="0" w:type="auto"/>
          </w:tcPr>
          <w:p w14:paraId="6AC42CAC"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{"citationItems":[{"id":"ITEM-1","itemData":{"DOI":"10.3390/w13192618","ISSN":"20734441","abstract":"Land use influences water quality in streams at different spatial scales and varies in time and space. Water quality has long been associated with agricultural and urban land uses in catchments. The effects of developed, forest, pasture, and agricultural land use on nitrogen, nitrate, and nitrite (NNN); total phosphorus (TP); total suspended solids (TSS); chemical oxygen demand (COD); dissolved oxygen (DO) and total Kjeldahl nitrogen (TKN) concentrations and their sensitivity were quantified to spatial pattern differences. The linear mixed modeling framework was used to examine the importance of spatial extent on models with water quality parameters as the response variable and land use types as the predictor variable. The results indicated that land use categories on different water quality parameters were significant and dependent on the selected spatial scales. Land use exhibited a strong association with total phosphorus and total suspended solids for close reach distances. Phosphorus is not highly soluble, and it binds strongly to fine soil particles, which are transported by water via runoff. Nitrogen, nitrate, and nitrite, dissolved oxygen, chemical oxygen demand, and total Kjeldahl nitrogen concentrations were better predicted for further reach distances, such as 45 or 50 km, where the best model of nitrogen, nitrate, and nitrite is consistent with the high mobility of NO3−.","author":[{"dropping-particle":"","family":"Vera Mercado","given":"Johann Alexander","non-dropping-particle":"","parse-names":false,"suffix":""},{"dropping-particle":"","family":"Engel","given":"Bernard","non-dropping-particle":"","parse-names":false,"suffix":""}],"container-title":"Water (Switzerland)","id":"ITEM-1","issue":"19","issued":{"date-parts":[["2021"]]},"title":"Multi-scale analysis of the dependence of water quality on land use using linear and mixed models","type":"article-journal","volume":"13"},"uris":["http://www.mendeley.com/documents/?uuid=abf6dcc3-dd5f-4992-bbc5-21fcc15b67e4"]}],"mendeley":{"formattedCitation":"(Vera Mercado &amp; Engel, 2021)","manualFormatting":"Vera Mercado and Engel (2021)","plainTextFormattedCitation":"(Vera Mercado &amp; Engel, 2021)","previouslyFormattedCitation":"(Vera Mercado &amp; Engel, 2021)"},"properties":{"noteIndex":0},"schema":"https://github.com/citation-style-language/schema/raw/master/csl-citation.json"}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Vera Mercado and Engel (2021)</w:t>
            </w:r>
            <w:r w:rsidRPr="001A46CB">
              <w:rPr>
                <w:rFonts w:asciiTheme="majorBidi" w:hAnsiTheme="majorBidi" w:cstheme="majorBidi"/>
                <w:sz w:val="20"/>
                <w:szCs w:val="24"/>
              </w:rPr>
              <w:fldChar w:fldCharType="end"/>
            </w:r>
          </w:p>
        </w:tc>
        <w:tc>
          <w:tcPr>
            <w:tcW w:w="0" w:type="auto"/>
          </w:tcPr>
          <w:p w14:paraId="02F2AA7D"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Wabash River basin</w:t>
            </w:r>
          </w:p>
        </w:tc>
        <w:tc>
          <w:tcPr>
            <w:tcW w:w="0" w:type="auto"/>
          </w:tcPr>
          <w:p w14:paraId="32833562"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Indiana and Ohio</w:t>
            </w:r>
          </w:p>
        </w:tc>
        <w:tc>
          <w:tcPr>
            <w:tcW w:w="0" w:type="auto"/>
          </w:tcPr>
          <w:p w14:paraId="6EA3BE60"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Statistical analysis (linear and mixed models)</w:t>
            </w:r>
          </w:p>
        </w:tc>
        <w:tc>
          <w:tcPr>
            <w:tcW w:w="0" w:type="auto"/>
          </w:tcPr>
          <w:p w14:paraId="1ACB6E8D"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Nitrogen, phosphorous, sediment, and oxygen</w:t>
            </w:r>
          </w:p>
        </w:tc>
      </w:tr>
      <w:tr w:rsidR="00CA53B5" w:rsidRPr="001A46CB" w14:paraId="7785476E" w14:textId="77777777" w:rsidTr="00880B30">
        <w:tc>
          <w:tcPr>
            <w:tcW w:w="0" w:type="auto"/>
          </w:tcPr>
          <w:p w14:paraId="481E0398"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{"citationItems":[{"id":"ITEM-1","itemData":{"DOI":"10.1016/j.watres.2021.117976","ISSN":"18792448","PMID":"34953214","abstract":"Identifying the key processes and primary sources of water and nutrient losses is essential for water quantity and quality management in watersheds. This is especially true in the U.S. Corn Belt, which has been recognized as the primary region contributing nutrient loads to the Great Lakes and the Gulf of Mexico. A SWAT (Soil and Water Assessment Tool) model simulation was set up in an agricultural watershed with about 50% tile drainage area in the U.S. Corn Belt to study the water and nutrient balance components for the whole watershed and the corn-soybean rotation system. The SWAT model was improved to consider additional nitrogen and phosphorus loss paths from the soil. The model was comprehensively calibrated and validated for simulating monthly stream flow, total suspended solids (TSS), nutrient loads (including total Kjeldahl nitrogen (TKN), nitrate and nitrite nitrogen (NOx-N), total phosphorus (TP) and orthophosphate phosphorus (orthoP)), actual evapotranspiration (ETa), leaf area index (LAI) and annual crop yields in the watershed from 2011 to 2019. Results showed the model performance was very good for simulating the stream flow, TSS and ETa, and acceptable for nutrient loads, LAI and crop yields. ETa, surface runoff, lateral soil flow, tile drainage and percolation respectively accounted for 65%, 15%, 2%, 8% and 9% of the precipitation. Fertilizer was the main source of nitrogen and phosphorus input to the watershed, and harvested crops were the main paths removing nutrients. Surface runoff, tile drainage and percolation each contributed about 30% of total nitrogen losses to water, with surface runoff being dominated by organic nitrogen while tile drainage and percolation were dominated by nitrate nitrogen. Phosphorus losses were mainly through surface runoff, which resulted in 66% of the total losses and was dominated by organic phosphorus and soluble phosphorus. Representing about 49% of the watershed area, the corn-soybean rotation system contributed 83% and 88% of the total nitrogen and phosphorus inputs, respectively, to the watershed, as well as 64% and 46% of the nitrogen and phosphorus losses to the water system, respectively. The non-growing season (October to the next April) was identified as the critical period resulting in water and nutrient losses due to low evapotranspiration and plant uptake. Targeted management strategies for reducing nutrient loads in key hydrological paths were suggested.","author":[{"dropping-particle":"","family":"Ren","given":"Dongyang","non-dropping-particle":"","parse-names":false,"suffix":""},{"dropping-particle":"","family":"Engel","given":"Bernard","non-dropping-particle":"","parse-names":false,"suffix":""},{"dropping-particle":"","family":"Mercado","given":"Johann Alexander Vera","non-dropping-particle":"","parse-names":false,"suffix":""},{"dropping-particle":"","family":"Guo","given":"Tian","non-dropping-particle":"","parse-names":false,"suffix":""},{"dropping-particle":"","family":"Liu","given":"Yaoze","non-dropping-particle":"","parse-names":false,"suffix":""},{"dropping-particle":"","family":"Huang","given":"Guanhua","non-dropping-particle":"","parse-names":false,"suffix":""}],"container-title":"Water Research","id":"ITEM-1","issue":"August 2021","issued":{"date-parts":[["2022"]]},"page":"117976","publisher":"Elsevier Ltd","title":"Modeling and assessing water and nutrient balances in a tile-drained agricultural watershed in the U.S. Corn Belt","type":"article-journal","volume":"210"},"uris":["http://www.mendeley.com/documents/?uuid=2d837ecd-4a05-4ef8-9033-883ae86b89d9"]}],"mendeley":{"formattedCitation":"(Ren et al., 2022)","manualFormatting":"Ren et al. (2022)","plainTextFormattedCitation":"(Ren et al., 2022)","previouslyFormattedCitation":"(Ren et al., 2022)"},"properties":{"noteIndex":0},"schema":"https://github.com/citation-style-language/schema/raw/master/csl-citation.json"}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Ren et al. (2022)</w:t>
            </w:r>
            <w:r w:rsidRPr="001A46CB">
              <w:rPr>
                <w:rFonts w:asciiTheme="majorBidi" w:hAnsiTheme="majorBidi" w:cstheme="majorBidi"/>
                <w:sz w:val="20"/>
                <w:szCs w:val="24"/>
              </w:rPr>
              <w:fldChar w:fldCharType="end"/>
            </w:r>
          </w:p>
        </w:tc>
        <w:tc>
          <w:tcPr>
            <w:tcW w:w="0" w:type="auto"/>
          </w:tcPr>
          <w:p w14:paraId="427CC7CB"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St Joseph River watershed</w:t>
            </w:r>
          </w:p>
        </w:tc>
        <w:tc>
          <w:tcPr>
            <w:tcW w:w="0" w:type="auto"/>
          </w:tcPr>
          <w:p w14:paraId="48098DF6"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Indiana and Ohio</w:t>
            </w:r>
          </w:p>
        </w:tc>
        <w:tc>
          <w:tcPr>
            <w:tcW w:w="0" w:type="auto"/>
          </w:tcPr>
          <w:p w14:paraId="319800B1"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SWAT</w:t>
            </w:r>
          </w:p>
        </w:tc>
        <w:tc>
          <w:tcPr>
            <w:tcW w:w="0" w:type="auto"/>
          </w:tcPr>
          <w:p w14:paraId="2F5F567A"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Streamflow, evapotranspiration, leaf area index, sediment, nitrogen, and phosphorous</w:t>
            </w:r>
          </w:p>
        </w:tc>
      </w:tr>
      <w:tr w:rsidR="00CA53B5" w:rsidRPr="001A46CB" w14:paraId="2E880948" w14:textId="77777777" w:rsidTr="00880B30">
        <w:tc>
          <w:tcPr>
            <w:tcW w:w="0" w:type="auto"/>
            <w:tcBorders>
              <w:bottom w:val="single" w:sz="4" w:space="0" w:color="auto"/>
            </w:tcBorders>
          </w:tcPr>
          <w:p w14:paraId="4F12413E"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fldChar w:fldCharType="begin" w:fldLock="1"/>
            </w:r>
            <w:r w:rsidRPr="001A46CB">
              <w:rPr>
                <w:rFonts w:asciiTheme="majorBidi" w:hAnsiTheme="majorBidi" w:cstheme="majorBidi"/>
                <w:sz w:val="20"/>
                <w:szCs w:val="24"/>
              </w:rPr>
              <w:instrText>ADDIN CSL_CITATION {"citationItems":[{"id":"ITEM-1","itemData":{"DOI":"10.1007/s10021-021-00664-2","ISSN":"1435-0629","abstract":"Stream metabolism, in the form of gross primary production (GPP) and ecosystem respiration (ER), is an important metric of stream ecosystem function, given GPP and ER are integrative measurements of basal ecosystem activity that are highly sensitive to environmental change. In agricultural streams of temperate North America GPP can be mediated by water column turbidity associated with soil erosion during periods when the terrestrial landscape is bare (that is, typically late fall through spring; Oct–May in N America). We estimated a 10-year time series of stream metabolism using continuous dissolved oxygen measurements in an agricultural watershed (Shatto Ditch, IN), comparing metabolism metrics before and after vegetative cover was added to fields during normally fallow periods when they would otherwise be bare. Adding vegetative cover reduced water column turbidity by 54% during days with high precipitation (upper 25th percentile). We also found that GPP varied seasonally with light and temperature (range = 0.1–17.2 g m−2 d−1) and increased significantly in spring with landscape vegetative cover addition. Finally, we used a subset of storms to show that turbidity was lower and GPP was higher during storms after adding watershed vegetative cover, suggesting that increased GPP could be attributed to increased light availability with less turbid water. We found that ER also increased after adding vegetative cover, which we attribute, in part, to increased autotrophic respiration. These results suggest that water turbidity is a mediating driver of stream metabolism, particularly when other primary drivers are not limiting GPP. Likewise, stream turbidity can be mediated by land cover on the surrounding watershed, demonstrating a clear linkage between land use and stream metabolic signatures.","author":[{"dropping-particle":"","family":"Trentman","given":"Matt T","non-dropping-particle":"","parse-names":false,"suffix":""},{"dropping-particle":"","family":"Tank","given":"Jennifer L","non-dropping-particle":"","parse-names":false,"suffix":""},{"dropping-particle":"","family":"Davis","given":"Robert T","non-dropping-particle":"","parse-names":false,"suffix":""},{"dropping-particle":"","family":"Hanrahan","given":"Brittany R","non-dropping-particle":"","parse-names":false,"suffix":""},{"dropping-particle":"","family":"Mahl","given":"Ursula H","non-dropping-particle":"","parse-names":false,"suffix":""},{"dropping-particle":"","family":"Roley","given":"Sarah S","non-dropping-particle":"","parse-names":false,"suffix":""}],"container-title":"Ecosystems","id":"ITEM-1","issue":"2","issued":{"date-parts":[["2022"]]},"page":"441-456","title":"Watershed-scale Land Use Change Increases Ecosystem Metabolism in an Agricultural Stream","type":"article-journal","volume":"25"},"uris":["http://www.mendeley.com/documents/?uuid=68ece470-af04-4919-b14c-ece1a86e9f2e"]}],"mendeley":{"formattedCitation":"(Trentman et al., 2022)","manualFormatting":"Trentman et al. (2022)","plainTextFormattedCitation":"(Trentman et al., 2022)","previouslyFormattedCitation":"(Trentman et al., 2022)"},"properties":{"noteIndex":0},"schema":"https://github.com/citation-style-language/schema/raw/master/csl-citation.json"}</w:instrText>
            </w:r>
            <w:r w:rsidRPr="001A46CB">
              <w:rPr>
                <w:rFonts w:asciiTheme="majorBidi" w:hAnsiTheme="majorBidi" w:cstheme="majorBidi"/>
                <w:sz w:val="20"/>
                <w:szCs w:val="24"/>
              </w:rPr>
              <w:fldChar w:fldCharType="separate"/>
            </w:r>
            <w:r w:rsidRPr="001A46CB">
              <w:rPr>
                <w:rFonts w:asciiTheme="majorBidi" w:hAnsiTheme="majorBidi" w:cstheme="majorBidi"/>
                <w:noProof/>
                <w:sz w:val="20"/>
                <w:szCs w:val="24"/>
              </w:rPr>
              <w:t>Trentman et al. (2022)</w:t>
            </w:r>
            <w:r w:rsidRPr="001A46CB">
              <w:rPr>
                <w:rFonts w:asciiTheme="majorBidi" w:hAnsiTheme="majorBidi" w:cstheme="majorBidi"/>
                <w:sz w:val="20"/>
                <w:szCs w:val="24"/>
              </w:rPr>
              <w:fldChar w:fldCharType="end"/>
            </w:r>
          </w:p>
        </w:tc>
        <w:tc>
          <w:tcPr>
            <w:tcW w:w="0" w:type="auto"/>
            <w:tcBorders>
              <w:bottom w:val="single" w:sz="4" w:space="0" w:color="auto"/>
            </w:tcBorders>
          </w:tcPr>
          <w:p w14:paraId="0A5DD226"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Shatto Ditch Watershed</w:t>
            </w:r>
          </w:p>
        </w:tc>
        <w:tc>
          <w:tcPr>
            <w:tcW w:w="0" w:type="auto"/>
            <w:tcBorders>
              <w:bottom w:val="single" w:sz="4" w:space="0" w:color="auto"/>
            </w:tcBorders>
          </w:tcPr>
          <w:p w14:paraId="4C53C17D"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Indiana</w:t>
            </w:r>
          </w:p>
        </w:tc>
        <w:tc>
          <w:tcPr>
            <w:tcW w:w="0" w:type="auto"/>
            <w:tcBorders>
              <w:bottom w:val="single" w:sz="4" w:space="0" w:color="auto"/>
            </w:tcBorders>
          </w:tcPr>
          <w:p w14:paraId="4432AF67"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Field observations</w:t>
            </w:r>
          </w:p>
        </w:tc>
        <w:tc>
          <w:tcPr>
            <w:tcW w:w="0" w:type="auto"/>
            <w:tcBorders>
              <w:bottom w:val="single" w:sz="4" w:space="0" w:color="auto"/>
            </w:tcBorders>
          </w:tcPr>
          <w:p w14:paraId="677FD7D6" w14:textId="77777777" w:rsidR="00CA53B5" w:rsidRPr="001A46CB" w:rsidRDefault="00CA53B5" w:rsidP="00880B30">
            <w:pPr>
              <w:jc w:val="both"/>
              <w:rPr>
                <w:rFonts w:asciiTheme="majorBidi" w:hAnsiTheme="majorBidi" w:cstheme="majorBidi"/>
                <w:sz w:val="20"/>
                <w:szCs w:val="24"/>
              </w:rPr>
            </w:pPr>
            <w:r w:rsidRPr="001A46CB">
              <w:rPr>
                <w:rFonts w:asciiTheme="majorBidi" w:hAnsiTheme="majorBidi" w:cstheme="majorBidi"/>
                <w:sz w:val="20"/>
                <w:szCs w:val="24"/>
              </w:rPr>
              <w:t>Dissolved oxygen</w:t>
            </w:r>
          </w:p>
        </w:tc>
      </w:tr>
    </w:tbl>
    <w:p w14:paraId="55FE232C" w14:textId="4A80E1F6" w:rsidR="007751F3" w:rsidRPr="007751F3" w:rsidRDefault="00CA53B5" w:rsidP="007751F3">
      <w:pPr>
        <w:widowControl w:val="0"/>
        <w:autoSpaceDE w:val="0"/>
        <w:autoSpaceDN w:val="0"/>
        <w:adjustRightInd w:val="0"/>
        <w:spacing w:line="240" w:lineRule="auto"/>
        <w:ind w:left="640" w:hanging="640"/>
        <w:rPr>
          <w:rFonts w:asciiTheme="majorBidi" w:hAnsiTheme="majorBidi" w:cstheme="majorBidi"/>
          <w:iCs/>
        </w:rPr>
      </w:pPr>
      <w:r w:rsidRPr="001A46CB">
        <w:rPr>
          <w:rFonts w:asciiTheme="majorBidi" w:hAnsiTheme="majorBidi" w:cstheme="majorBidi"/>
        </w:rPr>
        <w:br w:type="page"/>
      </w:r>
      <w:r w:rsidR="007751F3" w:rsidRPr="001A46CB">
        <w:rPr>
          <w:rFonts w:asciiTheme="majorBidi" w:hAnsiTheme="majorBidi" w:cstheme="majorBidi"/>
          <w:b/>
          <w:szCs w:val="24"/>
        </w:rPr>
        <w:t xml:space="preserve">Table </w:t>
      </w:r>
      <w:r w:rsidR="007751F3" w:rsidRPr="001A46CB">
        <w:rPr>
          <w:rFonts w:asciiTheme="majorBidi" w:hAnsiTheme="majorBidi" w:cstheme="majorBidi"/>
          <w:b/>
          <w:i/>
          <w:iCs/>
          <w:szCs w:val="24"/>
        </w:rPr>
        <w:fldChar w:fldCharType="begin"/>
      </w:r>
      <w:r w:rsidR="007751F3" w:rsidRPr="001A46CB">
        <w:rPr>
          <w:rFonts w:asciiTheme="majorBidi" w:hAnsiTheme="majorBidi" w:cstheme="majorBidi"/>
          <w:b/>
          <w:szCs w:val="24"/>
        </w:rPr>
        <w:instrText xml:space="preserve"> SEQ Table \* ARABIC </w:instrText>
      </w:r>
      <w:r w:rsidR="007751F3" w:rsidRPr="001A46CB">
        <w:rPr>
          <w:rFonts w:asciiTheme="majorBidi" w:hAnsiTheme="majorBidi" w:cstheme="majorBidi"/>
          <w:b/>
          <w:i/>
          <w:iCs/>
          <w:szCs w:val="24"/>
        </w:rPr>
        <w:fldChar w:fldCharType="separate"/>
      </w:r>
      <w:r w:rsidR="007751F3">
        <w:rPr>
          <w:rFonts w:asciiTheme="majorBidi" w:hAnsiTheme="majorBidi" w:cstheme="majorBidi"/>
          <w:b/>
          <w:i/>
          <w:iCs/>
          <w:noProof/>
          <w:szCs w:val="24"/>
        </w:rPr>
        <w:t>2</w:t>
      </w:r>
      <w:r w:rsidR="007751F3" w:rsidRPr="001A46CB">
        <w:rPr>
          <w:rFonts w:asciiTheme="majorBidi" w:hAnsiTheme="majorBidi" w:cstheme="majorBidi"/>
          <w:b/>
          <w:i/>
          <w:iCs/>
          <w:szCs w:val="24"/>
        </w:rPr>
        <w:fldChar w:fldCharType="end"/>
      </w:r>
      <w:r w:rsidR="007751F3" w:rsidRPr="001A46CB">
        <w:rPr>
          <w:rFonts w:asciiTheme="majorBidi" w:hAnsiTheme="majorBidi" w:cstheme="majorBidi"/>
          <w:b/>
          <w:szCs w:val="24"/>
        </w:rPr>
        <w:t xml:space="preserve"> SM</w:t>
      </w:r>
      <w:r w:rsidR="007751F3" w:rsidRPr="001A46CB">
        <w:rPr>
          <w:rFonts w:asciiTheme="majorBidi" w:hAnsiTheme="majorBidi" w:cstheme="majorBidi"/>
          <w:szCs w:val="24"/>
        </w:rPr>
        <w:t xml:space="preserve">: </w:t>
      </w:r>
      <w:r w:rsidR="007751F3" w:rsidRPr="001D47C9">
        <w:rPr>
          <w:rFonts w:asciiTheme="majorBidi" w:hAnsiTheme="majorBidi" w:cstheme="majorBidi"/>
          <w:iCs/>
        </w:rPr>
        <w:t>Land management operations in the SJRB</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
        <w:gridCol w:w="1125"/>
        <w:gridCol w:w="1395"/>
        <w:gridCol w:w="6256"/>
      </w:tblGrid>
      <w:tr w:rsidR="007751F3" w:rsidRPr="001D47C9" w14:paraId="27E49FBF" w14:textId="77777777" w:rsidTr="005E1953">
        <w:tc>
          <w:tcPr>
            <w:tcW w:w="913" w:type="pct"/>
            <w:gridSpan w:val="2"/>
            <w:tcBorders>
              <w:top w:val="single" w:sz="4" w:space="0" w:color="auto"/>
              <w:bottom w:val="single" w:sz="4" w:space="0" w:color="auto"/>
            </w:tcBorders>
            <w:vAlign w:val="center"/>
          </w:tcPr>
          <w:p w14:paraId="63F5A7CF" w14:textId="77777777" w:rsidR="007751F3" w:rsidRPr="001D47C9" w:rsidRDefault="007751F3" w:rsidP="005E1953">
            <w:pPr>
              <w:pStyle w:val="Default"/>
              <w:rPr>
                <w:rFonts w:asciiTheme="majorBidi" w:hAnsiTheme="majorBidi" w:cstheme="majorBidi"/>
                <w:b/>
                <w:bCs/>
                <w:color w:val="auto"/>
                <w:sz w:val="22"/>
                <w:szCs w:val="22"/>
              </w:rPr>
            </w:pPr>
            <w:r w:rsidRPr="001D47C9">
              <w:rPr>
                <w:rFonts w:asciiTheme="majorBidi" w:hAnsiTheme="majorBidi" w:cstheme="majorBidi"/>
                <w:b/>
                <w:bCs/>
                <w:color w:val="auto"/>
                <w:sz w:val="22"/>
                <w:szCs w:val="22"/>
              </w:rPr>
              <w:t>Crop</w:t>
            </w:r>
          </w:p>
        </w:tc>
        <w:tc>
          <w:tcPr>
            <w:tcW w:w="745" w:type="pct"/>
            <w:tcBorders>
              <w:top w:val="single" w:sz="4" w:space="0" w:color="auto"/>
              <w:bottom w:val="single" w:sz="4" w:space="0" w:color="auto"/>
            </w:tcBorders>
            <w:vAlign w:val="center"/>
          </w:tcPr>
          <w:p w14:paraId="6233AB9B" w14:textId="77777777" w:rsidR="007751F3" w:rsidRPr="001D47C9" w:rsidRDefault="007751F3" w:rsidP="005E1953">
            <w:pPr>
              <w:pStyle w:val="Default"/>
              <w:rPr>
                <w:rFonts w:asciiTheme="majorBidi" w:hAnsiTheme="majorBidi" w:cstheme="majorBidi"/>
                <w:b/>
                <w:bCs/>
                <w:color w:val="auto"/>
                <w:sz w:val="22"/>
                <w:szCs w:val="22"/>
              </w:rPr>
            </w:pPr>
            <w:r w:rsidRPr="001D47C9">
              <w:rPr>
                <w:rFonts w:asciiTheme="majorBidi" w:hAnsiTheme="majorBidi" w:cstheme="majorBidi"/>
                <w:b/>
                <w:bCs/>
                <w:color w:val="auto"/>
                <w:sz w:val="22"/>
                <w:szCs w:val="22"/>
              </w:rPr>
              <w:t>Date</w:t>
            </w:r>
          </w:p>
        </w:tc>
        <w:tc>
          <w:tcPr>
            <w:tcW w:w="3342" w:type="pct"/>
            <w:tcBorders>
              <w:top w:val="single" w:sz="4" w:space="0" w:color="auto"/>
              <w:bottom w:val="single" w:sz="4" w:space="0" w:color="auto"/>
            </w:tcBorders>
            <w:vAlign w:val="center"/>
          </w:tcPr>
          <w:p w14:paraId="734B395D" w14:textId="77777777" w:rsidR="007751F3" w:rsidRPr="001D47C9" w:rsidRDefault="007751F3" w:rsidP="005E1953">
            <w:pPr>
              <w:pStyle w:val="Default"/>
              <w:rPr>
                <w:rFonts w:asciiTheme="majorBidi" w:hAnsiTheme="majorBidi" w:cstheme="majorBidi"/>
                <w:b/>
                <w:bCs/>
                <w:color w:val="auto"/>
                <w:sz w:val="22"/>
                <w:szCs w:val="22"/>
              </w:rPr>
            </w:pPr>
            <w:r w:rsidRPr="001D47C9">
              <w:rPr>
                <w:rFonts w:asciiTheme="majorBidi" w:hAnsiTheme="majorBidi" w:cstheme="majorBidi"/>
                <w:b/>
                <w:bCs/>
                <w:color w:val="auto"/>
                <w:sz w:val="22"/>
                <w:szCs w:val="22"/>
              </w:rPr>
              <w:t>Operation</w:t>
            </w:r>
          </w:p>
        </w:tc>
      </w:tr>
      <w:tr w:rsidR="007751F3" w:rsidRPr="001D47C9" w14:paraId="58ADCC0B" w14:textId="77777777" w:rsidTr="005E1953">
        <w:tc>
          <w:tcPr>
            <w:tcW w:w="5000" w:type="pct"/>
            <w:gridSpan w:val="4"/>
            <w:tcBorders>
              <w:top w:val="single" w:sz="4" w:space="0" w:color="auto"/>
              <w:bottom w:val="single" w:sz="4" w:space="0" w:color="auto"/>
            </w:tcBorders>
            <w:vAlign w:val="center"/>
          </w:tcPr>
          <w:p w14:paraId="08D118B7"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Corn-soybean rotation</w:t>
            </w:r>
          </w:p>
        </w:tc>
      </w:tr>
      <w:tr w:rsidR="007751F3" w:rsidRPr="001D47C9" w14:paraId="26E740B3" w14:textId="77777777" w:rsidTr="005E1953">
        <w:tc>
          <w:tcPr>
            <w:tcW w:w="312" w:type="pct"/>
            <w:vMerge w:val="restart"/>
            <w:tcBorders>
              <w:top w:val="single" w:sz="4" w:space="0" w:color="auto"/>
            </w:tcBorders>
            <w:textDirection w:val="btLr"/>
            <w:vAlign w:val="center"/>
          </w:tcPr>
          <w:p w14:paraId="1E79983E" w14:textId="77777777" w:rsidR="007751F3" w:rsidRPr="001D47C9" w:rsidRDefault="007751F3" w:rsidP="005E1953">
            <w:pPr>
              <w:pStyle w:val="Default"/>
              <w:ind w:left="113" w:right="113"/>
              <w:jc w:val="center"/>
              <w:rPr>
                <w:rFonts w:asciiTheme="majorBidi" w:hAnsiTheme="majorBidi" w:cstheme="majorBidi"/>
                <w:b/>
                <w:bCs/>
                <w:color w:val="auto"/>
                <w:sz w:val="22"/>
                <w:szCs w:val="22"/>
              </w:rPr>
            </w:pPr>
            <w:r w:rsidRPr="001D47C9">
              <w:rPr>
                <w:rFonts w:asciiTheme="majorBidi" w:hAnsiTheme="majorBidi" w:cstheme="majorBidi"/>
                <w:b/>
                <w:bCs/>
                <w:color w:val="auto"/>
                <w:sz w:val="22"/>
                <w:szCs w:val="22"/>
              </w:rPr>
              <w:t>Year 1</w:t>
            </w:r>
          </w:p>
        </w:tc>
        <w:tc>
          <w:tcPr>
            <w:tcW w:w="601" w:type="pct"/>
            <w:vMerge w:val="restart"/>
            <w:tcBorders>
              <w:top w:val="single" w:sz="4" w:space="0" w:color="auto"/>
            </w:tcBorders>
            <w:vAlign w:val="center"/>
          </w:tcPr>
          <w:p w14:paraId="39D2389F"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Corn</w:t>
            </w:r>
          </w:p>
        </w:tc>
        <w:tc>
          <w:tcPr>
            <w:tcW w:w="745" w:type="pct"/>
            <w:tcBorders>
              <w:top w:val="single" w:sz="4" w:space="0" w:color="auto"/>
            </w:tcBorders>
            <w:vAlign w:val="center"/>
          </w:tcPr>
          <w:p w14:paraId="50D30B25"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May 5</w:t>
            </w:r>
          </w:p>
        </w:tc>
        <w:tc>
          <w:tcPr>
            <w:tcW w:w="3342" w:type="pct"/>
            <w:tcBorders>
              <w:top w:val="single" w:sz="4" w:space="0" w:color="auto"/>
            </w:tcBorders>
            <w:vAlign w:val="center"/>
          </w:tcPr>
          <w:p w14:paraId="4B5F6D0C"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 xml:space="preserve">Harvest and kill </w:t>
            </w:r>
          </w:p>
        </w:tc>
      </w:tr>
      <w:tr w:rsidR="007751F3" w:rsidRPr="001D47C9" w14:paraId="4382256C" w14:textId="77777777" w:rsidTr="005E1953">
        <w:tc>
          <w:tcPr>
            <w:tcW w:w="312" w:type="pct"/>
            <w:vMerge/>
            <w:vAlign w:val="center"/>
          </w:tcPr>
          <w:p w14:paraId="10A9D69E" w14:textId="77777777" w:rsidR="007751F3" w:rsidRPr="001D47C9" w:rsidRDefault="007751F3" w:rsidP="005E1953">
            <w:pPr>
              <w:pStyle w:val="Default"/>
              <w:rPr>
                <w:rFonts w:asciiTheme="majorBidi" w:hAnsiTheme="majorBidi" w:cstheme="majorBidi"/>
                <w:b/>
                <w:bCs/>
                <w:color w:val="auto"/>
                <w:sz w:val="22"/>
                <w:szCs w:val="22"/>
              </w:rPr>
            </w:pPr>
          </w:p>
        </w:tc>
        <w:tc>
          <w:tcPr>
            <w:tcW w:w="601" w:type="pct"/>
            <w:vMerge/>
            <w:vAlign w:val="center"/>
          </w:tcPr>
          <w:p w14:paraId="5E9B18BB" w14:textId="77777777" w:rsidR="007751F3" w:rsidRPr="001D47C9" w:rsidRDefault="007751F3" w:rsidP="005E1953">
            <w:pPr>
              <w:pStyle w:val="Default"/>
              <w:rPr>
                <w:rFonts w:asciiTheme="majorBidi" w:hAnsiTheme="majorBidi" w:cstheme="majorBidi"/>
                <w:color w:val="auto"/>
                <w:sz w:val="22"/>
                <w:szCs w:val="22"/>
              </w:rPr>
            </w:pPr>
          </w:p>
        </w:tc>
        <w:tc>
          <w:tcPr>
            <w:tcW w:w="745" w:type="pct"/>
            <w:vAlign w:val="center"/>
          </w:tcPr>
          <w:p w14:paraId="7F1093A6"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May 6</w:t>
            </w:r>
          </w:p>
        </w:tc>
        <w:tc>
          <w:tcPr>
            <w:tcW w:w="3342" w:type="pct"/>
            <w:vAlign w:val="center"/>
          </w:tcPr>
          <w:p w14:paraId="39FD3FB7"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 xml:space="preserve">Tillage implementation (conventional till) </w:t>
            </w:r>
          </w:p>
        </w:tc>
      </w:tr>
      <w:tr w:rsidR="007751F3" w:rsidRPr="001D47C9" w14:paraId="1474208C" w14:textId="77777777" w:rsidTr="005E1953">
        <w:tc>
          <w:tcPr>
            <w:tcW w:w="312" w:type="pct"/>
            <w:vMerge/>
            <w:vAlign w:val="center"/>
          </w:tcPr>
          <w:p w14:paraId="72E2872F" w14:textId="77777777" w:rsidR="007751F3" w:rsidRPr="001D47C9" w:rsidRDefault="007751F3" w:rsidP="005E1953">
            <w:pPr>
              <w:pStyle w:val="Default"/>
              <w:rPr>
                <w:rFonts w:asciiTheme="majorBidi" w:hAnsiTheme="majorBidi" w:cstheme="majorBidi"/>
                <w:b/>
                <w:bCs/>
                <w:color w:val="auto"/>
                <w:sz w:val="22"/>
                <w:szCs w:val="22"/>
              </w:rPr>
            </w:pPr>
          </w:p>
        </w:tc>
        <w:tc>
          <w:tcPr>
            <w:tcW w:w="601" w:type="pct"/>
            <w:vMerge/>
            <w:vAlign w:val="center"/>
          </w:tcPr>
          <w:p w14:paraId="776905F0" w14:textId="77777777" w:rsidR="007751F3" w:rsidRPr="001D47C9" w:rsidRDefault="007751F3" w:rsidP="005E1953">
            <w:pPr>
              <w:pStyle w:val="Default"/>
              <w:rPr>
                <w:rFonts w:asciiTheme="majorBidi" w:hAnsiTheme="majorBidi" w:cstheme="majorBidi"/>
                <w:color w:val="auto"/>
                <w:sz w:val="22"/>
                <w:szCs w:val="22"/>
              </w:rPr>
            </w:pPr>
          </w:p>
        </w:tc>
        <w:tc>
          <w:tcPr>
            <w:tcW w:w="745" w:type="pct"/>
            <w:vAlign w:val="center"/>
          </w:tcPr>
          <w:p w14:paraId="1315CFBC"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May 10</w:t>
            </w:r>
          </w:p>
        </w:tc>
        <w:tc>
          <w:tcPr>
            <w:tcW w:w="3342" w:type="pct"/>
            <w:vAlign w:val="center"/>
          </w:tcPr>
          <w:p w14:paraId="46CF2967"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 xml:space="preserve">Fertilizer application: 33-00-00     220 kg/ha (72.6 kg N/ha) </w:t>
            </w:r>
          </w:p>
        </w:tc>
      </w:tr>
      <w:tr w:rsidR="007751F3" w:rsidRPr="001D47C9" w14:paraId="10A56C3B" w14:textId="77777777" w:rsidTr="005E1953">
        <w:tc>
          <w:tcPr>
            <w:tcW w:w="312" w:type="pct"/>
            <w:vMerge/>
          </w:tcPr>
          <w:p w14:paraId="46116351" w14:textId="77777777" w:rsidR="007751F3" w:rsidRPr="001D47C9" w:rsidRDefault="007751F3" w:rsidP="005E1953">
            <w:pPr>
              <w:pStyle w:val="Default"/>
              <w:rPr>
                <w:rFonts w:asciiTheme="majorBidi" w:hAnsiTheme="majorBidi" w:cstheme="majorBidi"/>
                <w:b/>
                <w:bCs/>
                <w:color w:val="auto"/>
                <w:sz w:val="22"/>
                <w:szCs w:val="22"/>
                <w:highlight w:val="yellow"/>
              </w:rPr>
            </w:pPr>
          </w:p>
        </w:tc>
        <w:tc>
          <w:tcPr>
            <w:tcW w:w="601" w:type="pct"/>
            <w:vMerge/>
          </w:tcPr>
          <w:p w14:paraId="241BE6B4" w14:textId="77777777" w:rsidR="007751F3" w:rsidRPr="001D47C9" w:rsidRDefault="007751F3" w:rsidP="005E1953">
            <w:pPr>
              <w:pStyle w:val="Default"/>
              <w:rPr>
                <w:rFonts w:asciiTheme="majorBidi" w:hAnsiTheme="majorBidi" w:cstheme="majorBidi"/>
                <w:color w:val="auto"/>
                <w:sz w:val="22"/>
                <w:szCs w:val="22"/>
                <w:highlight w:val="yellow"/>
              </w:rPr>
            </w:pPr>
          </w:p>
        </w:tc>
        <w:tc>
          <w:tcPr>
            <w:tcW w:w="745" w:type="pct"/>
          </w:tcPr>
          <w:p w14:paraId="5D6E5DC8"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May 10</w:t>
            </w:r>
          </w:p>
        </w:tc>
        <w:tc>
          <w:tcPr>
            <w:tcW w:w="3342" w:type="pct"/>
          </w:tcPr>
          <w:p w14:paraId="6E10AC0D"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Planting corn</w:t>
            </w:r>
          </w:p>
        </w:tc>
      </w:tr>
      <w:tr w:rsidR="007751F3" w:rsidRPr="001D47C9" w14:paraId="2E520106" w14:textId="77777777" w:rsidTr="007751F3">
        <w:tc>
          <w:tcPr>
            <w:tcW w:w="312" w:type="pct"/>
            <w:vMerge/>
            <w:vAlign w:val="center"/>
          </w:tcPr>
          <w:p w14:paraId="3535D080" w14:textId="77777777" w:rsidR="007751F3" w:rsidRPr="001D47C9" w:rsidRDefault="007751F3" w:rsidP="005E1953">
            <w:pPr>
              <w:pStyle w:val="Default"/>
              <w:rPr>
                <w:rFonts w:asciiTheme="majorBidi" w:hAnsiTheme="majorBidi" w:cstheme="majorBidi"/>
                <w:b/>
                <w:bCs/>
                <w:color w:val="auto"/>
                <w:sz w:val="22"/>
                <w:szCs w:val="22"/>
              </w:rPr>
            </w:pPr>
          </w:p>
        </w:tc>
        <w:tc>
          <w:tcPr>
            <w:tcW w:w="601" w:type="pct"/>
            <w:vMerge/>
            <w:vAlign w:val="center"/>
          </w:tcPr>
          <w:p w14:paraId="6C8C99C3" w14:textId="77777777" w:rsidR="007751F3" w:rsidRPr="001D47C9" w:rsidRDefault="007751F3" w:rsidP="005E1953">
            <w:pPr>
              <w:pStyle w:val="Default"/>
              <w:rPr>
                <w:rFonts w:asciiTheme="majorBidi" w:hAnsiTheme="majorBidi" w:cstheme="majorBidi"/>
                <w:color w:val="auto"/>
                <w:sz w:val="22"/>
                <w:szCs w:val="22"/>
              </w:rPr>
            </w:pPr>
          </w:p>
        </w:tc>
        <w:tc>
          <w:tcPr>
            <w:tcW w:w="745" w:type="pct"/>
            <w:vAlign w:val="center"/>
          </w:tcPr>
          <w:p w14:paraId="68F3B0D1"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June 1</w:t>
            </w:r>
          </w:p>
        </w:tc>
        <w:tc>
          <w:tcPr>
            <w:tcW w:w="3342" w:type="pct"/>
            <w:vAlign w:val="center"/>
          </w:tcPr>
          <w:p w14:paraId="67D3402E"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Fertilizer application: ANH-NH3    220 kg/ha (180.4 kg N/ha)</w:t>
            </w:r>
          </w:p>
        </w:tc>
      </w:tr>
      <w:tr w:rsidR="007751F3" w:rsidRPr="001D47C9" w14:paraId="1C38C974" w14:textId="77777777" w:rsidTr="007751F3">
        <w:trPr>
          <w:trHeight w:val="161"/>
        </w:trPr>
        <w:tc>
          <w:tcPr>
            <w:tcW w:w="312" w:type="pct"/>
            <w:vMerge/>
            <w:vAlign w:val="center"/>
          </w:tcPr>
          <w:p w14:paraId="1AFE14A1" w14:textId="77777777" w:rsidR="007751F3" w:rsidRPr="001D47C9" w:rsidRDefault="007751F3" w:rsidP="005E1953">
            <w:pPr>
              <w:pStyle w:val="Default"/>
              <w:rPr>
                <w:rFonts w:asciiTheme="majorBidi" w:hAnsiTheme="majorBidi" w:cstheme="majorBidi"/>
                <w:b/>
                <w:bCs/>
                <w:color w:val="auto"/>
                <w:sz w:val="22"/>
                <w:szCs w:val="22"/>
              </w:rPr>
            </w:pPr>
          </w:p>
        </w:tc>
        <w:tc>
          <w:tcPr>
            <w:tcW w:w="601" w:type="pct"/>
            <w:vMerge/>
            <w:vAlign w:val="center"/>
          </w:tcPr>
          <w:p w14:paraId="206A28FA" w14:textId="77777777" w:rsidR="007751F3" w:rsidRPr="001D47C9" w:rsidRDefault="007751F3" w:rsidP="005E1953">
            <w:pPr>
              <w:pStyle w:val="Default"/>
              <w:rPr>
                <w:rFonts w:asciiTheme="majorBidi" w:hAnsiTheme="majorBidi" w:cstheme="majorBidi"/>
                <w:color w:val="auto"/>
                <w:sz w:val="22"/>
                <w:szCs w:val="22"/>
              </w:rPr>
            </w:pPr>
          </w:p>
        </w:tc>
        <w:tc>
          <w:tcPr>
            <w:tcW w:w="745" w:type="pct"/>
            <w:tcBorders>
              <w:bottom w:val="single" w:sz="4" w:space="0" w:color="auto"/>
            </w:tcBorders>
            <w:vAlign w:val="center"/>
          </w:tcPr>
          <w:p w14:paraId="23B2B30C"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October 20</w:t>
            </w:r>
          </w:p>
        </w:tc>
        <w:tc>
          <w:tcPr>
            <w:tcW w:w="3342" w:type="pct"/>
            <w:tcBorders>
              <w:bottom w:val="single" w:sz="4" w:space="0" w:color="auto"/>
            </w:tcBorders>
            <w:vAlign w:val="center"/>
          </w:tcPr>
          <w:p w14:paraId="198B9DFE"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 xml:space="preserve">Harvest corn and kill </w:t>
            </w:r>
          </w:p>
        </w:tc>
      </w:tr>
      <w:tr w:rsidR="007751F3" w:rsidRPr="001D47C9" w14:paraId="37DC7C39" w14:textId="77777777" w:rsidTr="007751F3">
        <w:trPr>
          <w:gridAfter w:val="2"/>
          <w:wAfter w:w="4087" w:type="pct"/>
          <w:trHeight w:val="260"/>
        </w:trPr>
        <w:tc>
          <w:tcPr>
            <w:tcW w:w="312" w:type="pct"/>
            <w:vMerge w:val="restart"/>
            <w:tcBorders>
              <w:top w:val="single" w:sz="4" w:space="0" w:color="auto"/>
              <w:bottom w:val="single" w:sz="4" w:space="0" w:color="auto"/>
            </w:tcBorders>
            <w:textDirection w:val="btLr"/>
            <w:vAlign w:val="center"/>
          </w:tcPr>
          <w:p w14:paraId="4BECE012" w14:textId="77777777" w:rsidR="007751F3" w:rsidRPr="001D47C9" w:rsidRDefault="007751F3" w:rsidP="005E1953">
            <w:pPr>
              <w:pStyle w:val="Default"/>
              <w:jc w:val="center"/>
              <w:rPr>
                <w:rFonts w:asciiTheme="majorBidi" w:hAnsiTheme="majorBidi" w:cstheme="majorBidi"/>
                <w:b/>
                <w:bCs/>
                <w:color w:val="auto"/>
                <w:sz w:val="22"/>
                <w:szCs w:val="22"/>
              </w:rPr>
            </w:pPr>
            <w:r w:rsidRPr="001D47C9">
              <w:rPr>
                <w:rFonts w:asciiTheme="majorBidi" w:hAnsiTheme="majorBidi" w:cstheme="majorBidi"/>
                <w:b/>
                <w:bCs/>
                <w:color w:val="auto"/>
                <w:sz w:val="22"/>
                <w:szCs w:val="22"/>
              </w:rPr>
              <w:t>Year 2</w:t>
            </w:r>
          </w:p>
        </w:tc>
        <w:tc>
          <w:tcPr>
            <w:tcW w:w="601" w:type="pct"/>
            <w:vMerge w:val="restart"/>
            <w:tcBorders>
              <w:top w:val="single" w:sz="4" w:space="0" w:color="auto"/>
              <w:bottom w:val="single" w:sz="4" w:space="0" w:color="auto"/>
            </w:tcBorders>
            <w:vAlign w:val="center"/>
          </w:tcPr>
          <w:p w14:paraId="595CEA6E"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Soybean</w:t>
            </w:r>
          </w:p>
        </w:tc>
      </w:tr>
      <w:tr w:rsidR="007751F3" w:rsidRPr="001D47C9" w14:paraId="7C36EEAF" w14:textId="77777777" w:rsidTr="007751F3">
        <w:tc>
          <w:tcPr>
            <w:tcW w:w="312" w:type="pct"/>
            <w:vMerge/>
            <w:tcBorders>
              <w:top w:val="single" w:sz="4" w:space="0" w:color="auto"/>
              <w:bottom w:val="single" w:sz="4" w:space="0" w:color="auto"/>
            </w:tcBorders>
          </w:tcPr>
          <w:p w14:paraId="2096714C" w14:textId="77777777" w:rsidR="007751F3" w:rsidRPr="001D47C9" w:rsidRDefault="007751F3" w:rsidP="005E1953">
            <w:pPr>
              <w:pStyle w:val="Default"/>
              <w:rPr>
                <w:rFonts w:asciiTheme="majorBidi" w:hAnsiTheme="majorBidi" w:cstheme="majorBidi"/>
                <w:color w:val="auto"/>
                <w:sz w:val="22"/>
                <w:szCs w:val="22"/>
              </w:rPr>
            </w:pPr>
          </w:p>
        </w:tc>
        <w:tc>
          <w:tcPr>
            <w:tcW w:w="601" w:type="pct"/>
            <w:vMerge/>
            <w:tcBorders>
              <w:top w:val="single" w:sz="4" w:space="0" w:color="auto"/>
              <w:bottom w:val="single" w:sz="4" w:space="0" w:color="auto"/>
            </w:tcBorders>
          </w:tcPr>
          <w:p w14:paraId="46853B3D" w14:textId="77777777" w:rsidR="007751F3" w:rsidRPr="001D47C9" w:rsidRDefault="007751F3" w:rsidP="005E1953">
            <w:pPr>
              <w:pStyle w:val="Default"/>
              <w:rPr>
                <w:rFonts w:asciiTheme="majorBidi" w:hAnsiTheme="majorBidi" w:cstheme="majorBidi"/>
                <w:color w:val="auto"/>
                <w:sz w:val="22"/>
                <w:szCs w:val="22"/>
              </w:rPr>
            </w:pPr>
          </w:p>
        </w:tc>
        <w:tc>
          <w:tcPr>
            <w:tcW w:w="745" w:type="pct"/>
          </w:tcPr>
          <w:p w14:paraId="003E69B5"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May 6</w:t>
            </w:r>
          </w:p>
        </w:tc>
        <w:tc>
          <w:tcPr>
            <w:tcW w:w="3342" w:type="pct"/>
          </w:tcPr>
          <w:p w14:paraId="7569F05C"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Tillage implementation (conventional till)</w:t>
            </w:r>
          </w:p>
        </w:tc>
      </w:tr>
      <w:tr w:rsidR="007751F3" w:rsidRPr="001D47C9" w14:paraId="3E8F1435" w14:textId="77777777" w:rsidTr="007751F3">
        <w:tc>
          <w:tcPr>
            <w:tcW w:w="312" w:type="pct"/>
            <w:vMerge/>
            <w:tcBorders>
              <w:bottom w:val="single" w:sz="4" w:space="0" w:color="auto"/>
            </w:tcBorders>
            <w:vAlign w:val="center"/>
          </w:tcPr>
          <w:p w14:paraId="626FA223" w14:textId="77777777" w:rsidR="007751F3" w:rsidRPr="001D47C9" w:rsidRDefault="007751F3" w:rsidP="005E1953">
            <w:pPr>
              <w:pStyle w:val="Default"/>
              <w:rPr>
                <w:rFonts w:asciiTheme="majorBidi" w:hAnsiTheme="majorBidi" w:cstheme="majorBidi"/>
                <w:color w:val="auto"/>
                <w:sz w:val="22"/>
                <w:szCs w:val="22"/>
              </w:rPr>
            </w:pPr>
          </w:p>
        </w:tc>
        <w:tc>
          <w:tcPr>
            <w:tcW w:w="601" w:type="pct"/>
            <w:vMerge/>
            <w:tcBorders>
              <w:bottom w:val="single" w:sz="4" w:space="0" w:color="auto"/>
            </w:tcBorders>
            <w:vAlign w:val="center"/>
          </w:tcPr>
          <w:p w14:paraId="6FAC0E93" w14:textId="77777777" w:rsidR="007751F3" w:rsidRPr="001D47C9" w:rsidRDefault="007751F3" w:rsidP="005E1953">
            <w:pPr>
              <w:pStyle w:val="Default"/>
              <w:rPr>
                <w:rFonts w:asciiTheme="majorBidi" w:hAnsiTheme="majorBidi" w:cstheme="majorBidi"/>
                <w:color w:val="auto"/>
                <w:sz w:val="22"/>
                <w:szCs w:val="22"/>
              </w:rPr>
            </w:pPr>
          </w:p>
        </w:tc>
        <w:tc>
          <w:tcPr>
            <w:tcW w:w="745" w:type="pct"/>
            <w:vAlign w:val="center"/>
          </w:tcPr>
          <w:p w14:paraId="36B812E4"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May 10</w:t>
            </w:r>
          </w:p>
        </w:tc>
        <w:tc>
          <w:tcPr>
            <w:tcW w:w="3342" w:type="pct"/>
            <w:vAlign w:val="center"/>
          </w:tcPr>
          <w:p w14:paraId="4EB98779"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Planting soybean</w:t>
            </w:r>
          </w:p>
        </w:tc>
      </w:tr>
      <w:tr w:rsidR="007751F3" w:rsidRPr="001D47C9" w14:paraId="5AEBD81E" w14:textId="77777777" w:rsidTr="007751F3">
        <w:tc>
          <w:tcPr>
            <w:tcW w:w="312" w:type="pct"/>
            <w:vMerge/>
            <w:tcBorders>
              <w:bottom w:val="single" w:sz="4" w:space="0" w:color="auto"/>
            </w:tcBorders>
            <w:vAlign w:val="center"/>
          </w:tcPr>
          <w:p w14:paraId="12071AA3" w14:textId="77777777" w:rsidR="007751F3" w:rsidRPr="001D47C9" w:rsidRDefault="007751F3" w:rsidP="005E1953">
            <w:pPr>
              <w:pStyle w:val="Default"/>
              <w:rPr>
                <w:rFonts w:asciiTheme="majorBidi" w:hAnsiTheme="majorBidi" w:cstheme="majorBidi"/>
                <w:color w:val="auto"/>
                <w:sz w:val="22"/>
                <w:szCs w:val="22"/>
              </w:rPr>
            </w:pPr>
          </w:p>
        </w:tc>
        <w:tc>
          <w:tcPr>
            <w:tcW w:w="601" w:type="pct"/>
            <w:vMerge/>
            <w:tcBorders>
              <w:bottom w:val="single" w:sz="4" w:space="0" w:color="auto"/>
            </w:tcBorders>
            <w:vAlign w:val="center"/>
          </w:tcPr>
          <w:p w14:paraId="3595897A" w14:textId="77777777" w:rsidR="007751F3" w:rsidRPr="001D47C9" w:rsidRDefault="007751F3" w:rsidP="005E1953">
            <w:pPr>
              <w:pStyle w:val="Default"/>
              <w:rPr>
                <w:rFonts w:asciiTheme="majorBidi" w:hAnsiTheme="majorBidi" w:cstheme="majorBidi"/>
                <w:color w:val="auto"/>
                <w:sz w:val="22"/>
                <w:szCs w:val="22"/>
              </w:rPr>
            </w:pPr>
          </w:p>
        </w:tc>
        <w:tc>
          <w:tcPr>
            <w:tcW w:w="745" w:type="pct"/>
            <w:tcBorders>
              <w:bottom w:val="single" w:sz="4" w:space="0" w:color="auto"/>
            </w:tcBorders>
            <w:vAlign w:val="center"/>
          </w:tcPr>
          <w:p w14:paraId="44C7D1E1"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October 20</w:t>
            </w:r>
          </w:p>
        </w:tc>
        <w:tc>
          <w:tcPr>
            <w:tcW w:w="3342" w:type="pct"/>
            <w:tcBorders>
              <w:bottom w:val="single" w:sz="4" w:space="0" w:color="auto"/>
            </w:tcBorders>
            <w:vAlign w:val="center"/>
          </w:tcPr>
          <w:p w14:paraId="40CB864C" w14:textId="77777777" w:rsidR="007751F3" w:rsidRPr="001D47C9" w:rsidRDefault="007751F3" w:rsidP="005E1953">
            <w:pPr>
              <w:pStyle w:val="Default"/>
              <w:rPr>
                <w:rFonts w:asciiTheme="majorBidi" w:hAnsiTheme="majorBidi" w:cstheme="majorBidi"/>
                <w:color w:val="auto"/>
                <w:sz w:val="22"/>
                <w:szCs w:val="22"/>
              </w:rPr>
            </w:pPr>
            <w:r w:rsidRPr="001D47C9">
              <w:rPr>
                <w:rFonts w:asciiTheme="majorBidi" w:hAnsiTheme="majorBidi" w:cstheme="majorBidi"/>
                <w:color w:val="auto"/>
                <w:sz w:val="22"/>
                <w:szCs w:val="22"/>
              </w:rPr>
              <w:t>Harvest soybean and kill</w:t>
            </w:r>
          </w:p>
        </w:tc>
      </w:tr>
    </w:tbl>
    <w:p w14:paraId="13CBA95C" w14:textId="77777777" w:rsidR="009105A6" w:rsidRDefault="009105A6">
      <w:pPr>
        <w:rPr>
          <w:rFonts w:asciiTheme="majorBidi" w:hAnsiTheme="majorBidi" w:cstheme="majorBidi"/>
        </w:rPr>
      </w:pPr>
    </w:p>
    <w:p w14:paraId="63022246" w14:textId="77777777" w:rsidR="009105A6" w:rsidRDefault="009105A6">
      <w:pPr>
        <w:rPr>
          <w:rFonts w:asciiTheme="majorBidi" w:hAnsiTheme="majorBidi" w:cstheme="majorBidi"/>
        </w:rPr>
      </w:pPr>
      <w:r>
        <w:rPr>
          <w:rFonts w:asciiTheme="majorBidi" w:hAnsiTheme="majorBidi" w:cstheme="majorBidi"/>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79"/>
        <w:gridCol w:w="3855"/>
      </w:tblGrid>
      <w:tr w:rsidR="009105A6" w:rsidRPr="00FE631C" w14:paraId="3500180E" w14:textId="77777777" w:rsidTr="009105A6">
        <w:trPr>
          <w:jc w:val="center"/>
        </w:trPr>
        <w:tc>
          <w:tcPr>
            <w:tcW w:w="3679" w:type="dxa"/>
            <w:tcBorders>
              <w:bottom w:val="single" w:sz="4" w:space="0" w:color="auto"/>
            </w:tcBorders>
            <w:vAlign w:val="center"/>
          </w:tcPr>
          <w:p w14:paraId="0AC80822" w14:textId="77777777" w:rsidR="009105A6" w:rsidRPr="00FE631C" w:rsidRDefault="009105A6" w:rsidP="005E1953">
            <w:pPr>
              <w:jc w:val="center"/>
              <w:rPr>
                <w:rFonts w:asciiTheme="majorBidi" w:hAnsiTheme="majorBidi" w:cstheme="majorBidi"/>
                <w:b/>
                <w:bCs/>
                <w:sz w:val="24"/>
                <w:szCs w:val="24"/>
              </w:rPr>
            </w:pPr>
            <w:r>
              <w:rPr>
                <w:rFonts w:asciiTheme="majorBidi" w:hAnsiTheme="majorBidi" w:cstheme="majorBidi"/>
                <w:color w:val="000000" w:themeColor="text1"/>
                <w:sz w:val="20"/>
              </w:rPr>
              <w:br w:type="page"/>
            </w:r>
            <w:r w:rsidRPr="00FE631C">
              <w:rPr>
                <w:rFonts w:asciiTheme="majorBidi" w:hAnsiTheme="majorBidi" w:cstheme="majorBidi"/>
                <w:b/>
                <w:bCs/>
                <w:sz w:val="24"/>
                <w:szCs w:val="24"/>
              </w:rPr>
              <w:t>Niles subwatershed</w:t>
            </w:r>
          </w:p>
        </w:tc>
        <w:tc>
          <w:tcPr>
            <w:tcW w:w="3855" w:type="dxa"/>
            <w:tcBorders>
              <w:bottom w:val="single" w:sz="4" w:space="0" w:color="auto"/>
            </w:tcBorders>
            <w:vAlign w:val="center"/>
          </w:tcPr>
          <w:p w14:paraId="36ECC9A2" w14:textId="77777777" w:rsidR="009105A6" w:rsidRPr="00FE631C" w:rsidRDefault="009105A6" w:rsidP="005E1953">
            <w:pPr>
              <w:jc w:val="center"/>
              <w:rPr>
                <w:rFonts w:asciiTheme="majorBidi" w:hAnsiTheme="majorBidi" w:cstheme="majorBidi"/>
                <w:b/>
                <w:bCs/>
                <w:sz w:val="24"/>
                <w:szCs w:val="24"/>
              </w:rPr>
            </w:pPr>
            <w:r w:rsidRPr="00FE631C">
              <w:rPr>
                <w:rFonts w:asciiTheme="majorBidi" w:hAnsiTheme="majorBidi" w:cstheme="majorBidi"/>
                <w:b/>
                <w:bCs/>
                <w:sz w:val="24"/>
                <w:szCs w:val="24"/>
              </w:rPr>
              <w:t>Paw Paw subwatershed</w:t>
            </w:r>
          </w:p>
        </w:tc>
      </w:tr>
      <w:tr w:rsidR="009105A6" w:rsidRPr="008200C9" w14:paraId="01423B28" w14:textId="77777777" w:rsidTr="009105A6">
        <w:trPr>
          <w:cantSplit/>
          <w:trHeight w:val="1134"/>
          <w:jc w:val="center"/>
        </w:trPr>
        <w:tc>
          <w:tcPr>
            <w:tcW w:w="3679" w:type="dxa"/>
            <w:tcBorders>
              <w:top w:val="single" w:sz="4" w:space="0" w:color="auto"/>
              <w:bottom w:val="single" w:sz="4" w:space="0" w:color="auto"/>
            </w:tcBorders>
            <w:vAlign w:val="center"/>
          </w:tcPr>
          <w:p w14:paraId="5FA7A082" w14:textId="28C6C532" w:rsidR="009105A6" w:rsidRPr="008200C9" w:rsidRDefault="009105A6" w:rsidP="005E1953">
            <w:pPr>
              <w:jc w:val="center"/>
              <w:rPr>
                <w:sz w:val="18"/>
                <w:szCs w:val="18"/>
              </w:rPr>
            </w:pPr>
            <w:r>
              <w:rPr>
                <w:noProof/>
                <w:sz w:val="18"/>
                <w:szCs w:val="18"/>
                <w:lang w:val="en-IN" w:eastAsia="en-IN"/>
              </w:rPr>
              <w:drawing>
                <wp:inline distT="0" distB="0" distL="0" distR="0" wp14:anchorId="4C8FBCA2" wp14:editId="0B7FD0CE">
                  <wp:extent cx="2244635" cy="13716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44635" cy="1371600"/>
                          </a:xfrm>
                          <a:prstGeom prst="rect">
                            <a:avLst/>
                          </a:prstGeom>
                          <a:noFill/>
                        </pic:spPr>
                      </pic:pic>
                    </a:graphicData>
                  </a:graphic>
                </wp:inline>
              </w:drawing>
            </w:r>
          </w:p>
        </w:tc>
        <w:tc>
          <w:tcPr>
            <w:tcW w:w="3855" w:type="dxa"/>
            <w:tcBorders>
              <w:top w:val="single" w:sz="4" w:space="0" w:color="auto"/>
              <w:bottom w:val="single" w:sz="4" w:space="0" w:color="auto"/>
            </w:tcBorders>
            <w:vAlign w:val="center"/>
          </w:tcPr>
          <w:p w14:paraId="3CC589BF" w14:textId="2345309C" w:rsidR="009105A6" w:rsidRPr="008200C9" w:rsidRDefault="009105A6" w:rsidP="005E1953">
            <w:pPr>
              <w:rPr>
                <w:sz w:val="18"/>
                <w:szCs w:val="18"/>
              </w:rPr>
            </w:pPr>
            <w:r>
              <w:rPr>
                <w:noProof/>
                <w:sz w:val="18"/>
                <w:szCs w:val="18"/>
                <w:lang w:val="en-IN" w:eastAsia="en-IN"/>
              </w:rPr>
              <w:drawing>
                <wp:inline distT="0" distB="0" distL="0" distR="0" wp14:anchorId="7FDFD94C" wp14:editId="736C64CB">
                  <wp:extent cx="2244635" cy="137160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4635" cy="1371600"/>
                          </a:xfrm>
                          <a:prstGeom prst="rect">
                            <a:avLst/>
                          </a:prstGeom>
                          <a:noFill/>
                        </pic:spPr>
                      </pic:pic>
                    </a:graphicData>
                  </a:graphic>
                </wp:inline>
              </w:drawing>
            </w:r>
          </w:p>
        </w:tc>
      </w:tr>
    </w:tbl>
    <w:p w14:paraId="4349E497" w14:textId="5D090317" w:rsidR="009105A6" w:rsidRDefault="009105A6" w:rsidP="009105A6">
      <w:pPr>
        <w:spacing w:before="160" w:line="480" w:lineRule="auto"/>
        <w:contextualSpacing/>
        <w:jc w:val="both"/>
        <w:rPr>
          <w:rFonts w:asciiTheme="majorBidi" w:hAnsiTheme="majorBidi" w:cstheme="majorBidi"/>
          <w:color w:val="000000" w:themeColor="text1"/>
          <w:sz w:val="18"/>
        </w:rPr>
      </w:pPr>
      <w:r w:rsidRPr="003747A4">
        <w:rPr>
          <w:rFonts w:asciiTheme="majorBidi" w:hAnsiTheme="majorBidi" w:cstheme="majorBidi"/>
          <w:b/>
          <w:color w:val="000000" w:themeColor="text1"/>
          <w:sz w:val="20"/>
        </w:rPr>
        <w:t>Fig</w:t>
      </w:r>
      <w:r>
        <w:rPr>
          <w:rFonts w:asciiTheme="majorBidi" w:hAnsiTheme="majorBidi" w:cstheme="majorBidi"/>
          <w:b/>
          <w:color w:val="000000" w:themeColor="text1"/>
          <w:sz w:val="20"/>
        </w:rPr>
        <w:t>.</w:t>
      </w:r>
      <w:r w:rsidRPr="003747A4">
        <w:rPr>
          <w:rFonts w:asciiTheme="majorBidi" w:hAnsiTheme="majorBidi" w:cstheme="majorBidi"/>
          <w:b/>
          <w:color w:val="000000" w:themeColor="text1"/>
          <w:sz w:val="20"/>
        </w:rPr>
        <w:t xml:space="preserve"> </w:t>
      </w:r>
      <w:r w:rsidRPr="003747A4">
        <w:rPr>
          <w:rFonts w:asciiTheme="majorBidi" w:hAnsiTheme="majorBidi" w:cstheme="majorBidi"/>
          <w:b/>
          <w:i/>
          <w:color w:val="000000" w:themeColor="text1"/>
          <w:sz w:val="20"/>
        </w:rPr>
        <w:fldChar w:fldCharType="begin"/>
      </w:r>
      <w:r w:rsidRPr="003747A4">
        <w:rPr>
          <w:rFonts w:asciiTheme="majorBidi" w:hAnsiTheme="majorBidi" w:cstheme="majorBidi"/>
          <w:b/>
          <w:color w:val="000000" w:themeColor="text1"/>
          <w:sz w:val="20"/>
        </w:rPr>
        <w:instrText xml:space="preserve"> SEQ Figure \* ARABIC </w:instrText>
      </w:r>
      <w:r w:rsidRPr="003747A4">
        <w:rPr>
          <w:rFonts w:asciiTheme="majorBidi" w:hAnsiTheme="majorBidi" w:cstheme="majorBidi"/>
          <w:b/>
          <w:i/>
          <w:color w:val="000000" w:themeColor="text1"/>
          <w:sz w:val="20"/>
        </w:rPr>
        <w:fldChar w:fldCharType="separate"/>
      </w:r>
      <w:r>
        <w:rPr>
          <w:rFonts w:asciiTheme="majorBidi" w:hAnsiTheme="majorBidi" w:cstheme="majorBidi"/>
          <w:b/>
          <w:noProof/>
          <w:color w:val="000000" w:themeColor="text1"/>
          <w:sz w:val="20"/>
        </w:rPr>
        <w:t>1</w:t>
      </w:r>
      <w:r w:rsidRPr="003747A4">
        <w:rPr>
          <w:rFonts w:asciiTheme="majorBidi" w:hAnsiTheme="majorBidi" w:cstheme="majorBidi"/>
          <w:b/>
          <w:i/>
          <w:color w:val="000000" w:themeColor="text1"/>
          <w:sz w:val="20"/>
        </w:rPr>
        <w:fldChar w:fldCharType="end"/>
      </w:r>
      <w:r>
        <w:rPr>
          <w:rFonts w:asciiTheme="majorBidi" w:hAnsiTheme="majorBidi" w:cstheme="majorBidi"/>
          <w:b/>
          <w:i/>
          <w:color w:val="000000" w:themeColor="text1"/>
          <w:sz w:val="20"/>
        </w:rPr>
        <w:t xml:space="preserve"> SM</w:t>
      </w:r>
      <w:r w:rsidRPr="003747A4">
        <w:rPr>
          <w:rFonts w:asciiTheme="majorBidi" w:hAnsiTheme="majorBidi" w:cstheme="majorBidi"/>
          <w:color w:val="000000" w:themeColor="text1"/>
          <w:sz w:val="20"/>
        </w:rPr>
        <w:t xml:space="preserve">: Interannual variation in the simulated </w:t>
      </w:r>
      <w:r>
        <w:rPr>
          <w:rFonts w:asciiTheme="majorBidi" w:hAnsiTheme="majorBidi" w:cstheme="majorBidi"/>
          <w:color w:val="000000" w:themeColor="text1"/>
          <w:sz w:val="20"/>
        </w:rPr>
        <w:t>evapotranspiration (ET)</w:t>
      </w:r>
      <w:r w:rsidRPr="003747A4">
        <w:rPr>
          <w:rFonts w:asciiTheme="majorBidi" w:hAnsiTheme="majorBidi" w:cstheme="majorBidi"/>
          <w:color w:val="000000" w:themeColor="text1"/>
          <w:sz w:val="20"/>
        </w:rPr>
        <w:t xml:space="preserve"> in the SJRB; </w:t>
      </w:r>
      <w:r w:rsidRPr="003747A4">
        <w:rPr>
          <w:rFonts w:asciiTheme="majorBidi" w:hAnsiTheme="majorBidi" w:cstheme="majorBidi"/>
          <w:color w:val="000000" w:themeColor="text1"/>
          <w:sz w:val="18"/>
        </w:rPr>
        <w:t>(linear line indicating the significant trend)</w:t>
      </w:r>
    </w:p>
    <w:p w14:paraId="51305001" w14:textId="77777777" w:rsidR="009105A6" w:rsidRDefault="009105A6">
      <w:pPr>
        <w:rPr>
          <w:rFonts w:asciiTheme="majorBidi" w:hAnsiTheme="majorBidi" w:cstheme="majorBidi"/>
          <w:color w:val="000000" w:themeColor="text1"/>
          <w:sz w:val="18"/>
        </w:rPr>
      </w:pPr>
      <w:r>
        <w:rPr>
          <w:rFonts w:asciiTheme="majorBidi" w:hAnsiTheme="majorBidi" w:cstheme="majorBidi"/>
          <w:color w:val="000000" w:themeColor="text1"/>
          <w:sz w:val="18"/>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20"/>
        <w:gridCol w:w="3120"/>
      </w:tblGrid>
      <w:tr w:rsidR="00104134" w14:paraId="75BA4FFD" w14:textId="77777777" w:rsidTr="009105A6">
        <w:tc>
          <w:tcPr>
            <w:tcW w:w="3120" w:type="dxa"/>
            <w:tcBorders>
              <w:bottom w:val="single" w:sz="4" w:space="0" w:color="auto"/>
            </w:tcBorders>
          </w:tcPr>
          <w:p w14:paraId="633C0E21" w14:textId="77777777" w:rsidR="00104134" w:rsidRDefault="00104134" w:rsidP="005B23EC">
            <w:pPr>
              <w:contextualSpacing/>
              <w:jc w:val="center"/>
              <w:rPr>
                <w:rFonts w:asciiTheme="majorBidi" w:hAnsiTheme="majorBidi" w:cstheme="majorBidi"/>
                <w:b/>
                <w:color w:val="000000" w:themeColor="text1"/>
                <w:sz w:val="20"/>
              </w:rPr>
            </w:pPr>
            <w:r>
              <w:rPr>
                <w:rFonts w:asciiTheme="majorBidi" w:hAnsiTheme="majorBidi" w:cstheme="majorBidi"/>
                <w:color w:val="000000" w:themeColor="text1"/>
                <w:sz w:val="20"/>
              </w:rPr>
              <w:br w:type="page"/>
            </w:r>
            <w:r>
              <w:rPr>
                <w:rFonts w:asciiTheme="majorBidi" w:hAnsiTheme="majorBidi" w:cstheme="majorBidi"/>
                <w:b/>
                <w:color w:val="000000" w:themeColor="text1"/>
                <w:sz w:val="20"/>
              </w:rPr>
              <w:t>1992</w:t>
            </w:r>
          </w:p>
        </w:tc>
        <w:tc>
          <w:tcPr>
            <w:tcW w:w="3120" w:type="dxa"/>
            <w:tcBorders>
              <w:bottom w:val="single" w:sz="4" w:space="0" w:color="auto"/>
            </w:tcBorders>
          </w:tcPr>
          <w:p w14:paraId="11F6EFC4" w14:textId="77777777" w:rsidR="00104134" w:rsidRDefault="00104134" w:rsidP="005B23EC">
            <w:pPr>
              <w:contextualSpacing/>
              <w:jc w:val="center"/>
              <w:rPr>
                <w:rFonts w:asciiTheme="majorBidi" w:hAnsiTheme="majorBidi" w:cstheme="majorBidi"/>
                <w:b/>
                <w:color w:val="000000" w:themeColor="text1"/>
                <w:sz w:val="20"/>
              </w:rPr>
            </w:pPr>
            <w:r>
              <w:rPr>
                <w:rFonts w:asciiTheme="majorBidi" w:hAnsiTheme="majorBidi" w:cstheme="majorBidi"/>
                <w:b/>
                <w:color w:val="000000" w:themeColor="text1"/>
                <w:sz w:val="20"/>
              </w:rPr>
              <w:t>2019</w:t>
            </w:r>
          </w:p>
        </w:tc>
        <w:tc>
          <w:tcPr>
            <w:tcW w:w="3120" w:type="dxa"/>
            <w:tcBorders>
              <w:bottom w:val="single" w:sz="4" w:space="0" w:color="auto"/>
            </w:tcBorders>
          </w:tcPr>
          <w:p w14:paraId="4958FBA2" w14:textId="77777777" w:rsidR="00104134" w:rsidRDefault="00104134" w:rsidP="005B23EC">
            <w:pPr>
              <w:contextualSpacing/>
              <w:jc w:val="center"/>
              <w:rPr>
                <w:rFonts w:asciiTheme="majorBidi" w:hAnsiTheme="majorBidi" w:cstheme="majorBidi"/>
                <w:b/>
                <w:color w:val="000000" w:themeColor="text1"/>
                <w:sz w:val="20"/>
              </w:rPr>
            </w:pPr>
            <w:r>
              <w:rPr>
                <w:rFonts w:asciiTheme="majorBidi" w:hAnsiTheme="majorBidi" w:cstheme="majorBidi"/>
                <w:b/>
                <w:color w:val="000000" w:themeColor="text1"/>
                <w:sz w:val="20"/>
              </w:rPr>
              <w:t>Δ 2019 - 1992</w:t>
            </w:r>
          </w:p>
        </w:tc>
      </w:tr>
      <w:tr w:rsidR="00104134" w14:paraId="751B738E" w14:textId="77777777" w:rsidTr="009105A6">
        <w:tc>
          <w:tcPr>
            <w:tcW w:w="9360" w:type="dxa"/>
            <w:gridSpan w:val="3"/>
            <w:tcBorders>
              <w:top w:val="single" w:sz="4" w:space="0" w:color="auto"/>
            </w:tcBorders>
          </w:tcPr>
          <w:p w14:paraId="079B8A76" w14:textId="055118C2" w:rsidR="00104134" w:rsidRDefault="00DB7322" w:rsidP="005B23EC">
            <w:pPr>
              <w:contextualSpacing/>
              <w:jc w:val="both"/>
              <w:rPr>
                <w:rFonts w:asciiTheme="majorBidi" w:hAnsiTheme="majorBidi" w:cstheme="majorBidi"/>
                <w:b/>
                <w:color w:val="000000" w:themeColor="text1"/>
                <w:sz w:val="20"/>
              </w:rPr>
            </w:pPr>
            <w:r>
              <w:rPr>
                <w:noProof/>
                <w:lang w:val="en-IN" w:eastAsia="en-IN"/>
              </w:rPr>
              <w:drawing>
                <wp:inline distT="0" distB="0" distL="0" distR="0" wp14:anchorId="12B7EF6E" wp14:editId="7C330C2A">
                  <wp:extent cx="5888340" cy="1417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88340" cy="1417320"/>
                          </a:xfrm>
                          <a:prstGeom prst="rect">
                            <a:avLst/>
                          </a:prstGeom>
                          <a:noFill/>
                          <a:ln>
                            <a:noFill/>
                          </a:ln>
                        </pic:spPr>
                      </pic:pic>
                    </a:graphicData>
                  </a:graphic>
                </wp:inline>
              </w:drawing>
            </w:r>
          </w:p>
        </w:tc>
      </w:tr>
      <w:tr w:rsidR="00104134" w14:paraId="112FC69D" w14:textId="77777777" w:rsidTr="009105A6">
        <w:tc>
          <w:tcPr>
            <w:tcW w:w="9360" w:type="dxa"/>
            <w:gridSpan w:val="3"/>
          </w:tcPr>
          <w:p w14:paraId="392D129C" w14:textId="53984185" w:rsidR="00104134" w:rsidRDefault="00DB02FE" w:rsidP="005B23EC">
            <w:pPr>
              <w:contextualSpacing/>
              <w:jc w:val="both"/>
              <w:rPr>
                <w:rFonts w:asciiTheme="majorBidi" w:hAnsiTheme="majorBidi" w:cstheme="majorBidi"/>
                <w:b/>
                <w:color w:val="000000" w:themeColor="text1"/>
                <w:sz w:val="20"/>
              </w:rPr>
            </w:pPr>
            <w:r>
              <w:rPr>
                <w:noProof/>
                <w:lang w:val="en-IN" w:eastAsia="en-IN"/>
              </w:rPr>
              <w:drawing>
                <wp:inline distT="0" distB="0" distL="0" distR="0" wp14:anchorId="76A1F014" wp14:editId="3139A54E">
                  <wp:extent cx="5888340" cy="1417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88340" cy="1417320"/>
                          </a:xfrm>
                          <a:prstGeom prst="rect">
                            <a:avLst/>
                          </a:prstGeom>
                          <a:noFill/>
                          <a:ln>
                            <a:noFill/>
                          </a:ln>
                        </pic:spPr>
                      </pic:pic>
                    </a:graphicData>
                  </a:graphic>
                </wp:inline>
              </w:drawing>
            </w:r>
          </w:p>
        </w:tc>
      </w:tr>
    </w:tbl>
    <w:p w14:paraId="3B65AA9E" w14:textId="4FD01D31" w:rsidR="008076D8" w:rsidRPr="001A46CB" w:rsidRDefault="008076D8" w:rsidP="00F949A3">
      <w:pPr>
        <w:spacing w:before="240"/>
        <w:rPr>
          <w:rFonts w:asciiTheme="majorBidi" w:hAnsiTheme="majorBidi" w:cstheme="majorBidi"/>
          <w:color w:val="000000" w:themeColor="text1"/>
          <w:sz w:val="20"/>
        </w:rPr>
      </w:pPr>
      <w:r w:rsidRPr="001A46CB">
        <w:rPr>
          <w:rFonts w:asciiTheme="majorBidi" w:hAnsiTheme="majorBidi" w:cstheme="majorBidi"/>
          <w:b/>
          <w:color w:val="000000" w:themeColor="text1"/>
          <w:sz w:val="20"/>
        </w:rPr>
        <w:t>Fig</w:t>
      </w:r>
      <w:r w:rsidR="000107ED">
        <w:rPr>
          <w:rFonts w:asciiTheme="majorBidi" w:hAnsiTheme="majorBidi" w:cstheme="majorBidi"/>
          <w:b/>
          <w:color w:val="000000" w:themeColor="text1"/>
          <w:sz w:val="20"/>
        </w:rPr>
        <w:t>.</w:t>
      </w:r>
      <w:r w:rsidRPr="001A46CB">
        <w:rPr>
          <w:rFonts w:asciiTheme="majorBidi" w:hAnsiTheme="majorBidi" w:cstheme="majorBidi"/>
          <w:b/>
          <w:color w:val="000000" w:themeColor="text1"/>
          <w:sz w:val="20"/>
        </w:rPr>
        <w:t xml:space="preserve"> </w:t>
      </w:r>
      <w:r w:rsidRPr="001A46CB">
        <w:rPr>
          <w:rFonts w:asciiTheme="majorBidi" w:hAnsiTheme="majorBidi" w:cstheme="majorBidi"/>
          <w:b/>
          <w:i/>
          <w:color w:val="000000" w:themeColor="text1"/>
          <w:sz w:val="20"/>
        </w:rPr>
        <w:fldChar w:fldCharType="begin"/>
      </w:r>
      <w:r w:rsidRPr="001A46CB">
        <w:rPr>
          <w:rFonts w:asciiTheme="majorBidi" w:hAnsiTheme="majorBidi" w:cstheme="majorBidi"/>
          <w:b/>
          <w:color w:val="000000" w:themeColor="text1"/>
          <w:sz w:val="20"/>
        </w:rPr>
        <w:instrText xml:space="preserve"> SEQ Figure \* ARABIC </w:instrText>
      </w:r>
      <w:r w:rsidRPr="001A46CB">
        <w:rPr>
          <w:rFonts w:asciiTheme="majorBidi" w:hAnsiTheme="majorBidi" w:cstheme="majorBidi"/>
          <w:b/>
          <w:i/>
          <w:color w:val="000000" w:themeColor="text1"/>
          <w:sz w:val="20"/>
        </w:rPr>
        <w:fldChar w:fldCharType="separate"/>
      </w:r>
      <w:r w:rsidR="0055397F">
        <w:rPr>
          <w:rFonts w:asciiTheme="majorBidi" w:hAnsiTheme="majorBidi" w:cstheme="majorBidi"/>
          <w:b/>
          <w:noProof/>
          <w:color w:val="000000" w:themeColor="text1"/>
          <w:sz w:val="20"/>
        </w:rPr>
        <w:t>2</w:t>
      </w:r>
      <w:r w:rsidRPr="001A46CB">
        <w:rPr>
          <w:rFonts w:asciiTheme="majorBidi" w:hAnsiTheme="majorBidi" w:cstheme="majorBidi"/>
          <w:b/>
          <w:i/>
          <w:color w:val="000000" w:themeColor="text1"/>
          <w:sz w:val="20"/>
        </w:rPr>
        <w:fldChar w:fldCharType="end"/>
      </w:r>
      <w:r w:rsidRPr="001A46CB">
        <w:rPr>
          <w:rFonts w:asciiTheme="majorBidi" w:hAnsiTheme="majorBidi" w:cstheme="majorBidi"/>
          <w:b/>
          <w:i/>
          <w:color w:val="000000" w:themeColor="text1"/>
          <w:sz w:val="20"/>
        </w:rPr>
        <w:t xml:space="preserve"> SM</w:t>
      </w:r>
      <w:r w:rsidRPr="001A46CB">
        <w:rPr>
          <w:rFonts w:asciiTheme="majorBidi" w:hAnsiTheme="majorBidi" w:cstheme="majorBidi"/>
          <w:color w:val="000000" w:themeColor="text1"/>
          <w:sz w:val="20"/>
        </w:rPr>
        <w:t xml:space="preserve">: Spatial distribution of Niles subwatershed responsive variables in 1992, 2019 and relative changes from 1992 to 2019 at subbasin scale. Total phosphorus (a); and total nitrogen (b). </w:t>
      </w:r>
      <w:r w:rsidRPr="001A46CB">
        <w:rPr>
          <w:rFonts w:asciiTheme="majorBidi" w:hAnsiTheme="majorBidi" w:cstheme="majorBidi"/>
          <w:i/>
          <w:color w:val="000000" w:themeColor="text1"/>
          <w:sz w:val="20"/>
        </w:rPr>
        <w:t>Note</w:t>
      </w:r>
      <w:r w:rsidRPr="001A46CB">
        <w:rPr>
          <w:rFonts w:asciiTheme="majorBidi" w:hAnsiTheme="majorBidi" w:cstheme="majorBidi"/>
          <w:color w:val="000000" w:themeColor="text1"/>
          <w:sz w:val="20"/>
        </w:rPr>
        <w:t>: each figure has its own legend</w:t>
      </w:r>
    </w:p>
    <w:p w14:paraId="48B74E9E" w14:textId="77777777" w:rsidR="008076D8" w:rsidRPr="001A46CB" w:rsidRDefault="008076D8">
      <w:pPr>
        <w:rPr>
          <w:rFonts w:asciiTheme="majorBidi" w:hAnsiTheme="majorBidi" w:cstheme="majorBidi"/>
          <w:color w:val="000000" w:themeColor="text1"/>
          <w:sz w:val="20"/>
        </w:rPr>
      </w:pPr>
      <w:r w:rsidRPr="001A46CB">
        <w:rPr>
          <w:rFonts w:asciiTheme="majorBidi" w:hAnsiTheme="majorBidi" w:cstheme="majorBidi"/>
          <w:color w:val="000000" w:themeColor="text1"/>
          <w:sz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20"/>
        <w:gridCol w:w="3120"/>
      </w:tblGrid>
      <w:tr w:rsidR="00107650" w14:paraId="05F88509" w14:textId="77777777" w:rsidTr="005B23EC">
        <w:tc>
          <w:tcPr>
            <w:tcW w:w="3116" w:type="dxa"/>
            <w:tcBorders>
              <w:bottom w:val="single" w:sz="4" w:space="0" w:color="auto"/>
            </w:tcBorders>
          </w:tcPr>
          <w:p w14:paraId="315BA618" w14:textId="77777777" w:rsidR="00107650" w:rsidRDefault="00107650" w:rsidP="005B23EC">
            <w:pPr>
              <w:contextualSpacing/>
              <w:jc w:val="center"/>
              <w:rPr>
                <w:rFonts w:asciiTheme="majorBidi" w:hAnsiTheme="majorBidi" w:cstheme="majorBidi"/>
                <w:b/>
                <w:color w:val="000000" w:themeColor="text1"/>
                <w:sz w:val="20"/>
              </w:rPr>
            </w:pPr>
            <w:r>
              <w:rPr>
                <w:rFonts w:asciiTheme="majorBidi" w:hAnsiTheme="majorBidi" w:cstheme="majorBidi"/>
                <w:color w:val="000000" w:themeColor="text1"/>
                <w:sz w:val="20"/>
              </w:rPr>
              <w:br w:type="page"/>
            </w:r>
            <w:r>
              <w:rPr>
                <w:rFonts w:asciiTheme="majorBidi" w:hAnsiTheme="majorBidi" w:cstheme="majorBidi"/>
                <w:b/>
                <w:color w:val="000000" w:themeColor="text1"/>
                <w:sz w:val="20"/>
              </w:rPr>
              <w:t>1992</w:t>
            </w:r>
          </w:p>
        </w:tc>
        <w:tc>
          <w:tcPr>
            <w:tcW w:w="3117" w:type="dxa"/>
            <w:tcBorders>
              <w:bottom w:val="single" w:sz="4" w:space="0" w:color="auto"/>
            </w:tcBorders>
          </w:tcPr>
          <w:p w14:paraId="23FFAA3C" w14:textId="77777777" w:rsidR="00107650" w:rsidRDefault="00107650" w:rsidP="005B23EC">
            <w:pPr>
              <w:contextualSpacing/>
              <w:jc w:val="center"/>
              <w:rPr>
                <w:rFonts w:asciiTheme="majorBidi" w:hAnsiTheme="majorBidi" w:cstheme="majorBidi"/>
                <w:b/>
                <w:color w:val="000000" w:themeColor="text1"/>
                <w:sz w:val="20"/>
              </w:rPr>
            </w:pPr>
            <w:r>
              <w:rPr>
                <w:rFonts w:asciiTheme="majorBidi" w:hAnsiTheme="majorBidi" w:cstheme="majorBidi"/>
                <w:b/>
                <w:color w:val="000000" w:themeColor="text1"/>
                <w:sz w:val="20"/>
              </w:rPr>
              <w:t>2019</w:t>
            </w:r>
          </w:p>
        </w:tc>
        <w:tc>
          <w:tcPr>
            <w:tcW w:w="3117" w:type="dxa"/>
            <w:tcBorders>
              <w:bottom w:val="single" w:sz="4" w:space="0" w:color="auto"/>
            </w:tcBorders>
          </w:tcPr>
          <w:p w14:paraId="22327D2A" w14:textId="77777777" w:rsidR="00107650" w:rsidRDefault="00107650" w:rsidP="005B23EC">
            <w:pPr>
              <w:contextualSpacing/>
              <w:jc w:val="center"/>
              <w:rPr>
                <w:rFonts w:asciiTheme="majorBidi" w:hAnsiTheme="majorBidi" w:cstheme="majorBidi"/>
                <w:b/>
                <w:color w:val="000000" w:themeColor="text1"/>
                <w:sz w:val="20"/>
              </w:rPr>
            </w:pPr>
            <w:r>
              <w:rPr>
                <w:rFonts w:asciiTheme="majorBidi" w:hAnsiTheme="majorBidi" w:cstheme="majorBidi"/>
                <w:b/>
                <w:color w:val="000000" w:themeColor="text1"/>
                <w:sz w:val="20"/>
              </w:rPr>
              <w:t>Δ 2019 - 1992</w:t>
            </w:r>
          </w:p>
        </w:tc>
      </w:tr>
      <w:tr w:rsidR="00107650" w14:paraId="694386BB" w14:textId="77777777" w:rsidTr="005B23EC">
        <w:tc>
          <w:tcPr>
            <w:tcW w:w="9350" w:type="dxa"/>
            <w:gridSpan w:val="3"/>
            <w:tcBorders>
              <w:top w:val="single" w:sz="4" w:space="0" w:color="auto"/>
            </w:tcBorders>
          </w:tcPr>
          <w:p w14:paraId="2A145667" w14:textId="58B94FF8" w:rsidR="00107650" w:rsidRDefault="006A69F4" w:rsidP="005B23EC">
            <w:pPr>
              <w:contextualSpacing/>
              <w:jc w:val="both"/>
              <w:rPr>
                <w:rFonts w:asciiTheme="majorBidi" w:hAnsiTheme="majorBidi" w:cstheme="majorBidi"/>
                <w:b/>
                <w:color w:val="000000" w:themeColor="text1"/>
                <w:sz w:val="20"/>
              </w:rPr>
            </w:pPr>
            <w:r>
              <w:rPr>
                <w:noProof/>
                <w:lang w:val="en-IN" w:eastAsia="en-IN"/>
              </w:rPr>
              <w:drawing>
                <wp:inline distT="0" distB="0" distL="0" distR="0" wp14:anchorId="70C45279" wp14:editId="177D79DA">
                  <wp:extent cx="5881556" cy="1554480"/>
                  <wp:effectExtent l="0" t="0" r="508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81556" cy="1554480"/>
                          </a:xfrm>
                          <a:prstGeom prst="rect">
                            <a:avLst/>
                          </a:prstGeom>
                          <a:noFill/>
                          <a:ln>
                            <a:noFill/>
                          </a:ln>
                        </pic:spPr>
                      </pic:pic>
                    </a:graphicData>
                  </a:graphic>
                </wp:inline>
              </w:drawing>
            </w:r>
          </w:p>
        </w:tc>
      </w:tr>
      <w:tr w:rsidR="00107650" w14:paraId="07069477" w14:textId="77777777" w:rsidTr="005B23EC">
        <w:tc>
          <w:tcPr>
            <w:tcW w:w="9350" w:type="dxa"/>
            <w:gridSpan w:val="3"/>
          </w:tcPr>
          <w:p w14:paraId="5E94A18D" w14:textId="021CBF7E" w:rsidR="00107650" w:rsidRDefault="006A69F4" w:rsidP="005B23EC">
            <w:pPr>
              <w:contextualSpacing/>
              <w:jc w:val="both"/>
              <w:rPr>
                <w:rFonts w:asciiTheme="majorBidi" w:hAnsiTheme="majorBidi" w:cstheme="majorBidi"/>
                <w:b/>
                <w:color w:val="000000" w:themeColor="text1"/>
                <w:sz w:val="20"/>
              </w:rPr>
            </w:pPr>
            <w:r>
              <w:rPr>
                <w:noProof/>
                <w:lang w:val="en-IN" w:eastAsia="en-IN"/>
              </w:rPr>
              <w:drawing>
                <wp:inline distT="0" distB="0" distL="0" distR="0" wp14:anchorId="12BB8DFD" wp14:editId="15F22FE1">
                  <wp:extent cx="5881556" cy="1554480"/>
                  <wp:effectExtent l="0" t="0" r="508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81556" cy="1554480"/>
                          </a:xfrm>
                          <a:prstGeom prst="rect">
                            <a:avLst/>
                          </a:prstGeom>
                          <a:noFill/>
                          <a:ln>
                            <a:noFill/>
                          </a:ln>
                        </pic:spPr>
                      </pic:pic>
                    </a:graphicData>
                  </a:graphic>
                </wp:inline>
              </w:drawing>
            </w:r>
          </w:p>
        </w:tc>
      </w:tr>
    </w:tbl>
    <w:p w14:paraId="3994F70E" w14:textId="1C85C246" w:rsidR="001C06A9" w:rsidRDefault="00A241F2" w:rsidP="00F949A3">
      <w:pPr>
        <w:spacing w:before="240"/>
        <w:rPr>
          <w:rFonts w:asciiTheme="majorBidi" w:hAnsiTheme="majorBidi" w:cstheme="majorBidi"/>
          <w:color w:val="000000" w:themeColor="text1"/>
          <w:sz w:val="20"/>
        </w:rPr>
      </w:pPr>
      <w:r w:rsidRPr="001A46CB">
        <w:rPr>
          <w:rFonts w:asciiTheme="majorBidi" w:hAnsiTheme="majorBidi" w:cstheme="majorBidi"/>
          <w:b/>
          <w:color w:val="000000" w:themeColor="text1"/>
          <w:sz w:val="20"/>
        </w:rPr>
        <w:t>Fig</w:t>
      </w:r>
      <w:r w:rsidR="000107ED">
        <w:rPr>
          <w:rFonts w:asciiTheme="majorBidi" w:hAnsiTheme="majorBidi" w:cstheme="majorBidi"/>
          <w:b/>
          <w:color w:val="000000" w:themeColor="text1"/>
          <w:sz w:val="20"/>
        </w:rPr>
        <w:t>.</w:t>
      </w:r>
      <w:r w:rsidRPr="001A46CB">
        <w:rPr>
          <w:rFonts w:asciiTheme="majorBidi" w:hAnsiTheme="majorBidi" w:cstheme="majorBidi"/>
          <w:b/>
          <w:color w:val="000000" w:themeColor="text1"/>
          <w:sz w:val="20"/>
        </w:rPr>
        <w:t xml:space="preserve"> </w:t>
      </w:r>
      <w:r w:rsidRPr="001A46CB">
        <w:rPr>
          <w:rFonts w:asciiTheme="majorBidi" w:hAnsiTheme="majorBidi" w:cstheme="majorBidi"/>
          <w:b/>
          <w:i/>
          <w:color w:val="000000" w:themeColor="text1"/>
          <w:sz w:val="20"/>
        </w:rPr>
        <w:fldChar w:fldCharType="begin"/>
      </w:r>
      <w:r w:rsidRPr="001A46CB">
        <w:rPr>
          <w:rFonts w:asciiTheme="majorBidi" w:hAnsiTheme="majorBidi" w:cstheme="majorBidi"/>
          <w:b/>
          <w:color w:val="000000" w:themeColor="text1"/>
          <w:sz w:val="20"/>
        </w:rPr>
        <w:instrText xml:space="preserve"> SEQ Figure \* ARABIC </w:instrText>
      </w:r>
      <w:r w:rsidRPr="001A46CB">
        <w:rPr>
          <w:rFonts w:asciiTheme="majorBidi" w:hAnsiTheme="majorBidi" w:cstheme="majorBidi"/>
          <w:b/>
          <w:i/>
          <w:color w:val="000000" w:themeColor="text1"/>
          <w:sz w:val="20"/>
        </w:rPr>
        <w:fldChar w:fldCharType="separate"/>
      </w:r>
      <w:r w:rsidR="0055397F">
        <w:rPr>
          <w:rFonts w:asciiTheme="majorBidi" w:hAnsiTheme="majorBidi" w:cstheme="majorBidi"/>
          <w:b/>
          <w:noProof/>
          <w:color w:val="000000" w:themeColor="text1"/>
          <w:sz w:val="20"/>
        </w:rPr>
        <w:t>3</w:t>
      </w:r>
      <w:r w:rsidRPr="001A46CB">
        <w:rPr>
          <w:rFonts w:asciiTheme="majorBidi" w:hAnsiTheme="majorBidi" w:cstheme="majorBidi"/>
          <w:b/>
          <w:i/>
          <w:color w:val="000000" w:themeColor="text1"/>
          <w:sz w:val="20"/>
        </w:rPr>
        <w:fldChar w:fldCharType="end"/>
      </w:r>
      <w:r w:rsidRPr="001A46CB">
        <w:rPr>
          <w:rFonts w:asciiTheme="majorBidi" w:hAnsiTheme="majorBidi" w:cstheme="majorBidi"/>
          <w:b/>
          <w:i/>
          <w:color w:val="000000" w:themeColor="text1"/>
          <w:sz w:val="20"/>
        </w:rPr>
        <w:t xml:space="preserve"> SM</w:t>
      </w:r>
      <w:r w:rsidRPr="001A46CB">
        <w:rPr>
          <w:rFonts w:asciiTheme="majorBidi" w:hAnsiTheme="majorBidi" w:cstheme="majorBidi"/>
          <w:color w:val="000000" w:themeColor="text1"/>
          <w:sz w:val="20"/>
        </w:rPr>
        <w:t xml:space="preserve">: Spatial distribution of Paw </w:t>
      </w:r>
      <w:r w:rsidR="00FB2DB0">
        <w:rPr>
          <w:rFonts w:asciiTheme="majorBidi" w:hAnsiTheme="majorBidi" w:cstheme="majorBidi"/>
          <w:color w:val="000000" w:themeColor="text1"/>
          <w:sz w:val="20"/>
        </w:rPr>
        <w:t>P</w:t>
      </w:r>
      <w:r w:rsidRPr="001A46CB">
        <w:rPr>
          <w:rFonts w:asciiTheme="majorBidi" w:hAnsiTheme="majorBidi" w:cstheme="majorBidi"/>
          <w:color w:val="000000" w:themeColor="text1"/>
          <w:sz w:val="20"/>
        </w:rPr>
        <w:t xml:space="preserve">aw subwatershed responsive variables in 1992, 2019 and relative changes from 1992 to 2019 at subbasin scale. Total phosphorus (a); and total nitrogen (b). </w:t>
      </w:r>
      <w:r w:rsidRPr="001A46CB">
        <w:rPr>
          <w:rFonts w:asciiTheme="majorBidi" w:hAnsiTheme="majorBidi" w:cstheme="majorBidi"/>
          <w:i/>
          <w:color w:val="000000" w:themeColor="text1"/>
          <w:sz w:val="20"/>
        </w:rPr>
        <w:t>Note</w:t>
      </w:r>
      <w:r w:rsidRPr="001A46CB">
        <w:rPr>
          <w:rFonts w:asciiTheme="majorBidi" w:hAnsiTheme="majorBidi" w:cstheme="majorBidi"/>
          <w:color w:val="000000" w:themeColor="text1"/>
          <w:sz w:val="20"/>
        </w:rPr>
        <w:t>: each figure has its own legend</w:t>
      </w:r>
    </w:p>
    <w:p w14:paraId="527AC368" w14:textId="77777777" w:rsidR="001C06A9" w:rsidRDefault="001C06A9">
      <w:pPr>
        <w:rPr>
          <w:rFonts w:asciiTheme="majorBidi" w:hAnsiTheme="majorBidi" w:cstheme="majorBidi"/>
          <w:color w:val="000000" w:themeColor="text1"/>
          <w:sz w:val="20"/>
        </w:rPr>
      </w:pPr>
      <w:r>
        <w:rPr>
          <w:rFonts w:asciiTheme="majorBidi" w:hAnsiTheme="majorBidi" w:cstheme="majorBidi"/>
          <w:color w:val="000000" w:themeColor="text1"/>
          <w:sz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1C06A9" w14:paraId="3E256FC2" w14:textId="77777777" w:rsidTr="001C06A9">
        <w:tc>
          <w:tcPr>
            <w:tcW w:w="9360" w:type="dxa"/>
            <w:tcBorders>
              <w:top w:val="single" w:sz="4" w:space="0" w:color="auto"/>
            </w:tcBorders>
          </w:tcPr>
          <w:p w14:paraId="02818705" w14:textId="4865AFBC" w:rsidR="001C06A9" w:rsidRDefault="00330CDE" w:rsidP="00543F78">
            <w:pPr>
              <w:spacing w:line="360" w:lineRule="auto"/>
              <w:contextualSpacing/>
              <w:jc w:val="both"/>
              <w:rPr>
                <w:rFonts w:asciiTheme="majorBidi" w:hAnsiTheme="majorBidi" w:cstheme="majorBidi"/>
                <w:b/>
                <w:color w:val="000000" w:themeColor="text1"/>
                <w:sz w:val="20"/>
              </w:rPr>
            </w:pPr>
            <w:r>
              <w:rPr>
                <w:rFonts w:asciiTheme="majorBidi" w:hAnsiTheme="majorBidi" w:cstheme="majorBidi"/>
                <w:b/>
                <w:noProof/>
                <w:color w:val="000000" w:themeColor="text1"/>
                <w:sz w:val="20"/>
                <w:lang w:val="en-IN" w:eastAsia="en-IN"/>
              </w:rPr>
              <w:drawing>
                <wp:inline distT="0" distB="0" distL="0" distR="0" wp14:anchorId="6188A140" wp14:editId="1A6FA0C1">
                  <wp:extent cx="5890255" cy="274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90255" cy="2743200"/>
                          </a:xfrm>
                          <a:prstGeom prst="rect">
                            <a:avLst/>
                          </a:prstGeom>
                          <a:noFill/>
                        </pic:spPr>
                      </pic:pic>
                    </a:graphicData>
                  </a:graphic>
                </wp:inline>
              </w:drawing>
            </w:r>
          </w:p>
        </w:tc>
      </w:tr>
      <w:tr w:rsidR="001C06A9" w14:paraId="6F1AECF9" w14:textId="77777777" w:rsidTr="001C06A9">
        <w:tc>
          <w:tcPr>
            <w:tcW w:w="9360" w:type="dxa"/>
          </w:tcPr>
          <w:p w14:paraId="3D3D2E03" w14:textId="3ABC7B53" w:rsidR="001C06A9" w:rsidRDefault="00330CDE" w:rsidP="00543F78">
            <w:pPr>
              <w:spacing w:line="360" w:lineRule="auto"/>
              <w:contextualSpacing/>
              <w:jc w:val="both"/>
              <w:rPr>
                <w:rFonts w:asciiTheme="majorBidi" w:hAnsiTheme="majorBidi" w:cstheme="majorBidi"/>
                <w:b/>
                <w:color w:val="000000" w:themeColor="text1"/>
                <w:sz w:val="20"/>
              </w:rPr>
            </w:pPr>
            <w:r>
              <w:rPr>
                <w:rFonts w:asciiTheme="majorBidi" w:hAnsiTheme="majorBidi" w:cstheme="majorBidi"/>
                <w:b/>
                <w:noProof/>
                <w:color w:val="000000" w:themeColor="text1"/>
                <w:sz w:val="20"/>
                <w:lang w:val="en-IN" w:eastAsia="en-IN"/>
              </w:rPr>
              <w:drawing>
                <wp:inline distT="0" distB="0" distL="0" distR="0" wp14:anchorId="72DCCDBE" wp14:editId="2DD09161">
                  <wp:extent cx="5825567" cy="2651760"/>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25567" cy="2651760"/>
                          </a:xfrm>
                          <a:prstGeom prst="rect">
                            <a:avLst/>
                          </a:prstGeom>
                          <a:noFill/>
                        </pic:spPr>
                      </pic:pic>
                    </a:graphicData>
                  </a:graphic>
                </wp:inline>
              </w:drawing>
            </w:r>
          </w:p>
        </w:tc>
      </w:tr>
    </w:tbl>
    <w:p w14:paraId="1F79BE49" w14:textId="4C695576" w:rsidR="00A241F2" w:rsidRPr="001A46CB" w:rsidRDefault="001C06A9" w:rsidP="00F949A3">
      <w:pPr>
        <w:spacing w:before="240"/>
        <w:rPr>
          <w:rFonts w:asciiTheme="majorBidi" w:hAnsiTheme="majorBidi" w:cstheme="majorBidi"/>
          <w:color w:val="000000" w:themeColor="text1"/>
          <w:sz w:val="20"/>
        </w:rPr>
      </w:pPr>
      <w:r w:rsidRPr="001A46CB">
        <w:rPr>
          <w:rFonts w:asciiTheme="majorBidi" w:hAnsiTheme="majorBidi" w:cstheme="majorBidi"/>
          <w:b/>
          <w:color w:val="000000" w:themeColor="text1"/>
          <w:sz w:val="20"/>
        </w:rPr>
        <w:t>Fig</w:t>
      </w:r>
      <w:r>
        <w:rPr>
          <w:rFonts w:asciiTheme="majorBidi" w:hAnsiTheme="majorBidi" w:cstheme="majorBidi"/>
          <w:b/>
          <w:color w:val="000000" w:themeColor="text1"/>
          <w:sz w:val="20"/>
        </w:rPr>
        <w:t>.</w:t>
      </w:r>
      <w:r w:rsidRPr="001A46CB">
        <w:rPr>
          <w:rFonts w:asciiTheme="majorBidi" w:hAnsiTheme="majorBidi" w:cstheme="majorBidi"/>
          <w:b/>
          <w:color w:val="000000" w:themeColor="text1"/>
          <w:sz w:val="20"/>
        </w:rPr>
        <w:t xml:space="preserve"> </w:t>
      </w:r>
      <w:r w:rsidRPr="001A46CB">
        <w:rPr>
          <w:rFonts w:asciiTheme="majorBidi" w:hAnsiTheme="majorBidi" w:cstheme="majorBidi"/>
          <w:b/>
          <w:i/>
          <w:color w:val="000000" w:themeColor="text1"/>
          <w:sz w:val="20"/>
        </w:rPr>
        <w:fldChar w:fldCharType="begin"/>
      </w:r>
      <w:r w:rsidRPr="001A46CB">
        <w:rPr>
          <w:rFonts w:asciiTheme="majorBidi" w:hAnsiTheme="majorBidi" w:cstheme="majorBidi"/>
          <w:b/>
          <w:color w:val="000000" w:themeColor="text1"/>
          <w:sz w:val="20"/>
        </w:rPr>
        <w:instrText xml:space="preserve"> SEQ Figure \* ARABIC </w:instrText>
      </w:r>
      <w:r w:rsidRPr="001A46CB">
        <w:rPr>
          <w:rFonts w:asciiTheme="majorBidi" w:hAnsiTheme="majorBidi" w:cstheme="majorBidi"/>
          <w:b/>
          <w:i/>
          <w:color w:val="000000" w:themeColor="text1"/>
          <w:sz w:val="20"/>
        </w:rPr>
        <w:fldChar w:fldCharType="separate"/>
      </w:r>
      <w:r>
        <w:rPr>
          <w:rFonts w:asciiTheme="majorBidi" w:hAnsiTheme="majorBidi" w:cstheme="majorBidi"/>
          <w:b/>
          <w:noProof/>
          <w:color w:val="000000" w:themeColor="text1"/>
          <w:sz w:val="20"/>
        </w:rPr>
        <w:t>4</w:t>
      </w:r>
      <w:r w:rsidRPr="001A46CB">
        <w:rPr>
          <w:rFonts w:asciiTheme="majorBidi" w:hAnsiTheme="majorBidi" w:cstheme="majorBidi"/>
          <w:b/>
          <w:i/>
          <w:color w:val="000000" w:themeColor="text1"/>
          <w:sz w:val="20"/>
        </w:rPr>
        <w:fldChar w:fldCharType="end"/>
      </w:r>
      <w:r w:rsidRPr="001A46CB">
        <w:rPr>
          <w:rFonts w:asciiTheme="majorBidi" w:hAnsiTheme="majorBidi" w:cstheme="majorBidi"/>
          <w:b/>
          <w:i/>
          <w:color w:val="000000" w:themeColor="text1"/>
          <w:sz w:val="20"/>
        </w:rPr>
        <w:t xml:space="preserve"> SM</w:t>
      </w:r>
      <w:r w:rsidRPr="001A46CB">
        <w:rPr>
          <w:rFonts w:asciiTheme="majorBidi" w:hAnsiTheme="majorBidi" w:cstheme="majorBidi"/>
          <w:color w:val="000000" w:themeColor="text1"/>
          <w:sz w:val="20"/>
        </w:rPr>
        <w:t xml:space="preserve">: </w:t>
      </w:r>
      <w:r w:rsidR="006C5C41" w:rsidRPr="006C5C41">
        <w:rPr>
          <w:rFonts w:asciiTheme="majorBidi" w:hAnsiTheme="majorBidi" w:cstheme="majorBidi"/>
          <w:color w:val="000000" w:themeColor="text1"/>
          <w:sz w:val="20"/>
        </w:rPr>
        <w:t>Time series of daily TN loads generated by LOADEST for the Niles subwatershed (a); comparison of observed TN loads with LOADEST-generated TN loads (b).</w:t>
      </w:r>
    </w:p>
    <w:p w14:paraId="7F073B40" w14:textId="77777777" w:rsidR="008076D8" w:rsidRPr="001A46CB" w:rsidRDefault="008076D8">
      <w:pPr>
        <w:rPr>
          <w:rFonts w:asciiTheme="majorBidi" w:hAnsiTheme="majorBidi" w:cstheme="majorBidi"/>
        </w:rPr>
      </w:pPr>
    </w:p>
    <w:sectPr w:rsidR="008076D8" w:rsidRPr="001A46CB" w:rsidSect="00104134">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3BB8F" w14:textId="77777777" w:rsidR="004B4D88" w:rsidRDefault="004B4D88" w:rsidP="001A46CB">
      <w:pPr>
        <w:spacing w:after="0" w:line="240" w:lineRule="auto"/>
      </w:pPr>
      <w:r>
        <w:separator/>
      </w:r>
    </w:p>
  </w:endnote>
  <w:endnote w:type="continuationSeparator" w:id="0">
    <w:p w14:paraId="7B1C7E1B" w14:textId="77777777" w:rsidR="004B4D88" w:rsidRDefault="004B4D88" w:rsidP="001A4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907607"/>
      <w:docPartObj>
        <w:docPartGallery w:val="Page Numbers (Bottom of Page)"/>
        <w:docPartUnique/>
      </w:docPartObj>
    </w:sdtPr>
    <w:sdtEndPr>
      <w:rPr>
        <w:noProof/>
      </w:rPr>
    </w:sdtEndPr>
    <w:sdtContent>
      <w:p w14:paraId="7C90A99C" w14:textId="0F804E3B" w:rsidR="001A46CB" w:rsidRDefault="001A46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FEEB4D" w14:textId="77777777" w:rsidR="001A46CB" w:rsidRDefault="001A46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02363" w14:textId="77777777" w:rsidR="004B4D88" w:rsidRDefault="004B4D88" w:rsidP="001A46CB">
      <w:pPr>
        <w:spacing w:after="0" w:line="240" w:lineRule="auto"/>
      </w:pPr>
      <w:r>
        <w:separator/>
      </w:r>
    </w:p>
  </w:footnote>
  <w:footnote w:type="continuationSeparator" w:id="0">
    <w:p w14:paraId="48EA5CF9" w14:textId="77777777" w:rsidR="004B4D88" w:rsidRDefault="004B4D88" w:rsidP="001A46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LA0tTAxMjQzsTAxNTRU0lEKTi0uzszPAykwrwUADoi05SwAAAA="/>
  </w:docVars>
  <w:rsids>
    <w:rsidRoot w:val="004E682F"/>
    <w:rsid w:val="000107ED"/>
    <w:rsid w:val="000E163D"/>
    <w:rsid w:val="00104134"/>
    <w:rsid w:val="00107650"/>
    <w:rsid w:val="00143115"/>
    <w:rsid w:val="001A46CB"/>
    <w:rsid w:val="001C06A9"/>
    <w:rsid w:val="001E1A69"/>
    <w:rsid w:val="00205D07"/>
    <w:rsid w:val="002A124B"/>
    <w:rsid w:val="00330CDE"/>
    <w:rsid w:val="003B741C"/>
    <w:rsid w:val="00487409"/>
    <w:rsid w:val="004B4D88"/>
    <w:rsid w:val="004E682F"/>
    <w:rsid w:val="005128ED"/>
    <w:rsid w:val="00543F78"/>
    <w:rsid w:val="0055397F"/>
    <w:rsid w:val="006A69F4"/>
    <w:rsid w:val="006C5C41"/>
    <w:rsid w:val="00740382"/>
    <w:rsid w:val="007751F3"/>
    <w:rsid w:val="007B56E0"/>
    <w:rsid w:val="007D1E3A"/>
    <w:rsid w:val="007E6BE6"/>
    <w:rsid w:val="008076D8"/>
    <w:rsid w:val="008C2CD3"/>
    <w:rsid w:val="009105A6"/>
    <w:rsid w:val="009B4CFD"/>
    <w:rsid w:val="00A241F2"/>
    <w:rsid w:val="00AC3B2C"/>
    <w:rsid w:val="00CA53B5"/>
    <w:rsid w:val="00D74769"/>
    <w:rsid w:val="00DB02FE"/>
    <w:rsid w:val="00DB7322"/>
    <w:rsid w:val="00E86958"/>
    <w:rsid w:val="00E9542C"/>
    <w:rsid w:val="00EA56BB"/>
    <w:rsid w:val="00EF0198"/>
    <w:rsid w:val="00F1751A"/>
    <w:rsid w:val="00F949A3"/>
    <w:rsid w:val="00FB2D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AF283"/>
  <w15:chartTrackingRefBased/>
  <w15:docId w15:val="{EF260303-A200-4E09-8E4E-FC2F88DB2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A53B5"/>
    <w:pPr>
      <w:spacing w:after="200" w:line="240" w:lineRule="auto"/>
    </w:pPr>
    <w:rPr>
      <w:i/>
      <w:iCs/>
      <w:color w:val="44546A" w:themeColor="text2"/>
      <w:sz w:val="18"/>
      <w:szCs w:val="18"/>
    </w:rPr>
  </w:style>
  <w:style w:type="paragraph" w:styleId="Header">
    <w:name w:val="header"/>
    <w:basedOn w:val="Normal"/>
    <w:link w:val="HeaderChar"/>
    <w:uiPriority w:val="99"/>
    <w:unhideWhenUsed/>
    <w:rsid w:val="001A4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6CB"/>
  </w:style>
  <w:style w:type="paragraph" w:styleId="Footer">
    <w:name w:val="footer"/>
    <w:basedOn w:val="Normal"/>
    <w:link w:val="FooterChar"/>
    <w:uiPriority w:val="99"/>
    <w:unhideWhenUsed/>
    <w:rsid w:val="001A4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6CB"/>
  </w:style>
  <w:style w:type="character" w:styleId="Hyperlink">
    <w:name w:val="Hyperlink"/>
    <w:basedOn w:val="DefaultParagraphFont"/>
    <w:uiPriority w:val="99"/>
    <w:unhideWhenUsed/>
    <w:rsid w:val="00487409"/>
    <w:rPr>
      <w:color w:val="0563C1" w:themeColor="hyperlink"/>
      <w:u w:val="single"/>
    </w:rPr>
  </w:style>
  <w:style w:type="paragraph" w:customStyle="1" w:styleId="Default">
    <w:name w:val="Default"/>
    <w:link w:val="DefaultChar"/>
    <w:rsid w:val="0048740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faultChar">
    <w:name w:val="Default Char"/>
    <w:basedOn w:val="DefaultParagraphFont"/>
    <w:link w:val="Default"/>
    <w:rsid w:val="007751F3"/>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1C06A9"/>
    <w:rPr>
      <w:sz w:val="16"/>
      <w:szCs w:val="16"/>
    </w:rPr>
  </w:style>
  <w:style w:type="paragraph" w:styleId="CommentText">
    <w:name w:val="annotation text"/>
    <w:basedOn w:val="Normal"/>
    <w:link w:val="CommentTextChar"/>
    <w:uiPriority w:val="99"/>
    <w:semiHidden/>
    <w:unhideWhenUsed/>
    <w:rsid w:val="001C06A9"/>
    <w:pPr>
      <w:spacing w:line="240" w:lineRule="auto"/>
    </w:pPr>
    <w:rPr>
      <w:sz w:val="20"/>
      <w:szCs w:val="20"/>
    </w:rPr>
  </w:style>
  <w:style w:type="character" w:customStyle="1" w:styleId="CommentTextChar">
    <w:name w:val="Comment Text Char"/>
    <w:basedOn w:val="DefaultParagraphFont"/>
    <w:link w:val="CommentText"/>
    <w:uiPriority w:val="99"/>
    <w:semiHidden/>
    <w:rsid w:val="001C06A9"/>
    <w:rPr>
      <w:sz w:val="20"/>
      <w:szCs w:val="20"/>
    </w:rPr>
  </w:style>
  <w:style w:type="paragraph" w:styleId="CommentSubject">
    <w:name w:val="annotation subject"/>
    <w:basedOn w:val="CommentText"/>
    <w:next w:val="CommentText"/>
    <w:link w:val="CommentSubjectChar"/>
    <w:uiPriority w:val="99"/>
    <w:semiHidden/>
    <w:unhideWhenUsed/>
    <w:rsid w:val="001C06A9"/>
    <w:rPr>
      <w:b/>
      <w:bCs/>
    </w:rPr>
  </w:style>
  <w:style w:type="character" w:customStyle="1" w:styleId="CommentSubjectChar">
    <w:name w:val="Comment Subject Char"/>
    <w:basedOn w:val="CommentTextChar"/>
    <w:link w:val="CommentSubject"/>
    <w:uiPriority w:val="99"/>
    <w:semiHidden/>
    <w:rsid w:val="001C06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5995</Words>
  <Characters>34177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University of Notre Dame</Company>
  <LinksUpToDate>false</LinksUpToDate>
  <CharactersWithSpaces>40092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Aboelnour</dc:creator>
  <cp:keywords/>
  <dc:description/>
  <cp:lastModifiedBy>Dhanalakshmi Rajeswari</cp:lastModifiedBy>
  <cp:revision>28</cp:revision>
  <dcterms:created xsi:type="dcterms:W3CDTF">2023-01-23T14:40:00Z</dcterms:created>
  <dcterms:modified xsi:type="dcterms:W3CDTF">2024-12-19T11:51:00Z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161757f72e9716d839eca0ae1c36bed9b580dbd0edae159dc69b0eac0fd6aa2f</vt:lpwstr>
  </property>
</Properties>
</file>