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065D63" w14:textId="36DF3392" w:rsidR="006D6F60" w:rsidRPr="00414787" w:rsidRDefault="004C079F" w:rsidP="00414787">
      <w:pPr>
        <w:rPr>
          <w:rFonts w:ascii="Times New Roman" w:hAnsi="Times New Roman" w:cs="Times New Roman"/>
          <w:sz w:val="24"/>
          <w:szCs w:val="24"/>
        </w:rPr>
      </w:pPr>
      <w:r w:rsidRPr="00414787">
        <w:rPr>
          <w:rFonts w:ascii="Times New Roman" w:hAnsi="Times New Roman" w:cs="Times New Roman"/>
          <w:sz w:val="24"/>
          <w:szCs w:val="24"/>
        </w:rPr>
        <w:t>Supporting Information</w:t>
      </w:r>
      <w:r w:rsidR="00414787">
        <w:rPr>
          <w:rFonts w:ascii="Times New Roman" w:hAnsi="Times New Roman" w:cs="Times New Roman"/>
          <w:sz w:val="24"/>
          <w:szCs w:val="24"/>
        </w:rPr>
        <w:t xml:space="preserve"> for</w:t>
      </w:r>
    </w:p>
    <w:p w14:paraId="701BA634" w14:textId="77777777" w:rsidR="00414787" w:rsidRPr="00414787" w:rsidRDefault="00414787" w:rsidP="00414787">
      <w:pPr>
        <w:adjustRightInd w:val="0"/>
        <w:spacing w:before="240" w:after="240"/>
        <w:rPr>
          <w:rFonts w:ascii="Times New Roman" w:eastAsia="宋体" w:hAnsi="Times New Roman" w:cs="Times New Roman"/>
          <w:b/>
          <w:bCs/>
          <w:sz w:val="32"/>
          <w:szCs w:val="32"/>
        </w:rPr>
      </w:pPr>
      <w:r w:rsidRPr="00414787">
        <w:rPr>
          <w:rFonts w:ascii="Times New Roman" w:eastAsia="宋体" w:hAnsi="Times New Roman" w:cs="Times New Roman"/>
          <w:b/>
          <w:bCs/>
          <w:sz w:val="28"/>
          <w:szCs w:val="32"/>
        </w:rPr>
        <w:t>Engineering Bipolar Doping in a Janus Dual-Atom Catalyst for Photo-Enhanced Rechargeable Zn-</w:t>
      </w:r>
      <w:r w:rsidRPr="00414787">
        <w:rPr>
          <w:rFonts w:ascii="Times New Roman" w:eastAsia="宋体" w:hAnsi="Times New Roman" w:cs="Times New Roman" w:hint="eastAsia"/>
          <w:b/>
          <w:bCs/>
          <w:sz w:val="28"/>
          <w:szCs w:val="32"/>
        </w:rPr>
        <w:t>A</w:t>
      </w:r>
      <w:r w:rsidRPr="00414787">
        <w:rPr>
          <w:rFonts w:ascii="Times New Roman" w:eastAsia="宋体" w:hAnsi="Times New Roman" w:cs="Times New Roman"/>
          <w:b/>
          <w:bCs/>
          <w:sz w:val="28"/>
          <w:szCs w:val="32"/>
        </w:rPr>
        <w:t xml:space="preserve">ir </w:t>
      </w:r>
      <w:r w:rsidRPr="00414787">
        <w:rPr>
          <w:rFonts w:ascii="Times New Roman" w:eastAsia="宋体" w:hAnsi="Times New Roman" w:cs="Times New Roman" w:hint="eastAsia"/>
          <w:b/>
          <w:bCs/>
          <w:sz w:val="28"/>
          <w:szCs w:val="32"/>
        </w:rPr>
        <w:t>B</w:t>
      </w:r>
      <w:r w:rsidRPr="00414787">
        <w:rPr>
          <w:rFonts w:ascii="Times New Roman" w:eastAsia="宋体" w:hAnsi="Times New Roman" w:cs="Times New Roman"/>
          <w:b/>
          <w:bCs/>
          <w:sz w:val="28"/>
          <w:szCs w:val="32"/>
        </w:rPr>
        <w:t>attery</w:t>
      </w:r>
    </w:p>
    <w:p w14:paraId="6FC40010" w14:textId="77777777" w:rsidR="00414787" w:rsidRPr="00414787" w:rsidRDefault="00414787" w:rsidP="00414787">
      <w:pPr>
        <w:adjustRightInd w:val="0"/>
        <w:spacing w:before="240" w:after="240"/>
        <w:rPr>
          <w:rFonts w:ascii="Times New Roman" w:eastAsia="宋体" w:hAnsi="Times New Roman" w:cs="Times New Roman"/>
          <w:sz w:val="24"/>
          <w:vertAlign w:val="superscript"/>
        </w:rPr>
      </w:pPr>
      <w:bookmarkStart w:id="0" w:name="_Hlk185338910"/>
      <w:r w:rsidRPr="00414787">
        <w:rPr>
          <w:rFonts w:ascii="Times New Roman" w:eastAsia="宋体" w:hAnsi="Times New Roman" w:cs="Times New Roman"/>
          <w:sz w:val="24"/>
        </w:rPr>
        <w:t>Ning Liu</w:t>
      </w:r>
      <w:bookmarkStart w:id="1" w:name="_Hlk175086194"/>
      <w:r w:rsidRPr="00414787">
        <w:rPr>
          <w:rFonts w:ascii="Times New Roman" w:eastAsia="宋体" w:hAnsi="Times New Roman" w:cs="Times New Roman"/>
          <w:sz w:val="24"/>
          <w:vertAlign w:val="superscript"/>
        </w:rPr>
        <w:t>1</w:t>
      </w:r>
      <w:bookmarkEnd w:id="1"/>
      <w:r w:rsidRPr="00414787">
        <w:rPr>
          <w:rFonts w:ascii="Times New Roman" w:eastAsia="宋体" w:hAnsi="Times New Roman" w:cs="Times New Roman"/>
          <w:sz w:val="24"/>
        </w:rPr>
        <w:t xml:space="preserve">, </w:t>
      </w:r>
      <w:proofErr w:type="spellStart"/>
      <w:r w:rsidRPr="00414787">
        <w:rPr>
          <w:rFonts w:ascii="Times New Roman" w:eastAsia="宋体" w:hAnsi="Times New Roman" w:cs="Times New Roman" w:hint="eastAsia"/>
          <w:sz w:val="24"/>
        </w:rPr>
        <w:t>Yinwu</w:t>
      </w:r>
      <w:proofErr w:type="spellEnd"/>
      <w:r w:rsidRPr="00414787">
        <w:rPr>
          <w:rFonts w:ascii="Times New Roman" w:eastAsia="宋体" w:hAnsi="Times New Roman" w:cs="Times New Roman" w:hint="eastAsia"/>
          <w:sz w:val="24"/>
        </w:rPr>
        <w:t xml:space="preserve"> Li</w:t>
      </w:r>
      <w:r w:rsidRPr="00414787">
        <w:rPr>
          <w:rFonts w:ascii="Times New Roman" w:eastAsia="宋体" w:hAnsi="Times New Roman" w:cs="Times New Roman" w:hint="eastAsia"/>
          <w:sz w:val="24"/>
          <w:vertAlign w:val="superscript"/>
        </w:rPr>
        <w:t>1</w:t>
      </w:r>
      <w:r w:rsidRPr="00414787">
        <w:rPr>
          <w:rFonts w:ascii="Times New Roman" w:eastAsia="宋体" w:hAnsi="Times New Roman" w:cs="Times New Roman" w:hint="eastAsia"/>
          <w:sz w:val="24"/>
        </w:rPr>
        <w:t>,</w:t>
      </w:r>
      <w:r w:rsidRPr="00414787">
        <w:rPr>
          <w:rFonts w:ascii="Times New Roman" w:eastAsia="宋体" w:hAnsi="Times New Roman" w:cs="Times New Roman"/>
          <w:sz w:val="24"/>
        </w:rPr>
        <w:t xml:space="preserve"> </w:t>
      </w:r>
      <w:proofErr w:type="spellStart"/>
      <w:r w:rsidRPr="00414787">
        <w:rPr>
          <w:rFonts w:ascii="Times New Roman" w:eastAsia="宋体" w:hAnsi="Times New Roman" w:cs="Times New Roman" w:hint="eastAsia"/>
          <w:sz w:val="24"/>
        </w:rPr>
        <w:t>Wencai</w:t>
      </w:r>
      <w:proofErr w:type="spellEnd"/>
      <w:r w:rsidRPr="00414787">
        <w:rPr>
          <w:rFonts w:ascii="Times New Roman" w:eastAsia="宋体" w:hAnsi="Times New Roman" w:cs="Times New Roman"/>
          <w:sz w:val="24"/>
        </w:rPr>
        <w:t xml:space="preserve"> Liu</w:t>
      </w:r>
      <w:r w:rsidRPr="00414787">
        <w:rPr>
          <w:rFonts w:ascii="Times New Roman" w:eastAsia="宋体" w:hAnsi="Times New Roman" w:cs="Times New Roman"/>
          <w:sz w:val="24"/>
          <w:vertAlign w:val="superscript"/>
        </w:rPr>
        <w:t>1</w:t>
      </w:r>
      <w:r w:rsidRPr="00414787">
        <w:rPr>
          <w:rFonts w:ascii="Times New Roman" w:eastAsia="宋体" w:hAnsi="Times New Roman" w:cs="Times New Roman"/>
          <w:sz w:val="24"/>
        </w:rPr>
        <w:t>,</w:t>
      </w:r>
      <w:r w:rsidRPr="00414787">
        <w:rPr>
          <w:rFonts w:ascii="Times New Roman" w:eastAsia="宋体" w:hAnsi="Times New Roman" w:cs="Times New Roman" w:hint="eastAsia"/>
          <w:sz w:val="24"/>
        </w:rPr>
        <w:t xml:space="preserve"> </w:t>
      </w:r>
      <w:proofErr w:type="spellStart"/>
      <w:r w:rsidRPr="00414787">
        <w:rPr>
          <w:rFonts w:ascii="Times New Roman" w:eastAsia="宋体" w:hAnsi="Times New Roman" w:cs="Times New Roman" w:hint="eastAsia"/>
          <w:sz w:val="24"/>
        </w:rPr>
        <w:t>Zhanhao</w:t>
      </w:r>
      <w:proofErr w:type="spellEnd"/>
      <w:r w:rsidRPr="00414787">
        <w:rPr>
          <w:rFonts w:ascii="Times New Roman" w:eastAsia="宋体" w:hAnsi="Times New Roman" w:cs="Times New Roman" w:hint="eastAsia"/>
          <w:sz w:val="24"/>
        </w:rPr>
        <w:t xml:space="preserve"> Liang</w:t>
      </w:r>
      <w:r w:rsidRPr="00414787">
        <w:rPr>
          <w:rFonts w:ascii="Times New Roman" w:eastAsia="宋体" w:hAnsi="Times New Roman" w:cs="Times New Roman"/>
          <w:sz w:val="24"/>
          <w:vertAlign w:val="superscript"/>
        </w:rPr>
        <w:t>1</w:t>
      </w:r>
      <w:r w:rsidRPr="00414787">
        <w:rPr>
          <w:rFonts w:ascii="Times New Roman" w:eastAsia="宋体" w:hAnsi="Times New Roman" w:cs="Times New Roman" w:hint="eastAsia"/>
          <w:sz w:val="24"/>
        </w:rPr>
        <w:t>, Bin Liao</w:t>
      </w:r>
      <w:r w:rsidRPr="00414787">
        <w:rPr>
          <w:rFonts w:ascii="Times New Roman" w:eastAsia="宋体" w:hAnsi="Times New Roman" w:cs="Times New Roman"/>
          <w:sz w:val="24"/>
          <w:vertAlign w:val="superscript"/>
        </w:rPr>
        <w:t>1</w:t>
      </w:r>
      <w:r w:rsidRPr="00414787">
        <w:rPr>
          <w:rFonts w:ascii="Times New Roman" w:eastAsia="宋体" w:hAnsi="Times New Roman" w:cs="Times New Roman" w:hint="eastAsia"/>
          <w:sz w:val="24"/>
        </w:rPr>
        <w:t xml:space="preserve">, </w:t>
      </w:r>
      <w:r w:rsidRPr="00414787">
        <w:rPr>
          <w:rFonts w:ascii="Times New Roman" w:eastAsia="宋体" w:hAnsi="Times New Roman" w:cs="Times New Roman"/>
          <w:sz w:val="24"/>
        </w:rPr>
        <w:t>Fang Yang</w:t>
      </w:r>
      <w:r w:rsidRPr="00414787">
        <w:rPr>
          <w:rFonts w:ascii="Times New Roman" w:eastAsia="宋体" w:hAnsi="Times New Roman" w:cs="Times New Roman"/>
          <w:sz w:val="24"/>
          <w:vertAlign w:val="superscript"/>
        </w:rPr>
        <w:t>2</w:t>
      </w:r>
      <w:r w:rsidRPr="00414787">
        <w:rPr>
          <w:rFonts w:ascii="Times New Roman" w:eastAsia="宋体" w:hAnsi="Times New Roman" w:cs="Times New Roman" w:hint="eastAsia"/>
          <w:sz w:val="24"/>
        </w:rPr>
        <w:t>,</w:t>
      </w:r>
      <w:r w:rsidRPr="00414787">
        <w:rPr>
          <w:rFonts w:ascii="Times New Roman" w:eastAsia="宋体" w:hAnsi="Times New Roman" w:cs="Times New Roman"/>
          <w:sz w:val="24"/>
        </w:rPr>
        <w:t xml:space="preserve"> Ming Zhao</w:t>
      </w:r>
      <w:r w:rsidRPr="00414787">
        <w:rPr>
          <w:rFonts w:ascii="Times New Roman" w:eastAsia="宋体" w:hAnsi="Times New Roman" w:cs="Times New Roman" w:hint="eastAsia"/>
          <w:sz w:val="24"/>
          <w:vertAlign w:val="superscript"/>
        </w:rPr>
        <w:t>3</w:t>
      </w:r>
      <w:r w:rsidRPr="00414787">
        <w:rPr>
          <w:rFonts w:ascii="Times New Roman" w:eastAsia="宋体" w:hAnsi="Times New Roman" w:cs="Times New Roman"/>
          <w:sz w:val="24"/>
        </w:rPr>
        <w:t>,</w:t>
      </w:r>
      <w:r w:rsidRPr="00414787">
        <w:rPr>
          <w:rFonts w:ascii="Times New Roman" w:eastAsia="宋体" w:hAnsi="Times New Roman" w:cs="Times New Roman" w:hint="eastAsia"/>
          <w:sz w:val="24"/>
        </w:rPr>
        <w:t xml:space="preserve"> Bo Yan</w:t>
      </w:r>
      <w:r w:rsidRPr="00414787">
        <w:rPr>
          <w:rFonts w:ascii="Times New Roman" w:eastAsia="宋体" w:hAnsi="Times New Roman" w:cs="Times New Roman"/>
          <w:sz w:val="24"/>
          <w:vertAlign w:val="superscript"/>
        </w:rPr>
        <w:t>1</w:t>
      </w:r>
      <w:r w:rsidRPr="00414787">
        <w:rPr>
          <w:rFonts w:ascii="Times New Roman" w:eastAsia="宋体" w:hAnsi="Times New Roman" w:cs="Times New Roman" w:hint="eastAsia"/>
          <w:sz w:val="24"/>
        </w:rPr>
        <w:t xml:space="preserve">, </w:t>
      </w:r>
      <w:proofErr w:type="spellStart"/>
      <w:r w:rsidRPr="00414787">
        <w:rPr>
          <w:rFonts w:ascii="Times New Roman" w:eastAsia="宋体" w:hAnsi="Times New Roman" w:cs="Times New Roman"/>
          <w:sz w:val="24"/>
        </w:rPr>
        <w:t>Xuchun</w:t>
      </w:r>
      <w:proofErr w:type="spellEnd"/>
      <w:r w:rsidRPr="00414787">
        <w:rPr>
          <w:rFonts w:ascii="Times New Roman" w:eastAsia="宋体" w:hAnsi="Times New Roman" w:cs="Times New Roman"/>
          <w:sz w:val="24"/>
        </w:rPr>
        <w:t xml:space="preserve"> Gui</w:t>
      </w:r>
      <w:r w:rsidRPr="00414787">
        <w:rPr>
          <w:rFonts w:ascii="Times New Roman" w:eastAsia="宋体" w:hAnsi="Times New Roman" w:cs="Times New Roman" w:hint="eastAsia"/>
          <w:sz w:val="24"/>
          <w:vertAlign w:val="superscript"/>
        </w:rPr>
        <w:t>4</w:t>
      </w:r>
      <w:r w:rsidRPr="00414787">
        <w:rPr>
          <w:rFonts w:ascii="Times New Roman" w:eastAsia="宋体" w:hAnsi="Times New Roman" w:cs="Times New Roman"/>
          <w:sz w:val="24"/>
        </w:rPr>
        <w:t>,</w:t>
      </w:r>
      <w:r w:rsidRPr="00414787">
        <w:rPr>
          <w:rFonts w:ascii="Times New Roman" w:eastAsia="宋体" w:hAnsi="Times New Roman" w:cs="Times New Roman" w:hint="eastAsia"/>
          <w:sz w:val="24"/>
        </w:rPr>
        <w:t xml:space="preserve"> Hong Bin Yang</w:t>
      </w:r>
      <w:r w:rsidRPr="00414787">
        <w:rPr>
          <w:rFonts w:ascii="Times New Roman" w:eastAsia="宋体" w:hAnsi="Times New Roman" w:cs="Times New Roman" w:hint="eastAsia"/>
          <w:sz w:val="24"/>
          <w:vertAlign w:val="superscript"/>
        </w:rPr>
        <w:t>3</w:t>
      </w:r>
      <w:r w:rsidRPr="00414787">
        <w:rPr>
          <w:rFonts w:ascii="Times New Roman" w:eastAsia="宋体" w:hAnsi="Times New Roman" w:cs="Times New Roman" w:hint="eastAsia"/>
          <w:sz w:val="24"/>
        </w:rPr>
        <w:t xml:space="preserve">, </w:t>
      </w:r>
      <w:proofErr w:type="spellStart"/>
      <w:r w:rsidRPr="00414787">
        <w:rPr>
          <w:rFonts w:ascii="Times New Roman" w:eastAsia="宋体" w:hAnsi="Times New Roman" w:cs="Times New Roman"/>
          <w:sz w:val="24"/>
        </w:rPr>
        <w:t>Dingshan</w:t>
      </w:r>
      <w:proofErr w:type="spellEnd"/>
      <w:r w:rsidRPr="00414787">
        <w:rPr>
          <w:rFonts w:ascii="Times New Roman" w:eastAsia="宋体" w:hAnsi="Times New Roman" w:cs="Times New Roman"/>
          <w:sz w:val="24"/>
        </w:rPr>
        <w:t xml:space="preserve"> Yu</w:t>
      </w:r>
      <w:r w:rsidRPr="00414787">
        <w:rPr>
          <w:rFonts w:ascii="Times New Roman" w:eastAsia="宋体" w:hAnsi="Times New Roman" w:cs="Times New Roman" w:hint="eastAsia"/>
          <w:sz w:val="24"/>
          <w:vertAlign w:val="superscript"/>
        </w:rPr>
        <w:t>2</w:t>
      </w:r>
      <w:r w:rsidRPr="00414787">
        <w:rPr>
          <w:rFonts w:ascii="Segoe UI Symbol" w:eastAsia="宋体" w:hAnsi="Segoe UI Symbol" w:cs="Segoe UI Symbol" w:hint="eastAsia"/>
          <w:sz w:val="28"/>
          <w:szCs w:val="28"/>
        </w:rPr>
        <w:t>*</w:t>
      </w:r>
      <w:r w:rsidRPr="00414787">
        <w:rPr>
          <w:rFonts w:ascii="Times New Roman" w:eastAsia="宋体" w:hAnsi="Times New Roman" w:cs="Times New Roman"/>
          <w:sz w:val="24"/>
        </w:rPr>
        <w:t>,</w:t>
      </w:r>
      <w:r w:rsidRPr="00414787">
        <w:rPr>
          <w:rFonts w:ascii="Times New Roman" w:eastAsia="宋体" w:hAnsi="Times New Roman" w:cs="Times New Roman" w:hint="eastAsia"/>
          <w:sz w:val="24"/>
        </w:rPr>
        <w:t xml:space="preserve"> </w:t>
      </w:r>
      <w:proofErr w:type="spellStart"/>
      <w:r w:rsidRPr="00414787">
        <w:rPr>
          <w:rFonts w:ascii="Times New Roman" w:eastAsia="宋体" w:hAnsi="Times New Roman" w:cs="Times New Roman"/>
          <w:sz w:val="24"/>
        </w:rPr>
        <w:t>Zhiping</w:t>
      </w:r>
      <w:proofErr w:type="spellEnd"/>
      <w:r w:rsidRPr="00414787">
        <w:rPr>
          <w:rFonts w:ascii="Times New Roman" w:eastAsia="宋体" w:hAnsi="Times New Roman" w:cs="Times New Roman"/>
          <w:sz w:val="24"/>
        </w:rPr>
        <w:t xml:space="preserve"> Zeng</w:t>
      </w:r>
      <w:r w:rsidRPr="00414787">
        <w:rPr>
          <w:rFonts w:ascii="Times New Roman" w:eastAsia="宋体" w:hAnsi="Times New Roman" w:cs="Times New Roman" w:hint="eastAsia"/>
          <w:sz w:val="24"/>
          <w:vertAlign w:val="superscript"/>
        </w:rPr>
        <w:t>1</w:t>
      </w:r>
      <w:r w:rsidRPr="00414787">
        <w:rPr>
          <w:rFonts w:ascii="Segoe UI Symbol" w:eastAsia="宋体" w:hAnsi="Segoe UI Symbol" w:cs="Segoe UI Symbol" w:hint="eastAsia"/>
          <w:sz w:val="28"/>
          <w:szCs w:val="28"/>
        </w:rPr>
        <w:t>*</w:t>
      </w:r>
      <w:r w:rsidRPr="00414787">
        <w:rPr>
          <w:rFonts w:ascii="Times New Roman" w:eastAsia="宋体" w:hAnsi="Times New Roman" w:cs="Times New Roman"/>
          <w:sz w:val="24"/>
        </w:rPr>
        <w:t xml:space="preserve">, </w:t>
      </w:r>
      <w:proofErr w:type="spellStart"/>
      <w:r w:rsidRPr="00414787">
        <w:rPr>
          <w:rFonts w:ascii="Times New Roman" w:eastAsia="宋体" w:hAnsi="Times New Roman" w:cs="Times New Roman"/>
          <w:sz w:val="24"/>
        </w:rPr>
        <w:t>Guowei</w:t>
      </w:r>
      <w:proofErr w:type="spellEnd"/>
      <w:r w:rsidRPr="00414787">
        <w:rPr>
          <w:rFonts w:ascii="Times New Roman" w:eastAsia="宋体" w:hAnsi="Times New Roman" w:cs="Times New Roman"/>
          <w:sz w:val="24"/>
        </w:rPr>
        <w:t xml:space="preserve"> Yang</w:t>
      </w:r>
      <w:r w:rsidRPr="00414787">
        <w:rPr>
          <w:rFonts w:ascii="Times New Roman" w:eastAsia="宋体" w:hAnsi="Times New Roman" w:cs="Times New Roman" w:hint="eastAsia"/>
          <w:sz w:val="24"/>
          <w:vertAlign w:val="superscript"/>
        </w:rPr>
        <w:t>1</w:t>
      </w:r>
    </w:p>
    <w:bookmarkEnd w:id="0"/>
    <w:p w14:paraId="4D436AA9" w14:textId="77777777" w:rsidR="00414787" w:rsidRPr="00414787" w:rsidRDefault="00414787" w:rsidP="00414787">
      <w:pPr>
        <w:adjustRightInd w:val="0"/>
        <w:spacing w:before="240" w:after="240"/>
        <w:rPr>
          <w:rFonts w:ascii="Times New Roman" w:eastAsia="宋体" w:hAnsi="Times New Roman" w:cs="Times New Roman"/>
          <w:sz w:val="24"/>
          <w:szCs w:val="21"/>
        </w:rPr>
      </w:pPr>
      <w:r w:rsidRPr="00414787">
        <w:rPr>
          <w:rFonts w:ascii="Times New Roman" w:eastAsia="宋体" w:hAnsi="Times New Roman" w:cs="Times New Roman"/>
          <w:sz w:val="24"/>
          <w:szCs w:val="21"/>
          <w:vertAlign w:val="superscript"/>
        </w:rPr>
        <w:t>1</w:t>
      </w:r>
      <w:r w:rsidRPr="00414787">
        <w:rPr>
          <w:rFonts w:ascii="Times New Roman" w:eastAsia="宋体" w:hAnsi="Times New Roman" w:cs="Times New Roman"/>
          <w:sz w:val="24"/>
          <w:szCs w:val="21"/>
        </w:rPr>
        <w:t xml:space="preserve">State Key Laboratory of Optoelectronic Materials, School of Materials Science and Engineering, Sun </w:t>
      </w:r>
      <w:proofErr w:type="spellStart"/>
      <w:r w:rsidRPr="00414787">
        <w:rPr>
          <w:rFonts w:ascii="Times New Roman" w:eastAsia="宋体" w:hAnsi="Times New Roman" w:cs="Times New Roman"/>
          <w:sz w:val="24"/>
          <w:szCs w:val="21"/>
        </w:rPr>
        <w:t>Yat-sen</w:t>
      </w:r>
      <w:proofErr w:type="spellEnd"/>
      <w:r w:rsidRPr="00414787">
        <w:rPr>
          <w:rFonts w:ascii="Times New Roman" w:eastAsia="宋体" w:hAnsi="Times New Roman" w:cs="Times New Roman"/>
          <w:sz w:val="24"/>
          <w:szCs w:val="21"/>
        </w:rPr>
        <w:t xml:space="preserve"> University, Guangzhou 510275, P. R. China</w:t>
      </w:r>
    </w:p>
    <w:p w14:paraId="2E5FB12F" w14:textId="77777777" w:rsidR="00414787" w:rsidRPr="00414787" w:rsidRDefault="00414787" w:rsidP="00414787">
      <w:pPr>
        <w:adjustRightInd w:val="0"/>
        <w:spacing w:before="240" w:after="240"/>
        <w:rPr>
          <w:rFonts w:ascii="Times New Roman" w:eastAsia="宋体" w:hAnsi="Times New Roman" w:cs="Times New Roman"/>
          <w:sz w:val="24"/>
          <w:szCs w:val="21"/>
        </w:rPr>
      </w:pPr>
      <w:r w:rsidRPr="00414787">
        <w:rPr>
          <w:rFonts w:ascii="Times New Roman" w:eastAsia="宋体" w:hAnsi="Times New Roman" w:cs="Times New Roman"/>
          <w:sz w:val="24"/>
          <w:szCs w:val="21"/>
          <w:vertAlign w:val="superscript"/>
        </w:rPr>
        <w:t>2</w:t>
      </w:r>
      <w:r w:rsidRPr="00414787">
        <w:rPr>
          <w:rFonts w:ascii="Times New Roman" w:eastAsia="宋体" w:hAnsi="Times New Roman" w:cs="Times New Roman"/>
          <w:sz w:val="24"/>
          <w:szCs w:val="21"/>
        </w:rPr>
        <w:t xml:space="preserve">Key Laboratory for Polymeric Composite and Functional Materials of Ministry of Education, Key Laboratory of High-Performance Polymer-Based Composites of Guangdong Province, School of Chemistry, Sun </w:t>
      </w:r>
      <w:proofErr w:type="spellStart"/>
      <w:r w:rsidRPr="00414787">
        <w:rPr>
          <w:rFonts w:ascii="Times New Roman" w:eastAsia="宋体" w:hAnsi="Times New Roman" w:cs="Times New Roman"/>
          <w:sz w:val="24"/>
          <w:szCs w:val="21"/>
        </w:rPr>
        <w:t>Yat</w:t>
      </w:r>
      <w:proofErr w:type="spellEnd"/>
      <w:r w:rsidRPr="00414787">
        <w:rPr>
          <w:rFonts w:ascii="Times New Roman" w:eastAsia="宋体" w:hAnsi="Times New Roman" w:cs="Times New Roman"/>
          <w:sz w:val="24"/>
          <w:szCs w:val="21"/>
        </w:rPr>
        <w:t>-Sen University, Guangzhou 510275, P. R. China</w:t>
      </w:r>
    </w:p>
    <w:p w14:paraId="281D1F1C" w14:textId="77777777" w:rsidR="00414787" w:rsidRPr="00414787" w:rsidRDefault="00414787" w:rsidP="00414787">
      <w:pPr>
        <w:adjustRightInd w:val="0"/>
        <w:spacing w:before="240" w:after="240"/>
        <w:rPr>
          <w:rFonts w:ascii="Times New Roman" w:eastAsia="宋体" w:hAnsi="Times New Roman" w:cs="Times New Roman"/>
          <w:sz w:val="24"/>
          <w:szCs w:val="21"/>
        </w:rPr>
      </w:pPr>
      <w:r w:rsidRPr="00414787">
        <w:rPr>
          <w:rFonts w:ascii="Times New Roman" w:eastAsia="宋体" w:hAnsi="Times New Roman" w:cs="Times New Roman"/>
          <w:sz w:val="24"/>
          <w:szCs w:val="21"/>
          <w:vertAlign w:val="superscript"/>
        </w:rPr>
        <w:t>3</w:t>
      </w:r>
      <w:r w:rsidRPr="00414787">
        <w:rPr>
          <w:rFonts w:ascii="Times New Roman" w:eastAsia="宋体" w:hAnsi="Times New Roman" w:cs="Times New Roman"/>
          <w:sz w:val="24"/>
          <w:szCs w:val="21"/>
        </w:rPr>
        <w:t xml:space="preserve">School of Materials Science and Engineering, Suzhou University of Science and Technology, Suzhou 215009, P. R. China </w:t>
      </w:r>
    </w:p>
    <w:p w14:paraId="003F3025" w14:textId="77777777" w:rsidR="00414787" w:rsidRPr="00414787" w:rsidRDefault="00414787" w:rsidP="00414787">
      <w:pPr>
        <w:adjustRightInd w:val="0"/>
        <w:spacing w:before="240" w:after="240"/>
        <w:rPr>
          <w:rFonts w:ascii="Times New Roman" w:eastAsia="宋体" w:hAnsi="Times New Roman" w:cs="Times New Roman"/>
          <w:iCs/>
          <w:sz w:val="24"/>
          <w:szCs w:val="21"/>
          <w:vertAlign w:val="superscript"/>
        </w:rPr>
      </w:pPr>
      <w:r w:rsidRPr="00414787">
        <w:rPr>
          <w:rFonts w:ascii="Times New Roman" w:eastAsia="宋体" w:hAnsi="Times New Roman" w:cs="Times New Roman" w:hint="eastAsia"/>
          <w:iCs/>
          <w:sz w:val="24"/>
          <w:szCs w:val="21"/>
          <w:vertAlign w:val="superscript"/>
        </w:rPr>
        <w:t>4</w:t>
      </w:r>
      <w:bookmarkStart w:id="2" w:name="_Hlk145512869"/>
      <w:r w:rsidRPr="00414787">
        <w:rPr>
          <w:rFonts w:ascii="Times New Roman" w:eastAsia="宋体" w:hAnsi="Times New Roman" w:cs="Times New Roman"/>
          <w:sz w:val="24"/>
          <w:szCs w:val="21"/>
        </w:rPr>
        <w:t xml:space="preserve">State Key Laboratory of Optoelectronic Materials and Technologies, School of Electronics and Information Technology, Sun </w:t>
      </w:r>
      <w:proofErr w:type="spellStart"/>
      <w:r w:rsidRPr="00414787">
        <w:rPr>
          <w:rFonts w:ascii="Times New Roman" w:eastAsia="宋体" w:hAnsi="Times New Roman" w:cs="Times New Roman"/>
          <w:sz w:val="24"/>
          <w:szCs w:val="21"/>
        </w:rPr>
        <w:t>Yat-sen</w:t>
      </w:r>
      <w:proofErr w:type="spellEnd"/>
      <w:r w:rsidRPr="00414787">
        <w:rPr>
          <w:rFonts w:ascii="Times New Roman" w:eastAsia="宋体" w:hAnsi="Times New Roman" w:cs="Times New Roman"/>
          <w:sz w:val="24"/>
          <w:szCs w:val="21"/>
        </w:rPr>
        <w:t xml:space="preserve"> University, Guangzhou 510275, P. R. China </w:t>
      </w:r>
      <w:bookmarkEnd w:id="2"/>
    </w:p>
    <w:p w14:paraId="1326AD0C" w14:textId="77777777" w:rsidR="00414787" w:rsidRPr="00414787" w:rsidRDefault="00414787" w:rsidP="00414787">
      <w:pPr>
        <w:adjustRightInd w:val="0"/>
        <w:spacing w:before="240" w:after="240"/>
        <w:jc w:val="left"/>
        <w:rPr>
          <w:rFonts w:ascii="Times New Roman" w:eastAsia="宋体" w:hAnsi="Times New Roman" w:cs="Times New Roman"/>
          <w:sz w:val="24"/>
          <w:szCs w:val="21"/>
        </w:rPr>
      </w:pPr>
      <w:r w:rsidRPr="00414787">
        <w:rPr>
          <w:rFonts w:ascii="Segoe UI Symbol" w:eastAsia="宋体" w:hAnsi="Segoe UI Symbol" w:cs="Segoe UI Symbol" w:hint="eastAsia"/>
          <w:sz w:val="28"/>
          <w:szCs w:val="28"/>
        </w:rPr>
        <w:t>*</w:t>
      </w:r>
      <w:r w:rsidRPr="00414787">
        <w:rPr>
          <w:rFonts w:ascii="Times New Roman" w:eastAsia="宋体" w:hAnsi="Times New Roman" w:cs="Times New Roman"/>
          <w:sz w:val="24"/>
          <w:szCs w:val="21"/>
        </w:rPr>
        <w:t xml:space="preserve">Corresponding authors. E-mail: </w:t>
      </w:r>
      <w:hyperlink r:id="rId7" w:history="1">
        <w:r w:rsidRPr="00414787">
          <w:rPr>
            <w:rFonts w:ascii="Times New Roman" w:eastAsia="宋体" w:hAnsi="Times New Roman" w:cs="Times New Roman"/>
            <w:color w:val="0026E5"/>
            <w:sz w:val="24"/>
            <w:u w:val="single"/>
          </w:rPr>
          <w:t>zzhip8@mail.sysu.edu.cn</w:t>
        </w:r>
      </w:hyperlink>
      <w:r w:rsidRPr="00414787">
        <w:rPr>
          <w:rFonts w:ascii="Times New Roman" w:eastAsia="宋体" w:hAnsi="Times New Roman" w:cs="Times New Roman"/>
          <w:sz w:val="24"/>
        </w:rPr>
        <w:t xml:space="preserve"> (</w:t>
      </w:r>
      <w:proofErr w:type="spellStart"/>
      <w:r w:rsidRPr="00414787">
        <w:rPr>
          <w:rFonts w:ascii="Times New Roman" w:eastAsia="宋体" w:hAnsi="Times New Roman" w:cs="Times New Roman"/>
          <w:sz w:val="24"/>
        </w:rPr>
        <w:t>Zhiping</w:t>
      </w:r>
      <w:proofErr w:type="spellEnd"/>
      <w:r w:rsidRPr="00414787">
        <w:rPr>
          <w:rFonts w:ascii="Times New Roman" w:eastAsia="宋体" w:hAnsi="Times New Roman" w:cs="Times New Roman"/>
          <w:sz w:val="24"/>
        </w:rPr>
        <w:t xml:space="preserve"> Zeng)</w:t>
      </w:r>
      <w:r w:rsidRPr="00414787">
        <w:rPr>
          <w:rFonts w:ascii="Times New Roman" w:eastAsia="宋体" w:hAnsi="Times New Roman" w:cs="Times New Roman" w:hint="eastAsia"/>
          <w:sz w:val="24"/>
          <w:szCs w:val="21"/>
        </w:rPr>
        <w:t xml:space="preserve">; </w:t>
      </w:r>
      <w:hyperlink r:id="rId8" w:history="1">
        <w:r w:rsidRPr="00414787">
          <w:rPr>
            <w:rFonts w:ascii="Times New Roman" w:eastAsia="宋体" w:hAnsi="Times New Roman" w:cs="Times New Roman"/>
            <w:color w:val="0026E5"/>
            <w:sz w:val="24"/>
            <w:szCs w:val="21"/>
            <w:u w:val="single"/>
          </w:rPr>
          <w:t>yudings@mail.sysu.edu.cn</w:t>
        </w:r>
      </w:hyperlink>
      <w:r w:rsidRPr="00414787">
        <w:rPr>
          <w:rFonts w:ascii="Times New Roman" w:eastAsia="宋体" w:hAnsi="Times New Roman" w:cs="Times New Roman"/>
          <w:sz w:val="24"/>
          <w:szCs w:val="21"/>
        </w:rPr>
        <w:t xml:space="preserve"> (</w:t>
      </w:r>
      <w:proofErr w:type="spellStart"/>
      <w:r w:rsidRPr="00414787">
        <w:rPr>
          <w:rFonts w:ascii="Times New Roman" w:eastAsia="宋体" w:hAnsi="Times New Roman" w:cs="Times New Roman"/>
          <w:sz w:val="24"/>
        </w:rPr>
        <w:t>Dingshan</w:t>
      </w:r>
      <w:proofErr w:type="spellEnd"/>
      <w:r w:rsidRPr="00414787">
        <w:rPr>
          <w:rFonts w:ascii="Times New Roman" w:eastAsia="宋体" w:hAnsi="Times New Roman" w:cs="Times New Roman"/>
          <w:sz w:val="24"/>
        </w:rPr>
        <w:t xml:space="preserve"> Yu)</w:t>
      </w:r>
    </w:p>
    <w:p w14:paraId="7770B61A" w14:textId="58BA69D5" w:rsidR="006D6F60" w:rsidRPr="00414787" w:rsidRDefault="00414787" w:rsidP="00414787">
      <w:pPr>
        <w:spacing w:before="240" w:after="240"/>
        <w:rPr>
          <w:rFonts w:ascii="Times New Roman" w:hAnsi="Times New Roman" w:cs="Times New Roman"/>
          <w:b/>
          <w:sz w:val="28"/>
          <w:szCs w:val="28"/>
        </w:rPr>
      </w:pPr>
      <w:r w:rsidRPr="00414787">
        <w:rPr>
          <w:rFonts w:ascii="Times New Roman" w:hAnsi="Times New Roman" w:cs="Times New Roman" w:hint="eastAsia"/>
          <w:b/>
          <w:sz w:val="28"/>
          <w:szCs w:val="28"/>
        </w:rPr>
        <w:t>S</w:t>
      </w:r>
      <w:r w:rsidRPr="00414787">
        <w:rPr>
          <w:rFonts w:ascii="Times New Roman" w:hAnsi="Times New Roman" w:cs="Times New Roman"/>
          <w:b/>
          <w:sz w:val="28"/>
          <w:szCs w:val="28"/>
        </w:rPr>
        <w:t>upplementary Figures and Tables</w:t>
      </w:r>
    </w:p>
    <w:p w14:paraId="38971AE6"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5A1D2637" wp14:editId="2B4FFF99">
            <wp:extent cx="5247005" cy="1780540"/>
            <wp:effectExtent l="0" t="0" r="10795" b="1016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9"/>
                    <a:stretch>
                      <a:fillRect/>
                    </a:stretch>
                  </pic:blipFill>
                  <pic:spPr>
                    <a:xfrm>
                      <a:off x="0" y="0"/>
                      <a:ext cx="5247005" cy="1780540"/>
                    </a:xfrm>
                    <a:prstGeom prst="rect">
                      <a:avLst/>
                    </a:prstGeom>
                    <a:noFill/>
                    <a:ln>
                      <a:noFill/>
                    </a:ln>
                  </pic:spPr>
                </pic:pic>
              </a:graphicData>
            </a:graphic>
          </wp:inline>
        </w:drawing>
      </w:r>
    </w:p>
    <w:p w14:paraId="17EFC32C" w14:textId="0748A666" w:rsidR="006D6F60" w:rsidRPr="007C2F85" w:rsidRDefault="00414787" w:rsidP="00414787">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w:t>
      </w:r>
      <w:r w:rsidR="004C079F" w:rsidRPr="007C2F85">
        <w:rPr>
          <w:rFonts w:ascii="Times New Roman" w:hAnsi="Times New Roman" w:cs="Times New Roman"/>
          <w:sz w:val="24"/>
          <w:szCs w:val="24"/>
        </w:rPr>
        <w:t xml:space="preserve"> Schematic illustra</w:t>
      </w:r>
      <w:r>
        <w:rPr>
          <w:rFonts w:ascii="Times New Roman" w:hAnsi="Times New Roman" w:cs="Times New Roman"/>
          <w:sz w:val="24"/>
          <w:szCs w:val="24"/>
        </w:rPr>
        <w:t>tion of the preparation of JDAC</w:t>
      </w:r>
      <w:r w:rsidR="004C079F" w:rsidRPr="007C2F85">
        <w:rPr>
          <w:rFonts w:ascii="Times New Roman" w:hAnsi="Times New Roman" w:cs="Times New Roman"/>
          <w:sz w:val="24"/>
          <w:szCs w:val="24"/>
        </w:rPr>
        <w:br w:type="page"/>
      </w:r>
    </w:p>
    <w:p w14:paraId="641F2BC0"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sz w:val="24"/>
          <w:szCs w:val="24"/>
        </w:rPr>
        <w:lastRenderedPageBreak/>
        <w:drawing>
          <wp:inline distT="0" distB="0" distL="0" distR="0" wp14:anchorId="370D4E79" wp14:editId="14885326">
            <wp:extent cx="3340100" cy="2804160"/>
            <wp:effectExtent l="0" t="0" r="0" b="0"/>
            <wp:docPr id="11311985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198575"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348320" cy="2811405"/>
                    </a:xfrm>
                    <a:prstGeom prst="rect">
                      <a:avLst/>
                    </a:prstGeom>
                    <a:noFill/>
                    <a:ln>
                      <a:noFill/>
                    </a:ln>
                  </pic:spPr>
                </pic:pic>
              </a:graphicData>
            </a:graphic>
          </wp:inline>
        </w:drawing>
      </w:r>
    </w:p>
    <w:p w14:paraId="5CDD03F7" w14:textId="62669859" w:rsidR="006D6F60" w:rsidRPr="007C2F85" w:rsidRDefault="00414787" w:rsidP="004C079F">
      <w:pPr>
        <w:jc w:val="left"/>
        <w:rPr>
          <w:rFonts w:ascii="Times New Roman" w:hAnsi="Times New Roman" w:cs="Times New Roman"/>
          <w:sz w:val="24"/>
          <w:szCs w:val="24"/>
        </w:rPr>
      </w:pPr>
      <w:bookmarkStart w:id="3" w:name="_Hlk170747445"/>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sz w:val="24"/>
          <w:szCs w:val="24"/>
        </w:rPr>
        <w:t xml:space="preserve"> TEM images of (</w:t>
      </w:r>
      <w:r w:rsidR="004C079F" w:rsidRPr="00C60F6D">
        <w:rPr>
          <w:rFonts w:ascii="Times New Roman" w:hAnsi="Times New Roman" w:cs="Times New Roman"/>
          <w:b/>
          <w:sz w:val="24"/>
          <w:szCs w:val="24"/>
        </w:rPr>
        <w:t>a,</w:t>
      </w:r>
      <w:r w:rsidR="00C60F6D">
        <w:rPr>
          <w:rFonts w:ascii="Times New Roman" w:hAnsi="Times New Roman" w:cs="Times New Roman"/>
          <w:b/>
          <w:sz w:val="24"/>
          <w:szCs w:val="24"/>
        </w:rPr>
        <w:t xml:space="preserve"> </w:t>
      </w:r>
      <w:r w:rsidR="004C079F" w:rsidRPr="00C60F6D">
        <w:rPr>
          <w:rFonts w:ascii="Times New Roman" w:hAnsi="Times New Roman" w:cs="Times New Roman"/>
          <w:b/>
          <w:sz w:val="24"/>
          <w:szCs w:val="24"/>
        </w:rPr>
        <w:t>b</w:t>
      </w:r>
      <w:r w:rsidR="004C079F" w:rsidRPr="007C2F85">
        <w:rPr>
          <w:rFonts w:ascii="Times New Roman" w:hAnsi="Times New Roman" w:cs="Times New Roman"/>
          <w:sz w:val="24"/>
          <w:szCs w:val="24"/>
        </w:rPr>
        <w:t>)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w:t>
      </w:r>
      <w:r w:rsidR="004C079F" w:rsidRPr="00C60F6D">
        <w:rPr>
          <w:rFonts w:ascii="Times New Roman" w:hAnsi="Times New Roman" w:cs="Times New Roman"/>
          <w:b/>
          <w:sz w:val="24"/>
          <w:szCs w:val="24"/>
        </w:rPr>
        <w:t>c,</w:t>
      </w:r>
      <w:r w:rsidR="00C60F6D">
        <w:rPr>
          <w:rFonts w:ascii="Times New Roman" w:hAnsi="Times New Roman" w:cs="Times New Roman"/>
          <w:b/>
          <w:sz w:val="24"/>
          <w:szCs w:val="24"/>
        </w:rPr>
        <w:t xml:space="preserve"> </w:t>
      </w:r>
      <w:r w:rsidR="004C079F" w:rsidRPr="00C60F6D">
        <w:rPr>
          <w:rFonts w:ascii="Times New Roman" w:hAnsi="Times New Roman" w:cs="Times New Roman"/>
          <w:b/>
          <w:sz w:val="24"/>
          <w:szCs w:val="24"/>
        </w:rPr>
        <w:t>d</w:t>
      </w:r>
      <w:r w:rsidR="004C079F" w:rsidRPr="007C2F85">
        <w:rPr>
          <w:rFonts w:ascii="Times New Roman" w:hAnsi="Times New Roman" w:cs="Times New Roman"/>
          <w:sz w:val="24"/>
          <w:szCs w:val="24"/>
        </w:rPr>
        <w:t>) Ni-C</w:t>
      </w:r>
      <w:r w:rsidR="004C079F" w:rsidRPr="007C2F85">
        <w:rPr>
          <w:rFonts w:ascii="Times New Roman" w:hAnsi="Times New Roman" w:cs="Times New Roman"/>
          <w:sz w:val="24"/>
          <w:szCs w:val="24"/>
          <w:vertAlign w:val="subscript"/>
        </w:rPr>
        <w:t>4</w:t>
      </w:r>
      <w:r w:rsidR="008666FC">
        <w:rPr>
          <w:rFonts w:ascii="Times New Roman" w:hAnsi="Times New Roman" w:cs="Times New Roman"/>
          <w:sz w:val="24"/>
          <w:szCs w:val="24"/>
        </w:rPr>
        <w:t>N</w:t>
      </w:r>
      <w:bookmarkEnd w:id="3"/>
    </w:p>
    <w:p w14:paraId="25EDF10D" w14:textId="77777777" w:rsidR="006D6F60" w:rsidRPr="007C2F85" w:rsidRDefault="006D6F60" w:rsidP="00414787">
      <w:pPr>
        <w:rPr>
          <w:rFonts w:ascii="Times New Roman" w:hAnsi="Times New Roman" w:cs="Times New Roman"/>
          <w:sz w:val="24"/>
          <w:szCs w:val="24"/>
        </w:rPr>
      </w:pPr>
    </w:p>
    <w:p w14:paraId="34453CCA" w14:textId="77777777" w:rsidR="006D6F60" w:rsidRPr="007C2F85" w:rsidRDefault="004C079F" w:rsidP="00414787">
      <w:pPr>
        <w:jc w:val="center"/>
        <w:rPr>
          <w:rFonts w:ascii="Times New Roman" w:hAnsi="Times New Roman" w:cs="Times New Roman"/>
          <w:strike/>
          <w:sz w:val="24"/>
          <w:szCs w:val="24"/>
        </w:rPr>
      </w:pPr>
      <w:r w:rsidRPr="007C2F85">
        <w:rPr>
          <w:rFonts w:ascii="Times New Roman" w:hAnsi="Times New Roman" w:cs="Times New Roman"/>
          <w:strike/>
          <w:noProof/>
          <w:sz w:val="24"/>
          <w:szCs w:val="24"/>
        </w:rPr>
        <w:drawing>
          <wp:inline distT="0" distB="0" distL="0" distR="0" wp14:anchorId="4CEA8E74" wp14:editId="5D67D413">
            <wp:extent cx="4975225" cy="175514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998100" cy="1763663"/>
                    </a:xfrm>
                    <a:prstGeom prst="rect">
                      <a:avLst/>
                    </a:prstGeom>
                    <a:noFill/>
                  </pic:spPr>
                </pic:pic>
              </a:graphicData>
            </a:graphic>
          </wp:inline>
        </w:drawing>
      </w:r>
    </w:p>
    <w:p w14:paraId="3DCA98DC" w14:textId="595916C7" w:rsidR="004C079F" w:rsidRDefault="00414787" w:rsidP="004C079F">
      <w:pPr>
        <w:rPr>
          <w:rFonts w:ascii="Times New Roman" w:hAnsi="Times New Roman" w:cs="Times New Roman"/>
          <w:sz w:val="24"/>
          <w:szCs w:val="24"/>
        </w:rPr>
      </w:pPr>
      <w:bookmarkStart w:id="4" w:name="_Hlk170747362"/>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sz w:val="24"/>
          <w:szCs w:val="24"/>
        </w:rPr>
        <w:t xml:space="preserve"> SEM images of JDAC in-situ grown on carbon paper </w:t>
      </w:r>
      <w:r w:rsidR="004C079F">
        <w:rPr>
          <w:rFonts w:ascii="Times New Roman" w:hAnsi="Times New Roman" w:cs="Times New Roman"/>
          <w:sz w:val="24"/>
          <w:szCs w:val="24"/>
        </w:rPr>
        <w:t>(</w:t>
      </w:r>
      <w:r w:rsidR="004C079F" w:rsidRPr="00C60F6D">
        <w:rPr>
          <w:rFonts w:ascii="Times New Roman" w:hAnsi="Times New Roman" w:cs="Times New Roman"/>
          <w:b/>
          <w:sz w:val="24"/>
          <w:szCs w:val="24"/>
        </w:rPr>
        <w:t>a</w:t>
      </w:r>
      <w:r w:rsidR="004C079F">
        <w:rPr>
          <w:rFonts w:ascii="Times New Roman" w:hAnsi="Times New Roman" w:cs="Times New Roman"/>
          <w:sz w:val="24"/>
          <w:szCs w:val="24"/>
        </w:rPr>
        <w:t xml:space="preserve">) Scale bar: 100 </w:t>
      </w:r>
      <w:proofErr w:type="spellStart"/>
      <w:r w:rsidR="004C079F">
        <w:rPr>
          <w:rFonts w:ascii="Times New Roman" w:hAnsi="Times New Roman" w:cs="Times New Roman"/>
          <w:sz w:val="24"/>
          <w:szCs w:val="24"/>
        </w:rPr>
        <w:t>μm</w:t>
      </w:r>
      <w:proofErr w:type="spellEnd"/>
      <w:r w:rsidR="004C079F">
        <w:rPr>
          <w:rFonts w:ascii="Times New Roman" w:hAnsi="Times New Roman" w:cs="Times New Roman"/>
          <w:sz w:val="24"/>
          <w:szCs w:val="24"/>
        </w:rPr>
        <w:t>, (</w:t>
      </w:r>
      <w:r w:rsidR="004C079F" w:rsidRPr="00C60F6D">
        <w:rPr>
          <w:rFonts w:ascii="Times New Roman" w:hAnsi="Times New Roman" w:cs="Times New Roman"/>
          <w:b/>
          <w:sz w:val="24"/>
          <w:szCs w:val="24"/>
        </w:rPr>
        <w:t>b</w:t>
      </w:r>
      <w:r w:rsidR="004C079F">
        <w:rPr>
          <w:rFonts w:ascii="Times New Roman" w:hAnsi="Times New Roman" w:cs="Times New Roman"/>
          <w:sz w:val="24"/>
          <w:szCs w:val="24"/>
        </w:rPr>
        <w:t xml:space="preserve">) 5 </w:t>
      </w:r>
      <w:proofErr w:type="spellStart"/>
      <w:r w:rsidR="004C079F">
        <w:rPr>
          <w:rFonts w:ascii="Times New Roman" w:hAnsi="Times New Roman" w:cs="Times New Roman"/>
          <w:sz w:val="24"/>
          <w:szCs w:val="24"/>
        </w:rPr>
        <w:t>μm</w:t>
      </w:r>
      <w:bookmarkEnd w:id="4"/>
      <w:proofErr w:type="spellEnd"/>
    </w:p>
    <w:p w14:paraId="49CBC794" w14:textId="77777777" w:rsidR="004C079F" w:rsidRDefault="004C079F" w:rsidP="004C079F">
      <w:pPr>
        <w:rPr>
          <w:rFonts w:ascii="Times New Roman" w:hAnsi="Times New Roman" w:cs="Times New Roman"/>
          <w:sz w:val="24"/>
          <w:szCs w:val="24"/>
        </w:rPr>
      </w:pPr>
    </w:p>
    <w:p w14:paraId="4C3858EC" w14:textId="284D6FE6" w:rsidR="006D6F60" w:rsidRPr="007C2F85" w:rsidRDefault="004C079F" w:rsidP="004C079F">
      <w:pPr>
        <w:jc w:val="center"/>
        <w:rPr>
          <w:rFonts w:ascii="Times New Roman" w:hAnsi="Times New Roman" w:cs="Times New Roman"/>
        </w:rPr>
      </w:pPr>
      <w:r w:rsidRPr="007C2F85">
        <w:rPr>
          <w:rFonts w:ascii="Times New Roman" w:hAnsi="Times New Roman" w:cs="Times New Roman"/>
          <w:noProof/>
        </w:rPr>
        <w:drawing>
          <wp:inline distT="0" distB="0" distL="114300" distR="114300" wp14:anchorId="733FD83B" wp14:editId="73574EE2">
            <wp:extent cx="2859405" cy="2552065"/>
            <wp:effectExtent l="0" t="0" r="17145" b="63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2"/>
                    <a:stretch>
                      <a:fillRect/>
                    </a:stretch>
                  </pic:blipFill>
                  <pic:spPr>
                    <a:xfrm>
                      <a:off x="0" y="0"/>
                      <a:ext cx="2859405" cy="2552065"/>
                    </a:xfrm>
                    <a:prstGeom prst="rect">
                      <a:avLst/>
                    </a:prstGeom>
                    <a:noFill/>
                    <a:ln>
                      <a:noFill/>
                    </a:ln>
                  </pic:spPr>
                </pic:pic>
              </a:graphicData>
            </a:graphic>
          </wp:inline>
        </w:drawing>
      </w:r>
    </w:p>
    <w:p w14:paraId="28B82D8D" w14:textId="0338827A" w:rsidR="006D6F60" w:rsidRPr="007C2F85"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S4</w:t>
      </w:r>
      <w:r w:rsidR="004C079F" w:rsidRPr="007C2F85">
        <w:rPr>
          <w:rFonts w:ascii="Times New Roman" w:hAnsi="Times New Roman" w:cs="Times New Roman"/>
          <w:sz w:val="24"/>
          <w:szCs w:val="24"/>
        </w:rPr>
        <w:t xml:space="preserve"> FT-IR spectra of precursors, 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 and JDAC</w:t>
      </w:r>
    </w:p>
    <w:p w14:paraId="3CB84F91"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sz w:val="24"/>
          <w:szCs w:val="24"/>
        </w:rPr>
        <w:br w:type="page"/>
      </w:r>
    </w:p>
    <w:p w14:paraId="05D1433F" w14:textId="77777777" w:rsidR="006D6F60" w:rsidRPr="007C2F85" w:rsidRDefault="004C079F" w:rsidP="00414787">
      <w:pPr>
        <w:jc w:val="center"/>
        <w:rPr>
          <w:rFonts w:ascii="Times New Roman" w:hAnsi="Times New Roman" w:cs="Times New Roman"/>
        </w:rPr>
      </w:pPr>
      <w:r w:rsidRPr="007C2F85">
        <w:rPr>
          <w:rFonts w:ascii="Times New Roman" w:hAnsi="Times New Roman" w:cs="Times New Roman"/>
          <w:noProof/>
        </w:rPr>
        <w:lastRenderedPageBreak/>
        <w:drawing>
          <wp:inline distT="0" distB="0" distL="114300" distR="114300" wp14:anchorId="777A3340" wp14:editId="5441302B">
            <wp:extent cx="3312049" cy="3179928"/>
            <wp:effectExtent l="0" t="0" r="3175" b="1905"/>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a:stretch>
                      <a:fillRect/>
                    </a:stretch>
                  </pic:blipFill>
                  <pic:spPr>
                    <a:xfrm>
                      <a:off x="0" y="0"/>
                      <a:ext cx="3338730" cy="3205545"/>
                    </a:xfrm>
                    <a:prstGeom prst="rect">
                      <a:avLst/>
                    </a:prstGeom>
                    <a:noFill/>
                    <a:ln>
                      <a:noFill/>
                    </a:ln>
                  </pic:spPr>
                </pic:pic>
              </a:graphicData>
            </a:graphic>
          </wp:inline>
        </w:drawing>
      </w:r>
    </w:p>
    <w:p w14:paraId="480D8BFF" w14:textId="63E1C02E" w:rsidR="006D6F60"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S5</w:t>
      </w:r>
      <w:r w:rsidR="004C079F" w:rsidRPr="007C2F85">
        <w:rPr>
          <w:rFonts w:ascii="Times New Roman" w:hAnsi="Times New Roman" w:cs="Times New Roman"/>
          <w:sz w:val="24"/>
          <w:szCs w:val="24"/>
        </w:rPr>
        <w:t xml:space="preserve"> Solid-state </w:t>
      </w:r>
      <w:r w:rsidR="004C079F" w:rsidRPr="007C2F85">
        <w:rPr>
          <w:rFonts w:ascii="Times New Roman" w:hAnsi="Times New Roman" w:cs="Times New Roman"/>
          <w:sz w:val="24"/>
          <w:szCs w:val="24"/>
          <w:vertAlign w:val="superscript"/>
        </w:rPr>
        <w:t>13</w:t>
      </w:r>
      <w:r w:rsidR="004C079F" w:rsidRPr="007C2F85">
        <w:rPr>
          <w:rFonts w:ascii="Times New Roman" w:hAnsi="Times New Roman" w:cs="Times New Roman"/>
          <w:sz w:val="24"/>
          <w:szCs w:val="24"/>
        </w:rPr>
        <w:t>C NMR spectrum of JDAC and 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66968764" w14:textId="37D4E9A3" w:rsidR="004C079F" w:rsidRDefault="004C079F" w:rsidP="004C079F">
      <w:pPr>
        <w:jc w:val="left"/>
        <w:rPr>
          <w:rFonts w:ascii="Times New Roman" w:hAnsi="Times New Roman" w:cs="Times New Roman"/>
          <w:sz w:val="24"/>
          <w:szCs w:val="24"/>
        </w:rPr>
      </w:pPr>
    </w:p>
    <w:p w14:paraId="7E13D1AD" w14:textId="77777777" w:rsidR="004C079F" w:rsidRPr="007C2F85" w:rsidRDefault="004C079F" w:rsidP="004C079F">
      <w:pPr>
        <w:jc w:val="left"/>
        <w:rPr>
          <w:rFonts w:ascii="Times New Roman" w:hAnsi="Times New Roman" w:cs="Times New Roman"/>
          <w:sz w:val="24"/>
          <w:szCs w:val="24"/>
        </w:rPr>
      </w:pPr>
    </w:p>
    <w:p w14:paraId="58F0E59F"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61C04997" wp14:editId="7A8C7FE9">
            <wp:extent cx="3628268" cy="3207224"/>
            <wp:effectExtent l="0" t="0" r="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4"/>
                    <a:stretch>
                      <a:fillRect/>
                    </a:stretch>
                  </pic:blipFill>
                  <pic:spPr>
                    <a:xfrm>
                      <a:off x="0" y="0"/>
                      <a:ext cx="3650901" cy="3227231"/>
                    </a:xfrm>
                    <a:prstGeom prst="rect">
                      <a:avLst/>
                    </a:prstGeom>
                    <a:noFill/>
                    <a:ln>
                      <a:noFill/>
                    </a:ln>
                  </pic:spPr>
                </pic:pic>
              </a:graphicData>
            </a:graphic>
          </wp:inline>
        </w:drawing>
      </w:r>
    </w:p>
    <w:p w14:paraId="4FE52E40" w14:textId="77777777" w:rsidR="004C079F"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S6</w:t>
      </w:r>
      <w:r w:rsidR="004C079F" w:rsidRPr="007C2F85">
        <w:rPr>
          <w:rFonts w:ascii="Times New Roman" w:hAnsi="Times New Roman" w:cs="Times New Roman"/>
          <w:sz w:val="24"/>
          <w:szCs w:val="24"/>
        </w:rPr>
        <w:t xml:space="preserve"> XPS </w:t>
      </w:r>
      <w:r w:rsidR="004C079F" w:rsidRPr="007C2F85">
        <w:rPr>
          <w:rFonts w:ascii="Times New Roman" w:eastAsia="宋体" w:hAnsi="Times New Roman" w:cs="Times New Roman"/>
          <w:sz w:val="20"/>
          <w:szCs w:val="20"/>
        </w:rPr>
        <w:t xml:space="preserve">spectra </w:t>
      </w:r>
      <w:r w:rsidR="004C079F" w:rsidRPr="007C2F85">
        <w:rPr>
          <w:rFonts w:ascii="Times New Roman" w:hAnsi="Times New Roman" w:cs="Times New Roman"/>
          <w:sz w:val="24"/>
          <w:szCs w:val="24"/>
        </w:rPr>
        <w:t>of JDAC,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and 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18AF469F" w14:textId="0D60A6A1" w:rsidR="006D6F60" w:rsidRPr="007C2F85" w:rsidRDefault="004C079F" w:rsidP="004C079F">
      <w:pPr>
        <w:jc w:val="center"/>
        <w:rPr>
          <w:rFonts w:ascii="Times New Roman" w:hAnsi="Times New Roman" w:cs="Times New Roman"/>
          <w:sz w:val="24"/>
          <w:szCs w:val="24"/>
        </w:rPr>
      </w:pPr>
      <w:r w:rsidRPr="007C2F85">
        <w:rPr>
          <w:rFonts w:ascii="Times New Roman" w:hAnsi="Times New Roman" w:cs="Times New Roman"/>
          <w:noProof/>
        </w:rPr>
        <w:lastRenderedPageBreak/>
        <w:drawing>
          <wp:inline distT="0" distB="0" distL="114300" distR="114300" wp14:anchorId="6BAB574D" wp14:editId="156E3E13">
            <wp:extent cx="4640239" cy="4167073"/>
            <wp:effectExtent l="0" t="0" r="8255" b="5080"/>
            <wp:docPr id="1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pic:cNvPicPr>
                      <a:picLocks noChangeAspect="1"/>
                    </pic:cNvPicPr>
                  </pic:nvPicPr>
                  <pic:blipFill>
                    <a:blip r:embed="rId15"/>
                    <a:stretch>
                      <a:fillRect/>
                    </a:stretch>
                  </pic:blipFill>
                  <pic:spPr>
                    <a:xfrm>
                      <a:off x="0" y="0"/>
                      <a:ext cx="4712560" cy="4232019"/>
                    </a:xfrm>
                    <a:prstGeom prst="rect">
                      <a:avLst/>
                    </a:prstGeom>
                    <a:noFill/>
                    <a:ln>
                      <a:noFill/>
                    </a:ln>
                  </pic:spPr>
                </pic:pic>
              </a:graphicData>
            </a:graphic>
          </wp:inline>
        </w:drawing>
      </w:r>
    </w:p>
    <w:p w14:paraId="65801907" w14:textId="695F7036"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S7</w:t>
      </w:r>
      <w:r w:rsidR="004C079F" w:rsidRPr="007C2F85">
        <w:rPr>
          <w:rFonts w:ascii="Times New Roman" w:hAnsi="Times New Roman" w:cs="Times New Roman"/>
          <w:sz w:val="24"/>
          <w:szCs w:val="24"/>
        </w:rPr>
        <w:t xml:space="preserve"> High-resolution XPS spectra of JDAC regarding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C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xml:space="preserve">) N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xml:space="preserve">) Ni </w:t>
      </w:r>
      <w:r w:rsidR="004C079F" w:rsidRPr="007C2F85">
        <w:rPr>
          <w:rFonts w:ascii="Times New Roman" w:hAnsi="Times New Roman" w:cs="Times New Roman"/>
          <w:i/>
          <w:iCs/>
          <w:sz w:val="24"/>
          <w:szCs w:val="24"/>
        </w:rPr>
        <w:t>2p</w:t>
      </w:r>
      <w:r w:rsidR="004C079F" w:rsidRPr="007C2F85">
        <w:rPr>
          <w:rFonts w:ascii="Times New Roman" w:hAnsi="Times New Roman" w:cs="Times New Roman"/>
          <w:sz w:val="24"/>
          <w:szCs w:val="24"/>
        </w:rPr>
        <w:t>, and (</w:t>
      </w:r>
      <w:r w:rsidR="004C079F" w:rsidRPr="004C079F">
        <w:rPr>
          <w:rFonts w:ascii="Times New Roman" w:hAnsi="Times New Roman" w:cs="Times New Roman"/>
          <w:b/>
          <w:sz w:val="24"/>
          <w:szCs w:val="24"/>
        </w:rPr>
        <w:t>d</w:t>
      </w:r>
      <w:r w:rsidR="004C079F" w:rsidRPr="007C2F85">
        <w:rPr>
          <w:rFonts w:ascii="Times New Roman" w:hAnsi="Times New Roman" w:cs="Times New Roman"/>
          <w:sz w:val="24"/>
          <w:szCs w:val="24"/>
        </w:rPr>
        <w:t xml:space="preserve">) Fe </w:t>
      </w:r>
      <w:r w:rsidR="004C079F" w:rsidRPr="007C2F85">
        <w:rPr>
          <w:rFonts w:ascii="Times New Roman" w:hAnsi="Times New Roman" w:cs="Times New Roman"/>
          <w:i/>
          <w:iCs/>
          <w:sz w:val="24"/>
          <w:szCs w:val="24"/>
        </w:rPr>
        <w:t>2p</w:t>
      </w:r>
    </w:p>
    <w:p w14:paraId="7E4D1AA0" w14:textId="262C3D32" w:rsidR="006D6F60" w:rsidRPr="007C2F85" w:rsidRDefault="004C079F" w:rsidP="004C079F">
      <w:pPr>
        <w:spacing w:before="240"/>
        <w:rPr>
          <w:rFonts w:ascii="Times New Roman" w:hAnsi="Times New Roman" w:cs="Times New Roman"/>
          <w:sz w:val="24"/>
          <w:szCs w:val="24"/>
        </w:rPr>
      </w:pPr>
      <w:r w:rsidRPr="007C2F85">
        <w:rPr>
          <w:rFonts w:ascii="Times New Roman" w:hAnsi="Times New Roman" w:cs="Times New Roman" w:hint="eastAsia"/>
          <w:sz w:val="24"/>
          <w:szCs w:val="24"/>
        </w:rPr>
        <w:t>Note: The peaks of the configurations in JDAC are located at C=N (288.3 eV), C-N (285.5 eV), C-C (284.6 eV), metal-N (400.0 eV), pyrazine N (398.8 eV),</w:t>
      </w:r>
      <w:r w:rsidRPr="007C2F85">
        <w:rPr>
          <w:rFonts w:ascii="Times New Roman" w:hAnsi="Times New Roman" w:cs="Times New Roman"/>
          <w:sz w:val="24"/>
          <w:szCs w:val="24"/>
        </w:rPr>
        <w:t xml:space="preserve"> Ni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1/2</w:t>
      </w:r>
      <w:r w:rsidRPr="007C2F85">
        <w:rPr>
          <w:rFonts w:ascii="Times New Roman" w:hAnsi="Times New Roman" w:cs="Times New Roman"/>
          <w:sz w:val="24"/>
          <w:szCs w:val="24"/>
        </w:rPr>
        <w:t xml:space="preserve"> (873.5 eV)</w:t>
      </w:r>
      <w:r w:rsidRPr="007C2F85">
        <w:rPr>
          <w:rFonts w:ascii="Times New Roman" w:hAnsi="Times New Roman" w:cs="Times New Roman" w:hint="eastAsia"/>
          <w:sz w:val="24"/>
          <w:szCs w:val="24"/>
        </w:rPr>
        <w:t>,</w:t>
      </w:r>
      <w:r w:rsidRPr="007C2F85">
        <w:rPr>
          <w:rFonts w:ascii="Times New Roman" w:hAnsi="Times New Roman" w:cs="Times New Roman"/>
          <w:sz w:val="24"/>
          <w:szCs w:val="24"/>
        </w:rPr>
        <w:t xml:space="preserve"> Ni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3/2</w:t>
      </w:r>
      <w:r w:rsidRPr="007C2F85">
        <w:rPr>
          <w:rFonts w:ascii="Times New Roman" w:hAnsi="Times New Roman" w:cs="Times New Roman"/>
          <w:sz w:val="24"/>
          <w:szCs w:val="24"/>
        </w:rPr>
        <w:t xml:space="preserve"> (855.6 eV)</w:t>
      </w:r>
      <w:r w:rsidRPr="007C2F85">
        <w:rPr>
          <w:rFonts w:ascii="Times New Roman" w:hAnsi="Times New Roman" w:cs="Times New Roman" w:hint="eastAsia"/>
          <w:sz w:val="24"/>
          <w:szCs w:val="24"/>
        </w:rPr>
        <w:t xml:space="preserve">, </w:t>
      </w:r>
      <w:r w:rsidRPr="007C2F85">
        <w:rPr>
          <w:rFonts w:ascii="Times New Roman" w:hAnsi="Times New Roman" w:cs="Times New Roman"/>
          <w:sz w:val="24"/>
          <w:szCs w:val="24"/>
        </w:rPr>
        <w:t>Fe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1/2</w:t>
      </w:r>
      <w:r w:rsidRPr="007C2F85">
        <w:rPr>
          <w:rFonts w:ascii="Times New Roman" w:hAnsi="Times New Roman" w:cs="Times New Roman"/>
          <w:sz w:val="24"/>
          <w:szCs w:val="24"/>
        </w:rPr>
        <w:t xml:space="preserve"> (723.9 eV) and Fe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3/2</w:t>
      </w:r>
      <w:r w:rsidRPr="007C2F85">
        <w:rPr>
          <w:rFonts w:ascii="Times New Roman" w:hAnsi="Times New Roman" w:cs="Times New Roman"/>
          <w:sz w:val="24"/>
          <w:szCs w:val="24"/>
        </w:rPr>
        <w:t xml:space="preserve"> (710.2 eV)</w:t>
      </w:r>
      <w:r w:rsidRPr="007C2F85">
        <w:rPr>
          <w:rFonts w:ascii="Times New Roman" w:hAnsi="Times New Roman" w:cs="Times New Roman" w:hint="eastAsia"/>
          <w:sz w:val="24"/>
          <w:szCs w:val="24"/>
        </w:rPr>
        <w:t>, respectively.</w:t>
      </w:r>
    </w:p>
    <w:p w14:paraId="6F035A58"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sz w:val="24"/>
          <w:szCs w:val="24"/>
        </w:rPr>
        <w:drawing>
          <wp:inline distT="0" distB="0" distL="0" distR="0" wp14:anchorId="09AC1C21" wp14:editId="2ABFD7AF">
            <wp:extent cx="5274310" cy="160845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6"/>
                    <a:stretch>
                      <a:fillRect/>
                    </a:stretch>
                  </pic:blipFill>
                  <pic:spPr>
                    <a:xfrm>
                      <a:off x="0" y="0"/>
                      <a:ext cx="5274310" cy="1608455"/>
                    </a:xfrm>
                    <a:prstGeom prst="rect">
                      <a:avLst/>
                    </a:prstGeom>
                  </pic:spPr>
                </pic:pic>
              </a:graphicData>
            </a:graphic>
          </wp:inline>
        </w:drawing>
      </w:r>
    </w:p>
    <w:p w14:paraId="6EADC34C" w14:textId="2C7962DE"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S8</w:t>
      </w:r>
      <w:r w:rsidR="004C079F" w:rsidRPr="007C2F85">
        <w:rPr>
          <w:rFonts w:ascii="Times New Roman" w:hAnsi="Times New Roman" w:cs="Times New Roman"/>
          <w:sz w:val="24"/>
          <w:szCs w:val="24"/>
        </w:rPr>
        <w:t xml:space="preserve"> High-resolution XPS spectra of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regarding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C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xml:space="preserve">) N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xml:space="preserve">) Ni </w:t>
      </w:r>
      <w:r w:rsidR="004C079F" w:rsidRPr="007C2F85">
        <w:rPr>
          <w:rFonts w:ascii="Times New Roman" w:hAnsi="Times New Roman" w:cs="Times New Roman"/>
          <w:i/>
          <w:iCs/>
          <w:sz w:val="24"/>
          <w:szCs w:val="24"/>
        </w:rPr>
        <w:t>2p</w:t>
      </w:r>
    </w:p>
    <w:p w14:paraId="3DDA126A" w14:textId="77777777" w:rsidR="006D6F60" w:rsidRPr="007C2F85" w:rsidRDefault="004C079F" w:rsidP="004C079F">
      <w:pPr>
        <w:spacing w:before="240"/>
        <w:rPr>
          <w:rFonts w:ascii="Times New Roman" w:hAnsi="Times New Roman" w:cs="Times New Roman"/>
          <w:sz w:val="24"/>
          <w:szCs w:val="24"/>
        </w:rPr>
      </w:pPr>
      <w:r w:rsidRPr="007C2F85">
        <w:rPr>
          <w:rFonts w:ascii="Times New Roman" w:hAnsi="Times New Roman" w:cs="Times New Roman" w:hint="eastAsia"/>
          <w:sz w:val="24"/>
          <w:szCs w:val="24"/>
        </w:rPr>
        <w:t>Note: The peaks of the configurations in Ni-</w:t>
      </w:r>
      <w:r w:rsidRPr="007C2F85">
        <w:rPr>
          <w:rFonts w:ascii="Times New Roman" w:hAnsi="Times New Roman" w:cs="Times New Roman"/>
          <w:sz w:val="24"/>
          <w:szCs w:val="24"/>
        </w:rPr>
        <w:t>C</w:t>
      </w:r>
      <w:r w:rsidRPr="007C2F85">
        <w:rPr>
          <w:rFonts w:ascii="Times New Roman" w:hAnsi="Times New Roman" w:cs="Times New Roman"/>
          <w:sz w:val="24"/>
          <w:szCs w:val="24"/>
          <w:vertAlign w:val="subscript"/>
        </w:rPr>
        <w:t>4</w:t>
      </w:r>
      <w:r w:rsidRPr="007C2F85">
        <w:rPr>
          <w:rFonts w:ascii="Times New Roman" w:hAnsi="Times New Roman" w:cs="Times New Roman"/>
          <w:sz w:val="24"/>
          <w:szCs w:val="24"/>
        </w:rPr>
        <w:t>N</w:t>
      </w:r>
      <w:r w:rsidRPr="007C2F85">
        <w:rPr>
          <w:rFonts w:ascii="Times New Roman" w:hAnsi="Times New Roman" w:cs="Times New Roman" w:hint="eastAsia"/>
          <w:sz w:val="24"/>
          <w:szCs w:val="24"/>
        </w:rPr>
        <w:t xml:space="preserve"> are located at C=N (288.2 eV), C-N (285.5 eV), C-C (284.6 eV), metal-N (400.0 eV), pyrazine N (398.8 eV),</w:t>
      </w:r>
      <w:r w:rsidRPr="007C2F85">
        <w:rPr>
          <w:rFonts w:ascii="Times New Roman" w:hAnsi="Times New Roman" w:cs="Times New Roman"/>
          <w:sz w:val="24"/>
          <w:szCs w:val="24"/>
        </w:rPr>
        <w:t xml:space="preserve"> Ni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1/2</w:t>
      </w:r>
      <w:r w:rsidRPr="007C2F85">
        <w:rPr>
          <w:rFonts w:ascii="Times New Roman" w:hAnsi="Times New Roman" w:cs="Times New Roman"/>
          <w:sz w:val="24"/>
          <w:szCs w:val="24"/>
        </w:rPr>
        <w:t xml:space="preserve"> (87</w:t>
      </w:r>
      <w:r w:rsidRPr="007C2F85">
        <w:rPr>
          <w:rFonts w:ascii="Times New Roman" w:hAnsi="Times New Roman" w:cs="Times New Roman" w:hint="eastAsia"/>
          <w:sz w:val="24"/>
          <w:szCs w:val="24"/>
        </w:rPr>
        <w:t>3</w:t>
      </w:r>
      <w:r w:rsidRPr="007C2F85">
        <w:rPr>
          <w:rFonts w:ascii="Times New Roman" w:hAnsi="Times New Roman" w:cs="Times New Roman"/>
          <w:sz w:val="24"/>
          <w:szCs w:val="24"/>
        </w:rPr>
        <w:t>.</w:t>
      </w:r>
      <w:r w:rsidRPr="007C2F85">
        <w:rPr>
          <w:rFonts w:ascii="Times New Roman" w:hAnsi="Times New Roman" w:cs="Times New Roman" w:hint="eastAsia"/>
          <w:sz w:val="24"/>
          <w:szCs w:val="24"/>
        </w:rPr>
        <w:t>5</w:t>
      </w:r>
      <w:r w:rsidRPr="007C2F85">
        <w:rPr>
          <w:rFonts w:ascii="Times New Roman" w:hAnsi="Times New Roman" w:cs="Times New Roman"/>
          <w:sz w:val="24"/>
          <w:szCs w:val="24"/>
        </w:rPr>
        <w:t xml:space="preserve"> eV)</w:t>
      </w:r>
      <w:r w:rsidRPr="007C2F85">
        <w:rPr>
          <w:rFonts w:ascii="Times New Roman" w:hAnsi="Times New Roman" w:cs="Times New Roman" w:hint="eastAsia"/>
          <w:sz w:val="24"/>
          <w:szCs w:val="24"/>
        </w:rPr>
        <w:t>, and</w:t>
      </w:r>
      <w:r w:rsidRPr="007C2F85">
        <w:rPr>
          <w:rFonts w:ascii="Times New Roman" w:hAnsi="Times New Roman" w:cs="Times New Roman"/>
          <w:sz w:val="24"/>
          <w:szCs w:val="24"/>
        </w:rPr>
        <w:t xml:space="preserve"> Ni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3/2</w:t>
      </w:r>
      <w:r w:rsidRPr="007C2F85">
        <w:rPr>
          <w:rFonts w:ascii="Times New Roman" w:hAnsi="Times New Roman" w:cs="Times New Roman"/>
          <w:sz w:val="24"/>
          <w:szCs w:val="24"/>
        </w:rPr>
        <w:t xml:space="preserve"> (855.</w:t>
      </w:r>
      <w:r w:rsidRPr="007C2F85">
        <w:rPr>
          <w:rFonts w:ascii="Times New Roman" w:hAnsi="Times New Roman" w:cs="Times New Roman" w:hint="eastAsia"/>
          <w:sz w:val="24"/>
          <w:szCs w:val="24"/>
        </w:rPr>
        <w:t>8</w:t>
      </w:r>
      <w:r w:rsidRPr="007C2F85">
        <w:rPr>
          <w:rFonts w:ascii="Times New Roman" w:hAnsi="Times New Roman" w:cs="Times New Roman"/>
          <w:sz w:val="24"/>
          <w:szCs w:val="24"/>
        </w:rPr>
        <w:t xml:space="preserve"> eV)</w:t>
      </w:r>
      <w:r w:rsidRPr="007C2F85">
        <w:rPr>
          <w:rFonts w:ascii="Times New Roman" w:hAnsi="Times New Roman" w:cs="Times New Roman" w:hint="eastAsia"/>
          <w:sz w:val="24"/>
          <w:szCs w:val="24"/>
        </w:rPr>
        <w:t>, respectively.</w:t>
      </w:r>
    </w:p>
    <w:p w14:paraId="72013CAE" w14:textId="77777777" w:rsidR="006D6F60" w:rsidRPr="007C2F85" w:rsidRDefault="004C079F" w:rsidP="00414787">
      <w:pPr>
        <w:widowControl/>
        <w:jc w:val="left"/>
        <w:rPr>
          <w:rFonts w:ascii="Times New Roman" w:hAnsi="Times New Roman" w:cs="Times New Roman"/>
          <w:sz w:val="24"/>
          <w:szCs w:val="24"/>
        </w:rPr>
      </w:pPr>
      <w:r w:rsidRPr="007C2F85">
        <w:rPr>
          <w:rFonts w:ascii="Times New Roman" w:hAnsi="Times New Roman" w:cs="Times New Roman"/>
          <w:sz w:val="24"/>
          <w:szCs w:val="24"/>
        </w:rPr>
        <w:br w:type="page"/>
      </w:r>
    </w:p>
    <w:p w14:paraId="3481C6B0"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sz w:val="24"/>
          <w:szCs w:val="24"/>
        </w:rPr>
        <w:lastRenderedPageBreak/>
        <w:drawing>
          <wp:inline distT="0" distB="0" distL="0" distR="0" wp14:anchorId="1CC2292C" wp14:editId="5FB2333B">
            <wp:extent cx="5274310" cy="1642110"/>
            <wp:effectExtent l="0" t="0" r="254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7"/>
                    <a:stretch>
                      <a:fillRect/>
                    </a:stretch>
                  </pic:blipFill>
                  <pic:spPr>
                    <a:xfrm>
                      <a:off x="0" y="0"/>
                      <a:ext cx="5274310" cy="1642110"/>
                    </a:xfrm>
                    <a:prstGeom prst="rect">
                      <a:avLst/>
                    </a:prstGeom>
                  </pic:spPr>
                </pic:pic>
              </a:graphicData>
            </a:graphic>
          </wp:inline>
        </w:drawing>
      </w:r>
    </w:p>
    <w:p w14:paraId="71B021EE" w14:textId="40ADB915"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S9</w:t>
      </w:r>
      <w:r w:rsidR="004C079F" w:rsidRPr="007C2F85">
        <w:rPr>
          <w:rFonts w:ascii="Times New Roman" w:hAnsi="Times New Roman" w:cs="Times New Roman"/>
          <w:sz w:val="24"/>
          <w:szCs w:val="24"/>
        </w:rPr>
        <w:t xml:space="preserve"> High-resolution XPS spectra of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regarding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C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xml:space="preserve">) N </w:t>
      </w:r>
      <w:r w:rsidR="004C079F" w:rsidRPr="007C2F85">
        <w:rPr>
          <w:rFonts w:ascii="Times New Roman" w:hAnsi="Times New Roman" w:cs="Times New Roman"/>
          <w:i/>
          <w:iCs/>
          <w:sz w:val="24"/>
          <w:szCs w:val="24"/>
        </w:rPr>
        <w:t>1s</w:t>
      </w:r>
      <w:r w:rsidR="004C079F" w:rsidRPr="007C2F85">
        <w:rPr>
          <w:rFonts w:ascii="Times New Roman" w:hAnsi="Times New Roman" w:cs="Times New Roman"/>
          <w:sz w:val="24"/>
          <w:szCs w:val="24"/>
        </w:rPr>
        <w:t>,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xml:space="preserve">) Fe </w:t>
      </w:r>
      <w:r w:rsidR="004C079F" w:rsidRPr="007C2F85">
        <w:rPr>
          <w:rFonts w:ascii="Times New Roman" w:hAnsi="Times New Roman" w:cs="Times New Roman"/>
          <w:i/>
          <w:iCs/>
          <w:sz w:val="24"/>
          <w:szCs w:val="24"/>
        </w:rPr>
        <w:t>2p</w:t>
      </w:r>
    </w:p>
    <w:p w14:paraId="1D866FA7" w14:textId="5BCFF6C3" w:rsidR="006D6F60" w:rsidRPr="007C2F85" w:rsidRDefault="004C079F" w:rsidP="004C079F">
      <w:pPr>
        <w:widowControl/>
        <w:spacing w:before="240"/>
        <w:jc w:val="left"/>
        <w:rPr>
          <w:rFonts w:ascii="Times New Roman" w:hAnsi="Times New Roman" w:cs="Times New Roman"/>
          <w:sz w:val="24"/>
          <w:szCs w:val="24"/>
        </w:rPr>
      </w:pPr>
      <w:r w:rsidRPr="007C2F85">
        <w:rPr>
          <w:rFonts w:ascii="Times New Roman" w:hAnsi="Times New Roman" w:cs="Times New Roman" w:hint="eastAsia"/>
          <w:sz w:val="24"/>
          <w:szCs w:val="24"/>
        </w:rPr>
        <w:t xml:space="preserve">Note: The peaks of the configurations in </w:t>
      </w:r>
      <w:r w:rsidRPr="007C2F85">
        <w:rPr>
          <w:rFonts w:ascii="Times New Roman" w:hAnsi="Times New Roman" w:cs="Times New Roman"/>
          <w:sz w:val="24"/>
          <w:szCs w:val="24"/>
        </w:rPr>
        <w:t>Fe-C</w:t>
      </w:r>
      <w:r w:rsidRPr="007C2F85">
        <w:rPr>
          <w:rFonts w:ascii="Times New Roman" w:hAnsi="Times New Roman" w:cs="Times New Roman"/>
          <w:sz w:val="24"/>
          <w:szCs w:val="24"/>
          <w:vertAlign w:val="subscript"/>
        </w:rPr>
        <w:t>4</w:t>
      </w:r>
      <w:r w:rsidRPr="007C2F85">
        <w:rPr>
          <w:rFonts w:ascii="Times New Roman" w:hAnsi="Times New Roman" w:cs="Times New Roman"/>
          <w:sz w:val="24"/>
          <w:szCs w:val="24"/>
        </w:rPr>
        <w:t>N</w:t>
      </w:r>
      <w:r w:rsidRPr="007C2F85">
        <w:rPr>
          <w:rFonts w:ascii="Times New Roman" w:hAnsi="Times New Roman" w:cs="Times New Roman" w:hint="eastAsia"/>
          <w:sz w:val="24"/>
          <w:szCs w:val="24"/>
        </w:rPr>
        <w:t xml:space="preserve"> are located at C=N (288.3 eV), C-N (285.5 eV), C-C (284.6 eV), metal-N (400.0 eV), pyrazine N (398.8 eV), </w:t>
      </w:r>
      <w:r w:rsidRPr="007C2F85">
        <w:rPr>
          <w:rFonts w:ascii="Times New Roman" w:hAnsi="Times New Roman" w:cs="Times New Roman"/>
          <w:sz w:val="24"/>
          <w:szCs w:val="24"/>
        </w:rPr>
        <w:t>Fe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1/2</w:t>
      </w:r>
      <w:r w:rsidRPr="007C2F85">
        <w:rPr>
          <w:rFonts w:ascii="Times New Roman" w:hAnsi="Times New Roman" w:cs="Times New Roman"/>
          <w:sz w:val="24"/>
          <w:szCs w:val="24"/>
        </w:rPr>
        <w:t xml:space="preserve"> (723.9 eV) and Fe 2</w:t>
      </w:r>
      <w:r w:rsidRPr="007C2F85">
        <w:rPr>
          <w:rFonts w:ascii="Times New Roman" w:hAnsi="Times New Roman" w:cs="Times New Roman"/>
          <w:i/>
          <w:iCs/>
          <w:sz w:val="24"/>
          <w:szCs w:val="24"/>
        </w:rPr>
        <w:t>p</w:t>
      </w:r>
      <w:r w:rsidRPr="007C2F85">
        <w:rPr>
          <w:rFonts w:ascii="Times New Roman" w:hAnsi="Times New Roman" w:cs="Times New Roman"/>
          <w:sz w:val="24"/>
          <w:szCs w:val="24"/>
          <w:vertAlign w:val="subscript"/>
        </w:rPr>
        <w:t>3/2</w:t>
      </w:r>
      <w:r w:rsidRPr="007C2F85">
        <w:rPr>
          <w:rFonts w:ascii="Times New Roman" w:hAnsi="Times New Roman" w:cs="Times New Roman"/>
          <w:sz w:val="24"/>
          <w:szCs w:val="24"/>
        </w:rPr>
        <w:t xml:space="preserve"> (710.</w:t>
      </w:r>
      <w:r w:rsidRPr="007C2F85">
        <w:rPr>
          <w:rFonts w:ascii="Times New Roman" w:hAnsi="Times New Roman" w:cs="Times New Roman" w:hint="eastAsia"/>
          <w:sz w:val="24"/>
          <w:szCs w:val="24"/>
        </w:rPr>
        <w:t>5</w:t>
      </w:r>
      <w:r w:rsidRPr="007C2F85">
        <w:rPr>
          <w:rFonts w:ascii="Times New Roman" w:hAnsi="Times New Roman" w:cs="Times New Roman"/>
          <w:sz w:val="24"/>
          <w:szCs w:val="24"/>
        </w:rPr>
        <w:t xml:space="preserve"> eV)</w:t>
      </w:r>
      <w:r w:rsidRPr="007C2F85">
        <w:rPr>
          <w:rFonts w:ascii="Times New Roman" w:hAnsi="Times New Roman" w:cs="Times New Roman" w:hint="eastAsia"/>
          <w:sz w:val="24"/>
          <w:szCs w:val="24"/>
        </w:rPr>
        <w:t>, respectively.</w:t>
      </w:r>
    </w:p>
    <w:p w14:paraId="49760AAC" w14:textId="77777777" w:rsidR="006D6F60" w:rsidRPr="007C2F85" w:rsidRDefault="006D6F60" w:rsidP="00414787">
      <w:pPr>
        <w:rPr>
          <w:rFonts w:ascii="Times New Roman" w:hAnsi="Times New Roman" w:cs="Times New Roman"/>
          <w:sz w:val="24"/>
          <w:szCs w:val="24"/>
        </w:rPr>
      </w:pPr>
    </w:p>
    <w:p w14:paraId="50843A61" w14:textId="77777777" w:rsidR="006D6F60" w:rsidRPr="007C2F85" w:rsidRDefault="004C079F" w:rsidP="00414787">
      <w:pPr>
        <w:jc w:val="center"/>
        <w:rPr>
          <w:rFonts w:ascii="Times New Roman" w:hAnsi="Times New Roman" w:cs="Times New Roman"/>
          <w:sz w:val="24"/>
          <w:szCs w:val="24"/>
        </w:rPr>
      </w:pPr>
      <w:r w:rsidRPr="007C2F85">
        <w:rPr>
          <w:noProof/>
        </w:rPr>
        <w:drawing>
          <wp:inline distT="0" distB="0" distL="114300" distR="114300" wp14:anchorId="52644BC1" wp14:editId="6CBB0579">
            <wp:extent cx="4455795" cy="1990090"/>
            <wp:effectExtent l="0" t="0" r="1905" b="1016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8"/>
                    <a:stretch>
                      <a:fillRect/>
                    </a:stretch>
                  </pic:blipFill>
                  <pic:spPr>
                    <a:xfrm>
                      <a:off x="0" y="0"/>
                      <a:ext cx="4455795" cy="1990090"/>
                    </a:xfrm>
                    <a:prstGeom prst="rect">
                      <a:avLst/>
                    </a:prstGeom>
                    <a:noFill/>
                    <a:ln>
                      <a:noFill/>
                    </a:ln>
                  </pic:spPr>
                </pic:pic>
              </a:graphicData>
            </a:graphic>
          </wp:inline>
        </w:drawing>
      </w:r>
    </w:p>
    <w:p w14:paraId="7BC08988" w14:textId="5774B47B" w:rsidR="006D6F60" w:rsidRPr="007C2F85" w:rsidRDefault="00414787" w:rsidP="00414787">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S10</w:t>
      </w:r>
      <w:r w:rsidR="004C079F" w:rsidRPr="007C2F85">
        <w:rPr>
          <w:rFonts w:ascii="Times New Roman" w:hAnsi="Times New Roman" w:cs="Times New Roman"/>
          <w:sz w:val="24"/>
          <w:szCs w:val="24"/>
        </w:rPr>
        <w:t xml:space="preserve"> High-resolution XPS spectra of 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regarding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C </w:t>
      </w:r>
      <w:r w:rsidR="004C079F" w:rsidRPr="007C2F85">
        <w:rPr>
          <w:rFonts w:ascii="Times New Roman" w:hAnsi="Times New Roman" w:cs="Times New Roman"/>
          <w:i/>
          <w:iCs/>
          <w:sz w:val="24"/>
          <w:szCs w:val="24"/>
        </w:rPr>
        <w:t xml:space="preserve">1s </w:t>
      </w:r>
      <w:r w:rsidR="004C079F" w:rsidRPr="007C2F85">
        <w:rPr>
          <w:rFonts w:ascii="Times New Roman" w:hAnsi="Times New Roman" w:cs="Times New Roman"/>
          <w:sz w:val="24"/>
          <w:szCs w:val="24"/>
        </w:rPr>
        <w:t>and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xml:space="preserve">) N </w:t>
      </w:r>
      <w:r w:rsidR="004C079F" w:rsidRPr="007C2F85">
        <w:rPr>
          <w:rFonts w:ascii="Times New Roman" w:hAnsi="Times New Roman" w:cs="Times New Roman"/>
          <w:i/>
          <w:iCs/>
          <w:sz w:val="24"/>
          <w:szCs w:val="24"/>
        </w:rPr>
        <w:t>1s</w:t>
      </w:r>
    </w:p>
    <w:p w14:paraId="6D6329CD" w14:textId="64CA7F87" w:rsidR="006D6F60" w:rsidRPr="007C2F85" w:rsidRDefault="004C079F" w:rsidP="004C079F">
      <w:pPr>
        <w:spacing w:before="240"/>
        <w:rPr>
          <w:rFonts w:ascii="Times New Roman" w:hAnsi="Times New Roman" w:cs="Times New Roman"/>
          <w:sz w:val="24"/>
          <w:szCs w:val="24"/>
        </w:rPr>
      </w:pPr>
      <w:r w:rsidRPr="007C2F85">
        <w:rPr>
          <w:rFonts w:ascii="Times New Roman" w:hAnsi="Times New Roman" w:cs="Times New Roman" w:hint="eastAsia"/>
          <w:sz w:val="24"/>
          <w:szCs w:val="24"/>
        </w:rPr>
        <w:t xml:space="preserve">Note: The peaks of the configurations in </w:t>
      </w:r>
      <w:r w:rsidRPr="007C2F85">
        <w:rPr>
          <w:rFonts w:ascii="Times New Roman" w:hAnsi="Times New Roman" w:cs="Times New Roman"/>
          <w:sz w:val="24"/>
          <w:szCs w:val="24"/>
        </w:rPr>
        <w:t>C</w:t>
      </w:r>
      <w:r w:rsidRPr="007C2F85">
        <w:rPr>
          <w:rFonts w:ascii="Times New Roman" w:hAnsi="Times New Roman" w:cs="Times New Roman"/>
          <w:sz w:val="24"/>
          <w:szCs w:val="24"/>
          <w:vertAlign w:val="subscript"/>
        </w:rPr>
        <w:t>4</w:t>
      </w:r>
      <w:r w:rsidRPr="007C2F85">
        <w:rPr>
          <w:rFonts w:ascii="Times New Roman" w:hAnsi="Times New Roman" w:cs="Times New Roman"/>
          <w:sz w:val="24"/>
          <w:szCs w:val="24"/>
        </w:rPr>
        <w:t>N</w:t>
      </w:r>
      <w:r w:rsidRPr="007C2F85">
        <w:rPr>
          <w:rFonts w:ascii="Times New Roman" w:hAnsi="Times New Roman" w:cs="Times New Roman" w:hint="eastAsia"/>
          <w:sz w:val="24"/>
          <w:szCs w:val="24"/>
        </w:rPr>
        <w:t xml:space="preserve"> are located at C-N (285.5 eV), C-C (284.6 eV), residual -NH</w:t>
      </w:r>
      <w:r w:rsidRPr="007C2F85">
        <w:rPr>
          <w:rFonts w:ascii="Times New Roman" w:hAnsi="Times New Roman" w:cs="Times New Roman" w:hint="eastAsia"/>
          <w:sz w:val="24"/>
          <w:szCs w:val="24"/>
          <w:vertAlign w:val="subscript"/>
        </w:rPr>
        <w:t>2</w:t>
      </w:r>
      <w:r w:rsidRPr="007C2F85">
        <w:rPr>
          <w:rFonts w:ascii="Times New Roman" w:hAnsi="Times New Roman" w:cs="Times New Roman" w:hint="eastAsia"/>
          <w:sz w:val="24"/>
          <w:szCs w:val="24"/>
        </w:rPr>
        <w:t xml:space="preserve"> groups (399.9 eV), pyrazine N (398.8 eV), respectively.</w:t>
      </w:r>
    </w:p>
    <w:p w14:paraId="10478C38" w14:textId="77777777" w:rsidR="006D6F60" w:rsidRPr="007C2F85" w:rsidRDefault="004C079F" w:rsidP="00414787">
      <w:pPr>
        <w:rPr>
          <w:rFonts w:ascii="Times New Roman" w:hAnsi="Times New Roman" w:cs="Times New Roman"/>
          <w:sz w:val="24"/>
          <w:szCs w:val="24"/>
        </w:rPr>
      </w:pPr>
      <w:r w:rsidRPr="007C2F85">
        <w:rPr>
          <w:noProof/>
        </w:rPr>
        <w:drawing>
          <wp:inline distT="0" distB="0" distL="114300" distR="114300" wp14:anchorId="5DCDF568" wp14:editId="414C79C3">
            <wp:extent cx="5266690" cy="2333625"/>
            <wp:effectExtent l="0" t="0" r="10160" b="952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9"/>
                    <a:stretch>
                      <a:fillRect/>
                    </a:stretch>
                  </pic:blipFill>
                  <pic:spPr>
                    <a:xfrm>
                      <a:off x="0" y="0"/>
                      <a:ext cx="5266690" cy="2333625"/>
                    </a:xfrm>
                    <a:prstGeom prst="rect">
                      <a:avLst/>
                    </a:prstGeom>
                    <a:noFill/>
                    <a:ln>
                      <a:noFill/>
                    </a:ln>
                  </pic:spPr>
                </pic:pic>
              </a:graphicData>
            </a:graphic>
          </wp:inline>
        </w:drawing>
      </w:r>
    </w:p>
    <w:p w14:paraId="23DB05CE" w14:textId="63BF0BEF"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S11</w:t>
      </w:r>
      <w:r w:rsidR="004C079F" w:rsidRPr="007C2F85">
        <w:rPr>
          <w:rFonts w:ascii="Times New Roman" w:hAnsi="Times New Roman" w:cs="Times New Roman"/>
          <w:sz w:val="24"/>
          <w:szCs w:val="24"/>
        </w:rPr>
        <w:t xml:space="preserve"> High resolution XPS survey of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Fe </w:t>
      </w:r>
      <w:r w:rsidR="004C079F" w:rsidRPr="007C2F85">
        <w:rPr>
          <w:rFonts w:ascii="Times New Roman" w:hAnsi="Times New Roman" w:cs="Times New Roman"/>
          <w:i/>
          <w:iCs/>
          <w:sz w:val="24"/>
          <w:szCs w:val="24"/>
        </w:rPr>
        <w:t xml:space="preserve">2p </w:t>
      </w:r>
      <w:r w:rsidR="004C079F" w:rsidRPr="007C2F85">
        <w:rPr>
          <w:rFonts w:ascii="Times New Roman" w:hAnsi="Times New Roman" w:cs="Times New Roman"/>
          <w:sz w:val="24"/>
          <w:szCs w:val="24"/>
        </w:rPr>
        <w:t>in JDAC and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xml:space="preserve">) Ni </w:t>
      </w:r>
      <w:r w:rsidR="004C079F" w:rsidRPr="007C2F85">
        <w:rPr>
          <w:rFonts w:ascii="Times New Roman" w:hAnsi="Times New Roman" w:cs="Times New Roman"/>
          <w:i/>
          <w:iCs/>
          <w:sz w:val="24"/>
          <w:szCs w:val="24"/>
        </w:rPr>
        <w:t xml:space="preserve">2p </w:t>
      </w:r>
      <w:r w:rsidR="004C079F" w:rsidRPr="007C2F85">
        <w:rPr>
          <w:rFonts w:ascii="Times New Roman" w:hAnsi="Times New Roman" w:cs="Times New Roman"/>
          <w:sz w:val="24"/>
          <w:szCs w:val="24"/>
        </w:rPr>
        <w:t>in JDAC and Ni-C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7D913F5D" w14:textId="479E9FE0"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hint="eastAsia"/>
          <w:sz w:val="24"/>
          <w:szCs w:val="24"/>
        </w:rPr>
        <w:lastRenderedPageBreak/>
        <w:t xml:space="preserve">Note: The peaks positions of Fe </w:t>
      </w:r>
      <w:r w:rsidRPr="007C2F85">
        <w:rPr>
          <w:rFonts w:ascii="Times New Roman" w:hAnsi="Times New Roman" w:cs="Times New Roman" w:hint="eastAsia"/>
          <w:i/>
          <w:iCs/>
          <w:sz w:val="24"/>
          <w:szCs w:val="24"/>
        </w:rPr>
        <w:t>2p</w:t>
      </w:r>
      <w:r w:rsidRPr="007C2F85">
        <w:rPr>
          <w:rFonts w:ascii="Times New Roman" w:hAnsi="Times New Roman" w:cs="Times New Roman" w:hint="eastAsia"/>
          <w:sz w:val="24"/>
          <w:szCs w:val="24"/>
        </w:rPr>
        <w:t xml:space="preserve"> in JDAC shows a negative shift from 724.1 eV to 723.4 eV, and from 710.8 eV to 710.7 eV compared to Fe-C</w:t>
      </w:r>
      <w:r w:rsidRPr="007C2F85">
        <w:rPr>
          <w:rFonts w:ascii="Times New Roman" w:hAnsi="Times New Roman" w:cs="Times New Roman" w:hint="eastAsia"/>
          <w:sz w:val="24"/>
          <w:szCs w:val="24"/>
          <w:vertAlign w:val="subscript"/>
        </w:rPr>
        <w:t>4</w:t>
      </w:r>
      <w:r w:rsidRPr="007C2F85">
        <w:rPr>
          <w:rFonts w:ascii="Times New Roman" w:hAnsi="Times New Roman" w:cs="Times New Roman" w:hint="eastAsia"/>
          <w:sz w:val="24"/>
          <w:szCs w:val="24"/>
        </w:rPr>
        <w:t xml:space="preserve">N. The peaks positions of Ni </w:t>
      </w:r>
      <w:r w:rsidRPr="007C2F85">
        <w:rPr>
          <w:rFonts w:ascii="Times New Roman" w:hAnsi="Times New Roman" w:cs="Times New Roman" w:hint="eastAsia"/>
          <w:i/>
          <w:iCs/>
          <w:sz w:val="24"/>
          <w:szCs w:val="24"/>
        </w:rPr>
        <w:t>2p</w:t>
      </w:r>
      <w:r w:rsidRPr="007C2F85">
        <w:rPr>
          <w:rFonts w:ascii="Times New Roman" w:hAnsi="Times New Roman" w:cs="Times New Roman" w:hint="eastAsia"/>
          <w:sz w:val="24"/>
          <w:szCs w:val="24"/>
        </w:rPr>
        <w:t xml:space="preserve"> in JDAC also shows a negative shift from 873.5 eV to 873.4 eV, and 855.9 eV to 855.8 eV compared to Ni-C</w:t>
      </w:r>
      <w:r w:rsidRPr="007C2F85">
        <w:rPr>
          <w:rFonts w:ascii="Times New Roman" w:hAnsi="Times New Roman" w:cs="Times New Roman" w:hint="eastAsia"/>
          <w:sz w:val="24"/>
          <w:szCs w:val="24"/>
          <w:vertAlign w:val="subscript"/>
        </w:rPr>
        <w:t>4</w:t>
      </w:r>
      <w:r w:rsidRPr="007C2F85">
        <w:rPr>
          <w:rFonts w:ascii="Times New Roman" w:hAnsi="Times New Roman" w:cs="Times New Roman" w:hint="eastAsia"/>
          <w:sz w:val="24"/>
          <w:szCs w:val="24"/>
        </w:rPr>
        <w:t xml:space="preserve">N. </w:t>
      </w:r>
    </w:p>
    <w:p w14:paraId="4838C3B4" w14:textId="77777777" w:rsidR="006D6F60" w:rsidRPr="007C2F85" w:rsidRDefault="004C079F" w:rsidP="00414787">
      <w:pPr>
        <w:jc w:val="center"/>
        <w:rPr>
          <w:rFonts w:ascii="Times New Roman" w:hAnsi="Times New Roman" w:cs="Times New Roman"/>
        </w:rPr>
      </w:pPr>
      <w:r w:rsidRPr="007C2F85">
        <w:rPr>
          <w:noProof/>
        </w:rPr>
        <w:drawing>
          <wp:inline distT="0" distB="0" distL="114300" distR="114300" wp14:anchorId="2DE805A8" wp14:editId="392DD360">
            <wp:extent cx="2757170" cy="2390140"/>
            <wp:effectExtent l="0" t="0" r="5080" b="10160"/>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20"/>
                    <a:stretch>
                      <a:fillRect/>
                    </a:stretch>
                  </pic:blipFill>
                  <pic:spPr>
                    <a:xfrm>
                      <a:off x="0" y="0"/>
                      <a:ext cx="2757170" cy="2390140"/>
                    </a:xfrm>
                    <a:prstGeom prst="rect">
                      <a:avLst/>
                    </a:prstGeom>
                    <a:noFill/>
                    <a:ln>
                      <a:noFill/>
                    </a:ln>
                  </pic:spPr>
                </pic:pic>
              </a:graphicData>
            </a:graphic>
          </wp:inline>
        </w:drawing>
      </w:r>
    </w:p>
    <w:p w14:paraId="79E07CB1" w14:textId="548D74D7" w:rsidR="006D6F60" w:rsidRDefault="00414787" w:rsidP="00414787">
      <w:pPr>
        <w:jc w:val="left"/>
        <w:rPr>
          <w:rFonts w:ascii="Times New Roman" w:eastAsia="宋体" w:hAnsi="Times New Roman" w:cs="Times New Roman"/>
          <w:sz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S12</w:t>
      </w:r>
      <w:r w:rsidR="004C079F" w:rsidRPr="007C2F85">
        <w:rPr>
          <w:rFonts w:ascii="Times New Roman" w:hAnsi="Times New Roman" w:cs="Times New Roman"/>
          <w:sz w:val="24"/>
          <w:szCs w:val="24"/>
        </w:rPr>
        <w:t xml:space="preserve"> </w:t>
      </w:r>
      <w:r w:rsidR="004C079F" w:rsidRPr="007C2F85">
        <w:rPr>
          <w:rFonts w:ascii="Times New Roman" w:eastAsia="宋体" w:hAnsi="Times New Roman" w:cs="Times New Roman"/>
          <w:sz w:val="24"/>
        </w:rPr>
        <w:t>XRD patterns of JDAC and C</w:t>
      </w:r>
      <w:r w:rsidR="004C079F" w:rsidRPr="007C2F85">
        <w:rPr>
          <w:rFonts w:ascii="Times New Roman" w:eastAsia="宋体" w:hAnsi="Times New Roman" w:cs="Times New Roman"/>
          <w:sz w:val="24"/>
          <w:vertAlign w:val="subscript"/>
        </w:rPr>
        <w:t>4</w:t>
      </w:r>
      <w:r w:rsidR="004C079F">
        <w:rPr>
          <w:rFonts w:ascii="Times New Roman" w:eastAsia="宋体" w:hAnsi="Times New Roman" w:cs="Times New Roman"/>
          <w:sz w:val="24"/>
        </w:rPr>
        <w:t>N</w:t>
      </w:r>
    </w:p>
    <w:p w14:paraId="51C843E1" w14:textId="77777777" w:rsidR="004C079F" w:rsidRPr="007C2F85" w:rsidRDefault="004C079F" w:rsidP="00414787">
      <w:pPr>
        <w:jc w:val="left"/>
        <w:rPr>
          <w:rFonts w:ascii="Times New Roman" w:hAnsi="Times New Roman" w:cs="Times New Roman"/>
          <w:sz w:val="24"/>
          <w:szCs w:val="24"/>
        </w:rPr>
      </w:pPr>
    </w:p>
    <w:p w14:paraId="341C8312" w14:textId="77777777" w:rsidR="006D6F60" w:rsidRPr="007C2F85" w:rsidRDefault="004C079F" w:rsidP="00414787">
      <w:pPr>
        <w:rPr>
          <w:rFonts w:ascii="Times New Roman" w:hAnsi="Times New Roman" w:cs="Times New Roman"/>
        </w:rPr>
      </w:pPr>
      <w:r w:rsidRPr="007C2F85">
        <w:rPr>
          <w:rFonts w:ascii="Times New Roman" w:hAnsi="Times New Roman" w:cs="Times New Roman"/>
          <w:noProof/>
        </w:rPr>
        <w:drawing>
          <wp:inline distT="0" distB="0" distL="114300" distR="114300" wp14:anchorId="2E12DF72" wp14:editId="2512DC87">
            <wp:extent cx="5170805" cy="1487170"/>
            <wp:effectExtent l="0" t="0" r="10795" b="1778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21"/>
                    <a:stretch>
                      <a:fillRect/>
                    </a:stretch>
                  </pic:blipFill>
                  <pic:spPr>
                    <a:xfrm>
                      <a:off x="0" y="0"/>
                      <a:ext cx="5170805" cy="1487170"/>
                    </a:xfrm>
                    <a:prstGeom prst="rect">
                      <a:avLst/>
                    </a:prstGeom>
                    <a:noFill/>
                    <a:ln>
                      <a:noFill/>
                    </a:ln>
                  </pic:spPr>
                </pic:pic>
              </a:graphicData>
            </a:graphic>
          </wp:inline>
        </w:drawing>
      </w:r>
    </w:p>
    <w:p w14:paraId="68A99838" w14:textId="67EEC63D" w:rsidR="004C079F"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S13</w:t>
      </w:r>
      <w:r w:rsidR="004C079F" w:rsidRPr="007C2F85">
        <w:rPr>
          <w:rFonts w:ascii="Times New Roman" w:hAnsi="Times New Roman" w:cs="Times New Roman"/>
          <w:sz w:val="24"/>
          <w:szCs w:val="24"/>
        </w:rPr>
        <w:t xml:space="preserve">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Nitrogen adsorption isotherms measured at 77 K of JDAC.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BJH (desorption) pore volume and pore size logarithm curve (inset: pore size distribution)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differential integral pore volume pore siz</w:t>
      </w:r>
      <w:r w:rsidR="004C079F">
        <w:rPr>
          <w:rFonts w:ascii="Times New Roman" w:hAnsi="Times New Roman" w:cs="Times New Roman"/>
          <w:sz w:val="24"/>
          <w:szCs w:val="24"/>
        </w:rPr>
        <w:t>e distribution by NLDFT of JDAC</w:t>
      </w:r>
    </w:p>
    <w:p w14:paraId="4E37FA63" w14:textId="77777777" w:rsidR="004C079F" w:rsidRDefault="004C079F" w:rsidP="00414787">
      <w:pPr>
        <w:rPr>
          <w:rFonts w:ascii="Times New Roman" w:hAnsi="Times New Roman" w:cs="Times New Roman"/>
          <w:sz w:val="24"/>
          <w:szCs w:val="24"/>
        </w:rPr>
      </w:pPr>
    </w:p>
    <w:p w14:paraId="6F057B8D" w14:textId="77D2AFA7" w:rsidR="006D6F60" w:rsidRPr="007C2F85" w:rsidRDefault="004C079F" w:rsidP="00414787">
      <w:pPr>
        <w:rPr>
          <w:rFonts w:ascii="Times New Roman" w:hAnsi="Times New Roman" w:cs="Times New Roman"/>
        </w:rPr>
      </w:pPr>
      <w:r w:rsidRPr="007C2F85">
        <w:rPr>
          <w:rFonts w:ascii="Times New Roman" w:hAnsi="Times New Roman" w:cs="Times New Roman"/>
          <w:noProof/>
        </w:rPr>
        <w:drawing>
          <wp:inline distT="0" distB="0" distL="114300" distR="114300" wp14:anchorId="5FA2DECA" wp14:editId="0649CA9F">
            <wp:extent cx="5270500" cy="1525905"/>
            <wp:effectExtent l="0" t="0" r="6350" b="1714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22"/>
                    <a:stretch>
                      <a:fillRect/>
                    </a:stretch>
                  </pic:blipFill>
                  <pic:spPr>
                    <a:xfrm>
                      <a:off x="0" y="0"/>
                      <a:ext cx="5270500" cy="1525905"/>
                    </a:xfrm>
                    <a:prstGeom prst="rect">
                      <a:avLst/>
                    </a:prstGeom>
                    <a:noFill/>
                    <a:ln>
                      <a:noFill/>
                    </a:ln>
                  </pic:spPr>
                </pic:pic>
              </a:graphicData>
            </a:graphic>
          </wp:inline>
        </w:drawing>
      </w:r>
    </w:p>
    <w:p w14:paraId="4061C03E" w14:textId="1DE50A5E"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S14</w:t>
      </w:r>
      <w:r w:rsidR="004C079F" w:rsidRPr="007C2F85">
        <w:rPr>
          <w:rFonts w:ascii="Times New Roman" w:hAnsi="Times New Roman" w:cs="Times New Roman"/>
          <w:sz w:val="24"/>
          <w:szCs w:val="24"/>
        </w:rPr>
        <w:t xml:space="preserve">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Nitrogen adsorption isotherms measured at 77 K of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BJH (desorption) pore volume and pore size logarithm curve (inset: pore size distribution),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differential integral pore volume pore size distribution by NLDFT of Fe-C</w:t>
      </w:r>
      <w:r w:rsidR="004C079F" w:rsidRPr="007C2F85">
        <w:rPr>
          <w:rFonts w:ascii="Times New Roman" w:hAnsi="Times New Roman" w:cs="Times New Roman"/>
          <w:sz w:val="24"/>
          <w:szCs w:val="24"/>
          <w:vertAlign w:val="subscript"/>
        </w:rPr>
        <w:t>4</w:t>
      </w:r>
      <w:r w:rsidR="00C60F6D">
        <w:rPr>
          <w:rFonts w:ascii="Times New Roman" w:hAnsi="Times New Roman" w:cs="Times New Roman"/>
          <w:sz w:val="24"/>
          <w:szCs w:val="24"/>
        </w:rPr>
        <w:t>N</w:t>
      </w:r>
    </w:p>
    <w:p w14:paraId="0118D348" w14:textId="77777777" w:rsidR="006D6F60" w:rsidRPr="007C2F85" w:rsidRDefault="006D6F60" w:rsidP="00414787">
      <w:pPr>
        <w:rPr>
          <w:rFonts w:ascii="Times New Roman" w:hAnsi="Times New Roman" w:cs="Times New Roman"/>
        </w:rPr>
      </w:pPr>
    </w:p>
    <w:p w14:paraId="306E32F2"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sz w:val="24"/>
          <w:szCs w:val="24"/>
        </w:rPr>
        <w:br w:type="page"/>
      </w:r>
    </w:p>
    <w:p w14:paraId="0EA533D4" w14:textId="77777777" w:rsidR="006D6F60" w:rsidRPr="007C2F85" w:rsidRDefault="004C079F" w:rsidP="00414787">
      <w:pPr>
        <w:rPr>
          <w:rFonts w:ascii="Times New Roman" w:hAnsi="Times New Roman" w:cs="Times New Roman"/>
        </w:rPr>
      </w:pPr>
      <w:r w:rsidRPr="007C2F85">
        <w:rPr>
          <w:noProof/>
        </w:rPr>
        <w:lastRenderedPageBreak/>
        <w:drawing>
          <wp:inline distT="0" distB="0" distL="114300" distR="114300" wp14:anchorId="57EEE411" wp14:editId="02B043C2">
            <wp:extent cx="5271135" cy="1530985"/>
            <wp:effectExtent l="0" t="0" r="5715" b="12065"/>
            <wp:docPr id="3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6"/>
                    <pic:cNvPicPr>
                      <a:picLocks noChangeAspect="1"/>
                    </pic:cNvPicPr>
                  </pic:nvPicPr>
                  <pic:blipFill>
                    <a:blip r:embed="rId23"/>
                    <a:stretch>
                      <a:fillRect/>
                    </a:stretch>
                  </pic:blipFill>
                  <pic:spPr>
                    <a:xfrm>
                      <a:off x="0" y="0"/>
                      <a:ext cx="5271135" cy="1530985"/>
                    </a:xfrm>
                    <a:prstGeom prst="rect">
                      <a:avLst/>
                    </a:prstGeom>
                    <a:noFill/>
                    <a:ln>
                      <a:noFill/>
                    </a:ln>
                  </pic:spPr>
                </pic:pic>
              </a:graphicData>
            </a:graphic>
          </wp:inline>
        </w:drawing>
      </w:r>
    </w:p>
    <w:p w14:paraId="162195A5" w14:textId="5221FA62"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S15</w:t>
      </w:r>
      <w:r w:rsidR="004C079F" w:rsidRPr="007C2F85">
        <w:rPr>
          <w:rFonts w:ascii="Times New Roman" w:hAnsi="Times New Roman" w:cs="Times New Roman"/>
          <w:sz w:val="24"/>
          <w:szCs w:val="24"/>
        </w:rPr>
        <w:t xml:space="preserve">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Nitrogen adsorption isotherms measured at 77 K of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BJH (desorption) pore volume and pore size logarithm curve (inset: pore size distribution),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differential integral pore volume pore size distribution by NLDFT of Ni-C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217692C4" w14:textId="77777777" w:rsidR="006D6F60" w:rsidRPr="007C2F85" w:rsidRDefault="006D6F60" w:rsidP="00414787">
      <w:pPr>
        <w:rPr>
          <w:rFonts w:ascii="Times New Roman" w:hAnsi="Times New Roman" w:cs="Times New Roman"/>
          <w:sz w:val="24"/>
          <w:szCs w:val="24"/>
        </w:rPr>
      </w:pPr>
    </w:p>
    <w:p w14:paraId="5CE9290A" w14:textId="77777777" w:rsidR="006D6F60" w:rsidRPr="007C2F85" w:rsidRDefault="004C079F" w:rsidP="00414787">
      <w:pPr>
        <w:rPr>
          <w:rFonts w:ascii="Times New Roman" w:hAnsi="Times New Roman" w:cs="Times New Roman"/>
        </w:rPr>
      </w:pPr>
      <w:r w:rsidRPr="007C2F85">
        <w:rPr>
          <w:rFonts w:ascii="Times New Roman" w:hAnsi="Times New Roman" w:cs="Times New Roman"/>
          <w:noProof/>
        </w:rPr>
        <w:drawing>
          <wp:inline distT="0" distB="0" distL="114300" distR="114300" wp14:anchorId="3F242C50" wp14:editId="69C4D3CD">
            <wp:extent cx="5267960" cy="1534160"/>
            <wp:effectExtent l="0" t="0" r="8890" b="889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24"/>
                    <a:stretch>
                      <a:fillRect/>
                    </a:stretch>
                  </pic:blipFill>
                  <pic:spPr>
                    <a:xfrm>
                      <a:off x="0" y="0"/>
                      <a:ext cx="5267960" cy="1534160"/>
                    </a:xfrm>
                    <a:prstGeom prst="rect">
                      <a:avLst/>
                    </a:prstGeom>
                    <a:noFill/>
                    <a:ln>
                      <a:noFill/>
                    </a:ln>
                  </pic:spPr>
                </pic:pic>
              </a:graphicData>
            </a:graphic>
          </wp:inline>
        </w:drawing>
      </w:r>
    </w:p>
    <w:p w14:paraId="77D85B8A" w14:textId="449B2EA7" w:rsidR="006D6F60"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S16</w:t>
      </w:r>
      <w:r w:rsidR="004C079F" w:rsidRPr="007C2F85">
        <w:rPr>
          <w:rFonts w:ascii="Times New Roman" w:hAnsi="Times New Roman" w:cs="Times New Roman"/>
          <w:sz w:val="24"/>
          <w:szCs w:val="24"/>
        </w:rPr>
        <w:t xml:space="preserve">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XANES spectra of Ni k-edge.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F</w:t>
      </w:r>
      <w:r w:rsidR="004C079F">
        <w:rPr>
          <w:rFonts w:ascii="Times New Roman" w:hAnsi="Times New Roman" w:cs="Times New Roman"/>
          <w:sz w:val="24"/>
          <w:szCs w:val="24"/>
        </w:rPr>
        <w:t xml:space="preserve">ourier transformation-EXAFS of </w:t>
      </w:r>
      <w:r w:rsidR="004C079F" w:rsidRPr="007C2F85">
        <w:rPr>
          <w:rFonts w:ascii="Times New Roman" w:hAnsi="Times New Roman" w:cs="Times New Roman"/>
          <w:sz w:val="24"/>
          <w:szCs w:val="24"/>
        </w:rPr>
        <w:t>Ni.</w:t>
      </w:r>
      <w:r w:rsidR="004C079F">
        <w:rPr>
          <w:rFonts w:ascii="Times New Roman" w:hAnsi="Times New Roman" w:cs="Times New Roman"/>
          <w:sz w:val="24"/>
          <w:szCs w:val="24"/>
        </w:rPr>
        <w:t xml:space="preserve"> (</w:t>
      </w:r>
      <w:r w:rsidR="004C079F" w:rsidRPr="004C079F">
        <w:rPr>
          <w:rFonts w:ascii="Times New Roman" w:hAnsi="Times New Roman" w:cs="Times New Roman"/>
          <w:b/>
          <w:sz w:val="24"/>
          <w:szCs w:val="24"/>
        </w:rPr>
        <w:t>c</w:t>
      </w:r>
      <w:r w:rsidR="004C079F">
        <w:rPr>
          <w:rFonts w:ascii="Times New Roman" w:hAnsi="Times New Roman" w:cs="Times New Roman"/>
          <w:sz w:val="24"/>
          <w:szCs w:val="24"/>
        </w:rPr>
        <w:t>) EXAFS fitting curves of Ni</w:t>
      </w:r>
    </w:p>
    <w:p w14:paraId="105990E4" w14:textId="77777777" w:rsidR="004C079F" w:rsidRPr="007C2F85" w:rsidRDefault="004C079F" w:rsidP="00414787">
      <w:pPr>
        <w:rPr>
          <w:rFonts w:ascii="Times New Roman" w:hAnsi="Times New Roman" w:cs="Times New Roman"/>
        </w:rPr>
      </w:pPr>
    </w:p>
    <w:p w14:paraId="423CC773" w14:textId="77777777" w:rsidR="006D6F60" w:rsidRPr="007C2F85" w:rsidRDefault="004C079F" w:rsidP="00414787">
      <w:pPr>
        <w:rPr>
          <w:rFonts w:ascii="Times New Roman" w:hAnsi="Times New Roman" w:cs="Times New Roman"/>
        </w:rPr>
      </w:pPr>
      <w:r w:rsidRPr="007C2F85">
        <w:rPr>
          <w:rFonts w:ascii="Times New Roman" w:hAnsi="Times New Roman" w:cs="Times New Roman"/>
          <w:noProof/>
        </w:rPr>
        <w:drawing>
          <wp:inline distT="0" distB="0" distL="114300" distR="114300" wp14:anchorId="3EFE4F0B" wp14:editId="3D2B1E3B">
            <wp:extent cx="5267960" cy="1466215"/>
            <wp:effectExtent l="0" t="0" r="8890" b="635"/>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
                    <pic:cNvPicPr>
                      <a:picLocks noChangeAspect="1"/>
                    </pic:cNvPicPr>
                  </pic:nvPicPr>
                  <pic:blipFill>
                    <a:blip r:embed="rId25"/>
                    <a:stretch>
                      <a:fillRect/>
                    </a:stretch>
                  </pic:blipFill>
                  <pic:spPr>
                    <a:xfrm>
                      <a:off x="0" y="0"/>
                      <a:ext cx="5267960" cy="1466215"/>
                    </a:xfrm>
                    <a:prstGeom prst="rect">
                      <a:avLst/>
                    </a:prstGeom>
                    <a:noFill/>
                    <a:ln>
                      <a:noFill/>
                    </a:ln>
                  </pic:spPr>
                </pic:pic>
              </a:graphicData>
            </a:graphic>
          </wp:inline>
        </w:drawing>
      </w:r>
    </w:p>
    <w:p w14:paraId="56A6AD25" w14:textId="77777777" w:rsidR="004C079F"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S17</w:t>
      </w:r>
      <w:r w:rsidR="004C079F" w:rsidRPr="007C2F85">
        <w:rPr>
          <w:rFonts w:ascii="Times New Roman" w:hAnsi="Times New Roman" w:cs="Times New Roman"/>
          <w:sz w:val="24"/>
          <w:szCs w:val="24"/>
        </w:rPr>
        <w:t xml:space="preserve"> Wavelet transform -EXAFS of Fe k-edge in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w:t>
      </w:r>
      <w:r w:rsidR="004C079F">
        <w:rPr>
          <w:rFonts w:ascii="Times New Roman" w:hAnsi="Times New Roman" w:cs="Times New Roman"/>
          <w:sz w:val="24"/>
          <w:szCs w:val="24"/>
        </w:rPr>
        <w:t xml:space="preserve"> JDAC, (</w:t>
      </w:r>
      <w:r w:rsidR="004C079F" w:rsidRPr="004C079F">
        <w:rPr>
          <w:rFonts w:ascii="Times New Roman" w:hAnsi="Times New Roman" w:cs="Times New Roman"/>
          <w:b/>
          <w:sz w:val="24"/>
          <w:szCs w:val="24"/>
        </w:rPr>
        <w:t>b</w:t>
      </w:r>
      <w:r w:rsidR="004C079F">
        <w:rPr>
          <w:rFonts w:ascii="Times New Roman" w:hAnsi="Times New Roman" w:cs="Times New Roman"/>
          <w:sz w:val="24"/>
          <w:szCs w:val="24"/>
        </w:rPr>
        <w:t xml:space="preserve">) </w:t>
      </w:r>
      <w:proofErr w:type="spellStart"/>
      <w:r w:rsidR="004C079F">
        <w:rPr>
          <w:rFonts w:ascii="Times New Roman" w:hAnsi="Times New Roman" w:cs="Times New Roman"/>
          <w:sz w:val="24"/>
          <w:szCs w:val="24"/>
        </w:rPr>
        <w:t>FePc</w:t>
      </w:r>
      <w:proofErr w:type="gramStart"/>
      <w:r w:rsidR="004C079F">
        <w:rPr>
          <w:rFonts w:ascii="Times New Roman" w:hAnsi="Times New Roman" w:cs="Times New Roman"/>
          <w:sz w:val="24"/>
          <w:szCs w:val="24"/>
        </w:rPr>
        <w:t>,and</w:t>
      </w:r>
      <w:proofErr w:type="spellEnd"/>
      <w:proofErr w:type="gramEnd"/>
      <w:r w:rsidR="004C079F">
        <w:rPr>
          <w:rFonts w:ascii="Times New Roman" w:hAnsi="Times New Roman" w:cs="Times New Roman"/>
          <w:sz w:val="24"/>
          <w:szCs w:val="24"/>
        </w:rPr>
        <w:t xml:space="preserve"> (</w:t>
      </w:r>
      <w:r w:rsidR="004C079F" w:rsidRPr="004C079F">
        <w:rPr>
          <w:rFonts w:ascii="Times New Roman" w:hAnsi="Times New Roman" w:cs="Times New Roman"/>
          <w:b/>
          <w:sz w:val="24"/>
          <w:szCs w:val="24"/>
        </w:rPr>
        <w:t>c</w:t>
      </w:r>
      <w:r w:rsidR="004C079F">
        <w:rPr>
          <w:rFonts w:ascii="Times New Roman" w:hAnsi="Times New Roman" w:cs="Times New Roman"/>
          <w:sz w:val="24"/>
          <w:szCs w:val="24"/>
        </w:rPr>
        <w:t>) Fe foil</w:t>
      </w:r>
    </w:p>
    <w:p w14:paraId="55276428" w14:textId="77777777" w:rsidR="004C079F" w:rsidRDefault="004C079F" w:rsidP="00414787">
      <w:pPr>
        <w:rPr>
          <w:rFonts w:ascii="Times New Roman" w:hAnsi="Times New Roman" w:cs="Times New Roman"/>
          <w:sz w:val="24"/>
          <w:szCs w:val="24"/>
        </w:rPr>
      </w:pPr>
    </w:p>
    <w:p w14:paraId="30BC6C9B" w14:textId="534D3CEE" w:rsidR="006D6F60" w:rsidRPr="007C2F85" w:rsidRDefault="004C079F" w:rsidP="00414787">
      <w:pPr>
        <w:rPr>
          <w:rFonts w:ascii="Times New Roman" w:hAnsi="Times New Roman" w:cs="Times New Roman"/>
        </w:rPr>
      </w:pPr>
      <w:r w:rsidRPr="007C2F85">
        <w:rPr>
          <w:rFonts w:ascii="Times New Roman" w:hAnsi="Times New Roman" w:cs="Times New Roman"/>
          <w:noProof/>
        </w:rPr>
        <w:drawing>
          <wp:inline distT="0" distB="0" distL="114300" distR="114300" wp14:anchorId="3A3390FB" wp14:editId="674DB4F6">
            <wp:extent cx="5274310" cy="1489075"/>
            <wp:effectExtent l="0" t="0" r="2540" b="15875"/>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26"/>
                    <a:stretch>
                      <a:fillRect/>
                    </a:stretch>
                  </pic:blipFill>
                  <pic:spPr>
                    <a:xfrm>
                      <a:off x="0" y="0"/>
                      <a:ext cx="5274310" cy="1489075"/>
                    </a:xfrm>
                    <a:prstGeom prst="rect">
                      <a:avLst/>
                    </a:prstGeom>
                    <a:noFill/>
                    <a:ln>
                      <a:noFill/>
                    </a:ln>
                  </pic:spPr>
                </pic:pic>
              </a:graphicData>
            </a:graphic>
          </wp:inline>
        </w:drawing>
      </w:r>
    </w:p>
    <w:p w14:paraId="479F4A61" w14:textId="148B1959" w:rsidR="006D6F60" w:rsidRPr="007C2F85" w:rsidRDefault="00414787" w:rsidP="00414787">
      <w:pPr>
        <w:rPr>
          <w:rFonts w:ascii="Times New Roman" w:hAnsi="Times New Roman" w:cs="Times New Roman"/>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S18</w:t>
      </w:r>
      <w:r w:rsidR="004C079F" w:rsidRPr="007C2F85">
        <w:rPr>
          <w:rFonts w:ascii="Times New Roman" w:hAnsi="Times New Roman" w:cs="Times New Roman"/>
          <w:sz w:val="24"/>
          <w:szCs w:val="24"/>
        </w:rPr>
        <w:t xml:space="preserve"> Wavelet transform -EXAFS of Ni k-edge in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xml:space="preserve">) </w:t>
      </w:r>
      <w:r w:rsidR="004C079F">
        <w:rPr>
          <w:rFonts w:ascii="Times New Roman" w:hAnsi="Times New Roman" w:cs="Times New Roman"/>
          <w:sz w:val="24"/>
          <w:szCs w:val="24"/>
        </w:rPr>
        <w:t>JDAC, (</w:t>
      </w:r>
      <w:r w:rsidR="004C079F" w:rsidRPr="004C079F">
        <w:rPr>
          <w:rFonts w:ascii="Times New Roman" w:hAnsi="Times New Roman" w:cs="Times New Roman"/>
          <w:b/>
          <w:sz w:val="24"/>
          <w:szCs w:val="24"/>
        </w:rPr>
        <w:t>b</w:t>
      </w:r>
      <w:r w:rsidR="004C079F">
        <w:rPr>
          <w:rFonts w:ascii="Times New Roman" w:hAnsi="Times New Roman" w:cs="Times New Roman"/>
          <w:sz w:val="24"/>
          <w:szCs w:val="24"/>
        </w:rPr>
        <w:t xml:space="preserve">) </w:t>
      </w:r>
      <w:proofErr w:type="spellStart"/>
      <w:r w:rsidR="004C079F">
        <w:rPr>
          <w:rFonts w:ascii="Times New Roman" w:hAnsi="Times New Roman" w:cs="Times New Roman"/>
          <w:sz w:val="24"/>
          <w:szCs w:val="24"/>
        </w:rPr>
        <w:t>NiPc</w:t>
      </w:r>
      <w:proofErr w:type="spellEnd"/>
      <w:r w:rsidR="004C079F">
        <w:rPr>
          <w:rFonts w:ascii="Times New Roman" w:hAnsi="Times New Roman" w:cs="Times New Roman"/>
          <w:sz w:val="24"/>
          <w:szCs w:val="24"/>
        </w:rPr>
        <w:t>, and (</w:t>
      </w:r>
      <w:r w:rsidR="004C079F" w:rsidRPr="004C079F">
        <w:rPr>
          <w:rFonts w:ascii="Times New Roman" w:hAnsi="Times New Roman" w:cs="Times New Roman"/>
          <w:b/>
          <w:sz w:val="24"/>
          <w:szCs w:val="24"/>
        </w:rPr>
        <w:t>c</w:t>
      </w:r>
      <w:r w:rsidR="004C079F">
        <w:rPr>
          <w:rFonts w:ascii="Times New Roman" w:hAnsi="Times New Roman" w:cs="Times New Roman"/>
          <w:sz w:val="24"/>
          <w:szCs w:val="24"/>
        </w:rPr>
        <w:t>) Ni foil</w:t>
      </w:r>
      <w:r w:rsidR="004C079F" w:rsidRPr="007C2F85">
        <w:rPr>
          <w:rFonts w:ascii="Times New Roman" w:hAnsi="Times New Roman" w:cs="Times New Roman"/>
        </w:rPr>
        <w:br w:type="page"/>
      </w:r>
    </w:p>
    <w:p w14:paraId="44F53D6F" w14:textId="77777777" w:rsidR="006D6F60" w:rsidRPr="007C2F85" w:rsidRDefault="006D6F60" w:rsidP="00414787">
      <w:pPr>
        <w:rPr>
          <w:rFonts w:ascii="Times New Roman" w:hAnsi="Times New Roman" w:cs="Times New Roman"/>
        </w:rPr>
      </w:pPr>
    </w:p>
    <w:p w14:paraId="0F42AF22"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2B244205" wp14:editId="47AD1432">
            <wp:extent cx="2503251" cy="2169994"/>
            <wp:effectExtent l="0" t="0" r="0" b="1905"/>
            <wp:docPr id="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8"/>
                    <pic:cNvPicPr>
                      <a:picLocks noChangeAspect="1"/>
                    </pic:cNvPicPr>
                  </pic:nvPicPr>
                  <pic:blipFill>
                    <a:blip r:embed="rId27"/>
                    <a:stretch>
                      <a:fillRect/>
                    </a:stretch>
                  </pic:blipFill>
                  <pic:spPr>
                    <a:xfrm>
                      <a:off x="0" y="0"/>
                      <a:ext cx="2509012" cy="2174988"/>
                    </a:xfrm>
                    <a:prstGeom prst="rect">
                      <a:avLst/>
                    </a:prstGeom>
                    <a:noFill/>
                    <a:ln>
                      <a:noFill/>
                    </a:ln>
                  </pic:spPr>
                </pic:pic>
              </a:graphicData>
            </a:graphic>
          </wp:inline>
        </w:drawing>
      </w:r>
    </w:p>
    <w:p w14:paraId="67DB740B" w14:textId="115EADAA" w:rsidR="004C079F" w:rsidRDefault="00414787" w:rsidP="004C079F">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S19</w:t>
      </w:r>
      <w:r w:rsidR="004C079F" w:rsidRPr="007C2F85">
        <w:rPr>
          <w:rFonts w:ascii="Times New Roman" w:hAnsi="Times New Roman" w:cs="Times New Roman"/>
          <w:sz w:val="24"/>
          <w:szCs w:val="24"/>
        </w:rPr>
        <w:t xml:space="preserve"> UV-Vis absorption spectrum of JDAC,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and 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406FFAE8" w14:textId="77777777" w:rsidR="004C079F" w:rsidRDefault="004C079F" w:rsidP="004C079F">
      <w:pPr>
        <w:rPr>
          <w:rFonts w:ascii="Times New Roman" w:hAnsi="Times New Roman" w:cs="Times New Roman"/>
          <w:sz w:val="24"/>
          <w:szCs w:val="24"/>
        </w:rPr>
      </w:pPr>
    </w:p>
    <w:p w14:paraId="03C6F064" w14:textId="0A93EC43" w:rsidR="006D6F60" w:rsidRPr="007C2F85" w:rsidRDefault="004C079F" w:rsidP="004C079F">
      <w:pPr>
        <w:jc w:val="center"/>
      </w:pPr>
      <w:r w:rsidRPr="007C2F85">
        <w:rPr>
          <w:noProof/>
        </w:rPr>
        <w:drawing>
          <wp:inline distT="0" distB="0" distL="114300" distR="114300" wp14:anchorId="55494DDA" wp14:editId="079928CB">
            <wp:extent cx="2120142" cy="2572603"/>
            <wp:effectExtent l="0" t="0" r="0" b="0"/>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8"/>
                    <a:stretch>
                      <a:fillRect/>
                    </a:stretch>
                  </pic:blipFill>
                  <pic:spPr>
                    <a:xfrm>
                      <a:off x="0" y="0"/>
                      <a:ext cx="2125883" cy="2579570"/>
                    </a:xfrm>
                    <a:prstGeom prst="rect">
                      <a:avLst/>
                    </a:prstGeom>
                    <a:noFill/>
                    <a:ln>
                      <a:noFill/>
                    </a:ln>
                  </pic:spPr>
                </pic:pic>
              </a:graphicData>
            </a:graphic>
          </wp:inline>
        </w:drawing>
      </w:r>
    </w:p>
    <w:p w14:paraId="08211DE5" w14:textId="55EC9F39" w:rsidR="006D6F60" w:rsidRDefault="00414787" w:rsidP="004C079F">
      <w:pPr>
        <w:rPr>
          <w:rFonts w:ascii="Times New Roman" w:eastAsia="宋体" w:hAnsi="Times New Roman" w:cs="Times New Roman"/>
          <w:bCs/>
          <w:kern w:val="0"/>
          <w:sz w:val="24"/>
          <w:szCs w:val="24"/>
        </w:rPr>
      </w:pPr>
      <w:r w:rsidRPr="00414787">
        <w:rPr>
          <w:rFonts w:ascii="Times New Roman" w:eastAsia="宋体" w:hAnsi="Times New Roman" w:cs="Times New Roman" w:hint="eastAsia"/>
          <w:b/>
          <w:bCs/>
          <w:kern w:val="0"/>
          <w:sz w:val="24"/>
          <w:szCs w:val="24"/>
        </w:rPr>
        <w:t>Fig.</w:t>
      </w:r>
      <w:r w:rsidR="004C079F" w:rsidRPr="007C2F85">
        <w:rPr>
          <w:rFonts w:ascii="Times New Roman" w:eastAsia="宋体" w:hAnsi="Times New Roman" w:cs="Times New Roman" w:hint="eastAsia"/>
          <w:bCs/>
          <w:kern w:val="0"/>
          <w:sz w:val="24"/>
          <w:szCs w:val="24"/>
        </w:rPr>
        <w:t xml:space="preserve"> </w:t>
      </w:r>
      <w:r w:rsidR="004C079F" w:rsidRPr="004C079F">
        <w:rPr>
          <w:rFonts w:ascii="Times New Roman" w:eastAsia="宋体" w:hAnsi="Times New Roman" w:cs="Times New Roman" w:hint="eastAsia"/>
          <w:b/>
          <w:bCs/>
          <w:kern w:val="0"/>
          <w:sz w:val="24"/>
          <w:szCs w:val="24"/>
        </w:rPr>
        <w:t>S20</w:t>
      </w:r>
      <w:r w:rsidR="004C079F" w:rsidRPr="007C2F85">
        <w:rPr>
          <w:rFonts w:ascii="Times New Roman" w:eastAsia="宋体" w:hAnsi="Times New Roman" w:cs="Times New Roman" w:hint="eastAsia"/>
          <w:bCs/>
          <w:kern w:val="0"/>
          <w:sz w:val="24"/>
          <w:szCs w:val="24"/>
        </w:rPr>
        <w:t xml:space="preserve"> </w:t>
      </w:r>
      <w:r w:rsidR="004C079F" w:rsidRPr="007C2F85">
        <w:rPr>
          <w:rFonts w:ascii="Times New Roman" w:eastAsia="宋体" w:hAnsi="Times New Roman" w:cs="Times New Roman"/>
          <w:bCs/>
          <w:kern w:val="0"/>
          <w:sz w:val="24"/>
          <w:szCs w:val="24"/>
        </w:rPr>
        <w:t>Femtosecond transient absorption spectroscopy (fs-TAS) of</w:t>
      </w:r>
      <w:r w:rsidR="004C079F" w:rsidRPr="007C2F85">
        <w:rPr>
          <w:rFonts w:ascii="Times New Roman" w:eastAsia="宋体" w:hAnsi="Times New Roman" w:cs="Times New Roman" w:hint="eastAsia"/>
          <w:bCs/>
          <w:kern w:val="0"/>
          <w:sz w:val="24"/>
          <w:szCs w:val="24"/>
        </w:rPr>
        <w:t xml:space="preserve"> C</w:t>
      </w:r>
      <w:r w:rsidR="004C079F" w:rsidRPr="007C2F85">
        <w:rPr>
          <w:rFonts w:ascii="Times New Roman" w:eastAsia="宋体" w:hAnsi="Times New Roman" w:cs="Times New Roman" w:hint="eastAsia"/>
          <w:bCs/>
          <w:kern w:val="0"/>
          <w:sz w:val="24"/>
          <w:szCs w:val="24"/>
          <w:vertAlign w:val="subscript"/>
        </w:rPr>
        <w:t>4</w:t>
      </w:r>
      <w:r w:rsidR="004C079F" w:rsidRPr="007C2F85">
        <w:rPr>
          <w:rFonts w:ascii="Times New Roman" w:eastAsia="宋体" w:hAnsi="Times New Roman" w:cs="Times New Roman" w:hint="eastAsia"/>
          <w:bCs/>
          <w:kern w:val="0"/>
          <w:sz w:val="24"/>
          <w:szCs w:val="24"/>
        </w:rPr>
        <w:t>N</w:t>
      </w:r>
    </w:p>
    <w:p w14:paraId="71A53E79" w14:textId="77777777" w:rsidR="004C079F" w:rsidRPr="007C2F85" w:rsidRDefault="004C079F" w:rsidP="004C079F">
      <w:pPr>
        <w:rPr>
          <w:rFonts w:ascii="Times New Roman" w:hAnsi="Times New Roman" w:cs="Times New Roman"/>
          <w:sz w:val="24"/>
          <w:szCs w:val="24"/>
        </w:rPr>
      </w:pPr>
    </w:p>
    <w:p w14:paraId="79849DB3" w14:textId="77777777" w:rsidR="006D6F60" w:rsidRPr="007C2F85" w:rsidRDefault="006D6F60" w:rsidP="00414787">
      <w:pPr>
        <w:rPr>
          <w:rFonts w:ascii="Times New Roman" w:hAnsi="Times New Roman" w:cs="Times New Roman"/>
          <w:sz w:val="24"/>
          <w:szCs w:val="24"/>
        </w:rPr>
      </w:pPr>
    </w:p>
    <w:p w14:paraId="6FA2CF1D"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0" distR="0" wp14:anchorId="4254A11B" wp14:editId="43B572AF">
            <wp:extent cx="5274310" cy="1521460"/>
            <wp:effectExtent l="0" t="0" r="2540" b="2540"/>
            <wp:docPr id="12501945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94573" name="图片 1"/>
                    <pic:cNvPicPr>
                      <a:picLocks noChangeAspect="1"/>
                    </pic:cNvPicPr>
                  </pic:nvPicPr>
                  <pic:blipFill>
                    <a:blip r:embed="rId29"/>
                    <a:stretch>
                      <a:fillRect/>
                    </a:stretch>
                  </pic:blipFill>
                  <pic:spPr>
                    <a:xfrm>
                      <a:off x="0" y="0"/>
                      <a:ext cx="5274310" cy="1521460"/>
                    </a:xfrm>
                    <a:prstGeom prst="rect">
                      <a:avLst/>
                    </a:prstGeom>
                  </pic:spPr>
                </pic:pic>
              </a:graphicData>
            </a:graphic>
          </wp:inline>
        </w:drawing>
      </w:r>
    </w:p>
    <w:p w14:paraId="47E2AD24" w14:textId="2D43E6F5"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1</w:t>
      </w:r>
      <w:r w:rsidR="004C079F" w:rsidRPr="007C2F85">
        <w:rPr>
          <w:rFonts w:ascii="Times New Roman" w:hAnsi="Times New Roman" w:cs="Times New Roman"/>
          <w:sz w:val="24"/>
          <w:szCs w:val="24"/>
        </w:rPr>
        <w:t xml:space="preserve"> Mott-</w:t>
      </w:r>
      <w:proofErr w:type="spellStart"/>
      <w:r w:rsidR="004C079F" w:rsidRPr="007C2F85">
        <w:rPr>
          <w:rFonts w:ascii="Times New Roman" w:hAnsi="Times New Roman" w:cs="Times New Roman"/>
          <w:sz w:val="24"/>
          <w:szCs w:val="24"/>
        </w:rPr>
        <w:t>Schottky</w:t>
      </w:r>
      <w:proofErr w:type="spellEnd"/>
      <w:r w:rsidR="004C079F" w:rsidRPr="007C2F85">
        <w:rPr>
          <w:rFonts w:ascii="Times New Roman" w:hAnsi="Times New Roman" w:cs="Times New Roman"/>
          <w:sz w:val="24"/>
          <w:szCs w:val="24"/>
        </w:rPr>
        <w:t xml:space="preserve"> plots of C</w:t>
      </w:r>
      <w:r w:rsidR="004C079F" w:rsidRPr="007C2F85">
        <w:rPr>
          <w:rFonts w:ascii="Times New Roman" w:hAnsi="Times New Roman" w:cs="Times New Roman"/>
          <w:sz w:val="24"/>
          <w:szCs w:val="24"/>
          <w:vertAlign w:val="subscript"/>
        </w:rPr>
        <w:t>scL</w:t>
      </w:r>
      <w:r w:rsidR="004C079F" w:rsidRPr="007C2F85">
        <w:rPr>
          <w:rFonts w:ascii="Times New Roman" w:hAnsi="Times New Roman" w:cs="Times New Roman"/>
          <w:sz w:val="24"/>
          <w:szCs w:val="24"/>
          <w:vertAlign w:val="superscript"/>
        </w:rPr>
        <w:t>-2</w:t>
      </w:r>
      <w:r w:rsidR="004C079F" w:rsidRPr="007C2F85">
        <w:rPr>
          <w:rFonts w:ascii="Times New Roman" w:hAnsi="Times New Roman" w:cs="Times New Roman"/>
          <w:sz w:val="24"/>
          <w:szCs w:val="24"/>
        </w:rPr>
        <w:t xml:space="preserve"> </w:t>
      </w:r>
      <w:r w:rsidR="004C079F" w:rsidRPr="007C2F85">
        <w:rPr>
          <w:rFonts w:ascii="Times New Roman" w:hAnsi="Times New Roman" w:cs="Times New Roman"/>
          <w:i/>
          <w:iCs/>
          <w:sz w:val="24"/>
          <w:szCs w:val="24"/>
        </w:rPr>
        <w:t>vs.</w:t>
      </w:r>
      <w:r w:rsidR="004C079F" w:rsidRPr="007C2F85">
        <w:rPr>
          <w:rFonts w:ascii="Times New Roman" w:hAnsi="Times New Roman" w:cs="Times New Roman"/>
          <w:sz w:val="24"/>
          <w:szCs w:val="24"/>
        </w:rPr>
        <w:t xml:space="preserve"> E of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and (</w:t>
      </w:r>
      <w:r w:rsidR="004C079F" w:rsidRPr="004C079F">
        <w:rPr>
          <w:rFonts w:ascii="Times New Roman" w:hAnsi="Times New Roman" w:cs="Times New Roman"/>
          <w:b/>
          <w:sz w:val="24"/>
          <w:szCs w:val="24"/>
        </w:rPr>
        <w:t>c</w:t>
      </w:r>
      <w:r w:rsidR="004C079F" w:rsidRPr="007C2F85">
        <w:rPr>
          <w:rFonts w:ascii="Times New Roman" w:hAnsi="Times New Roman" w:cs="Times New Roman"/>
          <w:sz w:val="24"/>
          <w:szCs w:val="24"/>
        </w:rPr>
        <w:t>) 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5E19082E" w14:textId="77777777" w:rsidR="006D6F60" w:rsidRPr="007C2F85" w:rsidRDefault="006D6F60" w:rsidP="00414787">
      <w:pPr>
        <w:rPr>
          <w:rFonts w:ascii="Times New Roman" w:hAnsi="Times New Roman" w:cs="Times New Roman"/>
          <w:sz w:val="24"/>
          <w:szCs w:val="24"/>
        </w:rPr>
      </w:pPr>
    </w:p>
    <w:p w14:paraId="015BBF35" w14:textId="77777777" w:rsidR="006D6F60" w:rsidRPr="007C2F85" w:rsidRDefault="004C079F" w:rsidP="00414787">
      <w:pPr>
        <w:jc w:val="center"/>
        <w:rPr>
          <w:rFonts w:ascii="Times New Roman" w:hAnsi="Times New Roman" w:cs="Times New Roman"/>
          <w:sz w:val="24"/>
          <w:szCs w:val="24"/>
        </w:rPr>
      </w:pPr>
      <w:r w:rsidRPr="007C2F85">
        <w:rPr>
          <w:noProof/>
        </w:rPr>
        <w:lastRenderedPageBreak/>
        <w:drawing>
          <wp:inline distT="0" distB="0" distL="114300" distR="114300" wp14:anchorId="22FD704E" wp14:editId="6FCA13CF">
            <wp:extent cx="3277870" cy="2509520"/>
            <wp:effectExtent l="0" t="0" r="17780" b="5080"/>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30"/>
                    <a:stretch>
                      <a:fillRect/>
                    </a:stretch>
                  </pic:blipFill>
                  <pic:spPr>
                    <a:xfrm>
                      <a:off x="0" y="0"/>
                      <a:ext cx="3277870" cy="2509520"/>
                    </a:xfrm>
                    <a:prstGeom prst="rect">
                      <a:avLst/>
                    </a:prstGeom>
                    <a:noFill/>
                    <a:ln>
                      <a:noFill/>
                    </a:ln>
                  </pic:spPr>
                </pic:pic>
              </a:graphicData>
            </a:graphic>
          </wp:inline>
        </w:drawing>
      </w:r>
    </w:p>
    <w:p w14:paraId="150E29BB" w14:textId="5B63B483" w:rsidR="004C079F" w:rsidRDefault="004C079F" w:rsidP="004C079F">
      <w:pPr>
        <w:jc w:val="left"/>
        <w:rPr>
          <w:rFonts w:ascii="Times New Roman" w:hAnsi="Times New Roman" w:cs="Times New Roman"/>
          <w:sz w:val="24"/>
          <w:szCs w:val="24"/>
        </w:rPr>
      </w:pPr>
      <w:r w:rsidRPr="004C079F">
        <w:rPr>
          <w:rFonts w:ascii="Times New Roman" w:hAnsi="Times New Roman" w:cs="Times New Roman" w:hint="eastAsia"/>
          <w:b/>
          <w:sz w:val="24"/>
          <w:szCs w:val="24"/>
        </w:rPr>
        <w:t>Fig</w:t>
      </w:r>
      <w:r>
        <w:rPr>
          <w:rFonts w:ascii="Times New Roman" w:hAnsi="Times New Roman" w:cs="Times New Roman"/>
          <w:b/>
          <w:sz w:val="24"/>
          <w:szCs w:val="24"/>
        </w:rPr>
        <w:t>.</w:t>
      </w:r>
      <w:r w:rsidRPr="004C079F">
        <w:rPr>
          <w:rFonts w:ascii="Times New Roman" w:hAnsi="Times New Roman" w:cs="Times New Roman" w:hint="eastAsia"/>
          <w:b/>
          <w:sz w:val="24"/>
          <w:szCs w:val="24"/>
        </w:rPr>
        <w:t xml:space="preserve"> 22</w:t>
      </w:r>
      <w:r w:rsidRPr="007C2F85">
        <w:rPr>
          <w:rFonts w:ascii="Times New Roman" w:hAnsi="Times New Roman" w:cs="Times New Roman" w:hint="eastAsia"/>
          <w:sz w:val="24"/>
          <w:szCs w:val="24"/>
        </w:rPr>
        <w:t xml:space="preserve"> Comparison of the photocurrent of JDAC, Fe-C</w:t>
      </w:r>
      <w:r w:rsidRPr="007C2F85">
        <w:rPr>
          <w:rFonts w:ascii="Times New Roman" w:hAnsi="Times New Roman" w:cs="Times New Roman"/>
          <w:sz w:val="24"/>
          <w:szCs w:val="24"/>
          <w:vertAlign w:val="subscript"/>
        </w:rPr>
        <w:t>4</w:t>
      </w:r>
      <w:r w:rsidRPr="007C2F85">
        <w:rPr>
          <w:rFonts w:ascii="Times New Roman" w:hAnsi="Times New Roman" w:cs="Times New Roman" w:hint="eastAsia"/>
          <w:sz w:val="24"/>
          <w:szCs w:val="24"/>
        </w:rPr>
        <w:t>N, Ni-C</w:t>
      </w:r>
      <w:r w:rsidRPr="007C2F85">
        <w:rPr>
          <w:rFonts w:ascii="Times New Roman" w:hAnsi="Times New Roman" w:cs="Times New Roman"/>
          <w:sz w:val="24"/>
          <w:szCs w:val="24"/>
          <w:vertAlign w:val="subscript"/>
        </w:rPr>
        <w:t>4</w:t>
      </w:r>
      <w:r w:rsidRPr="007C2F85">
        <w:rPr>
          <w:rFonts w:ascii="Times New Roman" w:hAnsi="Times New Roman" w:cs="Times New Roman" w:hint="eastAsia"/>
          <w:sz w:val="24"/>
          <w:szCs w:val="24"/>
        </w:rPr>
        <w:t>N, and C</w:t>
      </w:r>
      <w:r w:rsidRPr="007C2F85">
        <w:rPr>
          <w:rFonts w:ascii="Times New Roman" w:hAnsi="Times New Roman" w:cs="Times New Roman"/>
          <w:sz w:val="24"/>
          <w:szCs w:val="24"/>
          <w:vertAlign w:val="subscript"/>
        </w:rPr>
        <w:t>4</w:t>
      </w:r>
      <w:r>
        <w:rPr>
          <w:rFonts w:ascii="Times New Roman" w:hAnsi="Times New Roman" w:cs="Times New Roman" w:hint="eastAsia"/>
          <w:sz w:val="24"/>
          <w:szCs w:val="24"/>
        </w:rPr>
        <w:t>N</w:t>
      </w:r>
    </w:p>
    <w:p w14:paraId="1B10EDAB" w14:textId="77777777" w:rsidR="004C079F" w:rsidRDefault="004C079F" w:rsidP="004C079F">
      <w:pPr>
        <w:jc w:val="left"/>
        <w:rPr>
          <w:rFonts w:ascii="Times New Roman" w:hAnsi="Times New Roman" w:cs="Times New Roman"/>
          <w:sz w:val="24"/>
          <w:szCs w:val="24"/>
        </w:rPr>
      </w:pPr>
    </w:p>
    <w:p w14:paraId="37C2F659" w14:textId="32EBA463" w:rsidR="006D6F60" w:rsidRPr="007C2F85" w:rsidRDefault="004C079F" w:rsidP="004C079F">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3666E43C" wp14:editId="54BEBFBA">
            <wp:extent cx="3003103" cy="2354239"/>
            <wp:effectExtent l="0" t="0" r="6985" b="825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31"/>
                    <a:stretch>
                      <a:fillRect/>
                    </a:stretch>
                  </pic:blipFill>
                  <pic:spPr>
                    <a:xfrm>
                      <a:off x="0" y="0"/>
                      <a:ext cx="3012171" cy="2361348"/>
                    </a:xfrm>
                    <a:prstGeom prst="rect">
                      <a:avLst/>
                    </a:prstGeom>
                    <a:noFill/>
                    <a:ln>
                      <a:noFill/>
                    </a:ln>
                  </pic:spPr>
                </pic:pic>
              </a:graphicData>
            </a:graphic>
          </wp:inline>
        </w:drawing>
      </w:r>
    </w:p>
    <w:p w14:paraId="0AB84AAC" w14:textId="77777777" w:rsidR="004C079F" w:rsidRDefault="00414787" w:rsidP="004C079F">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3</w:t>
      </w:r>
      <w:r w:rsidR="004C079F" w:rsidRPr="007C2F85">
        <w:rPr>
          <w:rFonts w:ascii="Times New Roman" w:hAnsi="Times New Roman" w:cs="Times New Roman"/>
          <w:sz w:val="24"/>
          <w:szCs w:val="24"/>
        </w:rPr>
        <w:t xml:space="preserve"> Linear sweep </w:t>
      </w:r>
      <w:proofErr w:type="spellStart"/>
      <w:r w:rsidR="004C079F" w:rsidRPr="007C2F85">
        <w:rPr>
          <w:rFonts w:ascii="Times New Roman" w:hAnsi="Times New Roman" w:cs="Times New Roman"/>
          <w:sz w:val="24"/>
          <w:szCs w:val="24"/>
        </w:rPr>
        <w:t>voltammograms</w:t>
      </w:r>
      <w:proofErr w:type="spellEnd"/>
      <w:r w:rsidR="004C079F" w:rsidRPr="007C2F85">
        <w:rPr>
          <w:rFonts w:ascii="Times New Roman" w:hAnsi="Times New Roman" w:cs="Times New Roman"/>
          <w:sz w:val="24"/>
          <w:szCs w:val="24"/>
        </w:rPr>
        <w:t xml:space="preserve"> of JDAC, Ni-C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and 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w:t>
      </w:r>
      <w:r w:rsidR="004C079F">
        <w:rPr>
          <w:rFonts w:ascii="Times New Roman" w:hAnsi="Times New Roman" w:cs="Times New Roman"/>
          <w:sz w:val="24"/>
          <w:szCs w:val="24"/>
        </w:rPr>
        <w:t xml:space="preserve"> with and without visible light</w:t>
      </w:r>
    </w:p>
    <w:p w14:paraId="5D42005E" w14:textId="77777777" w:rsidR="004C079F" w:rsidRDefault="004C079F" w:rsidP="004C079F">
      <w:pPr>
        <w:rPr>
          <w:rFonts w:ascii="Times New Roman" w:hAnsi="Times New Roman" w:cs="Times New Roman"/>
          <w:sz w:val="24"/>
          <w:szCs w:val="24"/>
        </w:rPr>
      </w:pPr>
    </w:p>
    <w:p w14:paraId="72B6976C" w14:textId="5B155A9C" w:rsidR="006D6F60" w:rsidRPr="007C2F85" w:rsidRDefault="004C079F" w:rsidP="004C079F">
      <w:pPr>
        <w:jc w:val="center"/>
        <w:rPr>
          <w:rFonts w:ascii="Times New Roman" w:hAnsi="Times New Roman" w:cs="Times New Roman"/>
        </w:rPr>
      </w:pPr>
      <w:r w:rsidRPr="007C2F85">
        <w:rPr>
          <w:rFonts w:ascii="Times New Roman" w:hAnsi="Times New Roman" w:cs="Times New Roman"/>
          <w:noProof/>
        </w:rPr>
        <w:drawing>
          <wp:inline distT="0" distB="0" distL="114300" distR="114300" wp14:anchorId="790FDE67" wp14:editId="635A1A25">
            <wp:extent cx="2870255" cy="2477069"/>
            <wp:effectExtent l="0" t="0" r="6350" b="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3"/>
                    <pic:cNvPicPr>
                      <a:picLocks noChangeAspect="1"/>
                    </pic:cNvPicPr>
                  </pic:nvPicPr>
                  <pic:blipFill>
                    <a:blip r:embed="rId32"/>
                    <a:stretch>
                      <a:fillRect/>
                    </a:stretch>
                  </pic:blipFill>
                  <pic:spPr>
                    <a:xfrm>
                      <a:off x="0" y="0"/>
                      <a:ext cx="2873939" cy="2480249"/>
                    </a:xfrm>
                    <a:prstGeom prst="rect">
                      <a:avLst/>
                    </a:prstGeom>
                    <a:noFill/>
                    <a:ln>
                      <a:noFill/>
                    </a:ln>
                  </pic:spPr>
                </pic:pic>
              </a:graphicData>
            </a:graphic>
          </wp:inline>
        </w:drawing>
      </w:r>
    </w:p>
    <w:p w14:paraId="61DBF707" w14:textId="772CFA05" w:rsidR="006D6F60" w:rsidRPr="007C2F85" w:rsidRDefault="00414787" w:rsidP="004C079F">
      <w:pPr>
        <w:jc w:val="left"/>
        <w:rPr>
          <w:rFonts w:ascii="Times New Roman" w:hAnsi="Times New Roman" w:cs="Times New Roman"/>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4</w:t>
      </w:r>
      <w:r w:rsidR="004C079F" w:rsidRPr="007C2F85">
        <w:rPr>
          <w:rFonts w:ascii="Times New Roman" w:hAnsi="Times New Roman" w:cs="Times New Roman"/>
          <w:sz w:val="24"/>
          <w:szCs w:val="24"/>
        </w:rPr>
        <w:t xml:space="preserve"> </w:t>
      </w:r>
      <w:proofErr w:type="spellStart"/>
      <w:r w:rsidR="004C079F" w:rsidRPr="007C2F85">
        <w:rPr>
          <w:rFonts w:ascii="Times New Roman" w:hAnsi="Times New Roman" w:cs="Times New Roman"/>
          <w:sz w:val="24"/>
          <w:szCs w:val="24"/>
        </w:rPr>
        <w:t>Tafel</w:t>
      </w:r>
      <w:proofErr w:type="spellEnd"/>
      <w:r w:rsidR="004C079F" w:rsidRPr="007C2F85">
        <w:rPr>
          <w:rFonts w:ascii="Times New Roman" w:hAnsi="Times New Roman" w:cs="Times New Roman"/>
          <w:sz w:val="24"/>
          <w:szCs w:val="24"/>
        </w:rPr>
        <w:t xml:space="preserve"> slopes for </w:t>
      </w:r>
      <w:r w:rsidR="004C079F">
        <w:rPr>
          <w:rFonts w:ascii="Times New Roman" w:hAnsi="Times New Roman" w:cs="Times New Roman"/>
          <w:sz w:val="24"/>
          <w:szCs w:val="24"/>
        </w:rPr>
        <w:t>oxygen reduction reaction (ORR)</w:t>
      </w:r>
    </w:p>
    <w:p w14:paraId="28FCA52E"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lastRenderedPageBreak/>
        <w:drawing>
          <wp:inline distT="0" distB="0" distL="114300" distR="114300" wp14:anchorId="0FF5AD0D" wp14:editId="5EFC863D">
            <wp:extent cx="2435860" cy="2104390"/>
            <wp:effectExtent l="0" t="0" r="2540" b="10160"/>
            <wp:docPr id="4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9"/>
                    <pic:cNvPicPr>
                      <a:picLocks noChangeAspect="1"/>
                    </pic:cNvPicPr>
                  </pic:nvPicPr>
                  <pic:blipFill>
                    <a:blip r:embed="rId33"/>
                    <a:stretch>
                      <a:fillRect/>
                    </a:stretch>
                  </pic:blipFill>
                  <pic:spPr>
                    <a:xfrm>
                      <a:off x="0" y="0"/>
                      <a:ext cx="2435860" cy="2104390"/>
                    </a:xfrm>
                    <a:prstGeom prst="rect">
                      <a:avLst/>
                    </a:prstGeom>
                    <a:noFill/>
                    <a:ln>
                      <a:noFill/>
                    </a:ln>
                  </pic:spPr>
                </pic:pic>
              </a:graphicData>
            </a:graphic>
          </wp:inline>
        </w:drawing>
      </w:r>
    </w:p>
    <w:p w14:paraId="2D2F573A" w14:textId="12F9607E" w:rsidR="006D6F60" w:rsidRPr="007C2F85" w:rsidRDefault="00414787" w:rsidP="004C079F">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5</w:t>
      </w:r>
      <w:r w:rsidR="004C079F" w:rsidRPr="007C2F85">
        <w:rPr>
          <w:rFonts w:ascii="Times New Roman" w:hAnsi="Times New Roman" w:cs="Times New Roman"/>
          <w:sz w:val="24"/>
          <w:szCs w:val="24"/>
        </w:rPr>
        <w:t xml:space="preserve"> Linear sweep </w:t>
      </w:r>
      <w:proofErr w:type="spellStart"/>
      <w:r w:rsidR="004C079F" w:rsidRPr="007C2F85">
        <w:rPr>
          <w:rFonts w:ascii="Times New Roman" w:hAnsi="Times New Roman" w:cs="Times New Roman"/>
          <w:sz w:val="24"/>
          <w:szCs w:val="24"/>
        </w:rPr>
        <w:t>voltammograms</w:t>
      </w:r>
      <w:proofErr w:type="spellEnd"/>
      <w:r w:rsidR="004C079F" w:rsidRPr="007C2F85">
        <w:rPr>
          <w:rFonts w:ascii="Times New Roman" w:hAnsi="Times New Roman" w:cs="Times New Roman"/>
          <w:sz w:val="24"/>
          <w:szCs w:val="24"/>
        </w:rPr>
        <w:t xml:space="preserve"> curves of JDAC at 100 rpm, 400 rpm, 900 rpm and 1600 rpm under 420 cu</w:t>
      </w:r>
      <w:r w:rsidR="004C079F">
        <w:rPr>
          <w:rFonts w:ascii="Times New Roman" w:hAnsi="Times New Roman" w:cs="Times New Roman"/>
          <w:sz w:val="24"/>
          <w:szCs w:val="24"/>
        </w:rPr>
        <w:t>toff visible light illumination</w:t>
      </w:r>
    </w:p>
    <w:p w14:paraId="0C320E3C" w14:textId="77777777" w:rsidR="006D6F60" w:rsidRPr="007C2F85" w:rsidRDefault="006D6F60" w:rsidP="00414787">
      <w:pPr>
        <w:rPr>
          <w:rFonts w:ascii="Times New Roman" w:hAnsi="Times New Roman" w:cs="Times New Roman"/>
          <w:sz w:val="24"/>
          <w:szCs w:val="24"/>
        </w:rPr>
      </w:pPr>
    </w:p>
    <w:p w14:paraId="7758D62E" w14:textId="77777777" w:rsidR="006D6F60" w:rsidRPr="007C2F85" w:rsidRDefault="004C079F" w:rsidP="00414787">
      <w:pPr>
        <w:jc w:val="center"/>
        <w:rPr>
          <w:rFonts w:ascii="Times New Roman" w:hAnsi="Times New Roman" w:cs="Times New Roman"/>
          <w:sz w:val="24"/>
          <w:szCs w:val="24"/>
        </w:rPr>
      </w:pPr>
      <w:r w:rsidRPr="007C2F85">
        <w:rPr>
          <w:noProof/>
        </w:rPr>
        <w:drawing>
          <wp:inline distT="0" distB="0" distL="114300" distR="114300" wp14:anchorId="18B6CD0C" wp14:editId="365A3C42">
            <wp:extent cx="2859206" cy="2341425"/>
            <wp:effectExtent l="0" t="0" r="0" b="1905"/>
            <wp:docPr id="4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
                    <pic:cNvPicPr>
                      <a:picLocks noChangeAspect="1"/>
                    </pic:cNvPicPr>
                  </pic:nvPicPr>
                  <pic:blipFill>
                    <a:blip r:embed="rId34"/>
                    <a:stretch>
                      <a:fillRect/>
                    </a:stretch>
                  </pic:blipFill>
                  <pic:spPr>
                    <a:xfrm>
                      <a:off x="0" y="0"/>
                      <a:ext cx="2872780" cy="2352541"/>
                    </a:xfrm>
                    <a:prstGeom prst="rect">
                      <a:avLst/>
                    </a:prstGeom>
                    <a:noFill/>
                    <a:ln>
                      <a:noFill/>
                    </a:ln>
                  </pic:spPr>
                </pic:pic>
              </a:graphicData>
            </a:graphic>
          </wp:inline>
        </w:drawing>
      </w:r>
    </w:p>
    <w:p w14:paraId="7909FD2A" w14:textId="21B8163F" w:rsidR="006D6F60"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6</w:t>
      </w:r>
      <w:r w:rsidR="004C079F">
        <w:rPr>
          <w:rFonts w:ascii="Times New Roman" w:hAnsi="Times New Roman" w:cs="Times New Roman"/>
          <w:sz w:val="24"/>
          <w:szCs w:val="24"/>
        </w:rPr>
        <w:t xml:space="preserve"> </w:t>
      </w:r>
      <w:proofErr w:type="spellStart"/>
      <w:r w:rsidR="004C079F">
        <w:rPr>
          <w:rFonts w:ascii="Times New Roman" w:hAnsi="Times New Roman" w:cs="Times New Roman"/>
          <w:sz w:val="24"/>
          <w:szCs w:val="24"/>
        </w:rPr>
        <w:t>Koutecký-Levich</w:t>
      </w:r>
      <w:proofErr w:type="spellEnd"/>
      <w:r w:rsidR="004C079F">
        <w:rPr>
          <w:rFonts w:ascii="Times New Roman" w:hAnsi="Times New Roman" w:cs="Times New Roman"/>
          <w:sz w:val="24"/>
          <w:szCs w:val="24"/>
        </w:rPr>
        <w:t xml:space="preserve"> plots of JDAC</w:t>
      </w:r>
    </w:p>
    <w:p w14:paraId="2E3A3D30" w14:textId="77777777" w:rsidR="004C079F" w:rsidRPr="007C2F85" w:rsidRDefault="004C079F" w:rsidP="004C079F">
      <w:pPr>
        <w:jc w:val="left"/>
        <w:rPr>
          <w:rFonts w:ascii="Times New Roman" w:hAnsi="Times New Roman" w:cs="Times New Roman"/>
          <w:sz w:val="24"/>
          <w:szCs w:val="24"/>
        </w:rPr>
      </w:pPr>
    </w:p>
    <w:p w14:paraId="0F422B66" w14:textId="77777777" w:rsidR="006D6F60" w:rsidRPr="007C2F85" w:rsidRDefault="004C079F" w:rsidP="00414787">
      <w:pPr>
        <w:jc w:val="center"/>
        <w:rPr>
          <w:rFonts w:ascii="Times New Roman" w:hAnsi="Times New Roman" w:cs="Times New Roman"/>
          <w:sz w:val="24"/>
          <w:szCs w:val="24"/>
        </w:rPr>
      </w:pPr>
      <w:r w:rsidRPr="007C2F85">
        <w:rPr>
          <w:noProof/>
        </w:rPr>
        <w:drawing>
          <wp:inline distT="0" distB="0" distL="114300" distR="114300" wp14:anchorId="658A02A8" wp14:editId="03E1134D">
            <wp:extent cx="2927445" cy="2630216"/>
            <wp:effectExtent l="0" t="0" r="6350" b="0"/>
            <wp:docPr id="4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9"/>
                    <pic:cNvPicPr>
                      <a:picLocks noChangeAspect="1"/>
                    </pic:cNvPicPr>
                  </pic:nvPicPr>
                  <pic:blipFill>
                    <a:blip r:embed="rId35"/>
                    <a:stretch>
                      <a:fillRect/>
                    </a:stretch>
                  </pic:blipFill>
                  <pic:spPr>
                    <a:xfrm>
                      <a:off x="0" y="0"/>
                      <a:ext cx="2938822" cy="2640438"/>
                    </a:xfrm>
                    <a:prstGeom prst="rect">
                      <a:avLst/>
                    </a:prstGeom>
                    <a:noFill/>
                    <a:ln>
                      <a:noFill/>
                    </a:ln>
                  </pic:spPr>
                </pic:pic>
              </a:graphicData>
            </a:graphic>
          </wp:inline>
        </w:drawing>
      </w:r>
    </w:p>
    <w:p w14:paraId="073EC8AD" w14:textId="77777777" w:rsidR="004C079F"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7</w:t>
      </w:r>
      <w:r w:rsidR="004C079F" w:rsidRPr="007C2F85">
        <w:rPr>
          <w:rFonts w:ascii="Times New Roman" w:hAnsi="Times New Roman" w:cs="Times New Roman"/>
          <w:sz w:val="24"/>
          <w:szCs w:val="24"/>
        </w:rPr>
        <w:t xml:space="preserve"> Rotating ring disk electrode measurements of JDAC u</w:t>
      </w:r>
      <w:r w:rsidR="004C079F">
        <w:rPr>
          <w:rFonts w:ascii="Times New Roman" w:hAnsi="Times New Roman" w:cs="Times New Roman"/>
          <w:sz w:val="24"/>
          <w:szCs w:val="24"/>
        </w:rPr>
        <w:t>nder visible light illumination</w:t>
      </w:r>
    </w:p>
    <w:p w14:paraId="04528E7F" w14:textId="14F49D2F" w:rsidR="006D6F60" w:rsidRPr="007C2F85" w:rsidRDefault="004C079F" w:rsidP="004C079F">
      <w:pPr>
        <w:jc w:val="center"/>
        <w:rPr>
          <w:rFonts w:ascii="Times New Roman" w:hAnsi="Times New Roman" w:cs="Times New Roman"/>
        </w:rPr>
      </w:pPr>
      <w:r w:rsidRPr="007C2F85">
        <w:rPr>
          <w:rFonts w:ascii="Times New Roman" w:hAnsi="Times New Roman" w:cs="Times New Roman"/>
          <w:sz w:val="24"/>
          <w:szCs w:val="24"/>
        </w:rPr>
        <w:br w:type="page"/>
      </w:r>
      <w:r w:rsidRPr="007C2F85">
        <w:rPr>
          <w:rFonts w:ascii="Times New Roman" w:hAnsi="Times New Roman" w:cs="Times New Roman"/>
          <w:noProof/>
        </w:rPr>
        <w:lastRenderedPageBreak/>
        <w:drawing>
          <wp:inline distT="0" distB="0" distL="114300" distR="114300" wp14:anchorId="37BDBC6D" wp14:editId="2E8D4370">
            <wp:extent cx="2905300" cy="2402006"/>
            <wp:effectExtent l="0" t="0" r="0"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36"/>
                    <a:stretch>
                      <a:fillRect/>
                    </a:stretch>
                  </pic:blipFill>
                  <pic:spPr>
                    <a:xfrm>
                      <a:off x="0" y="0"/>
                      <a:ext cx="2925173" cy="2418436"/>
                    </a:xfrm>
                    <a:prstGeom prst="rect">
                      <a:avLst/>
                    </a:prstGeom>
                    <a:noFill/>
                    <a:ln>
                      <a:noFill/>
                    </a:ln>
                  </pic:spPr>
                </pic:pic>
              </a:graphicData>
            </a:graphic>
          </wp:inline>
        </w:drawing>
      </w:r>
    </w:p>
    <w:p w14:paraId="6BDA113C" w14:textId="7C60E9CA" w:rsidR="006D6F60"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8</w:t>
      </w:r>
      <w:r w:rsidR="004C079F" w:rsidRPr="007C2F85">
        <w:rPr>
          <w:rFonts w:ascii="Times New Roman" w:hAnsi="Times New Roman" w:cs="Times New Roman"/>
          <w:sz w:val="24"/>
          <w:szCs w:val="24"/>
        </w:rPr>
        <w:t xml:space="preserve"> Stability measurement of JDAC in 0.1 M KOH solution with saturated O</w:t>
      </w:r>
      <w:r w:rsidR="004C079F" w:rsidRPr="007C2F85">
        <w:rPr>
          <w:rFonts w:ascii="Times New Roman" w:hAnsi="Times New Roman" w:cs="Times New Roman"/>
          <w:sz w:val="24"/>
          <w:szCs w:val="24"/>
          <w:vertAlign w:val="subscript"/>
        </w:rPr>
        <w:t>2</w:t>
      </w:r>
      <w:r w:rsidR="004C079F" w:rsidRPr="007C2F85">
        <w:rPr>
          <w:rFonts w:ascii="Times New Roman" w:hAnsi="Times New Roman" w:cs="Times New Roman"/>
          <w:sz w:val="24"/>
          <w:szCs w:val="24"/>
        </w:rPr>
        <w:t xml:space="preserve"> and under a </w:t>
      </w:r>
      <w:r w:rsidR="004C079F">
        <w:rPr>
          <w:rFonts w:ascii="Times New Roman" w:hAnsi="Times New Roman" w:cs="Times New Roman"/>
          <w:sz w:val="24"/>
          <w:szCs w:val="24"/>
        </w:rPr>
        <w:t>bias voltage of 0.5 V (vs. RHE)</w:t>
      </w:r>
    </w:p>
    <w:p w14:paraId="2CF5DCE0" w14:textId="77777777" w:rsidR="004C079F" w:rsidRPr="007C2F85" w:rsidRDefault="004C079F" w:rsidP="004C079F">
      <w:pPr>
        <w:jc w:val="left"/>
        <w:rPr>
          <w:rFonts w:ascii="Times New Roman" w:hAnsi="Times New Roman" w:cs="Times New Roman"/>
          <w:sz w:val="24"/>
          <w:szCs w:val="24"/>
        </w:rPr>
      </w:pPr>
    </w:p>
    <w:p w14:paraId="27D41B1E" w14:textId="77777777" w:rsidR="006D6F60" w:rsidRPr="007C2F85" w:rsidRDefault="006D6F60" w:rsidP="00414787">
      <w:pPr>
        <w:rPr>
          <w:rFonts w:ascii="Times New Roman" w:hAnsi="Times New Roman" w:cs="Times New Roman"/>
          <w:sz w:val="24"/>
          <w:szCs w:val="24"/>
        </w:rPr>
      </w:pPr>
    </w:p>
    <w:p w14:paraId="0F210C2B" w14:textId="77777777" w:rsidR="006D6F60" w:rsidRPr="007C2F85" w:rsidRDefault="004C079F" w:rsidP="00414787">
      <w:pPr>
        <w:jc w:val="center"/>
        <w:rPr>
          <w:rFonts w:ascii="Times New Roman" w:hAnsi="Times New Roman" w:cs="Times New Roman"/>
        </w:rPr>
      </w:pPr>
      <w:r w:rsidRPr="007C2F85">
        <w:rPr>
          <w:rFonts w:ascii="Times New Roman" w:hAnsi="Times New Roman" w:cs="Times New Roman"/>
          <w:noProof/>
        </w:rPr>
        <w:drawing>
          <wp:inline distT="0" distB="0" distL="114300" distR="114300" wp14:anchorId="6428D85C" wp14:editId="5610CAB7">
            <wp:extent cx="2955376" cy="2579427"/>
            <wp:effectExtent l="0" t="0" r="0" b="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37"/>
                    <a:stretch>
                      <a:fillRect/>
                    </a:stretch>
                  </pic:blipFill>
                  <pic:spPr>
                    <a:xfrm>
                      <a:off x="0" y="0"/>
                      <a:ext cx="2959897" cy="2583373"/>
                    </a:xfrm>
                    <a:prstGeom prst="rect">
                      <a:avLst/>
                    </a:prstGeom>
                    <a:noFill/>
                    <a:ln>
                      <a:noFill/>
                    </a:ln>
                  </pic:spPr>
                </pic:pic>
              </a:graphicData>
            </a:graphic>
          </wp:inline>
        </w:drawing>
      </w:r>
    </w:p>
    <w:p w14:paraId="01DC7EEE" w14:textId="5D3DC47E" w:rsidR="006D6F60"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S2</w:t>
      </w:r>
      <w:r w:rsidR="004C079F" w:rsidRPr="007C2F85">
        <w:rPr>
          <w:rFonts w:ascii="Times New Roman" w:hAnsi="Times New Roman" w:cs="Times New Roman" w:hint="eastAsia"/>
          <w:b/>
          <w:bCs/>
          <w:sz w:val="24"/>
          <w:szCs w:val="24"/>
        </w:rPr>
        <w:t>9</w:t>
      </w:r>
      <w:r w:rsidR="004C079F" w:rsidRPr="007C2F85">
        <w:rPr>
          <w:rFonts w:ascii="Times New Roman" w:hAnsi="Times New Roman" w:cs="Times New Roman"/>
          <w:sz w:val="24"/>
          <w:szCs w:val="24"/>
        </w:rPr>
        <w:t xml:space="preserve"> XPS </w:t>
      </w:r>
      <w:r w:rsidR="004C079F" w:rsidRPr="007C2F85">
        <w:rPr>
          <w:rFonts w:ascii="Times New Roman" w:eastAsia="宋体" w:hAnsi="Times New Roman" w:cs="Times New Roman"/>
          <w:sz w:val="20"/>
          <w:szCs w:val="20"/>
        </w:rPr>
        <w:t xml:space="preserve">spectra </w:t>
      </w:r>
      <w:r w:rsidR="004C079F" w:rsidRPr="007C2F85">
        <w:rPr>
          <w:rFonts w:ascii="Times New Roman" w:hAnsi="Times New Roman" w:cs="Times New Roman"/>
          <w:sz w:val="24"/>
          <w:szCs w:val="24"/>
        </w:rPr>
        <w:t>of JDAC</w:t>
      </w:r>
      <w:r w:rsidR="004C079F">
        <w:rPr>
          <w:rFonts w:ascii="Times New Roman" w:hAnsi="Times New Roman" w:cs="Times New Roman"/>
          <w:sz w:val="24"/>
          <w:szCs w:val="24"/>
        </w:rPr>
        <w:t xml:space="preserve"> before and after cycling tests</w:t>
      </w:r>
    </w:p>
    <w:p w14:paraId="25A7F2D6" w14:textId="371BC626" w:rsidR="004C079F" w:rsidRDefault="004C079F" w:rsidP="004C079F">
      <w:pPr>
        <w:jc w:val="left"/>
        <w:rPr>
          <w:rFonts w:ascii="Times New Roman" w:hAnsi="Times New Roman" w:cs="Times New Roman"/>
          <w:sz w:val="24"/>
          <w:szCs w:val="24"/>
        </w:rPr>
      </w:pPr>
    </w:p>
    <w:p w14:paraId="02FE1182"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5E14CD44" wp14:editId="5F138E55">
            <wp:extent cx="5266690" cy="1743075"/>
            <wp:effectExtent l="0" t="0" r="10160" b="9525"/>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38"/>
                    <a:stretch>
                      <a:fillRect/>
                    </a:stretch>
                  </pic:blipFill>
                  <pic:spPr>
                    <a:xfrm>
                      <a:off x="0" y="0"/>
                      <a:ext cx="5266690" cy="1743075"/>
                    </a:xfrm>
                    <a:prstGeom prst="rect">
                      <a:avLst/>
                    </a:prstGeom>
                    <a:noFill/>
                    <a:ln>
                      <a:noFill/>
                    </a:ln>
                  </pic:spPr>
                </pic:pic>
              </a:graphicData>
            </a:graphic>
          </wp:inline>
        </w:drawing>
      </w:r>
    </w:p>
    <w:p w14:paraId="1A6438C5" w14:textId="11E2A9D9" w:rsidR="004C079F" w:rsidRDefault="00414787" w:rsidP="004C079F">
      <w:pPr>
        <w:rPr>
          <w:rFonts w:ascii="Times New Roman" w:eastAsia="宋体" w:hAnsi="Times New Roman" w:cs="Times New Roman"/>
          <w:sz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30</w:t>
      </w:r>
      <w:r w:rsidR="004C079F" w:rsidRPr="007C2F85">
        <w:rPr>
          <w:rFonts w:ascii="Times New Roman" w:hAnsi="Times New Roman" w:cs="Times New Roman"/>
          <w:sz w:val="24"/>
          <w:szCs w:val="24"/>
        </w:rPr>
        <w:t xml:space="preserve"> </w:t>
      </w:r>
      <w:r w:rsidR="004C079F" w:rsidRPr="007C2F85">
        <w:rPr>
          <w:rFonts w:ascii="Times New Roman" w:eastAsia="宋体" w:hAnsi="Times New Roman" w:cs="Times New Roman"/>
          <w:sz w:val="24"/>
        </w:rPr>
        <w:t>High-resolution XPS spectra of (</w:t>
      </w:r>
      <w:r w:rsidR="004C079F" w:rsidRPr="004C079F">
        <w:rPr>
          <w:rFonts w:ascii="Times New Roman" w:eastAsia="宋体" w:hAnsi="Times New Roman" w:cs="Times New Roman"/>
          <w:b/>
          <w:sz w:val="24"/>
        </w:rPr>
        <w:t>a</w:t>
      </w:r>
      <w:r w:rsidR="004C079F" w:rsidRPr="007C2F85">
        <w:rPr>
          <w:rFonts w:ascii="Times New Roman" w:eastAsia="宋体" w:hAnsi="Times New Roman" w:cs="Times New Roman"/>
          <w:sz w:val="24"/>
        </w:rPr>
        <w:t xml:space="preserve">) Fe </w:t>
      </w:r>
      <w:r w:rsidR="004C079F" w:rsidRPr="007C2F85">
        <w:rPr>
          <w:rFonts w:ascii="Times New Roman" w:eastAsia="宋体" w:hAnsi="Times New Roman" w:cs="Times New Roman"/>
          <w:i/>
          <w:iCs/>
          <w:sz w:val="24"/>
        </w:rPr>
        <w:t>2p</w:t>
      </w:r>
      <w:r w:rsidR="004C079F" w:rsidRPr="007C2F85">
        <w:rPr>
          <w:rFonts w:ascii="Times New Roman" w:eastAsia="宋体" w:hAnsi="Times New Roman" w:cs="Times New Roman"/>
          <w:sz w:val="24"/>
        </w:rPr>
        <w:t>, (</w:t>
      </w:r>
      <w:r w:rsidR="004C079F" w:rsidRPr="004C079F">
        <w:rPr>
          <w:rFonts w:ascii="Times New Roman" w:eastAsia="宋体" w:hAnsi="Times New Roman" w:cs="Times New Roman"/>
          <w:b/>
          <w:sz w:val="24"/>
        </w:rPr>
        <w:t>b</w:t>
      </w:r>
      <w:r w:rsidR="004C079F" w:rsidRPr="007C2F85">
        <w:rPr>
          <w:rFonts w:ascii="Times New Roman" w:eastAsia="宋体" w:hAnsi="Times New Roman" w:cs="Times New Roman"/>
          <w:sz w:val="24"/>
        </w:rPr>
        <w:t xml:space="preserve">) Ni </w:t>
      </w:r>
      <w:r w:rsidR="004C079F" w:rsidRPr="007C2F85">
        <w:rPr>
          <w:rFonts w:ascii="Times New Roman" w:eastAsia="宋体" w:hAnsi="Times New Roman" w:cs="Times New Roman"/>
          <w:i/>
          <w:iCs/>
          <w:sz w:val="24"/>
        </w:rPr>
        <w:t>2p</w:t>
      </w:r>
      <w:r w:rsidR="004C079F" w:rsidRPr="007C2F85">
        <w:rPr>
          <w:rFonts w:ascii="Times New Roman" w:eastAsia="宋体" w:hAnsi="Times New Roman" w:cs="Times New Roman"/>
          <w:sz w:val="24"/>
        </w:rPr>
        <w:t>, and (</w:t>
      </w:r>
      <w:r w:rsidR="004C079F" w:rsidRPr="004C079F">
        <w:rPr>
          <w:rFonts w:ascii="Times New Roman" w:eastAsia="宋体" w:hAnsi="Times New Roman" w:cs="Times New Roman"/>
          <w:b/>
          <w:sz w:val="24"/>
        </w:rPr>
        <w:t>c</w:t>
      </w:r>
      <w:r w:rsidR="004C079F" w:rsidRPr="007C2F85">
        <w:rPr>
          <w:rFonts w:ascii="Times New Roman" w:eastAsia="宋体" w:hAnsi="Times New Roman" w:cs="Times New Roman"/>
          <w:sz w:val="24"/>
        </w:rPr>
        <w:t xml:space="preserve">) N </w:t>
      </w:r>
      <w:r w:rsidR="004C079F" w:rsidRPr="007C2F85">
        <w:rPr>
          <w:rFonts w:ascii="Times New Roman" w:eastAsia="宋体" w:hAnsi="Times New Roman" w:cs="Times New Roman"/>
          <w:i/>
          <w:iCs/>
          <w:sz w:val="24"/>
        </w:rPr>
        <w:t xml:space="preserve">1s </w:t>
      </w:r>
      <w:r w:rsidR="004C079F" w:rsidRPr="007C2F85">
        <w:rPr>
          <w:rFonts w:ascii="Times New Roman" w:eastAsia="宋体" w:hAnsi="Times New Roman" w:cs="Times New Roman"/>
          <w:sz w:val="24"/>
        </w:rPr>
        <w:t>of JDAC</w:t>
      </w:r>
      <w:r w:rsidR="004C079F">
        <w:rPr>
          <w:rFonts w:ascii="Times New Roman" w:eastAsia="宋体" w:hAnsi="Times New Roman" w:cs="Times New Roman"/>
          <w:sz w:val="24"/>
        </w:rPr>
        <w:t xml:space="preserve"> before and after cycling tests</w:t>
      </w:r>
    </w:p>
    <w:p w14:paraId="584D4A35" w14:textId="00F38C91" w:rsidR="006D6F60" w:rsidRPr="007C2F85" w:rsidRDefault="004C079F" w:rsidP="004C079F">
      <w:pPr>
        <w:jc w:val="center"/>
        <w:rPr>
          <w:sz w:val="24"/>
          <w:szCs w:val="24"/>
        </w:rPr>
      </w:pPr>
      <w:r w:rsidRPr="007C2F85">
        <w:rPr>
          <w:noProof/>
          <w:sz w:val="24"/>
          <w:szCs w:val="24"/>
        </w:rPr>
        <w:lastRenderedPageBreak/>
        <w:drawing>
          <wp:inline distT="0" distB="0" distL="114300" distR="114300" wp14:anchorId="0C482A8C" wp14:editId="47950444">
            <wp:extent cx="3021330" cy="1385570"/>
            <wp:effectExtent l="0" t="0" r="7620" b="5080"/>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39"/>
                    <a:stretch>
                      <a:fillRect/>
                    </a:stretch>
                  </pic:blipFill>
                  <pic:spPr>
                    <a:xfrm>
                      <a:off x="0" y="0"/>
                      <a:ext cx="3021330" cy="1385570"/>
                    </a:xfrm>
                    <a:prstGeom prst="rect">
                      <a:avLst/>
                    </a:prstGeom>
                    <a:noFill/>
                    <a:ln>
                      <a:noFill/>
                    </a:ln>
                  </pic:spPr>
                </pic:pic>
              </a:graphicData>
            </a:graphic>
          </wp:inline>
        </w:drawing>
      </w:r>
    </w:p>
    <w:p w14:paraId="21424CB4" w14:textId="43CDE4C7" w:rsidR="006D6F60" w:rsidRDefault="00414787" w:rsidP="00414787">
      <w:pPr>
        <w:rPr>
          <w:rFonts w:ascii="Times New Roman" w:eastAsia="宋体" w:hAnsi="Times New Roman" w:cs="Times New Roman"/>
          <w:kern w:val="0"/>
          <w:sz w:val="24"/>
          <w:szCs w:val="24"/>
        </w:rPr>
      </w:pPr>
      <w:r w:rsidRPr="004C079F">
        <w:rPr>
          <w:rFonts w:ascii="Times New Roman" w:eastAsia="宋体" w:hAnsi="Times New Roman" w:cs="Times New Roman" w:hint="eastAsia"/>
          <w:b/>
          <w:kern w:val="0"/>
          <w:sz w:val="24"/>
          <w:szCs w:val="24"/>
        </w:rPr>
        <w:t>Fig.</w:t>
      </w:r>
      <w:r w:rsidR="004C079F" w:rsidRPr="004C079F">
        <w:rPr>
          <w:rFonts w:ascii="Times New Roman" w:eastAsia="宋体" w:hAnsi="Times New Roman" w:cs="Times New Roman" w:hint="eastAsia"/>
          <w:b/>
          <w:kern w:val="0"/>
          <w:sz w:val="24"/>
          <w:szCs w:val="24"/>
        </w:rPr>
        <w:t xml:space="preserve"> S31</w:t>
      </w:r>
      <w:r w:rsidR="004C079F" w:rsidRPr="007C2F85">
        <w:rPr>
          <w:rFonts w:ascii="Times New Roman" w:eastAsia="宋体" w:hAnsi="Times New Roman" w:cs="Times New Roman" w:hint="eastAsia"/>
          <w:kern w:val="0"/>
          <w:sz w:val="24"/>
          <w:szCs w:val="24"/>
        </w:rPr>
        <w:t xml:space="preserve"> </w:t>
      </w:r>
      <w:r w:rsidR="004C079F" w:rsidRPr="007C2F85">
        <w:rPr>
          <w:rFonts w:ascii="Times New Roman" w:eastAsia="宋体" w:hAnsi="Times New Roman" w:cs="Times New Roman"/>
          <w:kern w:val="0"/>
          <w:sz w:val="24"/>
          <w:szCs w:val="24"/>
        </w:rPr>
        <w:t xml:space="preserve">Comparison of the FESEM images of JDAC on carbon paper </w:t>
      </w:r>
      <w:r w:rsidR="004C079F" w:rsidRPr="004C079F">
        <w:rPr>
          <w:rFonts w:ascii="Times New Roman" w:eastAsia="宋体" w:hAnsi="Times New Roman" w:cs="Times New Roman"/>
          <w:b/>
          <w:kern w:val="0"/>
          <w:sz w:val="24"/>
          <w:szCs w:val="24"/>
        </w:rPr>
        <w:t>a</w:t>
      </w:r>
      <w:r w:rsidR="004C079F" w:rsidRPr="007C2F85">
        <w:rPr>
          <w:rFonts w:ascii="Times New Roman" w:eastAsia="宋体" w:hAnsi="Times New Roman" w:cs="Times New Roman"/>
          <w:kern w:val="0"/>
          <w:sz w:val="24"/>
          <w:szCs w:val="24"/>
        </w:rPr>
        <w:t xml:space="preserve">) before and </w:t>
      </w:r>
      <w:r w:rsidR="004C079F" w:rsidRPr="004C079F">
        <w:rPr>
          <w:rFonts w:ascii="Times New Roman" w:eastAsia="宋体" w:hAnsi="Times New Roman" w:cs="Times New Roman"/>
          <w:b/>
          <w:kern w:val="0"/>
          <w:sz w:val="24"/>
          <w:szCs w:val="24"/>
        </w:rPr>
        <w:t>b</w:t>
      </w:r>
      <w:r w:rsidR="004C079F" w:rsidRPr="007C2F85">
        <w:rPr>
          <w:rFonts w:ascii="Times New Roman" w:eastAsia="宋体" w:hAnsi="Times New Roman" w:cs="Times New Roman"/>
          <w:kern w:val="0"/>
          <w:sz w:val="24"/>
          <w:szCs w:val="24"/>
        </w:rPr>
        <w:t>) after stability measurements at 10 mA cm</w:t>
      </w:r>
      <w:r w:rsidR="004C079F" w:rsidRPr="007C2F85">
        <w:rPr>
          <w:rFonts w:ascii="Times New Roman" w:eastAsia="宋体" w:hAnsi="Times New Roman" w:cs="Times New Roman"/>
          <w:kern w:val="0"/>
          <w:sz w:val="24"/>
          <w:szCs w:val="24"/>
          <w:vertAlign w:val="superscript"/>
        </w:rPr>
        <w:t>-2</w:t>
      </w:r>
      <w:r w:rsidR="004C079F">
        <w:rPr>
          <w:rFonts w:ascii="Times New Roman" w:eastAsia="宋体" w:hAnsi="Times New Roman" w:cs="Times New Roman"/>
          <w:kern w:val="0"/>
          <w:sz w:val="24"/>
          <w:szCs w:val="24"/>
        </w:rPr>
        <w:t xml:space="preserve"> for 1000 cycles</w:t>
      </w:r>
    </w:p>
    <w:p w14:paraId="4CCE8C7F" w14:textId="77777777" w:rsidR="004C079F" w:rsidRPr="007C2F85" w:rsidRDefault="004C079F" w:rsidP="00414787">
      <w:pPr>
        <w:rPr>
          <w:sz w:val="24"/>
          <w:szCs w:val="24"/>
        </w:rPr>
      </w:pPr>
    </w:p>
    <w:p w14:paraId="07856498" w14:textId="77777777" w:rsidR="006D6F60" w:rsidRPr="007C2F85" w:rsidRDefault="004C079F" w:rsidP="00414787">
      <w:pPr>
        <w:jc w:val="center"/>
        <w:rPr>
          <w:sz w:val="24"/>
          <w:szCs w:val="24"/>
        </w:rPr>
      </w:pPr>
      <w:r w:rsidRPr="007C2F85">
        <w:rPr>
          <w:noProof/>
          <w:sz w:val="24"/>
          <w:szCs w:val="24"/>
        </w:rPr>
        <w:drawing>
          <wp:inline distT="0" distB="0" distL="114300" distR="114300" wp14:anchorId="3AD18284" wp14:editId="1288C551">
            <wp:extent cx="2642870" cy="2307590"/>
            <wp:effectExtent l="0" t="0" r="5080" b="16510"/>
            <wp:docPr id="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
                    <pic:cNvPicPr>
                      <a:picLocks noChangeAspect="1"/>
                    </pic:cNvPicPr>
                  </pic:nvPicPr>
                  <pic:blipFill>
                    <a:blip r:embed="rId40"/>
                    <a:stretch>
                      <a:fillRect/>
                    </a:stretch>
                  </pic:blipFill>
                  <pic:spPr>
                    <a:xfrm>
                      <a:off x="0" y="0"/>
                      <a:ext cx="2642870" cy="2307590"/>
                    </a:xfrm>
                    <a:prstGeom prst="rect">
                      <a:avLst/>
                    </a:prstGeom>
                    <a:noFill/>
                    <a:ln>
                      <a:noFill/>
                    </a:ln>
                  </pic:spPr>
                </pic:pic>
              </a:graphicData>
            </a:graphic>
          </wp:inline>
        </w:drawing>
      </w:r>
    </w:p>
    <w:p w14:paraId="39ADB4B9" w14:textId="01A98BFE" w:rsidR="006D6F60" w:rsidRPr="007C2F85" w:rsidRDefault="00414787" w:rsidP="00414787">
      <w:pPr>
        <w:rPr>
          <w:rFonts w:ascii="Times New Roman" w:eastAsia="宋体" w:hAnsi="Times New Roman" w:cs="Times New Roman"/>
          <w:sz w:val="24"/>
        </w:rPr>
      </w:pPr>
      <w:r w:rsidRPr="00414787">
        <w:rPr>
          <w:rFonts w:ascii="Times New Roman" w:eastAsia="宋体" w:hAnsi="Times New Roman" w:cs="Times New Roman" w:hint="eastAsia"/>
          <w:b/>
          <w:kern w:val="0"/>
          <w:sz w:val="24"/>
          <w:szCs w:val="24"/>
        </w:rPr>
        <w:t>Fig.</w:t>
      </w:r>
      <w:r w:rsidR="004C079F" w:rsidRPr="004C079F">
        <w:rPr>
          <w:rFonts w:ascii="Times New Roman" w:eastAsia="宋体" w:hAnsi="Times New Roman" w:cs="Times New Roman" w:hint="eastAsia"/>
          <w:b/>
          <w:kern w:val="0"/>
          <w:sz w:val="24"/>
          <w:szCs w:val="24"/>
        </w:rPr>
        <w:t xml:space="preserve"> S32</w:t>
      </w:r>
      <w:r w:rsidR="004C079F" w:rsidRPr="007C2F85">
        <w:rPr>
          <w:rFonts w:ascii="Times New Roman" w:eastAsia="宋体" w:hAnsi="Times New Roman" w:cs="Times New Roman" w:hint="eastAsia"/>
          <w:kern w:val="0"/>
          <w:sz w:val="24"/>
          <w:szCs w:val="24"/>
        </w:rPr>
        <w:t xml:space="preserve"> Comparison of the XRD spectra of JDAC before and after stability measurements at 10 mA cm</w:t>
      </w:r>
      <w:r w:rsidR="004C079F" w:rsidRPr="007C2F85">
        <w:rPr>
          <w:rFonts w:ascii="Times New Roman" w:eastAsia="宋体" w:hAnsi="Times New Roman" w:cs="Times New Roman" w:hint="eastAsia"/>
          <w:kern w:val="0"/>
          <w:sz w:val="24"/>
          <w:szCs w:val="24"/>
          <w:vertAlign w:val="superscript"/>
        </w:rPr>
        <w:t>-2</w:t>
      </w:r>
      <w:r w:rsidR="004C079F">
        <w:rPr>
          <w:rFonts w:ascii="Times New Roman" w:eastAsia="宋体" w:hAnsi="Times New Roman" w:cs="Times New Roman" w:hint="eastAsia"/>
          <w:kern w:val="0"/>
          <w:sz w:val="24"/>
          <w:szCs w:val="24"/>
        </w:rPr>
        <w:t xml:space="preserve"> for 1000 cycles</w:t>
      </w:r>
    </w:p>
    <w:p w14:paraId="57FB02F5" w14:textId="77777777" w:rsidR="006D6F60" w:rsidRPr="007C2F85" w:rsidRDefault="006D6F60" w:rsidP="00414787">
      <w:pPr>
        <w:widowControl/>
        <w:jc w:val="left"/>
        <w:rPr>
          <w:rFonts w:ascii="Times New Roman" w:eastAsia="宋体" w:hAnsi="Times New Roman" w:cs="Times New Roman"/>
          <w:sz w:val="24"/>
        </w:rPr>
      </w:pPr>
    </w:p>
    <w:p w14:paraId="53AD6478"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sz w:val="24"/>
          <w:szCs w:val="24"/>
        </w:rPr>
        <w:drawing>
          <wp:inline distT="0" distB="0" distL="0" distR="0" wp14:anchorId="24067338" wp14:editId="0FFC6B94">
            <wp:extent cx="4121624" cy="2875572"/>
            <wp:effectExtent l="0" t="0" r="0" b="1270"/>
            <wp:docPr id="19631238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23803" name="图片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139702" cy="2888185"/>
                    </a:xfrm>
                    <a:prstGeom prst="rect">
                      <a:avLst/>
                    </a:prstGeom>
                    <a:noFill/>
                  </pic:spPr>
                </pic:pic>
              </a:graphicData>
            </a:graphic>
          </wp:inline>
        </w:drawing>
      </w:r>
    </w:p>
    <w:p w14:paraId="5A5F3F13" w14:textId="3A7FC130"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33</w:t>
      </w:r>
      <w:r w:rsidR="004C079F" w:rsidRPr="007C2F85">
        <w:rPr>
          <w:rFonts w:ascii="Times New Roman" w:hAnsi="Times New Roman" w:cs="Times New Roman"/>
          <w:sz w:val="24"/>
          <w:szCs w:val="24"/>
        </w:rPr>
        <w:t xml:space="preserve"> The digital photograph of the setup for in-situ</w:t>
      </w:r>
      <w:r w:rsidR="004C079F">
        <w:rPr>
          <w:rFonts w:ascii="Times New Roman" w:hAnsi="Times New Roman" w:cs="Times New Roman"/>
          <w:sz w:val="24"/>
          <w:szCs w:val="24"/>
        </w:rPr>
        <w:t xml:space="preserve"> Raman spectroscopy measurement</w:t>
      </w:r>
      <w:r w:rsidR="004C079F" w:rsidRPr="007C2F85">
        <w:rPr>
          <w:rFonts w:ascii="Times New Roman" w:hAnsi="Times New Roman" w:cs="Times New Roman"/>
          <w:sz w:val="24"/>
          <w:szCs w:val="24"/>
        </w:rPr>
        <w:br w:type="page"/>
      </w:r>
    </w:p>
    <w:p w14:paraId="1303972B" w14:textId="77777777" w:rsidR="006D6F60" w:rsidRPr="007C2F85" w:rsidRDefault="004C079F" w:rsidP="00414787">
      <w:pPr>
        <w:jc w:val="center"/>
        <w:rPr>
          <w:rFonts w:ascii="Times New Roman" w:hAnsi="Times New Roman" w:cs="Times New Roman"/>
        </w:rPr>
      </w:pPr>
      <w:r w:rsidRPr="007C2F85">
        <w:rPr>
          <w:rFonts w:ascii="Times New Roman" w:hAnsi="Times New Roman" w:cs="Times New Roman"/>
          <w:noProof/>
        </w:rPr>
        <w:lastRenderedPageBreak/>
        <w:drawing>
          <wp:inline distT="0" distB="0" distL="114300" distR="114300" wp14:anchorId="6D7321BC" wp14:editId="74E209BA">
            <wp:extent cx="4775835" cy="2057400"/>
            <wp:effectExtent l="0" t="0" r="5715" b="0"/>
            <wp:docPr id="3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
                    <pic:cNvPicPr>
                      <a:picLocks noChangeAspect="1"/>
                    </pic:cNvPicPr>
                  </pic:nvPicPr>
                  <pic:blipFill>
                    <a:blip r:embed="rId42"/>
                    <a:stretch>
                      <a:fillRect/>
                    </a:stretch>
                  </pic:blipFill>
                  <pic:spPr>
                    <a:xfrm>
                      <a:off x="0" y="0"/>
                      <a:ext cx="4775835" cy="2057400"/>
                    </a:xfrm>
                    <a:prstGeom prst="rect">
                      <a:avLst/>
                    </a:prstGeom>
                    <a:noFill/>
                    <a:ln>
                      <a:noFill/>
                    </a:ln>
                  </pic:spPr>
                </pic:pic>
              </a:graphicData>
            </a:graphic>
          </wp:inline>
        </w:drawing>
      </w:r>
    </w:p>
    <w:p w14:paraId="072E40FB" w14:textId="3511B1B2" w:rsidR="006D6F60" w:rsidRDefault="00414787" w:rsidP="00414787">
      <w:pPr>
        <w:rPr>
          <w:rFonts w:ascii="Times New Roman" w:hAnsi="Times New Roman" w:cs="Times New Roman"/>
          <w:sz w:val="24"/>
          <w:szCs w:val="24"/>
          <w:vertAlign w:val="subscript"/>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4</w:t>
      </w:r>
      <w:r w:rsidR="004C079F" w:rsidRPr="007C2F85">
        <w:rPr>
          <w:rFonts w:ascii="Times New Roman" w:hAnsi="Times New Roman" w:cs="Times New Roman"/>
          <w:sz w:val="24"/>
          <w:szCs w:val="24"/>
        </w:rPr>
        <w:t xml:space="preserve"> In-situ XANES with or without visible-light illumination of (a) Fe k-edge in stimulated OER environment with H</w:t>
      </w:r>
      <w:r w:rsidR="004C079F" w:rsidRPr="007C2F85">
        <w:rPr>
          <w:rFonts w:ascii="Times New Roman" w:hAnsi="Times New Roman" w:cs="Times New Roman"/>
          <w:sz w:val="24"/>
          <w:szCs w:val="24"/>
          <w:vertAlign w:val="subscript"/>
        </w:rPr>
        <w:t>2</w:t>
      </w:r>
      <w:r w:rsidR="004C079F" w:rsidRPr="007C2F85">
        <w:rPr>
          <w:rFonts w:ascii="Times New Roman" w:hAnsi="Times New Roman" w:cs="Times New Roman"/>
          <w:sz w:val="24"/>
          <w:szCs w:val="24"/>
        </w:rPr>
        <w:t>O and (b) Ni k-edge in stimulated ORR environment with O</w:t>
      </w:r>
      <w:r w:rsidR="004C079F" w:rsidRPr="007C2F85">
        <w:rPr>
          <w:rFonts w:ascii="Times New Roman" w:hAnsi="Times New Roman" w:cs="Times New Roman"/>
          <w:sz w:val="24"/>
          <w:szCs w:val="24"/>
          <w:vertAlign w:val="subscript"/>
        </w:rPr>
        <w:t>2</w:t>
      </w:r>
    </w:p>
    <w:p w14:paraId="02DABBD4" w14:textId="77777777" w:rsidR="004C079F" w:rsidRPr="007C2F85" w:rsidRDefault="004C079F" w:rsidP="00414787">
      <w:pPr>
        <w:rPr>
          <w:rFonts w:ascii="Times New Roman" w:hAnsi="Times New Roman" w:cs="Times New Roman"/>
          <w:sz w:val="24"/>
          <w:szCs w:val="24"/>
        </w:rPr>
      </w:pPr>
    </w:p>
    <w:p w14:paraId="147F8C2B" w14:textId="77777777" w:rsidR="006D6F60" w:rsidRPr="007C2F85" w:rsidRDefault="004C079F" w:rsidP="00414787">
      <w:pPr>
        <w:jc w:val="center"/>
        <w:rPr>
          <w:rFonts w:ascii="Times New Roman" w:hAnsi="Times New Roman" w:cs="Times New Roman"/>
        </w:rPr>
      </w:pPr>
      <w:r w:rsidRPr="007C2F85">
        <w:rPr>
          <w:rFonts w:ascii="Times New Roman" w:hAnsi="Times New Roman" w:cs="Times New Roman"/>
          <w:noProof/>
        </w:rPr>
        <w:drawing>
          <wp:inline distT="0" distB="0" distL="114300" distR="114300" wp14:anchorId="1E9C1C15" wp14:editId="65EE20AD">
            <wp:extent cx="2519045" cy="2014220"/>
            <wp:effectExtent l="0" t="0" r="14605" b="5080"/>
            <wp:docPr id="3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6"/>
                    <pic:cNvPicPr>
                      <a:picLocks noChangeAspect="1"/>
                    </pic:cNvPicPr>
                  </pic:nvPicPr>
                  <pic:blipFill>
                    <a:blip r:embed="rId43"/>
                    <a:stretch>
                      <a:fillRect/>
                    </a:stretch>
                  </pic:blipFill>
                  <pic:spPr>
                    <a:xfrm>
                      <a:off x="0" y="0"/>
                      <a:ext cx="2519045" cy="2014220"/>
                    </a:xfrm>
                    <a:prstGeom prst="rect">
                      <a:avLst/>
                    </a:prstGeom>
                    <a:noFill/>
                    <a:ln>
                      <a:noFill/>
                    </a:ln>
                  </pic:spPr>
                </pic:pic>
              </a:graphicData>
            </a:graphic>
          </wp:inline>
        </w:drawing>
      </w:r>
    </w:p>
    <w:p w14:paraId="11ABD01F" w14:textId="77777777" w:rsidR="004C079F" w:rsidRDefault="00414787" w:rsidP="004C079F">
      <w:pPr>
        <w:spacing w:afterLines="50" w:after="156"/>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5</w:t>
      </w:r>
      <w:r w:rsidR="004C079F" w:rsidRPr="007C2F85">
        <w:rPr>
          <w:rFonts w:ascii="Times New Roman" w:hAnsi="Times New Roman" w:cs="Times New Roman"/>
          <w:sz w:val="24"/>
          <w:szCs w:val="24"/>
        </w:rPr>
        <w:t xml:space="preserve"> Calculated Gi</w:t>
      </w:r>
      <w:r w:rsidR="004C079F">
        <w:rPr>
          <w:rFonts w:ascii="Times New Roman" w:hAnsi="Times New Roman" w:cs="Times New Roman"/>
          <w:sz w:val="24"/>
          <w:szCs w:val="24"/>
        </w:rPr>
        <w:t>bbs free energy diagram of ORR</w:t>
      </w:r>
    </w:p>
    <w:p w14:paraId="0C648005" w14:textId="77777777" w:rsidR="004C079F" w:rsidRDefault="004C079F" w:rsidP="004C079F">
      <w:pPr>
        <w:spacing w:afterLines="50" w:after="156"/>
        <w:jc w:val="center"/>
        <w:rPr>
          <w:rFonts w:ascii="Times New Roman" w:hAnsi="Times New Roman" w:cs="Times New Roman"/>
        </w:rPr>
      </w:pPr>
      <w:r>
        <w:rPr>
          <w:rFonts w:ascii="Times New Roman" w:hAnsi="Times New Roman" w:cs="Times New Roman"/>
          <w:sz w:val="24"/>
          <w:szCs w:val="24"/>
        </w:rPr>
        <w:t xml:space="preserve"> </w:t>
      </w:r>
      <w:r w:rsidRPr="007C2F85">
        <w:rPr>
          <w:rFonts w:ascii="Times New Roman" w:hAnsi="Times New Roman" w:cs="Times New Roman"/>
        </w:rPr>
        <w:object w:dxaOrig="5228" w:dyaOrig="4092" w14:anchorId="7B687E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15pt;height:204.7pt" o:ole="">
            <v:imagedata r:id="rId44" o:title=""/>
          </v:shape>
          <o:OLEObject Type="Embed" ProgID="Origin95.Graph" ShapeID="_x0000_i1025" DrawAspect="Content" ObjectID="_1801574009" r:id="rId45"/>
        </w:object>
      </w:r>
    </w:p>
    <w:p w14:paraId="37E098D6" w14:textId="5E8BD25A" w:rsidR="006D6F60" w:rsidRPr="007C2F85" w:rsidRDefault="00414787" w:rsidP="004C079F">
      <w:pPr>
        <w:spacing w:afterLines="50" w:after="156"/>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6</w:t>
      </w:r>
      <w:r w:rsidR="004C079F" w:rsidRPr="007C2F85">
        <w:rPr>
          <w:rFonts w:ascii="Times New Roman" w:hAnsi="Times New Roman" w:cs="Times New Roman"/>
          <w:sz w:val="24"/>
          <w:szCs w:val="24"/>
        </w:rPr>
        <w:t xml:space="preserve"> Free energy diagrams for O</w:t>
      </w:r>
      <w:r w:rsidR="004C079F">
        <w:rPr>
          <w:rFonts w:ascii="Times New Roman" w:hAnsi="Times New Roman" w:cs="Times New Roman"/>
          <w:sz w:val="24"/>
          <w:szCs w:val="24"/>
        </w:rPr>
        <w:t>RR of JDAC without bias voltage</w:t>
      </w:r>
    </w:p>
    <w:p w14:paraId="3E542993"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sz w:val="24"/>
          <w:szCs w:val="24"/>
        </w:rPr>
        <w:br w:type="page"/>
      </w:r>
    </w:p>
    <w:p w14:paraId="3DCBD275"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lastRenderedPageBreak/>
        <w:drawing>
          <wp:inline distT="0" distB="0" distL="114300" distR="114300" wp14:anchorId="72D8B5D6" wp14:editId="1AF65829">
            <wp:extent cx="5130549" cy="2275027"/>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6"/>
                    <a:stretch>
                      <a:fillRect/>
                    </a:stretch>
                  </pic:blipFill>
                  <pic:spPr>
                    <a:xfrm>
                      <a:off x="0" y="0"/>
                      <a:ext cx="5138259" cy="2278446"/>
                    </a:xfrm>
                    <a:prstGeom prst="rect">
                      <a:avLst/>
                    </a:prstGeom>
                    <a:noFill/>
                    <a:ln>
                      <a:noFill/>
                    </a:ln>
                  </pic:spPr>
                </pic:pic>
              </a:graphicData>
            </a:graphic>
          </wp:inline>
        </w:drawing>
      </w:r>
    </w:p>
    <w:p w14:paraId="4F55951D" w14:textId="77777777" w:rsidR="006D6F60" w:rsidRPr="007C2F85" w:rsidRDefault="006D6F60" w:rsidP="00414787">
      <w:pPr>
        <w:rPr>
          <w:rFonts w:ascii="Times New Roman" w:hAnsi="Times New Roman" w:cs="Times New Roman"/>
          <w:sz w:val="24"/>
          <w:szCs w:val="24"/>
        </w:rPr>
      </w:pPr>
    </w:p>
    <w:p w14:paraId="24B99BDD" w14:textId="4AA4273A" w:rsidR="006D6F60" w:rsidRDefault="00414787" w:rsidP="004C079F">
      <w:pPr>
        <w:jc w:val="left"/>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7</w:t>
      </w:r>
      <w:r w:rsidR="004C079F" w:rsidRPr="007C2F85">
        <w:rPr>
          <w:rFonts w:ascii="Times New Roman" w:hAnsi="Times New Roman" w:cs="Times New Roman"/>
          <w:sz w:val="24"/>
          <w:szCs w:val="24"/>
        </w:rPr>
        <w:t xml:space="preserve"> Free energy diagrams for ORR of (</w:t>
      </w:r>
      <w:r w:rsidR="004C079F" w:rsidRPr="004C079F">
        <w:rPr>
          <w:rFonts w:ascii="Times New Roman" w:hAnsi="Times New Roman" w:cs="Times New Roman"/>
          <w:b/>
          <w:sz w:val="24"/>
          <w:szCs w:val="24"/>
        </w:rPr>
        <w:t>a</w:t>
      </w:r>
      <w:r w:rsidR="004C079F" w:rsidRPr="007C2F85">
        <w:rPr>
          <w:rFonts w:ascii="Times New Roman" w:hAnsi="Times New Roman" w:cs="Times New Roman"/>
          <w:sz w:val="24"/>
          <w:szCs w:val="24"/>
        </w:rPr>
        <w:t>) Fe-C</w:t>
      </w:r>
      <w:r w:rsidR="004C079F" w:rsidRPr="007C2F85">
        <w:rPr>
          <w:rFonts w:ascii="Times New Roman" w:hAnsi="Times New Roman" w:cs="Times New Roman"/>
          <w:sz w:val="24"/>
          <w:szCs w:val="24"/>
          <w:vertAlign w:val="subscript"/>
        </w:rPr>
        <w:t>4</w:t>
      </w:r>
      <w:r w:rsidR="004C079F" w:rsidRPr="007C2F85">
        <w:rPr>
          <w:rFonts w:ascii="Times New Roman" w:hAnsi="Times New Roman" w:cs="Times New Roman"/>
          <w:sz w:val="24"/>
          <w:szCs w:val="24"/>
        </w:rPr>
        <w:t>N, and (</w:t>
      </w:r>
      <w:r w:rsidR="004C079F" w:rsidRPr="004C079F">
        <w:rPr>
          <w:rFonts w:ascii="Times New Roman" w:hAnsi="Times New Roman" w:cs="Times New Roman"/>
          <w:b/>
          <w:sz w:val="24"/>
          <w:szCs w:val="24"/>
        </w:rPr>
        <w:t>b</w:t>
      </w:r>
      <w:r w:rsidR="004C079F" w:rsidRPr="007C2F85">
        <w:rPr>
          <w:rFonts w:ascii="Times New Roman" w:hAnsi="Times New Roman" w:cs="Times New Roman"/>
          <w:sz w:val="24"/>
          <w:szCs w:val="24"/>
        </w:rPr>
        <w:t>) Ni-C</w:t>
      </w:r>
      <w:r w:rsidR="004C079F" w:rsidRPr="007C2F85">
        <w:rPr>
          <w:rFonts w:ascii="Times New Roman" w:hAnsi="Times New Roman" w:cs="Times New Roman"/>
          <w:sz w:val="24"/>
          <w:szCs w:val="24"/>
          <w:vertAlign w:val="subscript"/>
        </w:rPr>
        <w:t>4</w:t>
      </w:r>
      <w:r w:rsidR="004C079F">
        <w:rPr>
          <w:rFonts w:ascii="Times New Roman" w:hAnsi="Times New Roman" w:cs="Times New Roman"/>
          <w:sz w:val="24"/>
          <w:szCs w:val="24"/>
        </w:rPr>
        <w:t>N</w:t>
      </w:r>
    </w:p>
    <w:p w14:paraId="1681B8FC" w14:textId="5FA5E992" w:rsidR="00C60F6D" w:rsidRDefault="00C60F6D" w:rsidP="004C079F">
      <w:pPr>
        <w:jc w:val="left"/>
        <w:rPr>
          <w:rFonts w:ascii="Times New Roman" w:hAnsi="Times New Roman" w:cs="Times New Roman"/>
          <w:sz w:val="24"/>
          <w:szCs w:val="24"/>
        </w:rPr>
      </w:pPr>
    </w:p>
    <w:p w14:paraId="7AFE6652" w14:textId="77777777" w:rsidR="00C60F6D" w:rsidRDefault="00C60F6D" w:rsidP="004C079F">
      <w:pPr>
        <w:jc w:val="left"/>
        <w:rPr>
          <w:rFonts w:ascii="Times New Roman" w:hAnsi="Times New Roman" w:cs="Times New Roman"/>
          <w:sz w:val="24"/>
          <w:szCs w:val="24"/>
        </w:rPr>
      </w:pPr>
      <w:bookmarkStart w:id="5" w:name="_GoBack"/>
      <w:bookmarkEnd w:id="5"/>
    </w:p>
    <w:p w14:paraId="52312891" w14:textId="77777777" w:rsidR="004C079F" w:rsidRPr="007C2F85" w:rsidRDefault="004C079F" w:rsidP="004C079F">
      <w:pPr>
        <w:jc w:val="left"/>
        <w:rPr>
          <w:rFonts w:ascii="Times New Roman" w:hAnsi="Times New Roman" w:cs="Times New Roman"/>
          <w:sz w:val="24"/>
          <w:szCs w:val="24"/>
        </w:rPr>
      </w:pPr>
    </w:p>
    <w:p w14:paraId="7F9D3A75"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5BCCCE7A" wp14:editId="5B19FA68">
            <wp:extent cx="5271135" cy="3434080"/>
            <wp:effectExtent l="0" t="0" r="5715" b="13970"/>
            <wp:docPr id="2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pic:cNvPicPr>
                      <a:picLocks noChangeAspect="1"/>
                    </pic:cNvPicPr>
                  </pic:nvPicPr>
                  <pic:blipFill>
                    <a:blip r:embed="rId47"/>
                    <a:stretch>
                      <a:fillRect/>
                    </a:stretch>
                  </pic:blipFill>
                  <pic:spPr>
                    <a:xfrm>
                      <a:off x="0" y="0"/>
                      <a:ext cx="5271135" cy="3434080"/>
                    </a:xfrm>
                    <a:prstGeom prst="rect">
                      <a:avLst/>
                    </a:prstGeom>
                    <a:noFill/>
                    <a:ln>
                      <a:noFill/>
                    </a:ln>
                  </pic:spPr>
                </pic:pic>
              </a:graphicData>
            </a:graphic>
          </wp:inline>
        </w:drawing>
      </w:r>
    </w:p>
    <w:p w14:paraId="37E1F8E5" w14:textId="77777777" w:rsidR="004C079F"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8</w:t>
      </w:r>
      <w:r w:rsidR="004C079F" w:rsidRPr="007C2F85">
        <w:rPr>
          <w:rFonts w:ascii="Times New Roman" w:hAnsi="Times New Roman" w:cs="Times New Roman"/>
          <w:sz w:val="24"/>
          <w:szCs w:val="24"/>
        </w:rPr>
        <w:t xml:space="preserve"> The reaction pathways of JDAC for OER. Blue, red, white, and grey balls are Ni, F</w:t>
      </w:r>
      <w:r w:rsidR="004C079F">
        <w:rPr>
          <w:rFonts w:ascii="Times New Roman" w:hAnsi="Times New Roman" w:cs="Times New Roman"/>
          <w:sz w:val="24"/>
          <w:szCs w:val="24"/>
        </w:rPr>
        <w:t>e, N, and C atoms, respectively</w:t>
      </w:r>
    </w:p>
    <w:p w14:paraId="4DD89E27" w14:textId="28434605" w:rsidR="006D6F60" w:rsidRPr="007C2F85" w:rsidRDefault="004C079F" w:rsidP="0015381B">
      <w:pPr>
        <w:jc w:val="center"/>
        <w:rPr>
          <w:rFonts w:ascii="Times New Roman" w:hAnsi="Times New Roman" w:cs="Times New Roman"/>
        </w:rPr>
      </w:pPr>
      <w:r w:rsidRPr="007C2F85">
        <w:rPr>
          <w:rFonts w:ascii="Times New Roman" w:hAnsi="Times New Roman" w:cs="Times New Roman"/>
          <w:noProof/>
        </w:rPr>
        <w:lastRenderedPageBreak/>
        <w:drawing>
          <wp:inline distT="0" distB="0" distL="114300" distR="114300" wp14:anchorId="0EA84AB1" wp14:editId="42452FD2">
            <wp:extent cx="4176215" cy="3103999"/>
            <wp:effectExtent l="0" t="0" r="0" b="127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48"/>
                    <a:stretch>
                      <a:fillRect/>
                    </a:stretch>
                  </pic:blipFill>
                  <pic:spPr>
                    <a:xfrm>
                      <a:off x="0" y="0"/>
                      <a:ext cx="4202992" cy="3123901"/>
                    </a:xfrm>
                    <a:prstGeom prst="rect">
                      <a:avLst/>
                    </a:prstGeom>
                    <a:noFill/>
                    <a:ln>
                      <a:noFill/>
                    </a:ln>
                  </pic:spPr>
                </pic:pic>
              </a:graphicData>
            </a:graphic>
          </wp:inline>
        </w:drawing>
      </w:r>
    </w:p>
    <w:p w14:paraId="0A381D8E" w14:textId="28C79456"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S3</w:t>
      </w:r>
      <w:r w:rsidR="004C079F" w:rsidRPr="007C2F85">
        <w:rPr>
          <w:rFonts w:ascii="Times New Roman" w:hAnsi="Times New Roman" w:cs="Times New Roman" w:hint="eastAsia"/>
          <w:b/>
          <w:bCs/>
          <w:sz w:val="24"/>
          <w:szCs w:val="24"/>
        </w:rPr>
        <w:t>9</w:t>
      </w:r>
      <w:r w:rsidR="004C079F" w:rsidRPr="007C2F85">
        <w:rPr>
          <w:rFonts w:ascii="Times New Roman" w:hAnsi="Times New Roman" w:cs="Times New Roman"/>
          <w:sz w:val="24"/>
          <w:szCs w:val="24"/>
        </w:rPr>
        <w:t xml:space="preserve"> The reaction pathways of JDAC for ORR. Blue, red, white, and grey balls are Ni, F</w:t>
      </w:r>
      <w:r w:rsidR="0015381B">
        <w:rPr>
          <w:rFonts w:ascii="Times New Roman" w:hAnsi="Times New Roman" w:cs="Times New Roman"/>
          <w:sz w:val="24"/>
          <w:szCs w:val="24"/>
        </w:rPr>
        <w:t>e, N, and C atoms, respectively</w:t>
      </w:r>
    </w:p>
    <w:p w14:paraId="25D28CD5"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404B827C" wp14:editId="4CE38A42">
            <wp:extent cx="3995536" cy="1917510"/>
            <wp:effectExtent l="0" t="0" r="5080"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rotWithShape="1">
                    <a:blip r:embed="rId49"/>
                    <a:srcRect t="72" r="35579" b="1"/>
                    <a:stretch/>
                  </pic:blipFill>
                  <pic:spPr bwMode="auto">
                    <a:xfrm>
                      <a:off x="0" y="0"/>
                      <a:ext cx="4006072" cy="1922566"/>
                    </a:xfrm>
                    <a:prstGeom prst="rect">
                      <a:avLst/>
                    </a:prstGeom>
                    <a:noFill/>
                    <a:ln>
                      <a:noFill/>
                    </a:ln>
                    <a:extLst>
                      <a:ext uri="{53640926-AAD7-44D8-BBD7-CCE9431645EC}">
                        <a14:shadowObscured xmlns:a14="http://schemas.microsoft.com/office/drawing/2010/main"/>
                      </a:ext>
                    </a:extLst>
                  </pic:spPr>
                </pic:pic>
              </a:graphicData>
            </a:graphic>
          </wp:inline>
        </w:drawing>
      </w:r>
    </w:p>
    <w:p w14:paraId="4258C713" w14:textId="77777777" w:rsidR="0015381B" w:rsidRDefault="00414787" w:rsidP="0015381B">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40</w:t>
      </w:r>
      <w:r w:rsidR="004C079F" w:rsidRPr="007C2F85">
        <w:rPr>
          <w:rFonts w:ascii="Times New Roman" w:hAnsi="Times New Roman" w:cs="Times New Roman"/>
          <w:sz w:val="24"/>
          <w:szCs w:val="24"/>
        </w:rPr>
        <w:t xml:space="preserve"> (</w:t>
      </w:r>
      <w:r w:rsidR="004C079F" w:rsidRPr="0015381B">
        <w:rPr>
          <w:rFonts w:ascii="Times New Roman" w:hAnsi="Times New Roman" w:cs="Times New Roman"/>
          <w:b/>
          <w:sz w:val="24"/>
          <w:szCs w:val="24"/>
        </w:rPr>
        <w:t>a</w:t>
      </w:r>
      <w:r w:rsidR="004C079F" w:rsidRPr="007C2F85">
        <w:rPr>
          <w:rFonts w:ascii="Times New Roman" w:hAnsi="Times New Roman" w:cs="Times New Roman"/>
          <w:sz w:val="24"/>
          <w:szCs w:val="24"/>
        </w:rPr>
        <w:t>) Galvanostatic discharge and (</w:t>
      </w:r>
      <w:r w:rsidR="004C079F" w:rsidRPr="0015381B">
        <w:rPr>
          <w:rFonts w:ascii="Times New Roman" w:hAnsi="Times New Roman" w:cs="Times New Roman"/>
          <w:b/>
          <w:sz w:val="24"/>
          <w:szCs w:val="24"/>
        </w:rPr>
        <w:t>b</w:t>
      </w:r>
      <w:r w:rsidR="004C079F" w:rsidRPr="007C2F85">
        <w:rPr>
          <w:rFonts w:ascii="Times New Roman" w:hAnsi="Times New Roman" w:cs="Times New Roman"/>
          <w:sz w:val="24"/>
          <w:szCs w:val="24"/>
        </w:rPr>
        <w:t>) galvanostatic charge curves of RZAB at different current densities under AM 1.5 G illumination</w:t>
      </w:r>
    </w:p>
    <w:p w14:paraId="2586F7A3" w14:textId="36825DE4" w:rsidR="006D6F60" w:rsidRPr="007C2F85" w:rsidRDefault="004C079F" w:rsidP="0015381B">
      <w:pPr>
        <w:jc w:val="center"/>
        <w:rPr>
          <w:rFonts w:ascii="Times New Roman" w:hAnsi="Times New Roman" w:cs="Times New Roman"/>
          <w:sz w:val="24"/>
          <w:szCs w:val="24"/>
        </w:rPr>
      </w:pPr>
      <w:r w:rsidRPr="007C2F85">
        <w:rPr>
          <w:rFonts w:ascii="Times New Roman" w:hAnsi="Times New Roman" w:cs="Times New Roman"/>
          <w:noProof/>
        </w:rPr>
        <w:drawing>
          <wp:inline distT="0" distB="0" distL="0" distR="0" wp14:anchorId="577EA627" wp14:editId="3A3FE1B0">
            <wp:extent cx="2714414" cy="2347415"/>
            <wp:effectExtent l="0" t="0" r="0" b="0"/>
            <wp:docPr id="8923480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48016" name="图片 1"/>
                    <pic:cNvPicPr>
                      <a:picLocks noChangeAspect="1"/>
                    </pic:cNvPicPr>
                  </pic:nvPicPr>
                  <pic:blipFill>
                    <a:blip r:embed="rId50"/>
                    <a:stretch>
                      <a:fillRect/>
                    </a:stretch>
                  </pic:blipFill>
                  <pic:spPr>
                    <a:xfrm>
                      <a:off x="0" y="0"/>
                      <a:ext cx="2749391" cy="2377663"/>
                    </a:xfrm>
                    <a:prstGeom prst="rect">
                      <a:avLst/>
                    </a:prstGeom>
                  </pic:spPr>
                </pic:pic>
              </a:graphicData>
            </a:graphic>
          </wp:inline>
        </w:drawing>
      </w:r>
    </w:p>
    <w:p w14:paraId="573FF0D8" w14:textId="77777777" w:rsidR="0015381B" w:rsidRDefault="00414787" w:rsidP="0015381B">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41</w:t>
      </w:r>
      <w:r w:rsidR="004C079F" w:rsidRPr="007C2F85">
        <w:rPr>
          <w:rFonts w:ascii="Times New Roman" w:hAnsi="Times New Roman" w:cs="Times New Roman"/>
          <w:sz w:val="24"/>
          <w:szCs w:val="24"/>
        </w:rPr>
        <w:t xml:space="preserve"> Comparison of galvanostatic charge/discharge curves of R</w:t>
      </w:r>
      <w:r w:rsidR="0015381B">
        <w:rPr>
          <w:rFonts w:ascii="Times New Roman" w:hAnsi="Times New Roman" w:cs="Times New Roman"/>
          <w:sz w:val="24"/>
          <w:szCs w:val="24"/>
        </w:rPr>
        <w:t>ZAB under AM 1.5 G illumination</w:t>
      </w:r>
    </w:p>
    <w:p w14:paraId="63D88BDE" w14:textId="4B076E01" w:rsidR="006D6F60" w:rsidRPr="007C2F85" w:rsidRDefault="004C079F" w:rsidP="0015381B">
      <w:pPr>
        <w:jc w:val="center"/>
        <w:rPr>
          <w:rFonts w:ascii="Times New Roman" w:hAnsi="Times New Roman" w:cs="Times New Roman"/>
          <w:sz w:val="24"/>
          <w:szCs w:val="24"/>
        </w:rPr>
      </w:pPr>
      <w:r w:rsidRPr="007C2F85">
        <w:rPr>
          <w:rFonts w:ascii="Times New Roman" w:hAnsi="Times New Roman" w:cs="Times New Roman"/>
          <w:noProof/>
        </w:rPr>
        <w:lastRenderedPageBreak/>
        <w:drawing>
          <wp:inline distT="0" distB="0" distL="114300" distR="114300" wp14:anchorId="47FC7376" wp14:editId="3AE65C25">
            <wp:extent cx="2802890" cy="2037080"/>
            <wp:effectExtent l="0" t="0" r="16510" b="127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51"/>
                    <a:stretch>
                      <a:fillRect/>
                    </a:stretch>
                  </pic:blipFill>
                  <pic:spPr>
                    <a:xfrm>
                      <a:off x="0" y="0"/>
                      <a:ext cx="2802890" cy="2037080"/>
                    </a:xfrm>
                    <a:prstGeom prst="rect">
                      <a:avLst/>
                    </a:prstGeom>
                    <a:noFill/>
                    <a:ln>
                      <a:noFill/>
                    </a:ln>
                  </pic:spPr>
                </pic:pic>
              </a:graphicData>
            </a:graphic>
          </wp:inline>
        </w:drawing>
      </w:r>
    </w:p>
    <w:p w14:paraId="511FFAB9" w14:textId="6833B403" w:rsidR="006D6F60" w:rsidRPr="007C2F85" w:rsidRDefault="00414787" w:rsidP="00414787">
      <w:pPr>
        <w:rPr>
          <w:rFonts w:ascii="Times New Roman" w:hAnsi="Times New Roman" w:cs="Times New Roman"/>
          <w:sz w:val="24"/>
          <w:szCs w:val="24"/>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42</w:t>
      </w:r>
      <w:r w:rsidR="004C079F" w:rsidRPr="007C2F85">
        <w:rPr>
          <w:rFonts w:ascii="Times New Roman" w:hAnsi="Times New Roman" w:cs="Times New Roman"/>
          <w:sz w:val="24"/>
          <w:szCs w:val="24"/>
        </w:rPr>
        <w:t xml:space="preserve"> Galvanostatic discharge-charge cycling curves with/without AM 1.5 G illumination 10 mA cm</w:t>
      </w:r>
      <w:r w:rsidR="004C079F" w:rsidRPr="007C2F85">
        <w:rPr>
          <w:rFonts w:ascii="Times New Roman" w:hAnsi="Times New Roman" w:cs="Times New Roman"/>
          <w:sz w:val="24"/>
          <w:szCs w:val="24"/>
          <w:vertAlign w:val="superscript"/>
        </w:rPr>
        <w:t>-2</w:t>
      </w:r>
    </w:p>
    <w:p w14:paraId="5076C41C" w14:textId="77777777" w:rsidR="006D6F60" w:rsidRPr="007C2F85" w:rsidRDefault="006D6F60" w:rsidP="00414787">
      <w:pPr>
        <w:rPr>
          <w:rFonts w:ascii="Times New Roman" w:hAnsi="Times New Roman" w:cs="Times New Roman"/>
          <w:sz w:val="24"/>
          <w:szCs w:val="24"/>
        </w:rPr>
      </w:pPr>
    </w:p>
    <w:p w14:paraId="774E531D" w14:textId="77777777" w:rsidR="006D6F60" w:rsidRPr="007C2F85" w:rsidRDefault="004C079F" w:rsidP="00414787">
      <w:pPr>
        <w:jc w:val="center"/>
        <w:rPr>
          <w:rFonts w:ascii="Times New Roman" w:hAnsi="Times New Roman" w:cs="Times New Roman"/>
          <w:sz w:val="24"/>
          <w:szCs w:val="24"/>
        </w:rPr>
      </w:pPr>
      <w:r w:rsidRPr="007C2F85">
        <w:rPr>
          <w:rFonts w:ascii="Times New Roman" w:hAnsi="Times New Roman" w:cs="Times New Roman"/>
          <w:noProof/>
        </w:rPr>
        <w:drawing>
          <wp:inline distT="0" distB="0" distL="114300" distR="114300" wp14:anchorId="3269CEF5" wp14:editId="07E3DA13">
            <wp:extent cx="2637782" cy="2231409"/>
            <wp:effectExtent l="0" t="0" r="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52"/>
                    <a:stretch>
                      <a:fillRect/>
                    </a:stretch>
                  </pic:blipFill>
                  <pic:spPr>
                    <a:xfrm>
                      <a:off x="0" y="0"/>
                      <a:ext cx="2644232" cy="2236865"/>
                    </a:xfrm>
                    <a:prstGeom prst="rect">
                      <a:avLst/>
                    </a:prstGeom>
                    <a:noFill/>
                    <a:ln>
                      <a:noFill/>
                    </a:ln>
                  </pic:spPr>
                </pic:pic>
              </a:graphicData>
            </a:graphic>
          </wp:inline>
        </w:drawing>
      </w:r>
    </w:p>
    <w:p w14:paraId="35670A51" w14:textId="77777777" w:rsidR="0015381B" w:rsidRDefault="00414787" w:rsidP="00414787">
      <w:pPr>
        <w:rPr>
          <w:rFonts w:ascii="Times New Roman" w:hAnsi="Times New Roman" w:cs="Times New Roman"/>
          <w:sz w:val="24"/>
          <w:szCs w:val="24"/>
          <w:vertAlign w:val="superscript"/>
        </w:rPr>
      </w:pPr>
      <w:r w:rsidRPr="00414787">
        <w:rPr>
          <w:rFonts w:ascii="Times New Roman" w:hAnsi="Times New Roman" w:cs="Times New Roman"/>
          <w:b/>
          <w:bCs/>
          <w:sz w:val="24"/>
          <w:szCs w:val="24"/>
        </w:rPr>
        <w:t>Fig.</w:t>
      </w:r>
      <w:r w:rsidR="004C079F" w:rsidRPr="007C2F85">
        <w:rPr>
          <w:rFonts w:ascii="Times New Roman" w:hAnsi="Times New Roman" w:cs="Times New Roman"/>
          <w:b/>
          <w:bCs/>
          <w:sz w:val="24"/>
          <w:szCs w:val="24"/>
        </w:rPr>
        <w:t xml:space="preserve"> S</w:t>
      </w:r>
      <w:r w:rsidR="004C079F" w:rsidRPr="007C2F85">
        <w:rPr>
          <w:rFonts w:ascii="Times New Roman" w:hAnsi="Times New Roman" w:cs="Times New Roman" w:hint="eastAsia"/>
          <w:b/>
          <w:bCs/>
          <w:sz w:val="24"/>
          <w:szCs w:val="24"/>
        </w:rPr>
        <w:t>43</w:t>
      </w:r>
      <w:r w:rsidR="004C079F" w:rsidRPr="007C2F85">
        <w:rPr>
          <w:rFonts w:ascii="Times New Roman" w:hAnsi="Times New Roman" w:cs="Times New Roman"/>
          <w:sz w:val="24"/>
          <w:szCs w:val="24"/>
        </w:rPr>
        <w:t xml:space="preserve"> Galvanostatic discharge-charge cycling curves under AM 1.5 G at 50 mA cm</w:t>
      </w:r>
      <w:r w:rsidR="004C079F" w:rsidRPr="007C2F85">
        <w:rPr>
          <w:rFonts w:ascii="Times New Roman" w:hAnsi="Times New Roman" w:cs="Times New Roman"/>
          <w:sz w:val="24"/>
          <w:szCs w:val="24"/>
          <w:vertAlign w:val="superscript"/>
        </w:rPr>
        <w:t>-2</w:t>
      </w:r>
    </w:p>
    <w:p w14:paraId="2C57D72B" w14:textId="7808104A" w:rsidR="006D6F60" w:rsidRPr="007C2F85" w:rsidRDefault="004C079F" w:rsidP="0015381B">
      <w:pPr>
        <w:spacing w:before="240"/>
        <w:rPr>
          <w:rFonts w:ascii="Times New Roman" w:hAnsi="Times New Roman" w:cs="Times New Roman"/>
          <w:sz w:val="24"/>
          <w:szCs w:val="24"/>
        </w:rPr>
      </w:pPr>
      <w:r w:rsidRPr="007C2F85">
        <w:rPr>
          <w:rFonts w:ascii="Times New Roman" w:hAnsi="Times New Roman" w:cs="Times New Roman"/>
          <w:b/>
          <w:bCs/>
          <w:sz w:val="24"/>
          <w:szCs w:val="24"/>
        </w:rPr>
        <w:t>Table S1</w:t>
      </w:r>
      <w:r w:rsidRPr="007C2F85">
        <w:rPr>
          <w:rFonts w:ascii="Times New Roman" w:hAnsi="Times New Roman" w:cs="Times New Roman"/>
          <w:sz w:val="24"/>
          <w:szCs w:val="24"/>
        </w:rPr>
        <w:t xml:space="preserve"> Elemental percentage for the catal</w:t>
      </w:r>
      <w:r w:rsidR="0015381B">
        <w:rPr>
          <w:rFonts w:ascii="Times New Roman" w:hAnsi="Times New Roman" w:cs="Times New Roman"/>
          <w:sz w:val="24"/>
          <w:szCs w:val="24"/>
        </w:rPr>
        <w:t>ysts based on the ICP-AES test</w:t>
      </w:r>
    </w:p>
    <w:tbl>
      <w:tblPr>
        <w:tblpPr w:leftFromText="180" w:rightFromText="180" w:vertAnchor="text" w:horzAnchor="page" w:tblpX="1672" w:tblpY="202"/>
        <w:tblOverlap w:val="never"/>
        <w:tblW w:w="4998" w:type="pct"/>
        <w:tblCellMar>
          <w:left w:w="0" w:type="dxa"/>
          <w:right w:w="0" w:type="dxa"/>
        </w:tblCellMar>
        <w:tblLook w:val="04A0" w:firstRow="1" w:lastRow="0" w:firstColumn="1" w:lastColumn="0" w:noHBand="0" w:noVBand="1"/>
      </w:tblPr>
      <w:tblGrid>
        <w:gridCol w:w="2402"/>
        <w:gridCol w:w="3423"/>
        <w:gridCol w:w="2478"/>
      </w:tblGrid>
      <w:tr w:rsidR="007C2F85" w:rsidRPr="0015381B" w14:paraId="262F3657" w14:textId="77777777" w:rsidTr="0015381B">
        <w:trPr>
          <w:trHeight w:val="113"/>
        </w:trPr>
        <w:tc>
          <w:tcPr>
            <w:tcW w:w="1446"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40E646D7"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Sample</w:t>
            </w:r>
          </w:p>
        </w:tc>
        <w:tc>
          <w:tcPr>
            <w:tcW w:w="2061"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5D38851D"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Fe (wt%)</w:t>
            </w:r>
          </w:p>
        </w:tc>
        <w:tc>
          <w:tcPr>
            <w:tcW w:w="1492"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5C578FA9"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Ni (wt%)</w:t>
            </w:r>
          </w:p>
        </w:tc>
      </w:tr>
      <w:tr w:rsidR="007C2F85" w:rsidRPr="0015381B" w14:paraId="2B9DF18A" w14:textId="77777777" w:rsidTr="0015381B">
        <w:trPr>
          <w:trHeight w:val="113"/>
        </w:trPr>
        <w:tc>
          <w:tcPr>
            <w:tcW w:w="1446"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7C446950"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JDAC</w:t>
            </w:r>
          </w:p>
        </w:tc>
        <w:tc>
          <w:tcPr>
            <w:tcW w:w="2061"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67892DBA"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7.96</w:t>
            </w:r>
          </w:p>
        </w:tc>
        <w:tc>
          <w:tcPr>
            <w:tcW w:w="1492" w:type="pct"/>
            <w:tcBorders>
              <w:top w:val="single" w:sz="6" w:space="0" w:color="000000"/>
              <w:bottom w:val="single" w:sz="6" w:space="0" w:color="000000"/>
            </w:tcBorders>
            <w:shd w:val="clear" w:color="auto" w:fill="auto"/>
            <w:tcMar>
              <w:top w:w="61" w:type="dxa"/>
              <w:left w:w="61" w:type="dxa"/>
              <w:bottom w:w="221" w:type="dxa"/>
              <w:right w:w="61" w:type="dxa"/>
            </w:tcMar>
            <w:vAlign w:val="center"/>
          </w:tcPr>
          <w:p w14:paraId="14AC2897" w14:textId="77777777" w:rsidR="006D6F60" w:rsidRPr="0015381B" w:rsidRDefault="004C079F" w:rsidP="0015381B">
            <w:pPr>
              <w:jc w:val="center"/>
              <w:rPr>
                <w:rFonts w:ascii="Times New Roman" w:eastAsia="等线" w:hAnsi="Times New Roman" w:cs="Times New Roman"/>
                <w:szCs w:val="21"/>
              </w:rPr>
            </w:pPr>
            <w:r w:rsidRPr="0015381B">
              <w:rPr>
                <w:rFonts w:ascii="Times New Roman" w:eastAsia="等线" w:hAnsi="Times New Roman" w:cs="Times New Roman"/>
                <w:szCs w:val="21"/>
              </w:rPr>
              <w:t>6.52</w:t>
            </w:r>
          </w:p>
        </w:tc>
      </w:tr>
    </w:tbl>
    <w:p w14:paraId="40C97885" w14:textId="062395D1" w:rsidR="006D6F60" w:rsidRPr="007C2F85" w:rsidRDefault="004C079F" w:rsidP="0015381B">
      <w:pPr>
        <w:spacing w:before="240"/>
        <w:rPr>
          <w:rFonts w:ascii="Times New Roman" w:hAnsi="Times New Roman" w:cs="Times New Roman"/>
          <w:sz w:val="24"/>
          <w:szCs w:val="24"/>
        </w:rPr>
      </w:pPr>
      <w:r w:rsidRPr="007C2F85">
        <w:rPr>
          <w:rFonts w:ascii="Times New Roman" w:hAnsi="Times New Roman" w:cs="Times New Roman"/>
          <w:b/>
          <w:bCs/>
          <w:sz w:val="24"/>
          <w:szCs w:val="24"/>
        </w:rPr>
        <w:t>Table S2</w:t>
      </w:r>
      <w:r w:rsidRPr="007C2F85">
        <w:rPr>
          <w:rFonts w:ascii="Times New Roman" w:hAnsi="Times New Roman" w:cs="Times New Roman"/>
          <w:sz w:val="24"/>
          <w:szCs w:val="24"/>
        </w:rPr>
        <w:t xml:space="preserve"> Parameters of E</w:t>
      </w:r>
      <w:r w:rsidR="0015381B">
        <w:rPr>
          <w:rFonts w:ascii="Times New Roman" w:hAnsi="Times New Roman" w:cs="Times New Roman"/>
          <w:sz w:val="24"/>
          <w:szCs w:val="24"/>
        </w:rPr>
        <w:t>XAFS fittings for the catalysts</w:t>
      </w:r>
    </w:p>
    <w:p w14:paraId="0C215239"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noProof/>
          <w:sz w:val="24"/>
          <w:szCs w:val="24"/>
        </w:rPr>
        <w:drawing>
          <wp:inline distT="0" distB="0" distL="0" distR="0" wp14:anchorId="3C9D33CC" wp14:editId="5AEF296B">
            <wp:extent cx="4940489" cy="883984"/>
            <wp:effectExtent l="0" t="0" r="0" b="0"/>
            <wp:docPr id="193494128" name="图片 19349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94128" name="图片 19349412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039073" cy="901623"/>
                    </a:xfrm>
                    <a:prstGeom prst="rect">
                      <a:avLst/>
                    </a:prstGeom>
                    <a:noFill/>
                  </pic:spPr>
                </pic:pic>
              </a:graphicData>
            </a:graphic>
          </wp:inline>
        </w:drawing>
      </w:r>
    </w:p>
    <w:p w14:paraId="755C0841" w14:textId="77777777" w:rsidR="006D6F60" w:rsidRPr="007C2F85" w:rsidRDefault="006D6F60" w:rsidP="00414787">
      <w:pPr>
        <w:rPr>
          <w:rFonts w:ascii="Times New Roman" w:hAnsi="Times New Roman" w:cs="Times New Roman"/>
          <w:sz w:val="24"/>
          <w:szCs w:val="24"/>
        </w:rPr>
      </w:pPr>
    </w:p>
    <w:p w14:paraId="66B5A49D" w14:textId="77777777" w:rsidR="006D6F60" w:rsidRPr="007C2F85" w:rsidRDefault="004C079F" w:rsidP="00414787">
      <w:pPr>
        <w:rPr>
          <w:rFonts w:ascii="Times New Roman" w:hAnsi="Times New Roman" w:cs="Times New Roman"/>
          <w:sz w:val="24"/>
          <w:szCs w:val="24"/>
        </w:rPr>
      </w:pPr>
      <w:r w:rsidRPr="007C2F85">
        <w:rPr>
          <w:rFonts w:ascii="Times New Roman" w:hAnsi="Times New Roman" w:cs="Times New Roman"/>
          <w:sz w:val="24"/>
          <w:szCs w:val="24"/>
        </w:rPr>
        <w:br w:type="page"/>
      </w:r>
    </w:p>
    <w:p w14:paraId="7D6A4C97" w14:textId="5ED962D9" w:rsidR="006D6F60" w:rsidRPr="007C2F85" w:rsidRDefault="004C079F" w:rsidP="00414787">
      <w:pPr>
        <w:widowControl/>
        <w:jc w:val="left"/>
        <w:rPr>
          <w:rFonts w:ascii="Times New Roman" w:hAnsi="Times New Roman" w:cs="Times New Roman"/>
          <w:sz w:val="24"/>
          <w:szCs w:val="24"/>
        </w:rPr>
      </w:pPr>
      <w:r w:rsidRPr="007C2F85">
        <w:rPr>
          <w:rFonts w:ascii="Times New Roman" w:hAnsi="Times New Roman" w:cs="Times New Roman"/>
          <w:b/>
          <w:bCs/>
          <w:sz w:val="24"/>
          <w:szCs w:val="24"/>
        </w:rPr>
        <w:lastRenderedPageBreak/>
        <w:t>Table S3</w:t>
      </w:r>
      <w:r w:rsidRPr="007C2F85">
        <w:rPr>
          <w:rFonts w:ascii="Times New Roman" w:hAnsi="Times New Roman" w:cs="Times New Roman"/>
          <w:sz w:val="24"/>
          <w:szCs w:val="24"/>
        </w:rPr>
        <w:t xml:space="preserve"> Electrocatalysis performances of photo-assiste</w:t>
      </w:r>
      <w:r w:rsidR="0015381B">
        <w:rPr>
          <w:rFonts w:ascii="Times New Roman" w:hAnsi="Times New Roman" w:cs="Times New Roman"/>
          <w:sz w:val="24"/>
          <w:szCs w:val="24"/>
        </w:rPr>
        <w:t>d bifunctional oxygen catalysis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1371"/>
        <w:gridCol w:w="1465"/>
        <w:gridCol w:w="1484"/>
        <w:gridCol w:w="584"/>
        <w:gridCol w:w="1053"/>
      </w:tblGrid>
      <w:tr w:rsidR="007C2F85" w:rsidRPr="007C2F85" w14:paraId="3A7D9C15" w14:textId="77777777">
        <w:tc>
          <w:tcPr>
            <w:tcW w:w="0" w:type="auto"/>
            <w:tcBorders>
              <w:top w:val="single" w:sz="4" w:space="0" w:color="auto"/>
              <w:bottom w:val="single" w:sz="4" w:space="0" w:color="auto"/>
            </w:tcBorders>
            <w:vAlign w:val="center"/>
          </w:tcPr>
          <w:p w14:paraId="64369FB3"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Bifunctional air cathode</w:t>
            </w:r>
          </w:p>
        </w:tc>
        <w:tc>
          <w:tcPr>
            <w:tcW w:w="0" w:type="auto"/>
            <w:tcBorders>
              <w:top w:val="single" w:sz="4" w:space="0" w:color="auto"/>
              <w:bottom w:val="single" w:sz="4" w:space="0" w:color="auto"/>
            </w:tcBorders>
            <w:vAlign w:val="center"/>
          </w:tcPr>
          <w:p w14:paraId="1E997C4F"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Light source</w:t>
            </w:r>
          </w:p>
        </w:tc>
        <w:tc>
          <w:tcPr>
            <w:tcW w:w="0" w:type="auto"/>
            <w:tcBorders>
              <w:top w:val="single" w:sz="4" w:space="0" w:color="auto"/>
              <w:bottom w:val="single" w:sz="4" w:space="0" w:color="auto"/>
            </w:tcBorders>
            <w:vAlign w:val="center"/>
          </w:tcPr>
          <w:p w14:paraId="014293DB"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Overpotential</w:t>
            </w:r>
          </w:p>
        </w:tc>
        <w:tc>
          <w:tcPr>
            <w:tcW w:w="0" w:type="auto"/>
            <w:tcBorders>
              <w:top w:val="single" w:sz="4" w:space="0" w:color="auto"/>
              <w:bottom w:val="single" w:sz="4" w:space="0" w:color="auto"/>
            </w:tcBorders>
            <w:vAlign w:val="center"/>
          </w:tcPr>
          <w:p w14:paraId="722EF207"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Onset potential</w:t>
            </w:r>
          </w:p>
        </w:tc>
        <w:tc>
          <w:tcPr>
            <w:tcW w:w="0" w:type="auto"/>
            <w:tcBorders>
              <w:top w:val="single" w:sz="4" w:space="0" w:color="auto"/>
              <w:bottom w:val="single" w:sz="4" w:space="0" w:color="auto"/>
            </w:tcBorders>
            <w:vAlign w:val="center"/>
          </w:tcPr>
          <w:p w14:paraId="0E07DC9A"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ΔE</w:t>
            </w:r>
          </w:p>
        </w:tc>
        <w:tc>
          <w:tcPr>
            <w:tcW w:w="0" w:type="auto"/>
            <w:tcBorders>
              <w:top w:val="single" w:sz="4" w:space="0" w:color="auto"/>
              <w:bottom w:val="single" w:sz="4" w:space="0" w:color="auto"/>
            </w:tcBorders>
            <w:vAlign w:val="center"/>
          </w:tcPr>
          <w:p w14:paraId="5EA6A7BB"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Ref</w:t>
            </w:r>
          </w:p>
        </w:tc>
      </w:tr>
      <w:tr w:rsidR="007C2F85" w:rsidRPr="007C2F85" w14:paraId="3834B2E3" w14:textId="77777777">
        <w:tc>
          <w:tcPr>
            <w:tcW w:w="0" w:type="auto"/>
            <w:tcBorders>
              <w:top w:val="single" w:sz="4" w:space="0" w:color="auto"/>
            </w:tcBorders>
            <w:vAlign w:val="center"/>
          </w:tcPr>
          <w:p w14:paraId="7FD9A1B9"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JDAC</w:t>
            </w:r>
          </w:p>
        </w:tc>
        <w:tc>
          <w:tcPr>
            <w:tcW w:w="0" w:type="auto"/>
            <w:tcBorders>
              <w:top w:val="single" w:sz="4" w:space="0" w:color="auto"/>
            </w:tcBorders>
            <w:vAlign w:val="center"/>
          </w:tcPr>
          <w:p w14:paraId="5B1E3D14"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visible light</w:t>
            </w:r>
          </w:p>
        </w:tc>
        <w:tc>
          <w:tcPr>
            <w:tcW w:w="0" w:type="auto"/>
            <w:tcBorders>
              <w:top w:val="single" w:sz="4" w:space="0" w:color="auto"/>
            </w:tcBorders>
            <w:vAlign w:val="center"/>
          </w:tcPr>
          <w:p w14:paraId="321A004F"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170</w:t>
            </w:r>
          </w:p>
        </w:tc>
        <w:tc>
          <w:tcPr>
            <w:tcW w:w="0" w:type="auto"/>
            <w:tcBorders>
              <w:top w:val="single" w:sz="4" w:space="0" w:color="auto"/>
            </w:tcBorders>
            <w:vAlign w:val="center"/>
          </w:tcPr>
          <w:p w14:paraId="2A8A9A96"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1.031</w:t>
            </w:r>
          </w:p>
        </w:tc>
        <w:tc>
          <w:tcPr>
            <w:tcW w:w="0" w:type="auto"/>
            <w:tcBorders>
              <w:top w:val="single" w:sz="4" w:space="0" w:color="auto"/>
            </w:tcBorders>
            <w:vAlign w:val="center"/>
          </w:tcPr>
          <w:p w14:paraId="225935B3"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0.62</w:t>
            </w:r>
          </w:p>
        </w:tc>
        <w:tc>
          <w:tcPr>
            <w:tcW w:w="0" w:type="auto"/>
            <w:tcBorders>
              <w:top w:val="single" w:sz="4" w:space="0" w:color="auto"/>
            </w:tcBorders>
            <w:vAlign w:val="center"/>
          </w:tcPr>
          <w:p w14:paraId="536DD943"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b/>
                <w:bCs/>
                <w:szCs w:val="21"/>
              </w:rPr>
              <w:t>This work</w:t>
            </w:r>
          </w:p>
        </w:tc>
      </w:tr>
      <w:tr w:rsidR="007C2F85" w:rsidRPr="007C2F85" w14:paraId="0F43D2A4" w14:textId="77777777">
        <w:tc>
          <w:tcPr>
            <w:tcW w:w="0" w:type="auto"/>
            <w:vAlign w:val="center"/>
          </w:tcPr>
          <w:p w14:paraId="58BF763F"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szCs w:val="21"/>
              </w:rPr>
              <w:t>CZ</w:t>
            </w:r>
          </w:p>
        </w:tc>
        <w:tc>
          <w:tcPr>
            <w:tcW w:w="0" w:type="auto"/>
            <w:vAlign w:val="center"/>
          </w:tcPr>
          <w:p w14:paraId="4428292D" w14:textId="77777777" w:rsidR="006D6F60" w:rsidRPr="007C2F85" w:rsidRDefault="006D6F60" w:rsidP="0015381B">
            <w:pPr>
              <w:rPr>
                <w:rFonts w:ascii="Times New Roman" w:hAnsi="Times New Roman" w:cs="Times New Roman"/>
                <w:b/>
                <w:bCs/>
              </w:rPr>
            </w:pPr>
          </w:p>
        </w:tc>
        <w:tc>
          <w:tcPr>
            <w:tcW w:w="0" w:type="auto"/>
            <w:vAlign w:val="center"/>
          </w:tcPr>
          <w:p w14:paraId="53C07877"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szCs w:val="21"/>
              </w:rPr>
              <w:t>410</w:t>
            </w:r>
          </w:p>
        </w:tc>
        <w:tc>
          <w:tcPr>
            <w:tcW w:w="0" w:type="auto"/>
            <w:vAlign w:val="center"/>
          </w:tcPr>
          <w:p w14:paraId="19DA5442"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szCs w:val="21"/>
              </w:rPr>
              <w:t>0.8</w:t>
            </w:r>
          </w:p>
        </w:tc>
        <w:tc>
          <w:tcPr>
            <w:tcW w:w="0" w:type="auto"/>
            <w:vAlign w:val="center"/>
          </w:tcPr>
          <w:p w14:paraId="67DF3873" w14:textId="77777777" w:rsidR="006D6F60" w:rsidRPr="007C2F85" w:rsidRDefault="004C079F" w:rsidP="0015381B">
            <w:pPr>
              <w:rPr>
                <w:rFonts w:ascii="Times New Roman" w:hAnsi="Times New Roman" w:cs="Times New Roman"/>
                <w:b/>
                <w:bCs/>
              </w:rPr>
            </w:pPr>
            <w:r w:rsidRPr="007C2F85">
              <w:rPr>
                <w:rFonts w:ascii="Times New Roman" w:eastAsia="等线" w:hAnsi="Times New Roman" w:cs="Times New Roman"/>
                <w:szCs w:val="21"/>
              </w:rPr>
              <w:t>0.84</w:t>
            </w:r>
          </w:p>
        </w:tc>
        <w:tc>
          <w:tcPr>
            <w:tcW w:w="0" w:type="auto"/>
            <w:vAlign w:val="center"/>
          </w:tcPr>
          <w:p w14:paraId="798570C3" w14:textId="580B23CE" w:rsidR="006D6F60" w:rsidRPr="0015381B" w:rsidRDefault="004C079F" w:rsidP="0015381B">
            <w:pPr>
              <w:rPr>
                <w:rFonts w:ascii="Times New Roman" w:hAnsi="Times New Roman" w:cs="Times New Roman"/>
                <w:b/>
                <w:bCs/>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{"citationID":"3hi4lgXH","properties":{"formattedCitation":"\\super [1]\\nosupersub{}","plainCitation":"[1]","noteIndex":0},"citationItems":[{"id":"msrF8eI4/6U6rn2aI","uris":["http://zotero.org/users/12869267/items/L3QLRWJ5"],"itemData":{"id":802,"type":"article-journal","abstract":"Energy level matching and structural stabilization of semiconductor electrode materials are critical for improving the efficiency and durability of bifunctional catalysts for photo-enhanced rechargeable Zn-air batteries. We developed a photoactive bifunctional air-electrocatalyst comprising n-type g-C3N4 and p-type copper-doped ZIF67 (CuZIF-67) composite. g-C3N4/CuZIF-67 exhibits wide-range solar spectrum absorption and enhanced elec­ tron–hole pairs separation efficiency owing to synergistic effects of a suitable bandgap width, staggered p-n heterojunction band gap structure, and built-in electric field at its p-n heterojunction, leading to higher oxygen evolution reaction (OER) and oxygen reduction reaction (ORR) activities compared with single p- and n-type catalysts. It has photo-enhanced charge/discharge abilities, has a voltage gap of 0.81 V under 1-sun-illumination, and maintains stable cycling with 60% round-trip efficiency under illumination over 1000 cycles for 336 h at 2 mA cm− 2. In conclusion, staggered p-n heterojunction and pyrrolic nitrogen-rich groups are important for effi­ cient and durable photo-enhanced Zn air batteries.","container-title":"Applied Catalysis B: Environmental","DOI":"10.1016/j.apcatb.2022.121096","ISSN":"09263373","journalAbbreviation":"Applied Catalysis B: Environmental","language":"en","page":"121096","source":"DOI.org (Crossref)","title":"Photoactive g-C3N4/CuZIF-67 bifunctional electrocatalyst with staggered p-n heterojunction for rechargeable Zn-air batteries","volume":"306","author":[{"family":"Ren","given":"Ren"},{"family":"Liu","given":"Guicheng"},{"family":"Kim","given":"Ji Young"},{"family":"Ardhi","given":"Ryanda Enggar Anugrah"},{"family":"Tran","given":"Minh Xuan"},{"family":"Yang","given":"Woochul"},{"family":"Lee","given":"Joong Kee"}],"issued":{"date-parts":[["2022",6]]}}}],"schema":"https://github.com/citation-style-language/schema/raw/master/csl-citation.json"}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w:t>
            </w:r>
            <w:r w:rsidRPr="0015381B">
              <w:rPr>
                <w:rFonts w:ascii="Times New Roman" w:hAnsi="Times New Roman" w:cs="Times New Roman"/>
              </w:rPr>
              <w:fldChar w:fldCharType="end"/>
            </w:r>
          </w:p>
        </w:tc>
      </w:tr>
      <w:tr w:rsidR="007C2F85" w:rsidRPr="007C2F85" w14:paraId="2C9DB874" w14:textId="77777777">
        <w:tc>
          <w:tcPr>
            <w:tcW w:w="0" w:type="auto"/>
            <w:vAlign w:val="center"/>
          </w:tcPr>
          <w:p w14:paraId="37F4A356"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CaFeRuO</w:t>
            </w:r>
            <w:r w:rsidRPr="007C2F85">
              <w:rPr>
                <w:rFonts w:ascii="Times New Roman" w:eastAsia="等线" w:hAnsi="Times New Roman" w:cs="Times New Roman"/>
                <w:szCs w:val="21"/>
                <w:vertAlign w:val="subscript"/>
              </w:rPr>
              <w:t>6</w:t>
            </w:r>
            <w:r w:rsidRPr="007C2F85">
              <w:rPr>
                <w:rFonts w:ascii="Times New Roman" w:eastAsia="等线" w:hAnsi="Times New Roman" w:cs="Times New Roman"/>
                <w:szCs w:val="21"/>
              </w:rPr>
              <w:t xml:space="preserve"> (CFR)</w:t>
            </w:r>
          </w:p>
        </w:tc>
        <w:tc>
          <w:tcPr>
            <w:tcW w:w="0" w:type="auto"/>
            <w:vAlign w:val="center"/>
          </w:tcPr>
          <w:p w14:paraId="3F2AF83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visible light</w:t>
            </w:r>
          </w:p>
        </w:tc>
        <w:tc>
          <w:tcPr>
            <w:tcW w:w="0" w:type="auto"/>
            <w:vAlign w:val="center"/>
          </w:tcPr>
          <w:p w14:paraId="6E80B42F"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400</w:t>
            </w:r>
          </w:p>
        </w:tc>
        <w:tc>
          <w:tcPr>
            <w:tcW w:w="0" w:type="auto"/>
            <w:vAlign w:val="center"/>
          </w:tcPr>
          <w:p w14:paraId="5A8D7259"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0.9</w:t>
            </w:r>
          </w:p>
        </w:tc>
        <w:tc>
          <w:tcPr>
            <w:tcW w:w="0" w:type="auto"/>
            <w:vAlign w:val="center"/>
          </w:tcPr>
          <w:p w14:paraId="7F68A329"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0.85</w:t>
            </w:r>
          </w:p>
        </w:tc>
        <w:tc>
          <w:tcPr>
            <w:tcW w:w="0" w:type="auto"/>
            <w:vAlign w:val="center"/>
          </w:tcPr>
          <w:p w14:paraId="6C484C22" w14:textId="5BA6F9ED"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{"citationID":"bei7o9ky","properties":{"formattedCitation":"\\super [2]\\nosupersub{}","plainCitation":"[2]","noteIndex":0},"citationItems":[{"id":"msrF8eI4/juNYRy7x","uris":["http://zotero.org/users/12869267/items/TEFGD7D2"],"itemData":{"id":804,"type":"article-journal","abstract":"Durable multifunctional electrocatalysts with zero emission and high catalytic activity are desirable for environmentally benign clean energy technologies such as water-splitting devices, fuel cells, and rechargeable metal−air batteries. Herein, we investigate a new antisite disordered polycrystalline double-perovskite oxide Ca2FeRuO6 (CFR) material for catalytic activity. This makes it a remarkable electrocatalyst with excellent stability in a highly alkaline (1 M KOH) medium for oxygen reduction reaction (ORR), oxygen evolution reaction (OER), and hydrogen evolution reaction (HER). The bulk perovskite exhibits signiﬁcant onset potentials of 0.9 V for ORR and 1.57 V vs the reversible hydrogen electrode (RHE) for OER, creating a superior bifunctional electrocatalyst. The novelty enhances for trifunctionality as it shows a moderate onset potential of −0.19 V vs RHE for HER. Substantially, the present material eﬃciently accelerates visible-light-driven water splitting for OER at neutral pH with excellent recyclability. The photo-/electroactive perovskite is an exceptional example of a heterogeneous catalyst for multifunctional activity. A plausible mechanistic pathway for the synergistic eﬀects of eg orbit-ﬁlling in perovskite oxides for OER, ORR, and HER activities is proposed by density functional theory (DFT) calculations.","container-title":"ACS Applied Energy Materials","DOI":"10.1021/acsaem.0c02579","ISSN":"2574-0962, 2574-0962","issue":"2","journalAbbreviation":"ACS Appl. Energy Mater.","language":"en","license":"https://doi.org/10.15223/policy-029","page":"1323-1334","source":"DOI.org (Crossref)","title":"Multifunctionality Exploration of Ca &lt;sub&gt;2&lt;/sub&gt; FeRuO &lt;sub&gt;6&lt;/sub&gt; : An Efficient Trifunctional Electrocatalyst toward OER/ORR/HER and Photocatalyst for Water Splitting","title-short":"Multifunctionality Exploration of Ca &lt;sub&gt;2&lt;/sub&gt; FeRuO &lt;sub&gt;6&lt;/sub&gt;","volume":"4","author":[{"family":"Kumar","given":"Nikhil"},{"family":"Naveen","given":"Kumari"},{"family":"Kumar","given":"Mukesh"},{"family":"Nagaiah","given":"Tharamani C."},{"family":"Sakla","given":"Rahul"},{"family":"Ghosh","given":"Amrita"},{"family":"Siruguri","given":"Vasudeva"},{"family":"Sadhukhan","given":"Surasree"},{"family":"Kanungo","given":"Sudipta"},{"family":"Paul","given":"Avijit Kumar"}],"issued":{"date-parts":[["2021",2,22]]}}}],"schema":"https://github.com/citation-style-language/schema/raw/master/csl-citation.json"}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w:t>
            </w:r>
            <w:r w:rsidRPr="0015381B">
              <w:rPr>
                <w:rFonts w:ascii="Times New Roman" w:hAnsi="Times New Roman" w:cs="Times New Roman"/>
              </w:rPr>
              <w:fldChar w:fldCharType="end"/>
            </w:r>
          </w:p>
        </w:tc>
      </w:tr>
      <w:tr w:rsidR="007C2F85" w:rsidRPr="007C2F85" w14:paraId="6CDBAF5C" w14:textId="77777777">
        <w:tc>
          <w:tcPr>
            <w:tcW w:w="0" w:type="auto"/>
            <w:vAlign w:val="center"/>
          </w:tcPr>
          <w:p w14:paraId="39B9F69C"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CoFe</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O</w:t>
            </w:r>
            <w:r w:rsidRPr="007C2F85">
              <w:rPr>
                <w:rFonts w:ascii="Times New Roman" w:eastAsia="等线" w:hAnsi="Times New Roman" w:cs="Times New Roman"/>
                <w:szCs w:val="21"/>
                <w:vertAlign w:val="subscript"/>
              </w:rPr>
              <w:t>4</w:t>
            </w:r>
            <w:r w:rsidRPr="007C2F85">
              <w:rPr>
                <w:rFonts w:ascii="Times New Roman" w:eastAsia="等线" w:hAnsi="Times New Roman" w:cs="Times New Roman"/>
                <w:szCs w:val="21"/>
              </w:rPr>
              <w:t>-N,S-C</w:t>
            </w:r>
          </w:p>
        </w:tc>
        <w:tc>
          <w:tcPr>
            <w:tcW w:w="0" w:type="auto"/>
            <w:vAlign w:val="center"/>
          </w:tcPr>
          <w:p w14:paraId="2E36888D"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300W Xe lamp</w:t>
            </w:r>
          </w:p>
        </w:tc>
        <w:tc>
          <w:tcPr>
            <w:tcW w:w="0" w:type="auto"/>
            <w:vAlign w:val="center"/>
          </w:tcPr>
          <w:p w14:paraId="7D2166CE"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410</w:t>
            </w:r>
          </w:p>
        </w:tc>
        <w:tc>
          <w:tcPr>
            <w:tcW w:w="0" w:type="auto"/>
            <w:vAlign w:val="center"/>
          </w:tcPr>
          <w:p w14:paraId="0571E806"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0.92</w:t>
            </w:r>
          </w:p>
        </w:tc>
        <w:tc>
          <w:tcPr>
            <w:tcW w:w="0" w:type="auto"/>
            <w:vAlign w:val="center"/>
          </w:tcPr>
          <w:p w14:paraId="7DDED2F7"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0.8</w:t>
            </w:r>
          </w:p>
        </w:tc>
        <w:tc>
          <w:tcPr>
            <w:tcW w:w="0" w:type="auto"/>
            <w:vAlign w:val="center"/>
          </w:tcPr>
          <w:p w14:paraId="6850550D" w14:textId="54896CDF"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{"citationID":"hodtQRYz","properties":{"formattedCitation":"\\super [3]\\nosupersub{}","plainCitation":"[3]","noteIndex":0},"citationItems":[{"id":"msrF8eI4/qQnYZw38","uris":["http://zotero.org/users/12869267/items/R5N8JQ2K"],"itemData":{"id":806,"type":"article-journal","abstract":"Abstract\n            \n              A novel “dual isolation of metal active sites” heterojunction engineering is developed in this work. The double isolation of the active sites is achieved through MN\n              4\n              (M = Co, Fe) coordinating bonds in sulfonated‐substituted metalloporphyrin (MTPPS) and electrostatic interactions of MTPPS absorbed with poly(3,4‐ethylenedioxythiophene) networks. Subsequent “in situ copyrolysis” over the precursors ensures effective contact between p‐type CoFe\n              2\n              O\n              4\n              and n‐type Fe\n              2\n              O\n              3\n              species with n‐type N,S‐doping carbon support, respectively. This leads to p–n CoFe\n              2\n              O\n              4\n              ‐N,S‐C and n–n Fe\n              2\n              O\n              3\n              ‐N,S‐C heterojunctions. Meanwhile, CoFe\n              2\n              O\n              4\n              ‐N,S‐C has a higher\n              E\n              VB\n              energy level (−6.22 eV) than Fe\n              2\n              O\n              3\n              ‐N,S‐C (−6.31 eV), achieving lower energy barrier, and thus superior oxygen reduction reaction (ORR) performance with a higher half‐wave potential (0.84 V) of CoFe\n              2\n              O\n              4\n              ‐N,S‐C than Fe\n              2\n              O\n              3\n              ‐N,S‐C (0.82 V). In addition, CoFe\n              2\n              O\n              4\n              ‐N,S‐C also exhibits higher oxygen evolution reaction (OER) performance with 100 mV lower overpotential (0.41 V) than Fe\n              2\n              O\n              3\n              ‐N,S‐C. The lower overpotential is a result of larger energy gap between\n              E\n              CB\n              energy level and Fermi level of CoFe\n              2\n              O\n              4\n              ‐N,S‐C. This is the first demonstration of a novel p–n heterojunction with a special band structure that plays a key role in highly active ORR and OER bifunctional catalysis. Moreover, CoFe\n              2\n              O\n              4\n              ‐N,S‐C displays significant photoelectrochemical enhancement upon light irradiation.","container-title":"Advanced Materials Interfaces","DOI":"10.1002/admi.202101386","ISSN":"2196-7350, 2196-7350","issue":"1","journalAbbreviation":"Adv Materials Inter","language":"en","page":"2101386","source":"DOI.org (Crossref)","title":"Electronic Band Structure Engineering of Transition Metal Oxide‐N,S‐Doped Carbon Catalysts for Photoassisted Oxygen Reduction and Oxygen Evolution Catalysis","volume":"9","author":[{"family":"Xiao","given":"Zuoxu"},{"family":"Lv","given":"Xuehui"},{"family":"Liu","given":"Shanshan"},{"family":"Liu","given":"Qi"},{"family":"Wang","given":"Fuling"},{"family":"Yan","given":"Wei"},{"family":"Xing","given":"Tao"},{"family":"Li","given":"Zhi"},{"family":"Li","given":"Xiyou"},{"family":"Chen","given":"Yanli"}],"issued":{"date-parts":[["2022",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3]</w:t>
            </w:r>
            <w:r w:rsidRPr="0015381B">
              <w:rPr>
                <w:rFonts w:ascii="Times New Roman" w:hAnsi="Times New Roman" w:cs="Times New Roman"/>
              </w:rPr>
              <w:fldChar w:fldCharType="end"/>
            </w:r>
          </w:p>
        </w:tc>
      </w:tr>
      <w:tr w:rsidR="007C2F85" w:rsidRPr="007C2F85" w14:paraId="04C99631" w14:textId="77777777">
        <w:tc>
          <w:tcPr>
            <w:tcW w:w="0" w:type="auto"/>
            <w:vAlign w:val="center"/>
          </w:tcPr>
          <w:p w14:paraId="42E33BE1"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ZnO/Cu</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O (ZnO/CuO)</w:t>
            </w:r>
          </w:p>
        </w:tc>
        <w:tc>
          <w:tcPr>
            <w:tcW w:w="0" w:type="auto"/>
            <w:vAlign w:val="center"/>
          </w:tcPr>
          <w:p w14:paraId="227D1077"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visible light</w:t>
            </w:r>
          </w:p>
        </w:tc>
        <w:tc>
          <w:tcPr>
            <w:tcW w:w="0" w:type="auto"/>
            <w:vAlign w:val="center"/>
          </w:tcPr>
          <w:p w14:paraId="32ED6406"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w:t>
            </w:r>
          </w:p>
        </w:tc>
        <w:tc>
          <w:tcPr>
            <w:tcW w:w="0" w:type="auto"/>
            <w:vAlign w:val="center"/>
          </w:tcPr>
          <w:p w14:paraId="5822F5E5"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0.9</w:t>
            </w:r>
          </w:p>
        </w:tc>
        <w:tc>
          <w:tcPr>
            <w:tcW w:w="0" w:type="auto"/>
            <w:vAlign w:val="center"/>
          </w:tcPr>
          <w:p w14:paraId="5040497A"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4D4FADC1" w14:textId="752DB3A4"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{"citationID":"ZILtvmq6","properties":{"formattedCitation":"\\super [4]\\nosupersub{}","plainCitation":"[4]","noteIndex":0},"citationItems":[{"id":"msrF8eI4/weryi63r","uris":["http://zotero.org/users/12869267/items/X5YZS4KB"],"itemData":{"id":808,"type":"article-journal","abstract":"Effective utilization of solar energy in battery systems has become an active attractive and active research in the field of green energy. Herein, highly efficient and stable bifunctional oxygen reduction reaction (ORR) and oxygen evolution reaction (OER) photoelectrodes are constructed for rechargeable Zn-air batteries. This work introduces a simple and efficient method for designing bifunctional ZnO/CuO composite materials with impressive photocatalytic activity, superhydrophilicity and excellent stability. Through the strategy of sunlight promotion, the ZnO/CuO photoelectrodes are used in the charging and discharging processes of Zn-air batteries, achieving low charge potential and high discharge potential of around 1.50 V and 1.28 V by galvanostatic charge and discharge, respectively. Under illumination, the short-circuit current and open-circuit voltage can reach up to 49 mA cm-2 and 0.9 V, respectively. We revealed that this bifunctionality is originated from the valence change mechanism of Cu, meaning that ZnO/Cu2O and ZnO/CuO play the photoelectric catalytic roles in charge and discharge processes, respectively. This work paves the way to introduce a facile and efficient method for the development of integrated single-cell photo-assisted Zn-air batteries.","container-title":"Chemical Engineering Journal","DOI":"10.1016/j.cej.2021.133559","ISSN":"13858947","journalAbbreviation":"Chemical Engineering Journal","language":"en","page":"133559","source":"DOI.org (Crossref)","title":"Rechargeable sunlight-promoted Zn-air battery constructed by bifunctional oxygen photoelectrodes: Energy-band switching between ZnO/Cu2O and ZnO/CuO in charge-discharge cycles","title-short":"Rechargeable sunlight-promoted Zn-air battery constructed by bifunctional oxygen photoelectrodes","volume":"433","author":[{"family":"Bu","given":"Degang"},{"family":"Batmunkh","given":"Munkhbayar"},{"family":"Zhang","given":"Yu"},{"family":"Li","given":"Yuewen"},{"family":"Qian","given":"Bingzhi"},{"family":"Lan","given":"Yalin"},{"family":"Hou","given":"Xing"},{"family":"Li","given":"Shuo"},{"family":"Jia","given":"Baohua"},{"family":"Song","given":"Xi-Ming"},{"family":"Ma","given":"Tianyi"}],"issued":{"date-parts":[["2022",4]]}}}],"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4]</w:t>
            </w:r>
            <w:r w:rsidRPr="0015381B">
              <w:rPr>
                <w:rFonts w:ascii="Times New Roman" w:hAnsi="Times New Roman" w:cs="Times New Roman"/>
              </w:rPr>
              <w:fldChar w:fldCharType="end"/>
            </w:r>
          </w:p>
        </w:tc>
      </w:tr>
      <w:tr w:rsidR="007C2F85" w:rsidRPr="007C2F85" w14:paraId="365D7B6B" w14:textId="77777777">
        <w:tc>
          <w:tcPr>
            <w:tcW w:w="0" w:type="auto"/>
            <w:vAlign w:val="center"/>
          </w:tcPr>
          <w:p w14:paraId="44937772"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TiO</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@In</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Se</w:t>
            </w:r>
            <w:r w:rsidRPr="007C2F85">
              <w:rPr>
                <w:rFonts w:ascii="Times New Roman" w:eastAsia="等线" w:hAnsi="Times New Roman" w:cs="Times New Roman"/>
                <w:szCs w:val="21"/>
                <w:vertAlign w:val="subscript"/>
              </w:rPr>
              <w:t>3</w:t>
            </w:r>
            <w:r w:rsidRPr="007C2F85">
              <w:rPr>
                <w:rFonts w:ascii="Times New Roman" w:eastAsia="等线" w:hAnsi="Times New Roman" w:cs="Times New Roman"/>
                <w:szCs w:val="21"/>
              </w:rPr>
              <w:t>@Ag</w:t>
            </w:r>
            <w:r w:rsidRPr="007C2F85">
              <w:rPr>
                <w:rFonts w:ascii="Times New Roman" w:eastAsia="等线" w:hAnsi="Times New Roman" w:cs="Times New Roman"/>
                <w:szCs w:val="21"/>
                <w:vertAlign w:val="subscript"/>
              </w:rPr>
              <w:t>3</w:t>
            </w:r>
            <w:r w:rsidRPr="007C2F85">
              <w:rPr>
                <w:rFonts w:ascii="Times New Roman" w:eastAsia="等线" w:hAnsi="Times New Roman" w:cs="Times New Roman"/>
                <w:szCs w:val="21"/>
              </w:rPr>
              <w:t>PO</w:t>
            </w:r>
            <w:r w:rsidRPr="007C2F85">
              <w:rPr>
                <w:rFonts w:ascii="Times New Roman" w:eastAsia="等线" w:hAnsi="Times New Roman" w:cs="Times New Roman"/>
                <w:szCs w:val="21"/>
                <w:vertAlign w:val="subscript"/>
              </w:rPr>
              <w:t>4</w:t>
            </w:r>
          </w:p>
        </w:tc>
        <w:tc>
          <w:tcPr>
            <w:tcW w:w="0" w:type="auto"/>
            <w:vAlign w:val="center"/>
          </w:tcPr>
          <w:p w14:paraId="685A193E"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365 nm</w:t>
            </w:r>
          </w:p>
        </w:tc>
        <w:tc>
          <w:tcPr>
            <w:tcW w:w="0" w:type="auto"/>
            <w:vAlign w:val="center"/>
          </w:tcPr>
          <w:p w14:paraId="63874EA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-510</w:t>
            </w:r>
          </w:p>
        </w:tc>
        <w:tc>
          <w:tcPr>
            <w:tcW w:w="0" w:type="auto"/>
            <w:vAlign w:val="center"/>
          </w:tcPr>
          <w:p w14:paraId="58E0D1BA"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1.32</w:t>
            </w:r>
          </w:p>
        </w:tc>
        <w:tc>
          <w:tcPr>
            <w:tcW w:w="0" w:type="auto"/>
            <w:vAlign w:val="center"/>
          </w:tcPr>
          <w:p w14:paraId="43DAB8D7"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-0.6</w:t>
            </w:r>
          </w:p>
        </w:tc>
        <w:tc>
          <w:tcPr>
            <w:tcW w:w="0" w:type="auto"/>
            <w:vAlign w:val="center"/>
          </w:tcPr>
          <w:p w14:paraId="38F1FC01" w14:textId="22D97D7C"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{"citationID":"fv9Y33BQ","properties":{"formattedCitation":"\\super [5]\\nosupersub{}","plainCitation":"[5]","noteIndex":0},"citationItems":[{"id":"msrF8eI4/tLoQp4am","uris":["http://zotero.org/users/12869267/items/9BJPS7NC"],"itemData":{"id":810,"type":"article-journal","abstract":"Zn-air batteries (ZABs) require a small discharging voltage and large charging voltage. In this work, mesoporous hollow nanospheres of titanium dioxide@indium selenide@silver phosphate (TiO2@In2Se3@Ag3PO4) are designed and synthesized. The three-layer structure consists of TiO2 as the inner layer, In2Se3 as the middle layer, and Ag3PO4 as the outer layer. When TiO2@In2Se3@Ag3PO4 is irradiated with light, In2Se3 serves as the sensitizer to enhance light absorption and in the three-layer architecture, the photogenerated electrons and holes migrate in opposite direction in the near surface to minimize recombination. Hence, the three monomeric ma­ terials produce synergistic effects upon light illumination. The excited electrons are mainly concentrated in the conduction band (CB) of In2Se3 to promote the oxygen reduction reaction (ORR) and also increase the output voltage during discharging. On the other hand, holes are primarily concentrated in the valence band (VB) of Ag3PO4 to promote the oxygen evolution reaction (OER) and decrease the input voltage during charging. During light illumination, the discharging and charging voltages of the ZABs are 1.82 V and 0.64 V, respectively. The novel materials design reveals an effective strategy to harvest photo energy for electrochemical storage devices.","container-title":"Chemical Engineering Journal","DOI":"10.1016/j.cej.2022.134650","ISSN":"13858947","journalAbbreviation":"Chemical Engineering Journal","language":"en","page":"134650","source":"DOI.org (Crossref)","title":"A light-activated TiO2@In2Se3@Ag3PO4 cathode for high-performance Zn-Air batteries","volume":"434","author":[{"family":"Feng","given":"Hange"},{"family":"Zhang","given":"Chaomin"},{"family":"Liu","given":"Zhiyuan"},{"family":"Sang","given":"Jingxin"},{"family":"Xue","given":"Shaolin"},{"family":"Chu","given":"Paul K."}],"issued":{"date-parts":[["2022",4]]}}}],"schema":"https://github.com/citation-style-language/schema/raw/master/csl-citation.json"}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5]</w:t>
            </w:r>
            <w:r w:rsidRPr="0015381B">
              <w:rPr>
                <w:rFonts w:ascii="Times New Roman" w:hAnsi="Times New Roman" w:cs="Times New Roman"/>
              </w:rPr>
              <w:fldChar w:fldCharType="end"/>
            </w:r>
          </w:p>
        </w:tc>
      </w:tr>
      <w:tr w:rsidR="007C2F85" w:rsidRPr="007C2F85" w14:paraId="6E296AE5" w14:textId="77777777">
        <w:tc>
          <w:tcPr>
            <w:tcW w:w="0" w:type="auto"/>
            <w:vAlign w:val="center"/>
          </w:tcPr>
          <w:p w14:paraId="3B549588"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polytrithiophene (pTTh)</w:t>
            </w:r>
          </w:p>
        </w:tc>
        <w:tc>
          <w:tcPr>
            <w:tcW w:w="0" w:type="auto"/>
            <w:vAlign w:val="center"/>
          </w:tcPr>
          <w:p w14:paraId="36F95E32"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365 nm</w:t>
            </w:r>
          </w:p>
        </w:tc>
        <w:tc>
          <w:tcPr>
            <w:tcW w:w="0" w:type="auto"/>
            <w:vAlign w:val="center"/>
          </w:tcPr>
          <w:p w14:paraId="179F6B33"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N.A.</w:t>
            </w:r>
          </w:p>
        </w:tc>
        <w:tc>
          <w:tcPr>
            <w:tcW w:w="0" w:type="auto"/>
            <w:vAlign w:val="center"/>
          </w:tcPr>
          <w:p w14:paraId="59E03E7F"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1.4</w:t>
            </w:r>
          </w:p>
        </w:tc>
        <w:tc>
          <w:tcPr>
            <w:tcW w:w="0" w:type="auto"/>
            <w:vAlign w:val="center"/>
          </w:tcPr>
          <w:p w14:paraId="0ACA661B"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11BBD6BA" w14:textId="7F075E39"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{"citationID":"zJymgXRB","properties":{"formattedCitation":"\\super [6]\\nosupersub{}","plainCitation":"[6]","noteIndex":0},"citationItems":[{"id":"msrF8eI4/eefWYwpZ","uris":["http://zotero.org/users/12869267/items/Y3TB29XN"],"itemData":{"id":812,"type":"article-journal","abstract":"Utilization of solar energy is of great interest for a sustainable society, and its conversion into electricity in a compact battery is challenging. Herein, a zinc–air battery with the polymer semiconductor polytrithiophene (pTTh) as the cathode is reported for direct conversion of photoenergy into electric energy. Upon irradiation, photoelectrons are generated in the conduction band (CB) of pTTh and then injected into the p2p* orbitals of O2 for its reduction to HO2À, which is disproportionated to OHÀ and drives the oxidation of Zn to ZnO at the anode. The discharge voltage was significantly increased to 1.78 V without decay during discharge–charge cycles over 64 h, which corresponds to an energy density increase of 29.0 % as compared to 1.38 V for a zinc–air battery with state-of-the-art Pt/C. The zinc–air battery with an intrinsically different reaction scheme for simultaneous conversion of chemical and photoenergy into electric energy opens a new pathway for utilization of solar energy.","container-title":"Angewandte Chemie International Edition","DOI":"10.1002/anie.201905954","ISSN":"1433-7851, 1521-3773","issue":"36","journalAbbreviation":"Angew Chem Int Ed","language":"en","page":"12460-12464","source":"DOI.org (Crossref)","title":"Photoinduced Oxygen Reduction Reaction Boosts the Output Voltage of a Zinc–Air Battery","volume":"58","author":[{"family":"Zhu","given":"Dongdong"},{"family":"Zhao","given":"Qiancheng"},{"family":"Fan","given":"Guilan"},{"family":"Zhao","given":"Shuo"},{"family":"Wang","given":"Liubin"},{"family":"Li","given":"Fujun"},{"family":"Chen","given":"Jun"}],"issued":{"date-parts":[["2019",9,2]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6]</w:t>
            </w:r>
            <w:r w:rsidRPr="0015381B">
              <w:rPr>
                <w:rFonts w:ascii="Times New Roman" w:hAnsi="Times New Roman" w:cs="Times New Roman"/>
              </w:rPr>
              <w:fldChar w:fldCharType="end"/>
            </w:r>
          </w:p>
        </w:tc>
      </w:tr>
      <w:tr w:rsidR="007C2F85" w:rsidRPr="007C2F85" w14:paraId="05DCD4C5" w14:textId="77777777">
        <w:tc>
          <w:tcPr>
            <w:tcW w:w="0" w:type="auto"/>
            <w:vAlign w:val="center"/>
          </w:tcPr>
          <w:p w14:paraId="45F6BE6A"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MnCo</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O</w:t>
            </w:r>
            <w:r w:rsidRPr="007C2F85">
              <w:rPr>
                <w:rFonts w:ascii="Times New Roman" w:eastAsia="等线" w:hAnsi="Times New Roman" w:cs="Times New Roman"/>
                <w:szCs w:val="21"/>
                <w:vertAlign w:val="subscript"/>
              </w:rPr>
              <w:t>4</w:t>
            </w:r>
          </w:p>
        </w:tc>
        <w:tc>
          <w:tcPr>
            <w:tcW w:w="0" w:type="auto"/>
            <w:vAlign w:val="center"/>
          </w:tcPr>
          <w:p w14:paraId="25F3BFA7"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visible light</w:t>
            </w:r>
          </w:p>
        </w:tc>
        <w:tc>
          <w:tcPr>
            <w:tcW w:w="0" w:type="auto"/>
            <w:vAlign w:val="center"/>
          </w:tcPr>
          <w:p w14:paraId="130C26AA"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~310</w:t>
            </w:r>
          </w:p>
        </w:tc>
        <w:tc>
          <w:tcPr>
            <w:tcW w:w="0" w:type="auto"/>
            <w:vAlign w:val="center"/>
          </w:tcPr>
          <w:p w14:paraId="5433F5B0"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0.87</w:t>
            </w:r>
          </w:p>
        </w:tc>
        <w:tc>
          <w:tcPr>
            <w:tcW w:w="0" w:type="auto"/>
            <w:vAlign w:val="center"/>
          </w:tcPr>
          <w:p w14:paraId="68654809"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10897F14" w14:textId="67D2A0DB"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{"citationID":"c9ZWBThZ","properties":{"formattedCitation":"\\super [7]\\nosupersub{}","plainCitation":"[7]","noteIndex":0},"citationItems":[{"id":"msrF8eI4/jb7nvvzL","uris":["http://zotero.org/users/12869267/items/R9Y5F2NC"],"itemData":{"id":814,"type":"article-journal","abstract":"Photoactive bimetal oxide catalysts towards oxygen evolution reaction (OER) and oxygen reduction reaction (ORR) activities have not yet been comprehensively investigated. Herein, this work presents the MnCo\n              2\n              O\n              4\n              nanofiber using as a photo-electrocatalyst for OER and ORR. After irradiation with visible light, the MnCo\n              2\n              O\n              4\n              decreases\n              ca.\n              17.1% and 15.4% in overpotential of OER and ORR, respectively, while the overpotential of the Co\n              3\n              O\n              4\n              is reduced\n              ca.\n              8.6% and 6.4% towards OER and ORR processes, respectively. These results suggest that MnCo\n              2\n              O\n              4\n              can enhance OER/ORR performances with two-fold higher than Co\n              3\n              O\n              4\n              under the light illumination. Due to the mixed valence states of Mn\n              2\n              +\n              and Mn\n              3\n              +\n              in its spinel structure, the MnCo\n              2\n              O\n              4\n              has lower band gap energy (1.7 eV) than the Co\n              3\n              O\n              4\n              nanofiber (2.0 eV). This narrower band gap can facilitate electron transfer from the valence band to the conduction band. Moreover, the photogenerated MnCo\n              2\n              O\n              4\n              *\n              holes can accelerate the reaction with OH\n              -\n              and H\n              2\n              O which subsequently enhances OER\n              \n              performance.","container-title":"ECS Transactions","DOI":"10.1149/09707.0071ecst","ISSN":"1938-5862, 1938-6737","issue":"7","journalAbbreviation":"ECS Trans.","language":"en","page":"71-86","source":"DOI.org (Crossref)","title":"MnCo &lt;sub&gt;2&lt;/sub&gt; O &lt;sub&gt;4&lt;/sub&gt; Nanofibers as Efficient Photo-electrocatalyst for Oxygen Evolution Reaction and Oxygen Reduction Reaction","volume":"97","author":[{"family":"Tomon","given":"Chanikarn"},{"family":"Sarawutanukul","given":"Sangchai"},{"family":"Duangdangchote","given":"Salatan"},{"family":"Krittayavathananon","given":"Atiweena"},{"family":"Sawangphruk","given":"Montree"}],"issued":{"date-parts":[["2020",6,25]]}}}],"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7]</w:t>
            </w:r>
            <w:r w:rsidRPr="0015381B">
              <w:rPr>
                <w:rFonts w:ascii="Times New Roman" w:hAnsi="Times New Roman" w:cs="Times New Roman"/>
              </w:rPr>
              <w:fldChar w:fldCharType="end"/>
            </w:r>
          </w:p>
        </w:tc>
      </w:tr>
      <w:tr w:rsidR="007C2F85" w:rsidRPr="007C2F85" w14:paraId="78378FFD" w14:textId="77777777">
        <w:tc>
          <w:tcPr>
            <w:tcW w:w="0" w:type="auto"/>
            <w:vAlign w:val="center"/>
          </w:tcPr>
          <w:p w14:paraId="03DB4D61"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NG/CCN</w:t>
            </w:r>
          </w:p>
        </w:tc>
        <w:tc>
          <w:tcPr>
            <w:tcW w:w="0" w:type="auto"/>
            <w:vAlign w:val="center"/>
          </w:tcPr>
          <w:p w14:paraId="0F34447A"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visible light</w:t>
            </w:r>
          </w:p>
        </w:tc>
        <w:tc>
          <w:tcPr>
            <w:tcW w:w="0" w:type="auto"/>
            <w:vAlign w:val="center"/>
          </w:tcPr>
          <w:p w14:paraId="6333C5AC"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300</w:t>
            </w:r>
          </w:p>
        </w:tc>
        <w:tc>
          <w:tcPr>
            <w:tcW w:w="0" w:type="auto"/>
            <w:vAlign w:val="center"/>
          </w:tcPr>
          <w:p w14:paraId="5433510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0.77</w:t>
            </w:r>
          </w:p>
        </w:tc>
        <w:tc>
          <w:tcPr>
            <w:tcW w:w="0" w:type="auto"/>
            <w:vAlign w:val="center"/>
          </w:tcPr>
          <w:p w14:paraId="4FB7F81E"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0.76</w:t>
            </w:r>
          </w:p>
        </w:tc>
        <w:tc>
          <w:tcPr>
            <w:tcW w:w="0" w:type="auto"/>
            <w:vAlign w:val="center"/>
          </w:tcPr>
          <w:p w14:paraId="5FB685CA" w14:textId="579A0B24"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{"citationID":"hYunbVWa","properties":{"formattedCitation":"\\super [8]\\nosupersub{}","plainCitation":"[8]","noteIndex":0},"citationItems":[{"id":"msrF8eI4/ze24i41R","uris":["http://zotero.org/users/12869267/items/7J3UPXBA"],"itemData":{"id":816,"type":"article-journal","abstract":"Distinctive electronegativity and similar atomic radius for elements of C and N afford their allotropic substances composed of these two elements with excellent photo- and electro-chemical performance for energy conversion. To explore the synergetic roles of allotropic substances, carbon-rich C3N4 (CCN) is insitu hydrothermally synthesized with the N-doped graphene (NG) grown by chemical vapor deposition (CVD) as the template to prepare the N-doped graphene/carbon-rich C3N4 composite. Compared to the N-doped graphene and carbon-rich C3N4, N-doped graphene/carbon-rich C3N4 composite exhibits the remarkable enhancement of catalytic activities toward hydrogen evolution reaction (HER), oxygen evolution reaction (OER) and oxygen reduction reaction (ORR). Particularly, visible light irradiation can signiﬁcantly improve the catalytic performance of N-doped graphene/carbon-rich C3N4 toward the above three reactions. Further results conﬁrm that N-doped graphene/carbon-rich C3N4 exhibits the improved electrochemically active surface area (ECSA), light-harvesting ability, effective separation of electron-hole pairs, and interfacial charge transfer as compared to the N-doped graphene and carbon-rich C3N4 which should be originated from the efﬁcient bridging between N-doped graphene and carbon-rich C3N4 layers. Our elucidation facilitates to pave their promising applications in microelectronic devices, wearable devices, photoelectrochemical batteries, sensors and other ﬁelds.","container-title":"Electrochimica Acta","DOI":"10.1016/j.electacta.2019.05.140","ISSN":"00134686","journalAbbreviation":"Electrochimica Acta","language":"en","page":"25-33","source":"DOI.org (Crossref)","title":"Bridging N-doped graphene and carbon rich C3N4 layers for photo-promoted multi-functional electrocatalysts","volume":"317","author":[{"family":"Yang","given":"Yimei"},{"family":"Hu","given":"Baoshan"},{"family":"Zhao","given":"Wenbin"},{"family":"Yang","given":"Qian"},{"family":"Yang","given":"Feng"},{"family":"Ren","given":"Juncong"},{"family":"Li","given":"Xiaogang"},{"family":"Jin","given":"Yan"},{"family":"Fang","given":"Liang"},{"family":"Pan","given":"Qingjiang"}],"issued":{"date-parts":[["2019",9]]}}}],"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8]</w:t>
            </w:r>
            <w:r w:rsidRPr="0015381B">
              <w:rPr>
                <w:rFonts w:ascii="Times New Roman" w:hAnsi="Times New Roman" w:cs="Times New Roman"/>
              </w:rPr>
              <w:fldChar w:fldCharType="end"/>
            </w:r>
          </w:p>
        </w:tc>
      </w:tr>
      <w:tr w:rsidR="007C2F85" w:rsidRPr="007C2F85" w14:paraId="7260E64A" w14:textId="77777777">
        <w:tc>
          <w:tcPr>
            <w:tcW w:w="0" w:type="auto"/>
            <w:vAlign w:val="center"/>
          </w:tcPr>
          <w:p w14:paraId="069BD58C"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pTTh</w:t>
            </w:r>
          </w:p>
        </w:tc>
        <w:tc>
          <w:tcPr>
            <w:tcW w:w="0" w:type="auto"/>
            <w:vAlign w:val="center"/>
          </w:tcPr>
          <w:p w14:paraId="235C206C"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visible light</w:t>
            </w:r>
          </w:p>
        </w:tc>
        <w:tc>
          <w:tcPr>
            <w:tcW w:w="0" w:type="auto"/>
            <w:vAlign w:val="center"/>
          </w:tcPr>
          <w:p w14:paraId="20548A6E"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760</w:t>
            </w:r>
          </w:p>
        </w:tc>
        <w:tc>
          <w:tcPr>
            <w:tcW w:w="0" w:type="auto"/>
            <w:vAlign w:val="center"/>
          </w:tcPr>
          <w:p w14:paraId="664F6477"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0.91</w:t>
            </w:r>
          </w:p>
        </w:tc>
        <w:tc>
          <w:tcPr>
            <w:tcW w:w="0" w:type="auto"/>
            <w:vAlign w:val="center"/>
          </w:tcPr>
          <w:p w14:paraId="0ECE268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1.16</w:t>
            </w:r>
          </w:p>
        </w:tc>
        <w:tc>
          <w:tcPr>
            <w:tcW w:w="0" w:type="auto"/>
            <w:vAlign w:val="center"/>
          </w:tcPr>
          <w:p w14:paraId="15A83E0B" w14:textId="0E4EAFFA"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{"citationID":"GOpMqoxc","properties":{"formattedCitation":"\\super [9]\\nosupersub{}","plainCitation":"[9]","noteIndex":0},"citationItems":[{"id":"msrF8eI4/flXGx1Ak","uris":["http://zotero.org/users/12869267/items/XLS67UFA"],"itemData":{"id":818,"type":"article-journal","abstract":"Photo-assisted zinc-air batteries have gained attention for incorporating solar energy, reducing reliance on nonrenewable sources, and promoting clean energy adoption. However, currently, the efficiency of the photoassisted cathode for oxygen reduction/evolution reactions (ORR/OER) remains low, and its application is limited to aqueous zinc-air batteries. Therefore, it is highly necessary to develop bifunctional cathodes with high photo-assisted ORR/OER efficiency and to expand the application of aqueous zinc-air batteries to flexible zinc-air batteries, providing efficient, flexible, and portable power solutions. In this study, we employed pTTh as a bifunctional catalyst in rechargeable zinc-air batteries (RZABs) and utilized solar energy to address the issues of high polarization and low round-trip efficiencies. For photo-assisted pTTh cathode, the Eonset is 0.910 V vs. RHE, E1/2 is 0.831 V vs. RHE, and E10 is 1.99 V vs. RHE. The power density of pTTh cathode-based ZABs is enhanced 56.25 % under illumination. Furthermore, we have pioneered the application of photo-assisted strategy in flexible zinc-air batteries. This photo-assisted pTTh cathode based flexible zinc-air batteries showing the discharge potential of ca. 1.2 V, and the charge potential of ca. 1.8 V at 0.1 mA cm− 2 under illumination. Further, under illumination a single photo-assisted flexible zinc-air battery can light up a diode and propel a toy car, and four photo-assisted rechargeable flexible Zn-air pouch batteries (FZAPBs) in series can charge a smartphone.","container-title":"Energy Storage Materials","DOI":"10.1016/j.ensm.2023.103139","ISSN":"24058297","journalAbbreviation":"Energy Storage Materials","language":"en","page":"103139","source":"DOI.org (Crossref)","title":"Flexible rechargeable photo-assisted zinc-air batteries based on photo-active pTTh bifunctional oxygen electrocatalyst","volume":"65","author":[{"family":"Hu","given":"Sujuan"},{"family":"Shi","given":"Jingwei"},{"family":"Yan","given":"Rong"},{"family":"Pang","given":"Shengcui"},{"family":"Zhang","given":"Zixuan"},{"family":"Wang","given":"Junjie"},{"family":"Zhu","given":"Mingshan"}],"issued":{"date-parts":[["2024",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9]</w:t>
            </w:r>
            <w:r w:rsidRPr="0015381B">
              <w:rPr>
                <w:rFonts w:ascii="Times New Roman" w:hAnsi="Times New Roman" w:cs="Times New Roman"/>
              </w:rPr>
              <w:fldChar w:fldCharType="end"/>
            </w:r>
          </w:p>
        </w:tc>
      </w:tr>
      <w:tr w:rsidR="007C2F85" w:rsidRPr="007C2F85" w14:paraId="3551943E" w14:textId="77777777">
        <w:tc>
          <w:tcPr>
            <w:tcW w:w="0" w:type="auto"/>
            <w:vAlign w:val="center"/>
          </w:tcPr>
          <w:p w14:paraId="0A6F8ADD"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Ni</w:t>
            </w:r>
            <w:r w:rsidRPr="007C2F85">
              <w:rPr>
                <w:rFonts w:ascii="Times New Roman" w:eastAsia="等线" w:hAnsi="Times New Roman" w:cs="Times New Roman"/>
                <w:szCs w:val="21"/>
                <w:vertAlign w:val="subscript"/>
              </w:rPr>
              <w:t>12</w:t>
            </w:r>
            <w:r w:rsidRPr="007C2F85">
              <w:rPr>
                <w:rFonts w:ascii="Times New Roman" w:eastAsia="等线" w:hAnsi="Times New Roman" w:cs="Times New Roman"/>
                <w:szCs w:val="21"/>
              </w:rPr>
              <w:t>P</w:t>
            </w:r>
            <w:r w:rsidRPr="007C2F85">
              <w:rPr>
                <w:rFonts w:ascii="Times New Roman" w:eastAsia="等线" w:hAnsi="Times New Roman" w:cs="Times New Roman"/>
                <w:szCs w:val="21"/>
                <w:vertAlign w:val="subscript"/>
              </w:rPr>
              <w:t>5</w:t>
            </w:r>
            <w:r w:rsidRPr="007C2F85">
              <w:rPr>
                <w:rFonts w:ascii="Times New Roman" w:eastAsia="等线" w:hAnsi="Times New Roman" w:cs="Times New Roman"/>
                <w:szCs w:val="21"/>
              </w:rPr>
              <w:t>@NCNT</w:t>
            </w:r>
          </w:p>
        </w:tc>
        <w:tc>
          <w:tcPr>
            <w:tcW w:w="0" w:type="auto"/>
            <w:vAlign w:val="center"/>
          </w:tcPr>
          <w:p w14:paraId="742EFC00"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AM 1.5G</w:t>
            </w:r>
          </w:p>
        </w:tc>
        <w:tc>
          <w:tcPr>
            <w:tcW w:w="0" w:type="auto"/>
            <w:vAlign w:val="center"/>
          </w:tcPr>
          <w:p w14:paraId="49868349"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360</w:t>
            </w:r>
          </w:p>
        </w:tc>
        <w:tc>
          <w:tcPr>
            <w:tcW w:w="0" w:type="auto"/>
            <w:vAlign w:val="center"/>
          </w:tcPr>
          <w:p w14:paraId="486767F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0.9</w:t>
            </w:r>
          </w:p>
        </w:tc>
        <w:tc>
          <w:tcPr>
            <w:tcW w:w="0" w:type="auto"/>
            <w:vAlign w:val="center"/>
          </w:tcPr>
          <w:p w14:paraId="420BCCB7"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59B9507C" w14:textId="14CCCBFB"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{"citationID":"LaIZgNmj","properties":{"formattedCitation":"\\super [10]\\nosupersub{}","plainCitation":"[10]","noteIndex":0},"citationItems":[{"id":"msrF8eI4/knAuACEd","uris":["http://zotero.org/users/12869267/items/YU5XC7GA"],"itemData":{"id":820,"type":"article-journal","abstract":"Oxygen reduction reaction (ORR) and oxygen evolution reaction (OER) are of paramount importance towards to regenerative fuel cells and rechargeable metal-air batteries. Many eﬀorts have been devoted to developing high active ORR and OER bifunctional electrocatalysts to improve the eﬃciency of devices. However, the possibility of using free solar energy in ORR/OER electrocatalysts to get higher eﬃciency in the devices has not yet been recognized. Herein, we report a photo-responsive bifunctional ORR/OER electrocatalyst with a built-in p-n heterojunction based on Ni12P5 nanoparticles (NPs) coupled strongly with nitrogen-doped carbon nanotubes (NCNT). The Ni12P5@NCNT hybrid catalyst exhibited unusually high catalytic activities for both ORR (onset potential at 0.90 V vs. RHE) and OER (η = 360 mV @10 mA cm−2) in 0.1 M KOH solution with a ΔE (EOj E=R 10 - EO1/R2R) = 0.82 V, comparable to that of its state-of-the-art counterparts (e.g., Pt for ORR, IrO2 for OER). Upon light irradiation (300 W Xenon lamp equipped with an AM 1.5G ﬁlter, 5 cm to electrode), the ΔE further decreased to 0.80 V. A rechargeable Zn-air battery devised from a Ni12P5@NCNT cathode in 6 M KOH/0.2 M Zn(Ac)2 exhibited a low charge-discharge voltage gap (~ 0.75 V @ 10 mA cm−2, charge potential = 1.94 V and discharge potential = 1.19 V) and a remarkable cycling stability over 500 cycles, which, upon the light irradiation, showed an even lower charge potential of 1.90 V and higher discharge potential of 1.22 V (i.e., a charge-discharge voltage gap: 0.68 V @ 10 mA cm−2). The irradiation caused also a concomitant increase in the round-trip eﬃciency from ~ 61.3% to ~ 64.2%. To demonstrate the potential applications in portable/wearable electronic devices, we have also developed all solid-state ﬂexible photo-assisted rechargeable Zn-air batteries based on the Ni12P5@NCNT air electrode with high-performance in the both presence and absence of light irradiation. This conceptual demonstration of the ﬁrst photo-responsive ORR/OER bifunctional catalyst is signiﬁcant as it reveals a novel catalytic mechanism, from which a class of new bifunctional catalysts with further enhanced photo-responsive performance could be developed, using in other rechargeable metal-air batteries.","container-title":"Nano Energy","DOI":"10.1016/j.nanoen.2017.11.020","ISSN":"22112855","journalAbbreviation":"Nano Energy","language":"en","page":"130-137","source":"DOI.org (Crossref)","title":"A photo-responsive bifunctional electrocatalyst for oxygen reduction and evolution reactions","volume":"43","author":[{"family":"Lv","given":"Jiangquan"},{"family":"Abbas","given":"Syed Comail"},{"family":"Huang","given":"Yiyin"},{"family":"Liu","given":"Qin"},{"family":"Wu","given":"Maoxiang"},{"family":"Wang","given":"Yaobing"},{"family":"Dai","given":"Liming"}],"issued":{"date-parts":[["2018",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10]</w:t>
            </w:r>
            <w:r w:rsidRPr="0015381B">
              <w:rPr>
                <w:rFonts w:ascii="Times New Roman" w:hAnsi="Times New Roman" w:cs="Times New Roman"/>
              </w:rPr>
              <w:fldChar w:fldCharType="end"/>
            </w:r>
          </w:p>
        </w:tc>
      </w:tr>
      <w:tr w:rsidR="007C2F85" w:rsidRPr="007C2F85" w14:paraId="3CBB261D" w14:textId="77777777">
        <w:tc>
          <w:tcPr>
            <w:tcW w:w="0" w:type="auto"/>
            <w:vAlign w:val="center"/>
          </w:tcPr>
          <w:p w14:paraId="15B0D748"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C</w:t>
            </w:r>
            <w:r w:rsidRPr="007C2F85">
              <w:rPr>
                <w:rFonts w:ascii="Times New Roman" w:eastAsia="等线" w:hAnsi="Times New Roman" w:cs="Times New Roman"/>
                <w:szCs w:val="21"/>
                <w:vertAlign w:val="subscript"/>
              </w:rPr>
              <w:t>4</w:t>
            </w:r>
            <w:r w:rsidRPr="007C2F85">
              <w:rPr>
                <w:rFonts w:ascii="Times New Roman" w:eastAsia="等线" w:hAnsi="Times New Roman" w:cs="Times New Roman"/>
                <w:szCs w:val="21"/>
              </w:rPr>
              <w:t>N@TiO</w:t>
            </w:r>
            <w:r w:rsidRPr="007C2F85">
              <w:rPr>
                <w:rFonts w:ascii="Times New Roman" w:eastAsia="等线" w:hAnsi="Times New Roman" w:cs="Times New Roman"/>
                <w:szCs w:val="21"/>
                <w:vertAlign w:val="subscript"/>
              </w:rPr>
              <w:t>2</w:t>
            </w:r>
            <w:r w:rsidRPr="007C2F85">
              <w:rPr>
                <w:rFonts w:ascii="Times New Roman" w:eastAsia="等线" w:hAnsi="Times New Roman" w:cs="Times New Roman"/>
                <w:szCs w:val="21"/>
              </w:rPr>
              <w:t>NR</w:t>
            </w:r>
          </w:p>
        </w:tc>
        <w:tc>
          <w:tcPr>
            <w:tcW w:w="0" w:type="auto"/>
            <w:vAlign w:val="center"/>
          </w:tcPr>
          <w:p w14:paraId="3C3FA6F2"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395 nm</w:t>
            </w:r>
          </w:p>
        </w:tc>
        <w:tc>
          <w:tcPr>
            <w:tcW w:w="0" w:type="auto"/>
            <w:vAlign w:val="center"/>
          </w:tcPr>
          <w:p w14:paraId="70F457D2"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~140</w:t>
            </w:r>
          </w:p>
        </w:tc>
        <w:tc>
          <w:tcPr>
            <w:tcW w:w="0" w:type="auto"/>
            <w:vAlign w:val="center"/>
          </w:tcPr>
          <w:p w14:paraId="68D9FF2F"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w:t>
            </w:r>
          </w:p>
        </w:tc>
        <w:tc>
          <w:tcPr>
            <w:tcW w:w="0" w:type="auto"/>
            <w:vAlign w:val="center"/>
          </w:tcPr>
          <w:p w14:paraId="0E1F9D7F"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6DE9C86E" w14:textId="1F13CC4B"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{"citationID":"poDTRLTS","properties":{"formattedCitation":"\\super [11]\\nosupersub{}","plainCitation":"[11]","noteIndex":0},"citationItems":[{"id":"msrF8eI4/7EbGaLZt","uris":["http://zotero.org/users/12869267/items/RB97X2C5"],"itemData":{"id":822,"type":"article-journal","abstract":"Abstract\n            \n              Here, a unique step‐scheme (S‐scheme) heterojunction array involving C\n              4\n              N and aligned TiO\n              2\n              nanorods, namely C\n              4\n              N@TiO\n              2\n              NR, is explored as an advanced photoelectrode for developing an innovative acid–base/Zn–air hybrid cell capable of harvesting light and chemical neutralization energy (CNE) in one integrated system to boost the charge/discharge performance. The properly staggered band arrangement with a built‐in electric field in C\n              4\n              N@TiO\n              2\n              NR induces an S‐type charge migration path to ensure superior redox ability of photogenerated carriers with efficient spatial separation. This coupled with the structural merits of 3D hierarchical arrays enables remarkable photocurrent response and facilitates oxygen evolution kinetics upon irradiation. Paring this heterojunction photoelectrode with an alkaline Zn electrode and an acidic air electrode produces a light and CNE dual‐assisted cell with two switchable modes of light‐assisted acid‐base/air battery (LABAB) and acid‐base battery (LAB). By capturing light during charge and CNE during discharge, LABAB breaks the limit of the equilibrium potential (1.65 V) of conventional Zn–air batteries (ZABs) to deliver impressive charge/discharge voltages of 0.43/2.02 and 0.87/1.86 V at 0.1 and 10 mA cm\n              −2\n              , superior to all reported ZABs. respectively. When LABAB is switched to LAB, it can harvest light and CNE simultaneously to afford markedly increased output voltage relative to common acid–base batteries.","container-title":"Advanced Functional Materials","DOI":"10.1002/adfm.202205518","ISSN":"1616-301X, 1616-3028","issue":"40","journalAbbreviation":"Adv Funct Materials","language":"en","page":"2205518","source":"DOI.org (Crossref)","title":"Unique Step‐Scheme Heterojunction Photoelectrodes for Dual‐Utilization of Light and Chemical Neutralization Energy in Switchable Dual‐Mode Batteries","volume":"32","author":[{"family":"Wang","given":"Xiaotong"},{"family":"Li","given":"Yuan"},{"family":"Yang","given":"Meijia"},{"family":"Liu","given":"Cong"},{"family":"Li","given":"Jing"},{"family":"Yu","given":"Dingshan"}],"issued":{"date-parts":[["2022",10]]}}}],"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11]</w:t>
            </w:r>
            <w:r w:rsidRPr="0015381B">
              <w:rPr>
                <w:rFonts w:ascii="Times New Roman" w:hAnsi="Times New Roman" w:cs="Times New Roman"/>
              </w:rPr>
              <w:fldChar w:fldCharType="end"/>
            </w:r>
          </w:p>
        </w:tc>
      </w:tr>
      <w:tr w:rsidR="007C2F85" w:rsidRPr="007C2F85" w14:paraId="7F1F6B01" w14:textId="77777777">
        <w:tc>
          <w:tcPr>
            <w:tcW w:w="0" w:type="auto"/>
            <w:vAlign w:val="center"/>
          </w:tcPr>
          <w:p w14:paraId="72B1EDA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C</w:t>
            </w:r>
            <w:r w:rsidRPr="007C2F85">
              <w:rPr>
                <w:rFonts w:ascii="Times New Roman" w:eastAsia="等线" w:hAnsi="Times New Roman" w:cs="Times New Roman"/>
                <w:szCs w:val="21"/>
                <w:vertAlign w:val="subscript"/>
              </w:rPr>
              <w:t>4</w:t>
            </w:r>
            <w:r w:rsidRPr="007C2F85">
              <w:rPr>
                <w:rFonts w:ascii="Times New Roman" w:eastAsia="等线" w:hAnsi="Times New Roman" w:cs="Times New Roman"/>
                <w:szCs w:val="21"/>
              </w:rPr>
              <w:t>N</w:t>
            </w:r>
          </w:p>
        </w:tc>
        <w:tc>
          <w:tcPr>
            <w:tcW w:w="0" w:type="auto"/>
            <w:vAlign w:val="center"/>
          </w:tcPr>
          <w:p w14:paraId="2EF694E1" w14:textId="77777777" w:rsidR="006D6F60" w:rsidRPr="007C2F85" w:rsidRDefault="006D6F60" w:rsidP="0015381B">
            <w:pPr>
              <w:rPr>
                <w:rFonts w:ascii="Times New Roman" w:hAnsi="Times New Roman" w:cs="Times New Roman"/>
              </w:rPr>
            </w:pPr>
          </w:p>
        </w:tc>
        <w:tc>
          <w:tcPr>
            <w:tcW w:w="0" w:type="auto"/>
            <w:vAlign w:val="center"/>
          </w:tcPr>
          <w:p w14:paraId="44BA4F95"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N.A.</w:t>
            </w:r>
          </w:p>
        </w:tc>
        <w:tc>
          <w:tcPr>
            <w:tcW w:w="0" w:type="auto"/>
            <w:vAlign w:val="center"/>
          </w:tcPr>
          <w:p w14:paraId="3A8BEAC9"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0.8</w:t>
            </w:r>
          </w:p>
        </w:tc>
        <w:tc>
          <w:tcPr>
            <w:tcW w:w="0" w:type="auto"/>
            <w:vAlign w:val="center"/>
          </w:tcPr>
          <w:p w14:paraId="24BAEAD3" w14:textId="77777777" w:rsidR="006D6F60" w:rsidRPr="007C2F85" w:rsidRDefault="004C079F" w:rsidP="0015381B">
            <w:pPr>
              <w:rPr>
                <w:rFonts w:ascii="Times New Roman" w:hAnsi="Times New Roman" w:cs="Times New Roman"/>
              </w:rPr>
            </w:pPr>
            <w:r w:rsidRPr="007C2F85">
              <w:rPr>
                <w:rFonts w:ascii="Times New Roman" w:hAnsi="Times New Roman" w:cs="Times New Roman"/>
              </w:rPr>
              <w:t>-</w:t>
            </w:r>
          </w:p>
        </w:tc>
        <w:tc>
          <w:tcPr>
            <w:tcW w:w="0" w:type="auto"/>
            <w:vAlign w:val="center"/>
          </w:tcPr>
          <w:p w14:paraId="31CF7745" w14:textId="151E5D89"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{"citationID":"OyQlBaTJ","properties":{"formattedCitation":"\\super [12]\\nosupersub{}","plainCitation":"[12]","noteIndex":0},"citationItems":[{"id":"msrF8eI4/LMqeM8hs","uris":["http://zotero.org/users/12869267/items/K63E9PGT"],"itemData":{"id":824,"type":"article-journal","abstract":"We report facile synthesis of low-band-gap mesoporous C4N particles and their use as responsive bifunctional oxygen catalysts for visible-light-sensitive (VLS) rechargeable Zn-air battery (RZAB) and polymer-air battery (RPAB). Compared to widely studied g-C3N4, C4N shows a smaller band gap of 1.99 eV, with a larger photocurrent response, and it can function as visible-light-harvesting antenna and bifunctional oxygen reduction/evolution (ORR/OER) catalysts, enabling effective photocoupling to tune oxygen catalysis. The C4Nenabled VLS-RZAB displays a low charge voltage of 1.35 V under visible light, which is below the theoretical RZAB voltage of 1.65 V, corresponding to a high energy efficiency of 97.78 %. Pairing a C4N cathode with a polymer anode also endows an VLS-RPAB with light-boosted charge performance. It is revealed that the ORR and OER active sites in C4N are separate carbon sites near pyrazine-nitrogen atoms and photogenerated energetic holes can activate OER for improved reaction kinetics.","container-title":"Angewandte Chemie International Edition","DOI":"10.1002/anie.202104790","ISSN":"1433-7851, 1521-3773","issue":"32","journalAbbreviation":"Angew Chem Int Ed","language":"en","page":"17615-17621","source":"DOI.org (Crossref)","title":"Capturing Visible Light in Low‐Band‐Gap C &lt;sub&gt;4&lt;/sub&gt; N‐Derived Responsive Bifunctional Air Electrodes for Solar Energy Conversion and Storage","volume":"60","author":[{"family":"Fang","given":"Zhengsong"},{"family":"Li","given":"Yuan"},{"family":"Li","given":"Jing"},{"family":"Shu","given":"Chenhao"},{"family":"Zhong","given":"Linfeng"},{"family":"Lu","given":"Shaolin"},{"family":"Mo","given":"Chunshao"},{"family":"Yang","given":"Meijia"},{"family":"Yu","given":"Dingshan"}],"issued":{"date-parts":[["2021",8,2]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12]</w:t>
            </w:r>
            <w:r w:rsidRPr="0015381B">
              <w:rPr>
                <w:rFonts w:ascii="Times New Roman" w:hAnsi="Times New Roman" w:cs="Times New Roman"/>
              </w:rPr>
              <w:fldChar w:fldCharType="end"/>
            </w:r>
          </w:p>
        </w:tc>
      </w:tr>
      <w:tr w:rsidR="007C2F85" w:rsidRPr="007C2F85" w14:paraId="2881E18B" w14:textId="77777777">
        <w:tc>
          <w:tcPr>
            <w:tcW w:w="0" w:type="auto"/>
            <w:tcBorders>
              <w:bottom w:val="single" w:sz="4" w:space="0" w:color="auto"/>
            </w:tcBorders>
            <w:vAlign w:val="center"/>
          </w:tcPr>
          <w:p w14:paraId="7358F681"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FeNi-S,N-HCS</w:t>
            </w:r>
          </w:p>
        </w:tc>
        <w:tc>
          <w:tcPr>
            <w:tcW w:w="0" w:type="auto"/>
            <w:tcBorders>
              <w:bottom w:val="single" w:sz="4" w:space="0" w:color="auto"/>
            </w:tcBorders>
            <w:vAlign w:val="center"/>
          </w:tcPr>
          <w:p w14:paraId="36F5977E"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 xml:space="preserve">　</w:t>
            </w:r>
          </w:p>
        </w:tc>
        <w:tc>
          <w:tcPr>
            <w:tcW w:w="0" w:type="auto"/>
            <w:tcBorders>
              <w:bottom w:val="single" w:sz="4" w:space="0" w:color="auto"/>
            </w:tcBorders>
            <w:vAlign w:val="center"/>
          </w:tcPr>
          <w:p w14:paraId="06C19485"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380</w:t>
            </w:r>
          </w:p>
        </w:tc>
        <w:tc>
          <w:tcPr>
            <w:tcW w:w="0" w:type="auto"/>
            <w:tcBorders>
              <w:bottom w:val="single" w:sz="4" w:space="0" w:color="auto"/>
            </w:tcBorders>
            <w:vAlign w:val="center"/>
          </w:tcPr>
          <w:p w14:paraId="4B6B5A5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w:t>
            </w:r>
          </w:p>
        </w:tc>
        <w:tc>
          <w:tcPr>
            <w:tcW w:w="0" w:type="auto"/>
            <w:tcBorders>
              <w:bottom w:val="single" w:sz="4" w:space="0" w:color="auto"/>
            </w:tcBorders>
            <w:vAlign w:val="center"/>
          </w:tcPr>
          <w:p w14:paraId="70752234" w14:textId="77777777" w:rsidR="006D6F60" w:rsidRPr="007C2F85" w:rsidRDefault="004C079F" w:rsidP="0015381B">
            <w:pPr>
              <w:rPr>
                <w:rFonts w:ascii="Times New Roman" w:hAnsi="Times New Roman" w:cs="Times New Roman"/>
              </w:rPr>
            </w:pPr>
            <w:r w:rsidRPr="007C2F85">
              <w:rPr>
                <w:rFonts w:ascii="Times New Roman" w:eastAsia="等线" w:hAnsi="Times New Roman" w:cs="Times New Roman"/>
                <w:szCs w:val="21"/>
              </w:rPr>
              <w:t>0.79</w:t>
            </w:r>
          </w:p>
        </w:tc>
        <w:tc>
          <w:tcPr>
            <w:tcW w:w="0" w:type="auto"/>
            <w:tcBorders>
              <w:bottom w:val="single" w:sz="4" w:space="0" w:color="auto"/>
            </w:tcBorders>
            <w:vAlign w:val="center"/>
          </w:tcPr>
          <w:p w14:paraId="58AE0EFD" w14:textId="6DACC1FD" w:rsidR="006D6F60" w:rsidRPr="0015381B" w:rsidRDefault="004C079F" w:rsidP="0015381B">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{"citationID":"if5Lo0zC","properties":{"formattedCitation":"\\super [13]\\nosupersub{}","plainCitation":"[13]","noteIndex":0},"citationItems":[{"id":"msrF8eI4/ECXPDq6w","uris":["http://zotero.org/users/12869267/items/VBIRLB3C"],"itemData":{"id":826,"type":"article-journal","abstract":"It is extremely challenging to significantly increase the voltaic efficiency, power density, and cycle stability of a Zn−air battery by just adjusting the catalytic performance of the cathode with nanometers/atomistic engineering because of the restriction of thermodynamic equilibrium potential. Herein, inspired by solar batteries, the S-atom-bridged FeNi particles and N-doped hollow carbon nanosphere composite configuration (FeNi-S,N-HCS) is presented as a prototype of muti-functional air electrode material (intrinsic electrocatalytic function and additional photothermal function) for designing photoresponsive all-solid-state Zn−air batteries (PR-ZABs) based on the photothermal effect. The local temperature of the FeNi-S,N-HCS electrode can well respond to the stimuli of sunlight irradiation because of their superior photothermal effect. As expected, under illumination, the power density of the as-fabricated PR-ZABs based on the FeNi-S,NHCS electrode can be improved from 77 mW cm−2 to 126 mW cm−2. Simultaneously, charge voltage can be dramatically reduced, and cycle lifetime is also prolonged under illumination, because of the expedited electrocatalytic kinetics, the increased electrical conductivity, and the accelerated desorption rate of O2 bubbles from the electrode. By exerting the intrinsic electrocatalytic and photothermal efficiency of the electrode materials, this research paves new ways to improve battery performance from kinetic and thermodynamic perspectives.","container-title":"ACS Applied Materials &amp; Interfaces","DOI":"10.1021/acsami.2c19663","ISSN":"1944-8244, 1944-8252","issue":"2","journalAbbreviation":"ACS Appl. Mater. Interfaces","language":"en","license":"https://doi.org/10.15223/policy-029","page":"2985-2995","source":"DOI.org (Crossref)","title":"Solar-Light-Responsive Zinc–Air Battery with Self-Regulated Charge–Discharge Performance based on Photothermal Effect","volume":"15","author":[{"family":"Zheng","given":"Shushan"},{"family":"Chen","given":"Mengyu"},{"family":"Chen","given":"Kui"},{"family":"Wu","given":"Yongjian"},{"family":"Yu","given":"Jing"},{"family":"Jiang","given":"Tongtong"},{"family":"Wu","given":"Mingzai"}],"issued":{"date-parts":[["2023",1,18]]}}}],"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13]</w:t>
            </w:r>
            <w:r w:rsidRPr="0015381B">
              <w:rPr>
                <w:rFonts w:ascii="Times New Roman" w:hAnsi="Times New Roman" w:cs="Times New Roman"/>
              </w:rPr>
              <w:fldChar w:fldCharType="end"/>
            </w:r>
          </w:p>
        </w:tc>
      </w:tr>
    </w:tbl>
    <w:p w14:paraId="7A7AFDC7" w14:textId="7B2B1FDB" w:rsidR="006D6F60" w:rsidRPr="007C2F85" w:rsidRDefault="004C079F" w:rsidP="0015381B">
      <w:pPr>
        <w:spacing w:beforeLines="100" w:before="312"/>
        <w:rPr>
          <w:rFonts w:ascii="Times New Roman" w:hAnsi="Times New Roman" w:cs="Times New Roman"/>
          <w:sz w:val="24"/>
          <w:szCs w:val="24"/>
        </w:rPr>
      </w:pPr>
      <w:r w:rsidRPr="0015381B">
        <w:rPr>
          <w:rFonts w:ascii="Times New Roman" w:hAnsi="Times New Roman" w:cs="Times New Roman" w:hint="eastAsia"/>
          <w:b/>
          <w:sz w:val="24"/>
          <w:szCs w:val="24"/>
        </w:rPr>
        <w:t>Tabel S4</w:t>
      </w:r>
      <w:r w:rsidRPr="007C2F85">
        <w:rPr>
          <w:rFonts w:ascii="Times New Roman" w:hAnsi="Times New Roman" w:cs="Times New Roman" w:hint="eastAsia"/>
          <w:sz w:val="24"/>
          <w:szCs w:val="24"/>
        </w:rPr>
        <w:t xml:space="preserve"> Fitting parameters of the </w:t>
      </w:r>
      <w:r w:rsidRPr="007C2F85">
        <w:rPr>
          <w:rFonts w:ascii="Times New Roman" w:hAnsi="Times New Roman" w:cs="Times New Roman"/>
          <w:sz w:val="24"/>
          <w:szCs w:val="24"/>
        </w:rPr>
        <w:t>near-edge simulated spectra of Fe and Ni</w:t>
      </w:r>
    </w:p>
    <w:tbl>
      <w:tblPr>
        <w:tblStyle w:val="21"/>
        <w:tblpPr w:leftFromText="180" w:rightFromText="180" w:vertAnchor="text" w:horzAnchor="margin" w:tblpY="224"/>
        <w:tblW w:w="0" w:type="auto"/>
        <w:tblLook w:val="04A0" w:firstRow="1" w:lastRow="0" w:firstColumn="1" w:lastColumn="0" w:noHBand="0" w:noVBand="1"/>
      </w:tblPr>
      <w:tblGrid>
        <w:gridCol w:w="1088"/>
        <w:gridCol w:w="1046"/>
        <w:gridCol w:w="990"/>
        <w:gridCol w:w="976"/>
        <w:gridCol w:w="1509"/>
        <w:gridCol w:w="1509"/>
        <w:gridCol w:w="1178"/>
      </w:tblGrid>
      <w:tr w:rsidR="007C2F85" w:rsidRPr="0015381B" w14:paraId="496E538B" w14:textId="77777777" w:rsidTr="006D6F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8" w:type="dxa"/>
          </w:tcPr>
          <w:p w14:paraId="5B66C396" w14:textId="77777777" w:rsidR="006D6F60" w:rsidRPr="0015381B" w:rsidRDefault="004C079F" w:rsidP="00414787">
            <w:pPr>
              <w:jc w:val="center"/>
              <w:rPr>
                <w:rFonts w:ascii="Times New Roman" w:hAnsi="Times New Roman" w:cs="Times New Roman"/>
                <w:b w:val="0"/>
                <w:bCs w:val="0"/>
                <w:szCs w:val="21"/>
              </w:rPr>
            </w:pPr>
            <w:r w:rsidRPr="0015381B">
              <w:rPr>
                <w:rFonts w:ascii="Times New Roman" w:hAnsi="Times New Roman" w:cs="Times New Roman" w:hint="eastAsia"/>
                <w:szCs w:val="21"/>
              </w:rPr>
              <w:t>E</w:t>
            </w:r>
            <w:r w:rsidRPr="0015381B">
              <w:rPr>
                <w:rFonts w:ascii="Times New Roman" w:hAnsi="Times New Roman" w:cs="Times New Roman"/>
                <w:szCs w:val="21"/>
              </w:rPr>
              <w:t>lement</w:t>
            </w:r>
          </w:p>
        </w:tc>
        <w:tc>
          <w:tcPr>
            <w:tcW w:w="1046" w:type="dxa"/>
          </w:tcPr>
          <w:p w14:paraId="106A3AEB"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Radius</w:t>
            </w:r>
          </w:p>
        </w:tc>
        <w:tc>
          <w:tcPr>
            <w:tcW w:w="990" w:type="dxa"/>
          </w:tcPr>
          <w:p w14:paraId="566312A6"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Ecent</w:t>
            </w:r>
          </w:p>
        </w:tc>
        <w:tc>
          <w:tcPr>
            <w:tcW w:w="976" w:type="dxa"/>
          </w:tcPr>
          <w:p w14:paraId="31CF5CDF"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Elarg</w:t>
            </w:r>
          </w:p>
        </w:tc>
        <w:tc>
          <w:tcPr>
            <w:tcW w:w="1509" w:type="dxa"/>
          </w:tcPr>
          <w:p w14:paraId="7B2AA66F"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Gamma_max</w:t>
            </w:r>
          </w:p>
        </w:tc>
        <w:tc>
          <w:tcPr>
            <w:tcW w:w="1509" w:type="dxa"/>
          </w:tcPr>
          <w:p w14:paraId="2E3FDED8"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Gamma_hole</w:t>
            </w:r>
          </w:p>
        </w:tc>
        <w:tc>
          <w:tcPr>
            <w:tcW w:w="1178" w:type="dxa"/>
          </w:tcPr>
          <w:p w14:paraId="6354DB4F" w14:textId="77777777" w:rsidR="006D6F60" w:rsidRPr="0015381B" w:rsidRDefault="004C079F" w:rsidP="004147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1"/>
              </w:rPr>
            </w:pPr>
            <w:r w:rsidRPr="0015381B">
              <w:rPr>
                <w:rFonts w:ascii="Times New Roman" w:hAnsi="Times New Roman" w:cs="Times New Roman"/>
                <w:szCs w:val="21"/>
              </w:rPr>
              <w:t>E_Cut</w:t>
            </w:r>
          </w:p>
        </w:tc>
      </w:tr>
      <w:tr w:rsidR="007C2F85" w:rsidRPr="0015381B" w14:paraId="3B088162" w14:textId="77777777" w:rsidTr="006D6F60">
        <w:tc>
          <w:tcPr>
            <w:cnfStyle w:val="001000000000" w:firstRow="0" w:lastRow="0" w:firstColumn="1" w:lastColumn="0" w:oddVBand="0" w:evenVBand="0" w:oddHBand="0" w:evenHBand="0" w:firstRowFirstColumn="0" w:firstRowLastColumn="0" w:lastRowFirstColumn="0" w:lastRowLastColumn="0"/>
            <w:tcW w:w="1088" w:type="dxa"/>
            <w:tcBorders>
              <w:top w:val="single" w:sz="4" w:space="0" w:color="7F7F7F" w:themeColor="text1" w:themeTint="80"/>
              <w:bottom w:val="single" w:sz="4" w:space="0" w:color="7F7F7F" w:themeColor="text1" w:themeTint="80"/>
            </w:tcBorders>
          </w:tcPr>
          <w:p w14:paraId="2887E047" w14:textId="77777777" w:rsidR="006D6F60" w:rsidRPr="0015381B" w:rsidRDefault="004C079F" w:rsidP="00414787">
            <w:pPr>
              <w:jc w:val="center"/>
              <w:rPr>
                <w:rFonts w:ascii="Times New Roman" w:hAnsi="Times New Roman" w:cs="Times New Roman"/>
                <w:b w:val="0"/>
                <w:bCs w:val="0"/>
                <w:szCs w:val="21"/>
              </w:rPr>
            </w:pPr>
            <w:r w:rsidRPr="0015381B">
              <w:rPr>
                <w:rFonts w:ascii="Times New Roman" w:hAnsi="Times New Roman" w:cs="Times New Roman"/>
                <w:szCs w:val="21"/>
              </w:rPr>
              <w:t>Fe</w:t>
            </w:r>
          </w:p>
        </w:tc>
        <w:tc>
          <w:tcPr>
            <w:tcW w:w="1046" w:type="dxa"/>
            <w:tcBorders>
              <w:top w:val="single" w:sz="4" w:space="0" w:color="7F7F7F" w:themeColor="text1" w:themeTint="80"/>
              <w:bottom w:val="single" w:sz="4" w:space="0" w:color="7F7F7F" w:themeColor="text1" w:themeTint="80"/>
            </w:tcBorders>
          </w:tcPr>
          <w:p w14:paraId="7FB3C307"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4</w:t>
            </w:r>
          </w:p>
        </w:tc>
        <w:tc>
          <w:tcPr>
            <w:tcW w:w="990" w:type="dxa"/>
            <w:tcBorders>
              <w:top w:val="single" w:sz="4" w:space="0" w:color="7F7F7F" w:themeColor="text1" w:themeTint="80"/>
              <w:bottom w:val="single" w:sz="4" w:space="0" w:color="7F7F7F" w:themeColor="text1" w:themeTint="80"/>
            </w:tcBorders>
          </w:tcPr>
          <w:p w14:paraId="2E4DEF6F"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15</w:t>
            </w:r>
          </w:p>
        </w:tc>
        <w:tc>
          <w:tcPr>
            <w:tcW w:w="976" w:type="dxa"/>
            <w:tcBorders>
              <w:top w:val="single" w:sz="4" w:space="0" w:color="7F7F7F" w:themeColor="text1" w:themeTint="80"/>
              <w:bottom w:val="single" w:sz="4" w:space="0" w:color="7F7F7F" w:themeColor="text1" w:themeTint="80"/>
            </w:tcBorders>
          </w:tcPr>
          <w:p w14:paraId="7EE753F5"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20</w:t>
            </w:r>
          </w:p>
        </w:tc>
        <w:tc>
          <w:tcPr>
            <w:tcW w:w="1509" w:type="dxa"/>
            <w:tcBorders>
              <w:top w:val="single" w:sz="4" w:space="0" w:color="7F7F7F" w:themeColor="text1" w:themeTint="80"/>
              <w:bottom w:val="single" w:sz="4" w:space="0" w:color="7F7F7F" w:themeColor="text1" w:themeTint="80"/>
            </w:tcBorders>
          </w:tcPr>
          <w:p w14:paraId="0B8CC7A8"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4</w:t>
            </w:r>
          </w:p>
        </w:tc>
        <w:tc>
          <w:tcPr>
            <w:tcW w:w="1509" w:type="dxa"/>
            <w:tcBorders>
              <w:top w:val="single" w:sz="4" w:space="0" w:color="7F7F7F" w:themeColor="text1" w:themeTint="80"/>
              <w:bottom w:val="single" w:sz="4" w:space="0" w:color="7F7F7F" w:themeColor="text1" w:themeTint="80"/>
            </w:tcBorders>
          </w:tcPr>
          <w:p w14:paraId="32D43001"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5</w:t>
            </w:r>
          </w:p>
        </w:tc>
        <w:tc>
          <w:tcPr>
            <w:tcW w:w="1178" w:type="dxa"/>
            <w:tcBorders>
              <w:top w:val="single" w:sz="4" w:space="0" w:color="7F7F7F" w:themeColor="text1" w:themeTint="80"/>
              <w:bottom w:val="single" w:sz="4" w:space="0" w:color="7F7F7F" w:themeColor="text1" w:themeTint="80"/>
            </w:tcBorders>
          </w:tcPr>
          <w:p w14:paraId="11426424"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1.5</w:t>
            </w:r>
          </w:p>
        </w:tc>
      </w:tr>
      <w:tr w:rsidR="007C2F85" w:rsidRPr="0015381B" w14:paraId="1B701444" w14:textId="77777777" w:rsidTr="006D6F60">
        <w:tc>
          <w:tcPr>
            <w:cnfStyle w:val="001000000000" w:firstRow="0" w:lastRow="0" w:firstColumn="1" w:lastColumn="0" w:oddVBand="0" w:evenVBand="0" w:oddHBand="0" w:evenHBand="0" w:firstRowFirstColumn="0" w:firstRowLastColumn="0" w:lastRowFirstColumn="0" w:lastRowLastColumn="0"/>
            <w:tcW w:w="1088" w:type="dxa"/>
          </w:tcPr>
          <w:p w14:paraId="5058714E" w14:textId="77777777" w:rsidR="006D6F60" w:rsidRPr="0015381B" w:rsidRDefault="004C079F" w:rsidP="00414787">
            <w:pPr>
              <w:jc w:val="center"/>
              <w:rPr>
                <w:rFonts w:ascii="Times New Roman" w:hAnsi="Times New Roman" w:cs="Times New Roman"/>
                <w:b w:val="0"/>
                <w:bCs w:val="0"/>
                <w:szCs w:val="21"/>
              </w:rPr>
            </w:pPr>
            <w:r w:rsidRPr="0015381B">
              <w:rPr>
                <w:rFonts w:ascii="Times New Roman" w:hAnsi="Times New Roman" w:cs="Times New Roman"/>
                <w:szCs w:val="21"/>
              </w:rPr>
              <w:t>Ni</w:t>
            </w:r>
          </w:p>
        </w:tc>
        <w:tc>
          <w:tcPr>
            <w:tcW w:w="1046" w:type="dxa"/>
          </w:tcPr>
          <w:p w14:paraId="6BFF9BF8"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6.5</w:t>
            </w:r>
          </w:p>
        </w:tc>
        <w:tc>
          <w:tcPr>
            <w:tcW w:w="990" w:type="dxa"/>
          </w:tcPr>
          <w:p w14:paraId="480F62BE"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10</w:t>
            </w:r>
          </w:p>
        </w:tc>
        <w:tc>
          <w:tcPr>
            <w:tcW w:w="976" w:type="dxa"/>
          </w:tcPr>
          <w:p w14:paraId="114BF15D"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3.18</w:t>
            </w:r>
          </w:p>
        </w:tc>
        <w:tc>
          <w:tcPr>
            <w:tcW w:w="1509" w:type="dxa"/>
          </w:tcPr>
          <w:p w14:paraId="29772433"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6.95</w:t>
            </w:r>
          </w:p>
        </w:tc>
        <w:tc>
          <w:tcPr>
            <w:tcW w:w="1509" w:type="dxa"/>
          </w:tcPr>
          <w:p w14:paraId="5AB480D5"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3</w:t>
            </w:r>
          </w:p>
        </w:tc>
        <w:tc>
          <w:tcPr>
            <w:tcW w:w="1178" w:type="dxa"/>
          </w:tcPr>
          <w:p w14:paraId="59BF5015" w14:textId="77777777" w:rsidR="006D6F60" w:rsidRPr="0015381B" w:rsidRDefault="004C079F" w:rsidP="004147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1"/>
              </w:rPr>
            </w:pPr>
            <w:r w:rsidRPr="0015381B">
              <w:rPr>
                <w:rFonts w:ascii="Times New Roman" w:hAnsi="Times New Roman" w:cs="Times New Roman"/>
                <w:szCs w:val="21"/>
              </w:rPr>
              <w:t>1.5</w:t>
            </w:r>
          </w:p>
        </w:tc>
      </w:tr>
    </w:tbl>
    <w:p w14:paraId="105EC319" w14:textId="6A6E83FA" w:rsidR="006D6F60" w:rsidRPr="007C2F85" w:rsidRDefault="004C079F" w:rsidP="0015381B">
      <w:pPr>
        <w:spacing w:before="240"/>
        <w:rPr>
          <w:rFonts w:ascii="Times New Roman" w:hAnsi="Times New Roman" w:cs="Times New Roman"/>
          <w:sz w:val="24"/>
          <w:szCs w:val="24"/>
        </w:rPr>
      </w:pPr>
      <w:r w:rsidRPr="007C2F85">
        <w:rPr>
          <w:rFonts w:ascii="Times New Roman" w:hAnsi="Times New Roman" w:cs="Times New Roman"/>
          <w:b/>
          <w:bCs/>
          <w:sz w:val="24"/>
          <w:szCs w:val="24"/>
        </w:rPr>
        <w:t>Table S</w:t>
      </w:r>
      <w:r w:rsidRPr="007C2F85">
        <w:rPr>
          <w:rFonts w:ascii="Times New Roman" w:hAnsi="Times New Roman" w:cs="Times New Roman" w:hint="eastAsia"/>
          <w:b/>
          <w:bCs/>
          <w:sz w:val="24"/>
          <w:szCs w:val="24"/>
        </w:rPr>
        <w:t>5</w:t>
      </w:r>
      <w:r w:rsidRPr="007C2F85">
        <w:rPr>
          <w:rFonts w:ascii="Times New Roman" w:hAnsi="Times New Roman" w:cs="Times New Roman"/>
          <w:sz w:val="24"/>
          <w:szCs w:val="24"/>
        </w:rPr>
        <w:t xml:space="preserve"> Performance comparison </w:t>
      </w:r>
      <w:r w:rsidR="0015381B">
        <w:rPr>
          <w:rFonts w:ascii="Times New Roman" w:hAnsi="Times New Roman" w:cs="Times New Roman"/>
          <w:sz w:val="24"/>
          <w:szCs w:val="24"/>
        </w:rPr>
        <w:t>of photo-assisted liquid RZABs</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091"/>
        <w:gridCol w:w="1172"/>
        <w:gridCol w:w="1173"/>
        <w:gridCol w:w="900"/>
        <w:gridCol w:w="2155"/>
        <w:gridCol w:w="736"/>
      </w:tblGrid>
      <w:tr w:rsidR="007C2F85" w:rsidRPr="007C2F85" w14:paraId="405ECB73" w14:textId="77777777">
        <w:tc>
          <w:tcPr>
            <w:tcW w:w="1260" w:type="dxa"/>
            <w:tcBorders>
              <w:top w:val="single" w:sz="4" w:space="0" w:color="auto"/>
              <w:bottom w:val="single" w:sz="4" w:space="0" w:color="auto"/>
            </w:tcBorders>
            <w:vAlign w:val="center"/>
          </w:tcPr>
          <w:p w14:paraId="1E6F55EC"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Bifunctional air cathode</w:t>
            </w:r>
          </w:p>
        </w:tc>
        <w:tc>
          <w:tcPr>
            <w:tcW w:w="1091" w:type="dxa"/>
            <w:tcBorders>
              <w:top w:val="single" w:sz="4" w:space="0" w:color="auto"/>
              <w:bottom w:val="single" w:sz="4" w:space="0" w:color="auto"/>
            </w:tcBorders>
            <w:vAlign w:val="center"/>
          </w:tcPr>
          <w:p w14:paraId="30400F49"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Current (mA cm</w:t>
            </w:r>
            <w:r w:rsidRPr="007C2F85">
              <w:rPr>
                <w:rFonts w:ascii="Times New Roman" w:eastAsia="等线" w:hAnsi="Times New Roman" w:cs="Times New Roman"/>
                <w:sz w:val="20"/>
                <w:szCs w:val="20"/>
                <w:vertAlign w:val="superscript"/>
              </w:rPr>
              <w:t xml:space="preserve">-2 </w:t>
            </w:r>
            <w:r w:rsidRPr="007C2F85">
              <w:rPr>
                <w:rFonts w:ascii="Times New Roman" w:eastAsia="等线" w:hAnsi="Times New Roman" w:cs="Times New Roman"/>
                <w:sz w:val="20"/>
                <w:szCs w:val="20"/>
              </w:rPr>
              <w:t>)</w:t>
            </w:r>
          </w:p>
        </w:tc>
        <w:tc>
          <w:tcPr>
            <w:tcW w:w="1172" w:type="dxa"/>
            <w:tcBorders>
              <w:top w:val="single" w:sz="4" w:space="0" w:color="auto"/>
              <w:bottom w:val="single" w:sz="4" w:space="0" w:color="auto"/>
            </w:tcBorders>
            <w:vAlign w:val="center"/>
          </w:tcPr>
          <w:p w14:paraId="2497211D"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Charge Voltage (V)</w:t>
            </w:r>
          </w:p>
        </w:tc>
        <w:tc>
          <w:tcPr>
            <w:tcW w:w="1173" w:type="dxa"/>
            <w:tcBorders>
              <w:top w:val="single" w:sz="4" w:space="0" w:color="auto"/>
              <w:bottom w:val="single" w:sz="4" w:space="0" w:color="auto"/>
            </w:tcBorders>
            <w:vAlign w:val="center"/>
          </w:tcPr>
          <w:p w14:paraId="54DE14D9"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Discharge Voltage (V)</w:t>
            </w:r>
          </w:p>
        </w:tc>
        <w:tc>
          <w:tcPr>
            <w:tcW w:w="900" w:type="dxa"/>
            <w:tcBorders>
              <w:top w:val="single" w:sz="4" w:space="0" w:color="auto"/>
              <w:bottom w:val="single" w:sz="4" w:space="0" w:color="auto"/>
            </w:tcBorders>
            <w:vAlign w:val="center"/>
          </w:tcPr>
          <w:p w14:paraId="66D2B553"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Voltage Gap (V)</w:t>
            </w:r>
          </w:p>
        </w:tc>
        <w:tc>
          <w:tcPr>
            <w:tcW w:w="2155" w:type="dxa"/>
            <w:tcBorders>
              <w:top w:val="single" w:sz="4" w:space="0" w:color="auto"/>
              <w:bottom w:val="single" w:sz="4" w:space="0" w:color="auto"/>
            </w:tcBorders>
            <w:vAlign w:val="center"/>
          </w:tcPr>
          <w:p w14:paraId="3C8331F4" w14:textId="77777777"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Stability</w:t>
            </w:r>
          </w:p>
        </w:tc>
        <w:tc>
          <w:tcPr>
            <w:tcW w:w="736" w:type="dxa"/>
            <w:tcBorders>
              <w:top w:val="single" w:sz="4" w:space="0" w:color="auto"/>
              <w:bottom w:val="single" w:sz="4" w:space="0" w:color="auto"/>
            </w:tcBorders>
            <w:vAlign w:val="center"/>
          </w:tcPr>
          <w:p w14:paraId="102040B3" w14:textId="66C5C1E6" w:rsidR="006D6F60" w:rsidRPr="007C2F85" w:rsidRDefault="004C079F" w:rsidP="00414787">
            <w:pPr>
              <w:jc w:val="center"/>
              <w:rPr>
                <w:rFonts w:ascii="Times New Roman" w:hAnsi="Times New Roman" w:cs="Times New Roman"/>
              </w:rPr>
            </w:pPr>
            <w:r w:rsidRPr="007C2F85">
              <w:rPr>
                <w:rFonts w:ascii="Times New Roman" w:eastAsia="等线" w:hAnsi="Times New Roman" w:cs="Times New Roman"/>
                <w:sz w:val="20"/>
                <w:szCs w:val="20"/>
              </w:rPr>
              <w:t>Ref</w:t>
            </w:r>
            <w:r w:rsidR="0015381B">
              <w:rPr>
                <w:rFonts w:ascii="Times New Roman" w:eastAsia="等线" w:hAnsi="Times New Roman" w:cs="Times New Roman"/>
                <w:sz w:val="20"/>
                <w:szCs w:val="20"/>
              </w:rPr>
              <w:t>s</w:t>
            </w:r>
          </w:p>
        </w:tc>
      </w:tr>
      <w:tr w:rsidR="007C2F85" w:rsidRPr="007C2F85" w14:paraId="4AEEB236" w14:textId="77777777">
        <w:tc>
          <w:tcPr>
            <w:tcW w:w="1260" w:type="dxa"/>
            <w:vAlign w:val="center"/>
          </w:tcPr>
          <w:p w14:paraId="0FAFCC0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JDAC</w:t>
            </w:r>
          </w:p>
        </w:tc>
        <w:tc>
          <w:tcPr>
            <w:tcW w:w="1091" w:type="dxa"/>
            <w:vAlign w:val="center"/>
          </w:tcPr>
          <w:p w14:paraId="6631F1F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w:t>
            </w:r>
          </w:p>
        </w:tc>
        <w:tc>
          <w:tcPr>
            <w:tcW w:w="1172" w:type="dxa"/>
            <w:vAlign w:val="center"/>
          </w:tcPr>
          <w:p w14:paraId="251B918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1.81</w:t>
            </w:r>
          </w:p>
        </w:tc>
        <w:tc>
          <w:tcPr>
            <w:tcW w:w="1173" w:type="dxa"/>
            <w:vAlign w:val="center"/>
          </w:tcPr>
          <w:p w14:paraId="2DA9CB5F"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1.21</w:t>
            </w:r>
          </w:p>
        </w:tc>
        <w:tc>
          <w:tcPr>
            <w:tcW w:w="900" w:type="dxa"/>
            <w:vAlign w:val="center"/>
          </w:tcPr>
          <w:p w14:paraId="65EBB64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0.60</w:t>
            </w:r>
          </w:p>
        </w:tc>
        <w:tc>
          <w:tcPr>
            <w:tcW w:w="2155" w:type="dxa"/>
            <w:vAlign w:val="center"/>
          </w:tcPr>
          <w:p w14:paraId="1EBBC50A" w14:textId="77777777" w:rsidR="006D6F60" w:rsidRPr="007C2F85" w:rsidRDefault="006D6F60" w:rsidP="00414787">
            <w:pPr>
              <w:rPr>
                <w:rFonts w:ascii="Times New Roman" w:hAnsi="Times New Roman" w:cs="Times New Roman"/>
                <w:b/>
                <w:bCs/>
              </w:rPr>
            </w:pPr>
          </w:p>
        </w:tc>
        <w:tc>
          <w:tcPr>
            <w:tcW w:w="736" w:type="dxa"/>
            <w:vMerge w:val="restart"/>
            <w:vAlign w:val="center"/>
          </w:tcPr>
          <w:p w14:paraId="2482D9EA" w14:textId="77777777" w:rsidR="006D6F60" w:rsidRPr="007C2F85" w:rsidRDefault="004C079F" w:rsidP="00414787">
            <w:pPr>
              <w:rPr>
                <w:rFonts w:ascii="Times New Roman" w:hAnsi="Times New Roman" w:cs="Times New Roman"/>
                <w:b/>
                <w:bCs/>
              </w:rPr>
            </w:pPr>
            <w:r w:rsidRPr="007C2F85">
              <w:rPr>
                <w:rFonts w:ascii="Times New Roman" w:hAnsi="Times New Roman" w:cs="Times New Roman"/>
                <w:b/>
                <w:bCs/>
              </w:rPr>
              <w:t>This work</w:t>
            </w:r>
          </w:p>
        </w:tc>
      </w:tr>
      <w:tr w:rsidR="007C2F85" w:rsidRPr="007C2F85" w14:paraId="277624B2" w14:textId="77777777">
        <w:tc>
          <w:tcPr>
            <w:tcW w:w="1260" w:type="dxa"/>
            <w:vAlign w:val="center"/>
          </w:tcPr>
          <w:p w14:paraId="4237910B" w14:textId="77777777" w:rsidR="006D6F60" w:rsidRPr="007C2F85" w:rsidRDefault="006D6F60" w:rsidP="00414787">
            <w:pPr>
              <w:rPr>
                <w:rFonts w:ascii="Times New Roman" w:hAnsi="Times New Roman" w:cs="Times New Roman"/>
                <w:b/>
                <w:bCs/>
              </w:rPr>
            </w:pPr>
          </w:p>
        </w:tc>
        <w:tc>
          <w:tcPr>
            <w:tcW w:w="1091" w:type="dxa"/>
            <w:vAlign w:val="center"/>
          </w:tcPr>
          <w:p w14:paraId="68C41B26"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5</w:t>
            </w:r>
          </w:p>
        </w:tc>
        <w:tc>
          <w:tcPr>
            <w:tcW w:w="1172" w:type="dxa"/>
            <w:vAlign w:val="center"/>
          </w:tcPr>
          <w:p w14:paraId="46527DEF"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1.88</w:t>
            </w:r>
          </w:p>
        </w:tc>
        <w:tc>
          <w:tcPr>
            <w:tcW w:w="1173" w:type="dxa"/>
            <w:vAlign w:val="center"/>
          </w:tcPr>
          <w:p w14:paraId="65B620B3"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1.09</w:t>
            </w:r>
          </w:p>
        </w:tc>
        <w:tc>
          <w:tcPr>
            <w:tcW w:w="900" w:type="dxa"/>
            <w:vAlign w:val="center"/>
          </w:tcPr>
          <w:p w14:paraId="17115BEE"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0.79</w:t>
            </w:r>
          </w:p>
        </w:tc>
        <w:tc>
          <w:tcPr>
            <w:tcW w:w="2155" w:type="dxa"/>
            <w:vAlign w:val="center"/>
          </w:tcPr>
          <w:p w14:paraId="10007854" w14:textId="77777777" w:rsidR="006D6F60" w:rsidRPr="007C2F85" w:rsidRDefault="006D6F60" w:rsidP="00414787">
            <w:pPr>
              <w:rPr>
                <w:rFonts w:ascii="Times New Roman" w:hAnsi="Times New Roman" w:cs="Times New Roman"/>
                <w:b/>
                <w:bCs/>
              </w:rPr>
            </w:pPr>
          </w:p>
        </w:tc>
        <w:tc>
          <w:tcPr>
            <w:tcW w:w="736" w:type="dxa"/>
            <w:vMerge/>
            <w:vAlign w:val="center"/>
          </w:tcPr>
          <w:p w14:paraId="7D14F133" w14:textId="77777777" w:rsidR="006D6F60" w:rsidRPr="007C2F85" w:rsidRDefault="006D6F60" w:rsidP="00414787">
            <w:pPr>
              <w:rPr>
                <w:rFonts w:ascii="Times New Roman" w:hAnsi="Times New Roman" w:cs="Times New Roman"/>
                <w:b/>
                <w:bCs/>
              </w:rPr>
            </w:pPr>
          </w:p>
        </w:tc>
      </w:tr>
      <w:tr w:rsidR="007C2F85" w:rsidRPr="007C2F85" w14:paraId="24444F22" w14:textId="77777777">
        <w:tc>
          <w:tcPr>
            <w:tcW w:w="1260" w:type="dxa"/>
            <w:vAlign w:val="center"/>
          </w:tcPr>
          <w:p w14:paraId="7A6A7B2E" w14:textId="77777777" w:rsidR="006D6F60" w:rsidRPr="007C2F85" w:rsidRDefault="006D6F60" w:rsidP="00414787">
            <w:pPr>
              <w:rPr>
                <w:rFonts w:ascii="Times New Roman" w:hAnsi="Times New Roman" w:cs="Times New Roman"/>
              </w:rPr>
            </w:pPr>
          </w:p>
        </w:tc>
        <w:tc>
          <w:tcPr>
            <w:tcW w:w="1091" w:type="dxa"/>
            <w:vAlign w:val="center"/>
          </w:tcPr>
          <w:p w14:paraId="62048E97"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10</w:t>
            </w:r>
          </w:p>
        </w:tc>
        <w:tc>
          <w:tcPr>
            <w:tcW w:w="1172" w:type="dxa"/>
            <w:vAlign w:val="center"/>
          </w:tcPr>
          <w:p w14:paraId="63DF32DC"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1.91</w:t>
            </w:r>
          </w:p>
        </w:tc>
        <w:tc>
          <w:tcPr>
            <w:tcW w:w="1173" w:type="dxa"/>
            <w:vAlign w:val="center"/>
          </w:tcPr>
          <w:p w14:paraId="04AF135E"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0.99</w:t>
            </w:r>
          </w:p>
        </w:tc>
        <w:tc>
          <w:tcPr>
            <w:tcW w:w="900" w:type="dxa"/>
            <w:vAlign w:val="center"/>
          </w:tcPr>
          <w:p w14:paraId="4B86B0C6"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0.92</w:t>
            </w:r>
          </w:p>
        </w:tc>
        <w:tc>
          <w:tcPr>
            <w:tcW w:w="2155" w:type="dxa"/>
            <w:vAlign w:val="center"/>
          </w:tcPr>
          <w:p w14:paraId="09387B8B"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6000 cycles</w:t>
            </w:r>
          </w:p>
        </w:tc>
        <w:tc>
          <w:tcPr>
            <w:tcW w:w="736" w:type="dxa"/>
            <w:vMerge/>
            <w:vAlign w:val="center"/>
          </w:tcPr>
          <w:p w14:paraId="56E82E47" w14:textId="77777777" w:rsidR="006D6F60" w:rsidRPr="007C2F85" w:rsidRDefault="006D6F60" w:rsidP="00414787">
            <w:pPr>
              <w:rPr>
                <w:rFonts w:ascii="Times New Roman" w:hAnsi="Times New Roman" w:cs="Times New Roman"/>
              </w:rPr>
            </w:pPr>
          </w:p>
        </w:tc>
      </w:tr>
      <w:tr w:rsidR="007C2F85" w:rsidRPr="007C2F85" w14:paraId="4DA0347B" w14:textId="77777777">
        <w:tc>
          <w:tcPr>
            <w:tcW w:w="1260" w:type="dxa"/>
            <w:vAlign w:val="center"/>
          </w:tcPr>
          <w:p w14:paraId="6B9C900F" w14:textId="77777777" w:rsidR="006D6F60" w:rsidRPr="007C2F85" w:rsidRDefault="006D6F60" w:rsidP="00414787">
            <w:pPr>
              <w:rPr>
                <w:rFonts w:ascii="Times New Roman" w:hAnsi="Times New Roman" w:cs="Times New Roman"/>
              </w:rPr>
            </w:pPr>
          </w:p>
        </w:tc>
        <w:tc>
          <w:tcPr>
            <w:tcW w:w="1091" w:type="dxa"/>
            <w:vAlign w:val="center"/>
          </w:tcPr>
          <w:p w14:paraId="704F7EF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20</w:t>
            </w:r>
          </w:p>
        </w:tc>
        <w:tc>
          <w:tcPr>
            <w:tcW w:w="1172" w:type="dxa"/>
            <w:vAlign w:val="center"/>
          </w:tcPr>
          <w:p w14:paraId="34C5C82E"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1.95</w:t>
            </w:r>
          </w:p>
        </w:tc>
        <w:tc>
          <w:tcPr>
            <w:tcW w:w="1173" w:type="dxa"/>
            <w:vAlign w:val="center"/>
          </w:tcPr>
          <w:p w14:paraId="229D6474"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0.83</w:t>
            </w:r>
          </w:p>
        </w:tc>
        <w:tc>
          <w:tcPr>
            <w:tcW w:w="900" w:type="dxa"/>
            <w:vAlign w:val="center"/>
          </w:tcPr>
          <w:p w14:paraId="0B238485"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1.12</w:t>
            </w:r>
          </w:p>
        </w:tc>
        <w:tc>
          <w:tcPr>
            <w:tcW w:w="2155" w:type="dxa"/>
            <w:vAlign w:val="center"/>
          </w:tcPr>
          <w:p w14:paraId="6C9F95A4"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1688 cycles</w:t>
            </w:r>
          </w:p>
        </w:tc>
        <w:tc>
          <w:tcPr>
            <w:tcW w:w="736" w:type="dxa"/>
            <w:vMerge/>
            <w:vAlign w:val="center"/>
          </w:tcPr>
          <w:p w14:paraId="413C9EAD" w14:textId="77777777" w:rsidR="006D6F60" w:rsidRPr="007C2F85" w:rsidRDefault="006D6F60" w:rsidP="00414787">
            <w:pPr>
              <w:rPr>
                <w:rFonts w:ascii="Times New Roman" w:hAnsi="Times New Roman" w:cs="Times New Roman"/>
              </w:rPr>
            </w:pPr>
          </w:p>
        </w:tc>
      </w:tr>
      <w:tr w:rsidR="007C2F85" w:rsidRPr="007C2F85" w14:paraId="2468BA17" w14:textId="77777777">
        <w:tc>
          <w:tcPr>
            <w:tcW w:w="1260" w:type="dxa"/>
            <w:vAlign w:val="center"/>
          </w:tcPr>
          <w:p w14:paraId="160A202A" w14:textId="77777777" w:rsidR="006D6F60" w:rsidRPr="007C2F85" w:rsidRDefault="006D6F60" w:rsidP="00414787">
            <w:pPr>
              <w:rPr>
                <w:rFonts w:ascii="Times New Roman" w:hAnsi="Times New Roman" w:cs="Times New Roman"/>
              </w:rPr>
            </w:pPr>
          </w:p>
        </w:tc>
        <w:tc>
          <w:tcPr>
            <w:tcW w:w="1091" w:type="dxa"/>
            <w:vAlign w:val="center"/>
          </w:tcPr>
          <w:p w14:paraId="1D8097B1"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50</w:t>
            </w:r>
          </w:p>
        </w:tc>
        <w:tc>
          <w:tcPr>
            <w:tcW w:w="1172" w:type="dxa"/>
            <w:vAlign w:val="center"/>
          </w:tcPr>
          <w:p w14:paraId="69483020"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2.03</w:t>
            </w:r>
          </w:p>
        </w:tc>
        <w:tc>
          <w:tcPr>
            <w:tcW w:w="1173" w:type="dxa"/>
            <w:vAlign w:val="center"/>
          </w:tcPr>
          <w:p w14:paraId="116B18C4"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0.67</w:t>
            </w:r>
          </w:p>
        </w:tc>
        <w:tc>
          <w:tcPr>
            <w:tcW w:w="900" w:type="dxa"/>
            <w:vAlign w:val="center"/>
          </w:tcPr>
          <w:p w14:paraId="54A1C236"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1.36</w:t>
            </w:r>
          </w:p>
        </w:tc>
        <w:tc>
          <w:tcPr>
            <w:tcW w:w="2155" w:type="dxa"/>
            <w:vAlign w:val="center"/>
          </w:tcPr>
          <w:p w14:paraId="5CA4757F" w14:textId="77777777" w:rsidR="006D6F60" w:rsidRPr="007C2F85" w:rsidRDefault="004C079F" w:rsidP="00414787">
            <w:pPr>
              <w:rPr>
                <w:rFonts w:ascii="Times New Roman" w:hAnsi="Times New Roman" w:cs="Times New Roman"/>
                <w:b/>
                <w:bCs/>
              </w:rPr>
            </w:pPr>
            <w:r w:rsidRPr="007C2F85">
              <w:rPr>
                <w:rFonts w:ascii="Times New Roman" w:eastAsia="等线" w:hAnsi="Times New Roman" w:cs="Times New Roman"/>
                <w:b/>
                <w:bCs/>
                <w:sz w:val="20"/>
                <w:szCs w:val="20"/>
              </w:rPr>
              <w:t>338 cycles</w:t>
            </w:r>
          </w:p>
        </w:tc>
        <w:tc>
          <w:tcPr>
            <w:tcW w:w="736" w:type="dxa"/>
            <w:vMerge/>
            <w:vAlign w:val="center"/>
          </w:tcPr>
          <w:p w14:paraId="2C3C67D9" w14:textId="77777777" w:rsidR="006D6F60" w:rsidRPr="007C2F85" w:rsidRDefault="006D6F60" w:rsidP="00414787">
            <w:pPr>
              <w:rPr>
                <w:rFonts w:ascii="Times New Roman" w:hAnsi="Times New Roman" w:cs="Times New Roman"/>
              </w:rPr>
            </w:pPr>
          </w:p>
        </w:tc>
      </w:tr>
      <w:tr w:rsidR="007C2F85" w:rsidRPr="007C2F85" w14:paraId="5E2C4029" w14:textId="77777777">
        <w:trPr>
          <w:trHeight w:val="474"/>
        </w:trPr>
        <w:tc>
          <w:tcPr>
            <w:tcW w:w="1260" w:type="dxa"/>
            <w:vAlign w:val="center"/>
          </w:tcPr>
          <w:p w14:paraId="60B7B80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CZ</w:t>
            </w:r>
          </w:p>
        </w:tc>
        <w:tc>
          <w:tcPr>
            <w:tcW w:w="1091" w:type="dxa"/>
            <w:vAlign w:val="center"/>
          </w:tcPr>
          <w:p w14:paraId="031CD7A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048A61CA"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1.99</w:t>
            </w:r>
          </w:p>
        </w:tc>
        <w:tc>
          <w:tcPr>
            <w:tcW w:w="1173" w:type="dxa"/>
            <w:vAlign w:val="center"/>
          </w:tcPr>
          <w:p w14:paraId="4BD62B5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1.18</w:t>
            </w:r>
          </w:p>
        </w:tc>
        <w:tc>
          <w:tcPr>
            <w:tcW w:w="900" w:type="dxa"/>
            <w:vAlign w:val="center"/>
          </w:tcPr>
          <w:p w14:paraId="724AB3B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0.81</w:t>
            </w:r>
          </w:p>
        </w:tc>
        <w:tc>
          <w:tcPr>
            <w:tcW w:w="2155" w:type="dxa"/>
            <w:vAlign w:val="center"/>
          </w:tcPr>
          <w:p w14:paraId="36DC763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1000 cycles@2mA cm</w:t>
            </w:r>
            <w:r w:rsidRPr="007C2F85">
              <w:rPr>
                <w:rFonts w:ascii="Times New Roman" w:eastAsia="等线" w:hAnsi="Times New Roman" w:cs="Times New Roman"/>
                <w:sz w:val="20"/>
                <w:szCs w:val="20"/>
                <w:vertAlign w:val="superscript"/>
              </w:rPr>
              <w:t>-2</w:t>
            </w:r>
          </w:p>
        </w:tc>
        <w:tc>
          <w:tcPr>
            <w:tcW w:w="736" w:type="dxa"/>
            <w:vAlign w:val="center"/>
          </w:tcPr>
          <w:p w14:paraId="42AF67C1" w14:textId="441F12F1"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{"citationID":"DQ6vza3F","properties":{"formattedCitation":"\\super [1]\\nosupersub{}","plainCitation":"[1]","noteIndex":0},"citationItems":[{"id":"msrF8eI4/6U6rn2aI","uris":["http://zotero.org/users/12869267/items/L3QLRWJ5"],"itemData":{"id":802,"type":"article-journal","abstract":"Energy level matching and structural stabilization of semiconductor electrode materials are critical for improving the efficiency and durability of bifunctional catalysts for photo-enhanced rechargeable Zn-air batteries. We developed a photoactive bifunctional air-electrocatalyst comprising n-type g-C3N4 and p-type copper-doped ZIF67 (CuZIF-67) composite. g-C3N4/CuZIF-67 exhibits wide-range solar spectrum absorption and enhanced elec­ tron–hole pairs separation efficiency owing to synergistic effects of a suitable bandgap width, staggered p-n heterojunction band gap structure, and built-in electric field at its p-n heterojunction, leading to higher oxygen evolution reaction (OER) and oxygen reduction reaction (ORR) activities compared with single p- and n-type catalysts. It has photo-enhanced charge/discharge abilities, has a voltage gap of 0.81 V under 1-sun-illumination, and maintains stable cycling with 60% round-trip efficiency under illumination over 1000 cycles for 336 h at 2 mA cm− 2. In conclusion, staggered p-n heterojunction and pyrrolic nitrogen-rich groups are important for effi­ cient and durable photo-enhanced Zn air batteries.","container-title":"Applied Catalysis B: Environmental","DOI":"10.1016/j.apcatb.2022.121096","ISSN":"09263373","journalAbbreviation":"Applied Catalysis B: Environmental","language":"en","page":"121096","source":"DOI.org (Crossref)","title":"Photoactive g-C3N4/CuZIF-67 bifunctional electrocatalyst with staggered p-n heterojunction for rechargeable Zn-air batteries","volume":"306","author":[{"family":"Ren","given":"Ren"},{"family":"Liu","given":"Guicheng"},{"family":"Kim","given":"Ji Young"},{"family":"Ardhi","given":"Ryanda Enggar Anugrah"},{"family":"Tran","given":"Minh Xuan"},{"family":"Yang","given":"Woochul"},{"family":"Lee","given":"Joong Kee"}],"issued":{"date-parts":[["2022",6]]}}}],"schema":"https://github.com/citation-style-language/schema/raw/master/csl-citation.json"}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w:t>
            </w:r>
            <w:r w:rsidRPr="0015381B">
              <w:rPr>
                <w:rFonts w:ascii="Times New Roman" w:hAnsi="Times New Roman" w:cs="Times New Roman"/>
              </w:rPr>
              <w:fldChar w:fldCharType="end"/>
            </w:r>
          </w:p>
        </w:tc>
      </w:tr>
      <w:tr w:rsidR="007C2F85" w:rsidRPr="007C2F85" w14:paraId="53A1A6D6" w14:textId="77777777">
        <w:trPr>
          <w:trHeight w:val="310"/>
        </w:trPr>
        <w:tc>
          <w:tcPr>
            <w:tcW w:w="1260" w:type="dxa"/>
            <w:vAlign w:val="center"/>
          </w:tcPr>
          <w:p w14:paraId="62A6580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CZ</w:t>
            </w:r>
          </w:p>
        </w:tc>
        <w:tc>
          <w:tcPr>
            <w:tcW w:w="1091" w:type="dxa"/>
            <w:vAlign w:val="center"/>
          </w:tcPr>
          <w:p w14:paraId="228D184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19E8698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2.01</w:t>
            </w:r>
          </w:p>
        </w:tc>
        <w:tc>
          <w:tcPr>
            <w:tcW w:w="1173" w:type="dxa"/>
            <w:vAlign w:val="center"/>
          </w:tcPr>
          <w:p w14:paraId="042539D0"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1.11</w:t>
            </w:r>
          </w:p>
        </w:tc>
        <w:tc>
          <w:tcPr>
            <w:tcW w:w="900" w:type="dxa"/>
            <w:vAlign w:val="center"/>
          </w:tcPr>
          <w:p w14:paraId="232784E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w:t>
            </w:r>
          </w:p>
        </w:tc>
        <w:tc>
          <w:tcPr>
            <w:tcW w:w="2155" w:type="dxa"/>
            <w:vAlign w:val="center"/>
          </w:tcPr>
          <w:p w14:paraId="3E226F6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334 hrs. @ 5 mA cm</w:t>
            </w:r>
            <w:r w:rsidRPr="007C2F85">
              <w:rPr>
                <w:rFonts w:ascii="Times New Roman" w:eastAsia="等线" w:hAnsi="Times New Roman" w:cs="Times New Roman"/>
                <w:sz w:val="20"/>
                <w:szCs w:val="20"/>
                <w:vertAlign w:val="superscript"/>
              </w:rPr>
              <w:t>-2</w:t>
            </w:r>
          </w:p>
        </w:tc>
        <w:tc>
          <w:tcPr>
            <w:tcW w:w="736" w:type="dxa"/>
            <w:vAlign w:val="center"/>
          </w:tcPr>
          <w:p w14:paraId="4A199CD0" w14:textId="63FFE541"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{"citationID":"e88FjoB2","properties":{"formattedCitation":"\\super [1]\\nosupersub{}","plainCitation":"[1]","noteIndex":0},"citationItems":[{"id":"msrF8eI4/6U6rn2aI","uris":["http://zotero.org/users/12869267/items/L3QLRWJ5"],"itemData":{"id":802,"type":"article-journal","abstract":"Energy level matching and structural stabilization of semiconductor electrode materials are critical for improving the efficiency and durability of bifunctional catalysts for photo-enhanced rechargeable Zn-air batteries. We developed a photoactive bifunctional air-electrocatalyst comprising n-type g-C3N4 and p-type copper-doped ZIF67 (CuZIF-67) composite. g-C3N4/CuZIF-67 exhibits wide-range solar spectrum absorption and enhanced elec­ tron–hole pairs separation efficiency owing to synergistic effects of a suitable bandgap width, staggered p-n heterojunction band gap structure, and built-in electric field at its p-n heterojunction, leading to higher oxygen evolution reaction (OER) and oxygen reduction reaction (ORR) activities compared with single p- and n-type catalysts. It has photo-enhanced charge/discharge abilities, has a voltage gap of 0.81 V under 1-sun-illumination, and maintains stable cycling with 60% round-trip efficiency under illumination over 1000 cycles for 336 h at 2 mA cm− 2. In conclusion, staggered p-n heterojunction and pyrrolic nitrogen-rich groups are important for effi­ cient and durable photo-enhanced Zn air batteries.","container-title":"Applied Catalysis B: Environmental","DOI":"10.1016/j.apcatb.2022.121096","ISSN":"09263373","journalAbbreviation":"Applied Catalysis B: Environmental","language":"en","page":"121096","source":"DOI.org (Crossref)","title":"Photoactive g-C3N4/CuZIF-67 bifunctional electrocatalyst with staggered p-n heterojunction for rechargeable Zn-air batteries","volume":"306","author":[{"family":"Ren","given":"Ren"},{"family":"Liu","given":"Guicheng"},{"family":"Kim","given":"Ji Young"},{"family":"Ardhi","given":"Ryanda Enggar Anugrah"},{"family":"Tran","given":"Minh Xuan"},{"family":"Yang","given":"Woochul"},{"family":"Lee","given":"Joong Kee"}],"issued":{"date-parts":[["2022",6]]}}}],"schema":"https://github.com/citation-style-language/schema/raw/master/csl-citation.json"}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w:t>
            </w:r>
            <w:r w:rsidRPr="0015381B">
              <w:rPr>
                <w:rFonts w:ascii="Times New Roman" w:hAnsi="Times New Roman" w:cs="Times New Roman"/>
              </w:rPr>
              <w:fldChar w:fldCharType="end"/>
            </w:r>
          </w:p>
        </w:tc>
      </w:tr>
      <w:tr w:rsidR="007C2F85" w:rsidRPr="007C2F85" w14:paraId="29CEE939" w14:textId="77777777">
        <w:tc>
          <w:tcPr>
            <w:tcW w:w="1260" w:type="dxa"/>
            <w:vAlign w:val="center"/>
          </w:tcPr>
          <w:p w14:paraId="7B8A405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1@ZIF-67</w:t>
            </w:r>
          </w:p>
        </w:tc>
        <w:tc>
          <w:tcPr>
            <w:tcW w:w="1091" w:type="dxa"/>
            <w:vAlign w:val="center"/>
          </w:tcPr>
          <w:p w14:paraId="01D28F2A"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05CAFE0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3" w:type="dxa"/>
            <w:vAlign w:val="center"/>
          </w:tcPr>
          <w:p w14:paraId="577FF5C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1.15</w:t>
            </w:r>
          </w:p>
        </w:tc>
        <w:tc>
          <w:tcPr>
            <w:tcW w:w="900" w:type="dxa"/>
            <w:vAlign w:val="center"/>
          </w:tcPr>
          <w:p w14:paraId="6304128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~0.85</w:t>
            </w:r>
          </w:p>
        </w:tc>
        <w:tc>
          <w:tcPr>
            <w:tcW w:w="2155" w:type="dxa"/>
            <w:vAlign w:val="center"/>
          </w:tcPr>
          <w:p w14:paraId="2E4851D0"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~50%@110 hrs.</w:t>
            </w:r>
          </w:p>
        </w:tc>
        <w:tc>
          <w:tcPr>
            <w:tcW w:w="736" w:type="dxa"/>
            <w:vAlign w:val="center"/>
          </w:tcPr>
          <w:p w14:paraId="277760F2" w14:textId="516DB567"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{"citationID":"GKevk3cR","properties":{"formattedCitation":"\\super [14]\\nosupersub{}","plainCitation":"[14]","noteIndex":0},"citationItems":[{"id":"msrF8eI4/JkKWD3h8","uris":["http://zotero.org/users/12869267/items/LCGDZTHW"],"itemData":{"id":847,"type":"article-journal","abstract":"Synthesizing molecule@support hybrids is appealing to improve molecular electrocatalysis. We report herein metal–organic framework (MOF)-supported Co porphyrins for the oxygen reduction reaction (ORR) with improved activity and selectivity. Co porphyrins can be grafted on MOF surfaces through ligand exchange. A variety of porphyrin@MOF hybrids were made using this method. Grafted Co porphyrins showed boosted ORR activity with large (&gt; 70 mV) anodic shift of the half-wave potential compared to ungrafted porphyrins. By using active MOFs for peroxide reduction, the number of electrons transferred per O2 increased from 2.65 to 3.70, showing significantly improved selectivity for the 4e ORR. It is demonstrated that H2O2 generated from O2 reduction at Co porphyrins is further reduced at MOF surfaces, leading to improved 4e ORR. As a practical demonstration, these hybrids were used as air electrode catalysts in Zn-air batteries, which exhibited equal performance to that with Ptbased materials.","container-title":"Angewandte Chemie","DOI":"10.1002/ange.202016024","ISSN":"0044-8249, 1521-3757","issue":"15","journalAbbreviation":"Angewandte Chemie","language":"en","page":"8553-8557","source":"DOI.org (Crossref)","title":"Metal–Organic‐Framework‐Supported Molecular Electrocatalysis for the Oxygen Reduction Reaction","volume":"133","author":[{"family":"Liang","given":"Zuozhong"},{"family":"Guo","given":"Hongbo"},{"family":"Zhou","given":"Guojun"},{"family":"Guo","given":"Kai"},{"family":"Wang","given":"Bin"},{"family":"Lei","given":"Haitao"},{"family":"Zhang","given":"Wei"},{"family":"Zheng","given":"Haoquan"},{"family":"Apfel","given":"Ulf‐Peter"},{"family":"Cao","given":"Rui"}],"issued":{"date-parts":[["2021",4,6]]}}}],"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14]</w:t>
            </w:r>
            <w:r w:rsidRPr="0015381B">
              <w:rPr>
                <w:rFonts w:ascii="Times New Roman" w:hAnsi="Times New Roman" w:cs="Times New Roman"/>
              </w:rPr>
              <w:fldChar w:fldCharType="end"/>
            </w:r>
          </w:p>
        </w:tc>
      </w:tr>
      <w:tr w:rsidR="007C2F85" w:rsidRPr="007C2F85" w14:paraId="02D536CD" w14:textId="77777777">
        <w:tc>
          <w:tcPr>
            <w:tcW w:w="1260" w:type="dxa"/>
            <w:vAlign w:val="center"/>
          </w:tcPr>
          <w:p w14:paraId="01D60A3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Co@NPCFs</w:t>
            </w:r>
          </w:p>
        </w:tc>
        <w:tc>
          <w:tcPr>
            <w:tcW w:w="1091" w:type="dxa"/>
            <w:vAlign w:val="center"/>
          </w:tcPr>
          <w:p w14:paraId="0B52F05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07DC20D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2.2</w:t>
            </w:r>
          </w:p>
        </w:tc>
        <w:tc>
          <w:tcPr>
            <w:tcW w:w="1173" w:type="dxa"/>
            <w:vAlign w:val="center"/>
          </w:tcPr>
          <w:p w14:paraId="22E3B42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1.15</w:t>
            </w:r>
          </w:p>
        </w:tc>
        <w:tc>
          <w:tcPr>
            <w:tcW w:w="900" w:type="dxa"/>
            <w:vAlign w:val="center"/>
          </w:tcPr>
          <w:p w14:paraId="14831CA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~1.05</w:t>
            </w:r>
          </w:p>
        </w:tc>
        <w:tc>
          <w:tcPr>
            <w:tcW w:w="2155" w:type="dxa"/>
            <w:vAlign w:val="center"/>
          </w:tcPr>
          <w:p w14:paraId="04EE24F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80 hrs.</w:t>
            </w:r>
          </w:p>
        </w:tc>
        <w:tc>
          <w:tcPr>
            <w:tcW w:w="736" w:type="dxa"/>
            <w:vAlign w:val="center"/>
          </w:tcPr>
          <w:p w14:paraId="3F0D7884" w14:textId="3F2CA405"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{"citationID":"HYzYcWjC","properties":{"formattedCitation":"\\super [15]\\nosupersub{}","plainCitation":"[15]","noteIndex":0},"citationItems":[{"id":"msrF8eI4/sQavvqAl","uris":["http://zotero.org/users/12869267/items/WNIJ7WT8"],"itemData":{"id":849,"type":"article-journal","abstract":"The flexible Co@NPCFs composites can provide rich active sites for electrocatalysis and are able to capture oxygen and desorb the OH\n              −\n              during the discharging and charging processes of ZABs.\n            \n          , \n            \n              Although zinc–air batteries (ZABs) have been extensively studied due to their advantages, there is still room for improving flexible ZABs especially by identifying suitable self-standing flexible electrode materials. Here, flexible porous nanofibers embedded with Co nanoparticles and nitrogen-doped graphitic carbon (Co@NPCFs) have been synthesized to work as self-standing and binder-free electrodes in flexible ZABs. These unique nanofibers with nitrogen-doped graphitic carbon are beneficial for electron transport, oxygen capture and desorption of the OH\n              −\n              ions. The Co@NPCFs could provide rich active sites and exhibit good catalytic activity for both the oxygen evolution reaction and the oxygen reduction reaction. The fabricated composites with a flexible self-standing network structure can be applied directly to flexible ZABs and contact well with gel electrolyte when bending the batteries. As a result, this strategy provides a good example of flexible self-standing electrodes for ZABs and can also be extended to other flexible electric energy storage devices.","container-title":"Journal of Materials Chemistry A","DOI":"10.1039/D0TA00793E","ISSN":"2050-7488, 2050-7496","issue":"15","journalAbbreviation":"J. Mater. Chem. A","language":"en","page":"7184-7191","source":"DOI.org (Crossref)","title":"Co nanoparticles combined with nitrogen-doped graphitic carbon anchored on carbon fibers as a self-standing air electrode for flexible zinc–air batteries","volume":"8","author":[{"family":"Chen","given":"Yangshen"},{"family":"Zhang","given":"Wenhui"},{"family":"Zhu","given":"Zeyu"},{"family":"Zhang","given":"Lulu"},{"family":"Yang","given":"Jiayi"},{"family":"Chen","given":"Huanhuan"},{"family":"Zheng","given":"Bing"},{"family":"Li","given":"Sheng"},{"family":"Zhang","given":"Weina"},{"family":"Wu","given":"Jiansheng"},{"family":"Huo","given":"Fengwei"}],"issued":{"date-parts":[["2020"]]}}}],"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15]</w:t>
            </w:r>
            <w:r w:rsidRPr="0015381B">
              <w:rPr>
                <w:rFonts w:ascii="Times New Roman" w:hAnsi="Times New Roman" w:cs="Times New Roman"/>
              </w:rPr>
              <w:fldChar w:fldCharType="end"/>
            </w:r>
          </w:p>
        </w:tc>
      </w:tr>
      <w:tr w:rsidR="007C2F85" w:rsidRPr="007C2F85" w14:paraId="4F98B975" w14:textId="77777777">
        <w:tc>
          <w:tcPr>
            <w:tcW w:w="1260" w:type="dxa"/>
            <w:vAlign w:val="center"/>
          </w:tcPr>
          <w:p w14:paraId="48A3F79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FeCo–C/N</w:t>
            </w:r>
          </w:p>
        </w:tc>
        <w:tc>
          <w:tcPr>
            <w:tcW w:w="1091" w:type="dxa"/>
            <w:vAlign w:val="center"/>
          </w:tcPr>
          <w:p w14:paraId="555E40A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1BE2837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2.05</w:t>
            </w:r>
          </w:p>
        </w:tc>
        <w:tc>
          <w:tcPr>
            <w:tcW w:w="1173" w:type="dxa"/>
            <w:vAlign w:val="center"/>
          </w:tcPr>
          <w:p w14:paraId="5BD9FBF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1.15</w:t>
            </w:r>
          </w:p>
        </w:tc>
        <w:tc>
          <w:tcPr>
            <w:tcW w:w="900" w:type="dxa"/>
            <w:vAlign w:val="center"/>
          </w:tcPr>
          <w:p w14:paraId="54A4121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w:t>
            </w:r>
          </w:p>
        </w:tc>
        <w:tc>
          <w:tcPr>
            <w:tcW w:w="2155" w:type="dxa"/>
            <w:vAlign w:val="center"/>
          </w:tcPr>
          <w:p w14:paraId="3557C52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180 cycles 60 hrs.</w:t>
            </w:r>
          </w:p>
        </w:tc>
        <w:tc>
          <w:tcPr>
            <w:tcW w:w="736" w:type="dxa"/>
            <w:vAlign w:val="center"/>
          </w:tcPr>
          <w:p w14:paraId="0332D16B" w14:textId="1104F3ED"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{"citationID":"w13XLzG1","properties":{"formattedCitation":"\\super [16]\\nosupersub{}","plainCitation":"[16]","noteIndex":0},"citationItems":[{"id":"msrF8eI4/6pgkrGPO","uris":["http://zotero.org/users/12869267/items/6NHYTNMK"],"itemData":{"id":851,"type":"article-journal","abstract":"A yolk–shell structured metal–organic framework (MOF) with encapsulated 5,10,15,20-tetraphenylporphyrinatoiron (FeTPP) in a zeolitic imidazolate framework (ZIF)-L-ZIF-8 is reported.\n          , \n            \n              A yolk–shell structured metal–organic framework (MOF) with encapsulated 5,10,15,20-tetraphenylporphyrinatoiron (FeTPP) in a zeolitic imidazolate framework (ZIF)-L-ZIF-8 is reported. ZIF-L with leaf-like morphology is used as a core, and FeTPP molecules will induce the partial decomposition of ZIF-L. The ZIF-8 shell is formed and encapsulates FeTPP in the yolk–shell structure by adding Zn ions and 2-methylimidazole (Hmim). After pyrolysis, FeCo bimetallic nitrogen doped porous carbon (FeCo–C/N) exhibits ORR performance comparable to commercial Pt/C (20 wt%), with a significant decrease in cost. Density functional theory (DFT) calculations demonstrate that the Fe site in FeCo–C/N contributes to the improved ORR performance by reducing the formation energy of *OOH formation. Thus, a Zn–air battery with FeCo–C/N as an electrocatalyst exhibits significantly improved performance (a high peak power density of 397.25 mW cm\n              −2\n              , and good rechargeable stability). The synthesis strategy presented in this work provides new opportunities for designing yolk–shell structured 2D MOFs for applications in energy conversion and storage.","container-title":"Journal of Materials Chemistry A","DOI":"10.1039/D0TA00962H","ISSN":"2050-7488, 2050-7496","issue":"19","journalAbbreviation":"J. Mater. Chem. A","language":"en","page":"9536-9544","source":"DOI.org (Crossref)","title":"A yolk–shell structured metal–organic framework with encapsulated iron-porphyrin and its derived bimetallic nitrogen-doped porous carbon for an efficient oxygen reduction reaction","volume":"8","author":[{"family":"Zhang","given":"Chaochao"},{"family":"Yang","given":"Hao"},{"family":"Zhong","given":"Dan"},{"family":"Xu","given":"Yang"},{"family":"Wang","given":"Yanzhi"},{"family":"Yuan","given":"Qi"},{"family":"Liang","given":"Zuozhong"},{"family":"Wang","given":"Bin"},{"family":"Zhang","given":"Wei"},{"family":"Zheng","given":"Haoquan"},{"family":"Cheng","given":"Tao"},{"family":"Cao","given":"Rui"}],"issued":{"date-parts":[["2020"]]}}}],"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16]</w:t>
            </w:r>
            <w:r w:rsidRPr="0015381B">
              <w:rPr>
                <w:rFonts w:ascii="Times New Roman" w:hAnsi="Times New Roman" w:cs="Times New Roman"/>
              </w:rPr>
              <w:fldChar w:fldCharType="end"/>
            </w:r>
          </w:p>
        </w:tc>
      </w:tr>
      <w:tr w:rsidR="007C2F85" w:rsidRPr="007C2F85" w14:paraId="02C8CB5A" w14:textId="77777777">
        <w:tc>
          <w:tcPr>
            <w:tcW w:w="1260" w:type="dxa"/>
            <w:vAlign w:val="center"/>
          </w:tcPr>
          <w:p w14:paraId="310F913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ZIF-67@Pt/CB</w:t>
            </w:r>
          </w:p>
        </w:tc>
        <w:tc>
          <w:tcPr>
            <w:tcW w:w="1091" w:type="dxa"/>
            <w:vAlign w:val="center"/>
          </w:tcPr>
          <w:p w14:paraId="3D423E40"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315AE63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2.08</w:t>
            </w:r>
          </w:p>
        </w:tc>
        <w:tc>
          <w:tcPr>
            <w:tcW w:w="1173" w:type="dxa"/>
            <w:vAlign w:val="center"/>
          </w:tcPr>
          <w:p w14:paraId="073F3C2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1.17</w:t>
            </w:r>
          </w:p>
        </w:tc>
        <w:tc>
          <w:tcPr>
            <w:tcW w:w="900" w:type="dxa"/>
            <w:vAlign w:val="center"/>
          </w:tcPr>
          <w:p w14:paraId="1FF2778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0.91</w:t>
            </w:r>
          </w:p>
        </w:tc>
        <w:tc>
          <w:tcPr>
            <w:tcW w:w="2155" w:type="dxa"/>
            <w:vAlign w:val="center"/>
          </w:tcPr>
          <w:p w14:paraId="33E0896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50 hrs.</w:t>
            </w:r>
          </w:p>
        </w:tc>
        <w:tc>
          <w:tcPr>
            <w:tcW w:w="736" w:type="dxa"/>
            <w:vAlign w:val="center"/>
          </w:tcPr>
          <w:p w14:paraId="4804FF73" w14:textId="7032A39C"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{"citationID":"yE7nHmzC","properties":{"formattedCitation":"\\super [17]\\nosupersub{}","plainCitation":"[17]","noteIndex":0},"citationItems":[{"id":"msrF8eI4/20I515LZ","uris":["http://zotero.org/users/12869267/items/BEX2DQCK"],"itemData":{"id":853,"type":"article-journal","abstract":"Metal−organic framework (MOF)-related derivatives have generated signiﬁcant interest in numerous energy conversion and storage applications, such as adsorption, catalysis, and batteries. However, such materials’ real-world applicability is hindered because of scalability and reproducibility issues as they are produced by multistep postsynthesis modiﬁcation of MOFs, often with high-temperature carbonization and/or calcination. In this process, MOFs act as self-sacriﬁcial templates to develop functional materials at the expense of severe mass loss, and the resultant materials exhibit complex process−performance relationships. In this work, we report the direct applicability of a readily synthesized and commercially available MOF, a zeolitic imidazolate framework (ZIF-8), in a rechargeable zinc−air battery. The composite of cobalt-based ZIF-8 and platinum carbon black (ZIF-67@Pt/CB) prepared via facile solution mixing shows a promising bifunctional electrocatalytic activity for oxygen evolution reaction (OER) and oxygen reduction reaction (ORR), the key charge and discharge mechanisms in a battery. ZIF-67@Pt/CB exhibits long OER/ORR activity durability, notably, a signiﬁcantly enhanced ORR stability compared to Pt/CB, 85 versus 52%. Interestingly, a ZIF-67@Pt/CB-based battery delivers high performance with a power density of &gt;150 mW cm−2 and long stability for 100 h of charge−discharge cyclic test runs. Such remarkable activities from asproduced ZIF-67 are attributed to the electrochemically driven in situ development of an active cobalt-(oxy)hydroxide nanophase and interfacial interaction with platinum nanoparticles. This work shows commercial feasibility of zinc−air batteries as MOF-cathode materials can be reproducibly synthesized in mass scale and applied as produced.","container-title":"ACS Applied Materials &amp; Interfaces","DOI":"10.1021/acsami.0c10151","ISSN":"1944-8244, 1944-8252","issue":"38","journalAbbreviation":"ACS Appl. Mater. Interfaces","language":"en","license":"https://doi.org/10.15223/policy-029","page":"42696-42703","source":"DOI.org (Crossref)","title":"High-Performance Zinc–Air Batteries with Scalable Metal–Organic Frameworks and Platinum Carbon Black Bifunctional Catalysts","volume":"12","author":[{"family":"Li","given":"Juntao"},{"family":"Meng","given":"Zhu"},{"family":"Brett","given":"Dan J. L."},{"family":"Shearing","given":"Paul R."},{"family":"Skipper","given":"Neal T."},{"family":"Parkin","given":"Ivan P."},{"family":"Gadipelli","given":"Srinivas"}],"issued":{"date-parts":[["2020",9,23]]}}}],"schema":"https://github.com/citation-style-language/schema/raw/master/csl-citation.json"}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17]</w:t>
            </w:r>
            <w:r w:rsidRPr="0015381B">
              <w:rPr>
                <w:rFonts w:ascii="Times New Roman" w:hAnsi="Times New Roman" w:cs="Times New Roman"/>
              </w:rPr>
              <w:fldChar w:fldCharType="end"/>
            </w:r>
          </w:p>
        </w:tc>
      </w:tr>
      <w:tr w:rsidR="007C2F85" w:rsidRPr="007C2F85" w14:paraId="7854D586" w14:textId="77777777">
        <w:tc>
          <w:tcPr>
            <w:tcW w:w="1260" w:type="dxa"/>
            <w:vAlign w:val="center"/>
          </w:tcPr>
          <w:p w14:paraId="6C2DF6B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Spinel Co</w:t>
            </w:r>
            <w:r w:rsidRPr="007C2F85">
              <w:rPr>
                <w:rFonts w:ascii="Times New Roman" w:eastAsia="等线" w:hAnsi="Times New Roman" w:cs="Times New Roman"/>
                <w:sz w:val="20"/>
                <w:szCs w:val="20"/>
                <w:vertAlign w:val="subscript"/>
              </w:rPr>
              <w:t>3</w:t>
            </w:r>
            <w:r w:rsidRPr="007C2F85">
              <w:rPr>
                <w:rFonts w:ascii="Times New Roman" w:eastAsia="等线" w:hAnsi="Times New Roman" w:cs="Times New Roman"/>
                <w:sz w:val="20"/>
                <w:szCs w:val="20"/>
              </w:rPr>
              <w:t>O</w:t>
            </w:r>
            <w:r w:rsidRPr="007C2F85">
              <w:rPr>
                <w:rFonts w:ascii="Times New Roman" w:eastAsia="等线" w:hAnsi="Times New Roman" w:cs="Times New Roman"/>
                <w:sz w:val="20"/>
                <w:szCs w:val="20"/>
                <w:vertAlign w:val="subscript"/>
              </w:rPr>
              <w:t>4</w:t>
            </w:r>
          </w:p>
        </w:tc>
        <w:tc>
          <w:tcPr>
            <w:tcW w:w="1091" w:type="dxa"/>
            <w:vAlign w:val="center"/>
          </w:tcPr>
          <w:p w14:paraId="3A5F8F9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7F14B06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2.01</w:t>
            </w:r>
          </w:p>
        </w:tc>
        <w:tc>
          <w:tcPr>
            <w:tcW w:w="1173" w:type="dxa"/>
            <w:vAlign w:val="center"/>
          </w:tcPr>
          <w:p w14:paraId="57BF643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1.19</w:t>
            </w:r>
          </w:p>
        </w:tc>
        <w:tc>
          <w:tcPr>
            <w:tcW w:w="900" w:type="dxa"/>
            <w:vAlign w:val="center"/>
          </w:tcPr>
          <w:p w14:paraId="64753A5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0.82</w:t>
            </w:r>
          </w:p>
        </w:tc>
        <w:tc>
          <w:tcPr>
            <w:tcW w:w="2155" w:type="dxa"/>
            <w:vAlign w:val="center"/>
          </w:tcPr>
          <w:p w14:paraId="004B448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70 hrs. </w:t>
            </w:r>
          </w:p>
        </w:tc>
        <w:tc>
          <w:tcPr>
            <w:tcW w:w="736" w:type="dxa"/>
            <w:vAlign w:val="center"/>
          </w:tcPr>
          <w:p w14:paraId="6291396C" w14:textId="7E265825"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{"citationID":"keeVUjr4","properties":{"formattedCitation":"\\super [18]\\nosupersub{}","plainCitation":"[18]","noteIndex":0},"citationItems":[{"id":"msrF8eI4/CdvXsmCd","uris":["http://zotero.org/users/12869267/items/4MU9CDVZ"],"itemData":{"id":855,"type":"article-journal","abstract":"Spinel-type cobalt oxide (Co\n              3\n              O\n              4\n              ) was synthesized and used as a photoactive bifunctional electrocatalyst towards the oxygen evolution reaction (OER) and the oxygen reduction reaction (ORR) at the air cathode of zinc–air batteries (ZABs).\n            \n          , \n            \n              Spinel-type cobalt oxide (Co\n              3\n              O\n              4\n              ) was synthesized and used as a photoactive bifunctional electrocatalyst towards the oxygen evolution reaction (OER) and the oxygen reduction reaction (ORR) at the air cathode of zinc–air batteries (ZABs). The Co\n              3\n              O\n              4\n              having direct and indirect band gap energies of\n              ca.\n              2.20 eV and\n              ca.\n              1.35 eV can absorb visible light, generating photogenerated carriers and photoelectrons\n              via\n              the photoelectric effect. Upon exposure to visible light, the Co\n              3\n              O\n              4\n              electrode exhibits\n              ca.\n              30% higher current density than that under dark conditions and provides around 10–20% lower OER and ORR overpotentials than those under the dark conditions. Under visible light, the specific capacity of the as-fabricated photoactive ZAB cell is improved by\n              ca.\n              10% as compared to that under dark conditions.","container-title":"Chemical Communications","DOI":"10.1039/C9CC01876J","ISSN":"1359-7345, 1364-548X","issue":"42","journalAbbreviation":"Chem. Commun.","language":"en","page":"5855-5858","source":"DOI.org (Crossref)","title":"Photoactive Zn–air batteries using spinel-type cobalt oxide as a bifunctional photocatalyst at the air cathode","volume":"55","author":[{"family":"Tomon","given":"Chanikarn"},{"family":"Sarawutanukul","given":"Sangchai"},{"family":"Duangdangchote","given":"Salatan"},{"family":"Krittayavathananon","given":"Atiweena"},{"family":"Sawangphruk","given":"Montree"}],"issued":{"date-parts":[["2019"]]}}}],"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18]</w:t>
            </w:r>
            <w:r w:rsidRPr="0015381B">
              <w:rPr>
                <w:rFonts w:ascii="Times New Roman" w:hAnsi="Times New Roman" w:cs="Times New Roman"/>
              </w:rPr>
              <w:fldChar w:fldCharType="end"/>
            </w:r>
          </w:p>
        </w:tc>
      </w:tr>
      <w:tr w:rsidR="007C2F85" w:rsidRPr="007C2F85" w14:paraId="0DBCBEA3" w14:textId="77777777">
        <w:tc>
          <w:tcPr>
            <w:tcW w:w="1260" w:type="dxa"/>
            <w:vAlign w:val="center"/>
          </w:tcPr>
          <w:p w14:paraId="6990767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lastRenderedPageBreak/>
              <w:t>Co-N-CNTs</w:t>
            </w:r>
          </w:p>
        </w:tc>
        <w:tc>
          <w:tcPr>
            <w:tcW w:w="1091" w:type="dxa"/>
            <w:vAlign w:val="center"/>
          </w:tcPr>
          <w:p w14:paraId="661E2FD0"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2F1D245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~2.30 </w:t>
            </w:r>
          </w:p>
        </w:tc>
        <w:tc>
          <w:tcPr>
            <w:tcW w:w="1173" w:type="dxa"/>
            <w:vAlign w:val="center"/>
          </w:tcPr>
          <w:p w14:paraId="0C07048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w:t>
            </w:r>
          </w:p>
        </w:tc>
        <w:tc>
          <w:tcPr>
            <w:tcW w:w="900" w:type="dxa"/>
            <w:vAlign w:val="center"/>
          </w:tcPr>
          <w:p w14:paraId="0445855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~1.30</w:t>
            </w:r>
          </w:p>
        </w:tc>
        <w:tc>
          <w:tcPr>
            <w:tcW w:w="2155" w:type="dxa"/>
            <w:vAlign w:val="center"/>
          </w:tcPr>
          <w:p w14:paraId="7A19FDD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145 cycles 16 hrs.</w:t>
            </w:r>
          </w:p>
        </w:tc>
        <w:tc>
          <w:tcPr>
            <w:tcW w:w="736" w:type="dxa"/>
            <w:vAlign w:val="center"/>
          </w:tcPr>
          <w:p w14:paraId="522C6F75" w14:textId="5731122B"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{"citationID":"YEvOUNiP","properties":{"formattedCitation":"\\super [19]\\nosupersub{}","plainCitation":"[19]","noteIndex":0},"citationItems":[{"id":"msrF8eI4/GoXMuDWI","uris":["http://zotero.org/users/12869267/items/EFSKJVI5"],"itemData":{"id":857,"type":"article-journal","abstract":"Abstract\n            \n              Here first a 2D dual‐metal (Co/Zn) and leaf‐like zeolitic imidazolate framework (ZIF‐L)‐pyrolysis approach is reported for the low‐cost and facile preparation of Co nanoparticles encapsulated into nitrogen‐doped carbon nanotubes (Co‐N‐CNTs). Importantly, the reasonable Co/Zn molar ratio in the ZIF‐L is the key to the emergence of the encapsulated microstructure. Specifically, high‐dispersed cobalt nanoparticles are fully encapsulated in the tips of N‐CNTs, leading to the full formation of highly active Co–N–C moieties for oxygen reduction and evolution reactions (ORR and OER). As a result, the obtained Co‐N‐CNTs present superior electrocatalytic activity and stability toward ORR and OER over the commercial Pt/C and IrO\n              2\n              as well as most reported metal‐organic‐framework‐derived catalysts, respectively. Remarkably, as bifunctional air electrodes of the Zn–air battery, it also shows extraordinary charge–discharge performance. The present concept will provide a guideline for screening novel 2D metal‐organic frameworks as precursors to synthesize advanced multifunctional nanomaterials for cross‐cutting applications.","container-title":"Advanced Functional Materials","DOI":"10.1002/adfm.201705048","ISSN":"1616-301X, 1616-3028","issue":"5","journalAbbreviation":"Adv Funct Materials","language":"en","license":"http://onlinelibrary.wiley.com/termsAndConditions#vor","page":"1705048","source":"DOI.org (Crossref)","title":"2D Dual‐Metal Zeolitic‐Imidazolate‐Framework‐(ZIF)‐Derived Bifunctional Air Electrodes with Ultrahigh Electrochemical Properties for Rechargeable Zinc–Air Batteries","volume":"28","author":[{"family":"Wang","given":"Tingting"},{"family":"Kou","given":"Zongkui"},{"family":"Mu","given":"Shichun"},{"family":"Liu","given":"Jingping"},{"family":"He","given":"Daping"},{"family":"Amiinu","given":"Ibrahim Saana"},{"family":"Meng","given":"Wen"},{"family":"Zhou","given":"Kui"},{"family":"Luo","given":"Zhixiong"},{"family":"Chaemchuen","given":"Somboon"},{"family":"Verpoort","given":"Francis"}],"issued":{"date-parts":[["2018",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19]</w:t>
            </w:r>
            <w:r w:rsidRPr="0015381B">
              <w:rPr>
                <w:rFonts w:ascii="Times New Roman" w:hAnsi="Times New Roman" w:cs="Times New Roman"/>
              </w:rPr>
              <w:fldChar w:fldCharType="end"/>
            </w:r>
          </w:p>
        </w:tc>
      </w:tr>
      <w:tr w:rsidR="007C2F85" w:rsidRPr="007C2F85" w14:paraId="4B525FB3" w14:textId="77777777">
        <w:tc>
          <w:tcPr>
            <w:tcW w:w="1260" w:type="dxa"/>
            <w:vAlign w:val="center"/>
          </w:tcPr>
          <w:p w14:paraId="1CEA329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CoNiFe-S MNs</w:t>
            </w:r>
          </w:p>
        </w:tc>
        <w:tc>
          <w:tcPr>
            <w:tcW w:w="1091" w:type="dxa"/>
            <w:vAlign w:val="center"/>
          </w:tcPr>
          <w:p w14:paraId="5FA4316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39085F7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1.88</w:t>
            </w:r>
          </w:p>
        </w:tc>
        <w:tc>
          <w:tcPr>
            <w:tcW w:w="1173" w:type="dxa"/>
            <w:vAlign w:val="center"/>
          </w:tcPr>
          <w:p w14:paraId="1143154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1.12</w:t>
            </w:r>
          </w:p>
        </w:tc>
        <w:tc>
          <w:tcPr>
            <w:tcW w:w="900" w:type="dxa"/>
            <w:vAlign w:val="center"/>
          </w:tcPr>
          <w:p w14:paraId="5594DFD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0.76</w:t>
            </w:r>
          </w:p>
        </w:tc>
        <w:tc>
          <w:tcPr>
            <w:tcW w:w="2155" w:type="dxa"/>
            <w:vAlign w:val="center"/>
          </w:tcPr>
          <w:p w14:paraId="4B5D50F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120 cycles 40 hrs. </w:t>
            </w:r>
          </w:p>
        </w:tc>
        <w:tc>
          <w:tcPr>
            <w:tcW w:w="736" w:type="dxa"/>
            <w:vAlign w:val="center"/>
          </w:tcPr>
          <w:p w14:paraId="55F8F817" w14:textId="477397BF"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{"citationID":"y4keTuoL","properties":{"formattedCitation":"\\super [20]\\nosupersub{}","plainCitation":"[20]","noteIndex":0},"citationItems":[{"id":"msrF8eI4/k5QCpuDz","uris":["http://zotero.org/users/12869267/items/QXU7ATM7"],"itemData":{"id":859,"type":"article-journal","abstract":"Abstract\n            \n              Highly active and durable electrocatalysts are of great significance to accelerate the sluggish oxygen evolution and oxygen reduction reaction (OER and ORR) which are indispensable processes in practical devices such as metal–air batteries. Herein, the authors integrate morphological design with compositional manipulation, and successfully achieve well‐defined CoNiFe sulfide mesoporous nanospheres (CoNiFe‐S MNs). The as‐prepared CoNiFe‐S MNs exhibit superior OER and ORR catalytic activity, delivering a low overpotential of only 199 mV at a current density of 10 mA cm\n              −2\n              in 1\n              m\n              KOH solution and a half‐wave potential of 0.78 V in 0.1\n              m\n              KOH solution toward OER and ORR, respectively. The CoNiFe‐S MNs involved Zn–air battery exhibits remarkable charge–discharge performance (voltage gap of 0.76 V at 2 mA cm\n              −2\n              ) and high power density (over 140 mW cm\n              −3\n              ). Extended‐time durability tests validate the structural recoverability of the mesoporous morphology, and the remarkable performance can be attributed to the intrinsic synergistic effect of heterometallic ions. It is believed that the method could pave the way for the design of novel electrocatalysts for Zn–air batteries.","container-title":"Advanced Energy Materials","DOI":"10.1002/aenm.201801839","ISSN":"1614-6832, 1614-6840","issue":"34","journalAbbreviation":"Advanced Energy Materials","language":"en","page":"1801839","source":"DOI.org (Crossref)","title":"Trimetallic Sulfide Mesoporous Nanospheres as Superior Electrocatalysts for Rechargeable Zn–Air Batteries","volume":"8","author":[{"family":"Yang","given":"Haozhou"},{"family":"Wang","given":"Bin"},{"family":"Li","given":"Haoyi"},{"family":"Ni","given":"Bing"},{"family":"Wang","given":"Kai"},{"family":"Zhang","given":"Qiang"},{"family":"Wang","given":"Xun"}],"issued":{"date-parts":[["2018",12]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20]</w:t>
            </w:r>
            <w:r w:rsidRPr="0015381B">
              <w:rPr>
                <w:rFonts w:ascii="Times New Roman" w:hAnsi="Times New Roman" w:cs="Times New Roman"/>
              </w:rPr>
              <w:fldChar w:fldCharType="end"/>
            </w:r>
          </w:p>
        </w:tc>
      </w:tr>
      <w:tr w:rsidR="007C2F85" w:rsidRPr="007C2F85" w14:paraId="7F04FBDE" w14:textId="77777777">
        <w:tc>
          <w:tcPr>
            <w:tcW w:w="1260" w:type="dxa"/>
            <w:vAlign w:val="center"/>
          </w:tcPr>
          <w:p w14:paraId="322E2B9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NiFe</w:t>
            </w:r>
            <w:r w:rsidRPr="007C2F85">
              <w:rPr>
                <w:rFonts w:ascii="Times New Roman" w:eastAsia="等线" w:hAnsi="Times New Roman" w:cs="Times New Roman"/>
                <w:sz w:val="20"/>
                <w:szCs w:val="20"/>
                <w:vertAlign w:val="subscript"/>
              </w:rPr>
              <w:t>2</w:t>
            </w:r>
            <w:r w:rsidRPr="007C2F85">
              <w:rPr>
                <w:rFonts w:ascii="Times New Roman" w:eastAsia="等线" w:hAnsi="Times New Roman" w:cs="Times New Roman"/>
                <w:sz w:val="20"/>
                <w:szCs w:val="20"/>
              </w:rPr>
              <w:t>O</w:t>
            </w:r>
            <w:r w:rsidRPr="007C2F85">
              <w:rPr>
                <w:rFonts w:ascii="Times New Roman" w:eastAsia="等线" w:hAnsi="Times New Roman" w:cs="Times New Roman"/>
                <w:sz w:val="20"/>
                <w:szCs w:val="20"/>
                <w:vertAlign w:val="subscript"/>
              </w:rPr>
              <w:t>4</w:t>
            </w:r>
            <w:r w:rsidRPr="007C2F85">
              <w:rPr>
                <w:rFonts w:ascii="Times New Roman" w:eastAsia="等线" w:hAnsi="Times New Roman" w:cs="Times New Roman"/>
                <w:sz w:val="20"/>
                <w:szCs w:val="20"/>
              </w:rPr>
              <w:t>/FeNi</w:t>
            </w:r>
            <w:r w:rsidRPr="007C2F85">
              <w:rPr>
                <w:rFonts w:ascii="Times New Roman" w:eastAsia="等线" w:hAnsi="Times New Roman" w:cs="Times New Roman"/>
                <w:sz w:val="20"/>
                <w:szCs w:val="20"/>
                <w:vertAlign w:val="subscript"/>
              </w:rPr>
              <w:t>2</w:t>
            </w:r>
            <w:r w:rsidRPr="007C2F85">
              <w:rPr>
                <w:rFonts w:ascii="Times New Roman" w:eastAsia="等线" w:hAnsi="Times New Roman" w:cs="Times New Roman"/>
                <w:sz w:val="20"/>
                <w:szCs w:val="20"/>
              </w:rPr>
              <w:t>S</w:t>
            </w:r>
            <w:r w:rsidRPr="007C2F85">
              <w:rPr>
                <w:rFonts w:ascii="Times New Roman" w:eastAsia="等线" w:hAnsi="Times New Roman" w:cs="Times New Roman"/>
                <w:sz w:val="20"/>
                <w:szCs w:val="20"/>
                <w:vertAlign w:val="subscript"/>
              </w:rPr>
              <w:t>4</w:t>
            </w:r>
            <w:r w:rsidRPr="007C2F85">
              <w:rPr>
                <w:rFonts w:ascii="Times New Roman" w:eastAsia="等线" w:hAnsi="Times New Roman" w:cs="Times New Roman"/>
                <w:sz w:val="20"/>
                <w:szCs w:val="20"/>
              </w:rPr>
              <w:t xml:space="preserve"> HNSs </w:t>
            </w:r>
          </w:p>
        </w:tc>
        <w:tc>
          <w:tcPr>
            <w:tcW w:w="1091" w:type="dxa"/>
            <w:vAlign w:val="center"/>
          </w:tcPr>
          <w:p w14:paraId="304B50B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5463746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~2.10 </w:t>
            </w:r>
          </w:p>
        </w:tc>
        <w:tc>
          <w:tcPr>
            <w:tcW w:w="1173" w:type="dxa"/>
            <w:vAlign w:val="center"/>
          </w:tcPr>
          <w:p w14:paraId="0675BF6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~0.98</w:t>
            </w:r>
          </w:p>
        </w:tc>
        <w:tc>
          <w:tcPr>
            <w:tcW w:w="900" w:type="dxa"/>
            <w:vAlign w:val="center"/>
          </w:tcPr>
          <w:p w14:paraId="6E3BC0E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1.2</w:t>
            </w:r>
          </w:p>
        </w:tc>
        <w:tc>
          <w:tcPr>
            <w:tcW w:w="2155" w:type="dxa"/>
            <w:vAlign w:val="center"/>
          </w:tcPr>
          <w:p w14:paraId="056467D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125 hrs. </w:t>
            </w:r>
          </w:p>
        </w:tc>
        <w:tc>
          <w:tcPr>
            <w:tcW w:w="736" w:type="dxa"/>
            <w:vAlign w:val="center"/>
          </w:tcPr>
          <w:p w14:paraId="77F14C31" w14:textId="64A3A93D"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{"citationID":"GXpkxBLW","properties":{"formattedCitation":"\\super [21]\\nosupersub{}","plainCitation":"[21]","noteIndex":0},"citationItems":[{"id":"msrF8eI4/lzrNcLg6","uris":["http://zotero.org/users/12869267/items/2BLHNWIN"],"itemData":{"id":861,"type":"article-journal","container-title":"Journal of the American Chemical Society","DOI":"10.1021/jacs.8b09805","ISSN":"0002-7863, 1520-5126","issue":"50","journalAbbreviation":"J. Am. Chem. Soc.","language":"en","page":"17624-17631","source":"DOI.org (Crossref)","title":"Heterostructure-Promoted Oxygen Electrocatalysis Enables Rechargeable Zinc–Air Battery with Neutral Aqueous Electrolyte","volume":"140","author":[{"family":"An","given":"Li"},{"family":"Zhang","given":"Zhiyong"},{"family":"Feng","given":"Jianrui"},{"family":"Lv","given":"Fan"},{"family":"Li","given":"Yuxuan"},{"family":"Wang","given":"Rui"},{"family":"Lu","given":"Min"},{"family":"Gupta","given":"Ram B."},{"family":"Xi","given":"Pinxian"},{"family":"Zhang","given":"Sen"}],"issued":{"date-parts":[["2018",12,19]]}}}],"schema":"https://github.com/citation-style-language/schema/raw/master/csl-citation.json"}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21]</w:t>
            </w:r>
            <w:r w:rsidRPr="0015381B">
              <w:rPr>
                <w:rFonts w:ascii="Times New Roman" w:hAnsi="Times New Roman" w:cs="Times New Roman"/>
              </w:rPr>
              <w:fldChar w:fldCharType="end"/>
            </w:r>
          </w:p>
        </w:tc>
      </w:tr>
      <w:tr w:rsidR="007C2F85" w:rsidRPr="007C2F85" w14:paraId="32F754E3" w14:textId="77777777">
        <w:tc>
          <w:tcPr>
            <w:tcW w:w="1260" w:type="dxa"/>
            <w:vAlign w:val="center"/>
          </w:tcPr>
          <w:p w14:paraId="7D3F6E7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CNF@Zn/CoNC</w:t>
            </w:r>
          </w:p>
        </w:tc>
        <w:tc>
          <w:tcPr>
            <w:tcW w:w="1091" w:type="dxa"/>
            <w:vAlign w:val="center"/>
          </w:tcPr>
          <w:p w14:paraId="057D4D4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33098CD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2.1</w:t>
            </w:r>
          </w:p>
        </w:tc>
        <w:tc>
          <w:tcPr>
            <w:tcW w:w="1173" w:type="dxa"/>
            <w:vAlign w:val="center"/>
          </w:tcPr>
          <w:p w14:paraId="106D8A0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1.19</w:t>
            </w:r>
          </w:p>
        </w:tc>
        <w:tc>
          <w:tcPr>
            <w:tcW w:w="900" w:type="dxa"/>
            <w:vAlign w:val="center"/>
          </w:tcPr>
          <w:p w14:paraId="5554C13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0.91</w:t>
            </w:r>
          </w:p>
        </w:tc>
        <w:tc>
          <w:tcPr>
            <w:tcW w:w="2155" w:type="dxa"/>
            <w:vAlign w:val="center"/>
          </w:tcPr>
          <w:p w14:paraId="2F84A42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150 hrs.</w:t>
            </w:r>
          </w:p>
        </w:tc>
        <w:tc>
          <w:tcPr>
            <w:tcW w:w="736" w:type="dxa"/>
            <w:vAlign w:val="center"/>
          </w:tcPr>
          <w:p w14:paraId="0E9987B1" w14:textId="0826D4B7"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{"citationID":"0EdnhxRN","properties":{"formattedCitation":"\\super [22]\\nosupersub{}","plainCitation":"[22]","noteIndex":0},"citationItems":[{"id":"msrF8eI4/rIh2XcRh","uris":["http://zotero.org/users/12869267/items/RTKKRRC2"],"itemData":{"id":869,"type":"article-journal","abstract":"Abstract\n            \n              Designing rational nanostructures of metal–organic frameworks based carbon materials to promote the bifunctional catalytic activity of the oxygen reduction reaction (ORR) and oxygen evolution reaction (OER) is highly desired but still remains a great challenge. Herein, an in situ growth method to achieve 1D structure‐controllable zeolitic imidazolate frameworks (ZIFs)/polyacrylonitrile (PAN) core/shell fiber (PAN@ZIFs) is developed. Subsequent pyrolysis of this precursor can obtain a heteroatom‐doped carbon nanofiber network as an efficient bifunctional oxygen electrocatalyst. The electrocatalytic performance of derived carbon nanofiber is dominated by the structures of PAN@ZIFs fiber, which is facilely regulated by efficiently controlling the nucleation and growth process of ZIFs on the surface of polymer fiber as well as optimizing the components of ZIFs. Benefiting from the core–shell structures with appropriate dopants and porosity, as‐prepared catalysts show brilliant bifunctional ORR/OER catalytic activity and durability. Finally, the rechargeable Zn‐air battery assembled from the optimized catalyst (CNF@Zn/CoNC) displays a peak power density of 140.1 mW cm\n              −2\n              , energy density of 878.9 Wh kg\n              Zn\n              −1\n              , and excellent cyclic stability over 150 h, giving a promising performance in realistic application.","container-title":"Small","DOI":"10.1002/smll.201704207","ISSN":"1613-6810, 1613-6829","issue":"19","journalAbbreviation":"Small","language":"en","page":"1704207","source":"DOI.org (Crossref)","title":"Controllable Construction of Core–Shell Polymer@Zeolitic Imidazolate Frameworks Fiber Derived Heteroatom‐Doped Carbon Nanofiber Network for Efficient Oxygen Electrocatalysis","volume":"14","author":[{"family":"Zhao","given":"Yingxuan"},{"family":"Lai","given":"Qingxue"},{"family":"Zhu","given":"Junjie"},{"family":"Zhong","given":"Jia"},{"family":"Tang","given":"Zeming"},{"family":"Luo","given":"Yan"},{"family":"Liang","given":"Yanyu"}],"issued":{"date-parts":[["2018",5]]}}}],"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22]</w:t>
            </w:r>
            <w:r w:rsidRPr="0015381B">
              <w:rPr>
                <w:rFonts w:ascii="Times New Roman" w:hAnsi="Times New Roman" w:cs="Times New Roman"/>
              </w:rPr>
              <w:fldChar w:fldCharType="end"/>
            </w:r>
          </w:p>
        </w:tc>
      </w:tr>
      <w:tr w:rsidR="007C2F85" w:rsidRPr="007C2F85" w14:paraId="040F5601" w14:textId="77777777">
        <w:tc>
          <w:tcPr>
            <w:tcW w:w="1260" w:type="dxa"/>
            <w:vAlign w:val="center"/>
          </w:tcPr>
          <w:p w14:paraId="55805C2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BNPC-1100</w:t>
            </w:r>
          </w:p>
        </w:tc>
        <w:tc>
          <w:tcPr>
            <w:tcW w:w="1091" w:type="dxa"/>
            <w:vAlign w:val="center"/>
          </w:tcPr>
          <w:p w14:paraId="385C669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w:t>
            </w:r>
          </w:p>
        </w:tc>
        <w:tc>
          <w:tcPr>
            <w:tcW w:w="1172" w:type="dxa"/>
            <w:vAlign w:val="center"/>
          </w:tcPr>
          <w:p w14:paraId="4BD9671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2.2</w:t>
            </w:r>
          </w:p>
        </w:tc>
        <w:tc>
          <w:tcPr>
            <w:tcW w:w="1173" w:type="dxa"/>
            <w:vAlign w:val="center"/>
          </w:tcPr>
          <w:p w14:paraId="6E54667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1.14</w:t>
            </w:r>
          </w:p>
        </w:tc>
        <w:tc>
          <w:tcPr>
            <w:tcW w:w="900" w:type="dxa"/>
            <w:vAlign w:val="center"/>
          </w:tcPr>
          <w:p w14:paraId="36ECF61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1.06</w:t>
            </w:r>
          </w:p>
        </w:tc>
        <w:tc>
          <w:tcPr>
            <w:tcW w:w="2155" w:type="dxa"/>
            <w:vAlign w:val="center"/>
          </w:tcPr>
          <w:p w14:paraId="3BAAD0F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100 hrs.</w:t>
            </w:r>
          </w:p>
        </w:tc>
        <w:tc>
          <w:tcPr>
            <w:tcW w:w="736" w:type="dxa"/>
            <w:vAlign w:val="center"/>
          </w:tcPr>
          <w:p w14:paraId="231F5512" w14:textId="57803CF8"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{"citationID":"MsbZ8igY","properties":{"formattedCitation":"\\super [23]\\nosupersub{}","plainCitation":"[23]","noteIndex":0},"citationItems":[{"id":"msrF8eI4/G31zSplT","uris":["http://zotero.org/users/12869267/items/RAP59WJS"],"itemData":{"id":863,"type":"article-journal","abstract":"Rechargeable Zn-air batteries are under intensive studies because of their high-energy density, low cost, and safety. However, their wide application is prevented by several remaining technical issues, one of which is the lack of suitable bifunctional cathodic catalysts for oxygen reduction reaction (ORR) during discharging and oxygen evolution reaction (OER) during charging. Due to low material cost and wide distribution, carbon-based materials may serve as promising electrocatalysts, while doping heteroatoms such as nitrogen or boron can effectively enhance their catalytic activity. Herein, we pyrolyze a metalorganic framework containing Zn, N, and B as the precursor to synthesize dual-doped and metal-free porous carbon materials as efﬁcient ORR/OER bifunctional electrocatalysts. The surface area of obtained carbon materials can be greatly enhanced by pyrolysis under H2-containing atmosphere. In addition, N and B are evenly distributed within the carbon materials due to the crystalline MOF precursor. The resultant carbon materials exhibit high ORR and OER catalytic activities in both half-cell and single-cell battery measurements. Our study has demonstrated for the ﬁrst time that MOFs can be used as precursors to synthesize metal-free ORR/OER bifunctional cathodic electrocatalysts with great potential in rechargeable Zn-air batteries.","container-title":"Carbon","DOI":"10.1016/j.carbon.2016.10.046","ISSN":"00086223","journalAbbreviation":"Carbon","language":"en","page":"641-650","source":"DOI.org (Crossref)","title":"A metal-free ORR/OER bifunctional electrocatalyst derived from metal-organic frameworks for rechargeable Zn-Air batteries","volume":"111","author":[{"family":"Qian","given":"Yuhong"},{"family":"Hu","given":"Zhigang"},{"family":"Ge","given":"Xiaoming"},{"family":"Yang","given":"Shiliu"},{"family":"Peng","given":"Yongwu"},{"family":"Kang","given":"Zixi"},{"family":"Liu","given":"Zhaolin"},{"family":"Lee","given":"Jim Yang"},{"family":"Zhao","given":"Dan"}],"issued":{"date-parts":[["2017",1]]}}}],"schema":"https://github.com/citation-style-language/schema/raw/master/csl-citation.json"}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23]</w:t>
            </w:r>
            <w:r w:rsidRPr="0015381B">
              <w:rPr>
                <w:rFonts w:ascii="Times New Roman" w:hAnsi="Times New Roman" w:cs="Times New Roman"/>
              </w:rPr>
              <w:fldChar w:fldCharType="end"/>
            </w:r>
          </w:p>
        </w:tc>
      </w:tr>
      <w:tr w:rsidR="007C2F85" w:rsidRPr="007C2F85" w14:paraId="14895582" w14:textId="77777777">
        <w:tc>
          <w:tcPr>
            <w:tcW w:w="1260" w:type="dxa"/>
            <w:vAlign w:val="center"/>
          </w:tcPr>
          <w:p w14:paraId="5B631C4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CoFe</w:t>
            </w:r>
            <w:r w:rsidRPr="007C2F85">
              <w:rPr>
                <w:rFonts w:ascii="Times New Roman" w:eastAsia="等线" w:hAnsi="Times New Roman" w:cs="Times New Roman"/>
                <w:sz w:val="20"/>
                <w:szCs w:val="20"/>
                <w:vertAlign w:val="subscript"/>
              </w:rPr>
              <w:t>20</w:t>
            </w:r>
            <w:r w:rsidRPr="007C2F85">
              <w:rPr>
                <w:rFonts w:ascii="Times New Roman" w:eastAsia="等线" w:hAnsi="Times New Roman" w:cs="Times New Roman"/>
                <w:sz w:val="20"/>
                <w:szCs w:val="20"/>
              </w:rPr>
              <w:t>@CC</w:t>
            </w:r>
          </w:p>
        </w:tc>
        <w:tc>
          <w:tcPr>
            <w:tcW w:w="1091" w:type="dxa"/>
            <w:vAlign w:val="center"/>
          </w:tcPr>
          <w:p w14:paraId="043FFD2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25DF673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1.10 – 2.10</w:t>
            </w:r>
          </w:p>
        </w:tc>
        <w:tc>
          <w:tcPr>
            <w:tcW w:w="1173" w:type="dxa"/>
            <w:vAlign w:val="center"/>
          </w:tcPr>
          <w:p w14:paraId="068826C4" w14:textId="77777777" w:rsidR="006D6F60" w:rsidRPr="007C2F85" w:rsidRDefault="006D6F60" w:rsidP="00414787">
            <w:pPr>
              <w:rPr>
                <w:rFonts w:ascii="Times New Roman" w:hAnsi="Times New Roman" w:cs="Times New Roman"/>
              </w:rPr>
            </w:pPr>
          </w:p>
        </w:tc>
        <w:tc>
          <w:tcPr>
            <w:tcW w:w="900" w:type="dxa"/>
            <w:vAlign w:val="center"/>
          </w:tcPr>
          <w:p w14:paraId="3043E8F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 xml:space="preserve">~1.00 </w:t>
            </w:r>
          </w:p>
        </w:tc>
        <w:tc>
          <w:tcPr>
            <w:tcW w:w="2155" w:type="dxa"/>
            <w:vAlign w:val="center"/>
          </w:tcPr>
          <w:p w14:paraId="384E568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130 hrs.</w:t>
            </w:r>
          </w:p>
        </w:tc>
        <w:tc>
          <w:tcPr>
            <w:tcW w:w="736" w:type="dxa"/>
            <w:vAlign w:val="center"/>
          </w:tcPr>
          <w:p w14:paraId="305A555B" w14:textId="0B4D35C7"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{"citationID":"uDJR5poF","properties":{"formattedCitation":"\\super [24]\\nosupersub{}","plainCitation":"[24]","noteIndex":0},"citationItems":[{"id":"msrF8eI4/ndRERV4K","uris":["http://zotero.org/users/12869267/items/WFK2FMN7"],"itemData":{"id":865,"type":"article-journal","abstract":"In this work, unique sugar-coated haws sticklike core−shell ZIF-67@PAN-HCCP-MIM-FeCl3 nanoﬁbers were successfully prepared by electrospinning and an in situ nanocrystal growth process. After carbonization of the assynthesized nanoﬁbers at various temperatures, the resulting sample Fe/Co-N/P-9 (carbonized at 900 °C) retained the presented a sugar-coated haws stick-like structure. The internal carbon nanoﬁber acts like a “stick” as a support, the “haws” composed of Co2P and Fe5C2 nanoparticles act as catalytic active sites, and the graphite carbon acts as “sugar” to protect particles from detachment. The channel gap between inner core and outer layer can improve the mass transfer process. Owing to these special structure and unique composition features, Fe/Co-N/P-9 exhibited excellent oxygen reduction reaction (ORR) performance with an onset potential of 0.96 V (vs RHE) and a half wave potential of 0.85 V (vs RHE) in 0.1 M KOH solution. Fe/Co-N/P-9 also showed good catalytic stability and methanol tolerance. In addition, the rechargeable Zn−air battery fabricated by Fe/Co-N/P-9 exhibited a galvanostatic discharge voltage of 1.25 V, a higher speciﬁc capacity of 565 mAh/gZn, and a better cycle stability than Pt/C+RuO2.","container-title":"ACS Sustainable Chemistry &amp; Engineering","DOI":"10.1021/acssuschemeng.8b06447","ISSN":"2168-0485, 2168-0485","issue":"8","journalAbbreviation":"ACS Sustainable Chem. Eng.","language":"en","license":"https://doi.org/10.15223/policy-029","page":"7716-7727","source":"DOI.org (Crossref)","title":"Multicomponent Doped Sugar-Coated Haws Stick-like Nanofibers as Efficient Oxygen Reduction Reaction Catalysts for the Zn–Air Battery","volume":"7","author":[{"family":"Di","given":"Jie"},{"family":"Guo","given":"Junxia"},{"family":"Wang","given":"Nannan"},{"family":"Ma","given":"Guiping"}],"issued":{"date-parts":[["2019",4,15]]}}}],"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24]</w:t>
            </w:r>
            <w:r w:rsidRPr="0015381B">
              <w:rPr>
                <w:rFonts w:ascii="Times New Roman" w:hAnsi="Times New Roman" w:cs="Times New Roman"/>
              </w:rPr>
              <w:fldChar w:fldCharType="end"/>
            </w:r>
          </w:p>
        </w:tc>
      </w:tr>
      <w:tr w:rsidR="007C2F85" w:rsidRPr="007C2F85" w14:paraId="61D313EB" w14:textId="77777777">
        <w:tc>
          <w:tcPr>
            <w:tcW w:w="1260" w:type="dxa"/>
            <w:vAlign w:val="center"/>
          </w:tcPr>
          <w:p w14:paraId="73A220B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Fe/Co-N/P-9</w:t>
            </w:r>
          </w:p>
        </w:tc>
        <w:tc>
          <w:tcPr>
            <w:tcW w:w="1091" w:type="dxa"/>
            <w:vAlign w:val="center"/>
          </w:tcPr>
          <w:p w14:paraId="2DCDC0B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4966AA7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w:t>
            </w:r>
          </w:p>
        </w:tc>
        <w:tc>
          <w:tcPr>
            <w:tcW w:w="1173" w:type="dxa"/>
            <w:vAlign w:val="center"/>
          </w:tcPr>
          <w:p w14:paraId="02A6280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2.05</w:t>
            </w:r>
          </w:p>
        </w:tc>
        <w:tc>
          <w:tcPr>
            <w:tcW w:w="900" w:type="dxa"/>
            <w:vAlign w:val="center"/>
          </w:tcPr>
          <w:p w14:paraId="3B59EF4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~1.05</w:t>
            </w:r>
          </w:p>
        </w:tc>
        <w:tc>
          <w:tcPr>
            <w:tcW w:w="2155" w:type="dxa"/>
            <w:vAlign w:val="center"/>
          </w:tcPr>
          <w:p w14:paraId="043E529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130 cycles</w:t>
            </w:r>
          </w:p>
        </w:tc>
        <w:tc>
          <w:tcPr>
            <w:tcW w:w="736" w:type="dxa"/>
            <w:vAlign w:val="center"/>
          </w:tcPr>
          <w:p w14:paraId="65F42241" w14:textId="4990DC23"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{"citationID":"3CvffpQf","properties":{"formattedCitation":"\\super [25]\\nosupersub{}","plainCitation":"[25]","noteIndex":0},"citationItems":[{"id":"msrF8eI4/76iFyYMa","uris":["http://zotero.org/users/12869267/items/XNJC3FEX"],"itemData":{"id":867,"type":"article-journal","abstract":"Abstract\n            \n              Carbon micro‐/nanocages have attracted great attention owing to their wide potential applications. Herein, a self‐templated strategy is presented for the synthesis of a hydrangea‐like superstructure of open carbon cages through morphology‐controlled thermal transformation of core@shell metal–organic frameworks (MOFs). Direct pyrolysis of core@shell zinc (Zn)@cobalt (Co)‐MOFs produces well‐defined open‐wall nitrogen‐doped carbon cages. By introducing guest iron (Fe) ions into the core@shell MOF precursor, the open carbon cages are self‐assembled into a hydrangea‐like 3D superstructure interconnected by carbon nanotubes, which are grown in situ on the Fe–Co alloy nanoparticles formed during the pyrolysis of Fe‐introduced Zn@Co‐MOFs. Taking advantage of such hierarchically porous superstructures with excellent accessibility, synergetic effects between the Fe and the Co, and the presence of catalytically active sites of both metal nanoparticles and metal–N\n              \n                x\n              \n              species, this superstructure of open carbon cages exhibits efficient bifunctional catalysis for both oxygen evolution reaction and oxygen reduction reaction, achieving a great performance in Zn–air batteries.","container-title":"Advanced Materials","DOI":"10.1002/adma.201904689","ISSN":"0935-9648, 1521-4095","issue":"46","journalAbbreviation":"Advanced Materials","language":"en","page":"1904689","source":"DOI.org (Crossref)","title":"A Hydrangea‐Like Superstructure of Open Carbon Cages with Hierarchical Porosity and Highly Active Metal Sites","volume":"31","author":[{"family":"Hou","given":"Chun‐Chao"},{"family":"Zou","given":"Lianli"},{"family":"Xu","given":"Qiang"}],"issued":{"date-parts":[["2019",11]]}}}],"schema":"https://github.com/citation-style-language/schema/raw/master/csl-citation.json"}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25]</w:t>
            </w:r>
            <w:r w:rsidRPr="0015381B">
              <w:rPr>
                <w:rFonts w:ascii="Times New Roman" w:hAnsi="Times New Roman" w:cs="Times New Roman"/>
              </w:rPr>
              <w:fldChar w:fldCharType="end"/>
            </w:r>
          </w:p>
        </w:tc>
      </w:tr>
      <w:tr w:rsidR="007C2F85" w:rsidRPr="007C2F85" w14:paraId="0602D3DC" w14:textId="77777777">
        <w:tc>
          <w:tcPr>
            <w:tcW w:w="1260" w:type="dxa"/>
            <w:vAlign w:val="center"/>
          </w:tcPr>
          <w:p w14:paraId="79B0055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CoFe</w:t>
            </w:r>
            <w:r w:rsidRPr="007C2F85">
              <w:rPr>
                <w:rFonts w:ascii="Times New Roman" w:eastAsia="等线" w:hAnsi="Times New Roman" w:cs="Times New Roman"/>
                <w:sz w:val="20"/>
                <w:szCs w:val="20"/>
                <w:vertAlign w:val="subscript"/>
              </w:rPr>
              <w:t>2</w:t>
            </w:r>
            <w:r w:rsidRPr="007C2F85">
              <w:rPr>
                <w:rFonts w:ascii="Times New Roman" w:eastAsia="等线" w:hAnsi="Times New Roman" w:cs="Times New Roman"/>
                <w:sz w:val="20"/>
                <w:szCs w:val="20"/>
              </w:rPr>
              <w:t>O</w:t>
            </w:r>
            <w:r w:rsidRPr="007C2F85">
              <w:rPr>
                <w:rFonts w:ascii="Times New Roman" w:eastAsia="等线" w:hAnsi="Times New Roman" w:cs="Times New Roman"/>
                <w:sz w:val="20"/>
                <w:szCs w:val="20"/>
                <w:vertAlign w:val="subscript"/>
              </w:rPr>
              <w:t>4</w:t>
            </w:r>
            <w:r w:rsidRPr="007C2F85">
              <w:rPr>
                <w:rFonts w:ascii="Times New Roman" w:eastAsia="等线" w:hAnsi="Times New Roman" w:cs="Times New Roman"/>
                <w:sz w:val="20"/>
                <w:szCs w:val="20"/>
              </w:rPr>
              <w:t>-N,S-C</w:t>
            </w:r>
          </w:p>
        </w:tc>
        <w:tc>
          <w:tcPr>
            <w:tcW w:w="1091" w:type="dxa"/>
            <w:vAlign w:val="center"/>
          </w:tcPr>
          <w:p w14:paraId="70C90AA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vAlign w:val="center"/>
          </w:tcPr>
          <w:p w14:paraId="6BAAB03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~2.04</w:t>
            </w:r>
          </w:p>
        </w:tc>
        <w:tc>
          <w:tcPr>
            <w:tcW w:w="1173" w:type="dxa"/>
            <w:vAlign w:val="center"/>
          </w:tcPr>
          <w:p w14:paraId="0E36F81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1.19</w:t>
            </w:r>
          </w:p>
        </w:tc>
        <w:tc>
          <w:tcPr>
            <w:tcW w:w="900" w:type="dxa"/>
            <w:vAlign w:val="center"/>
          </w:tcPr>
          <w:p w14:paraId="6DD8303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~0.85</w:t>
            </w:r>
          </w:p>
        </w:tc>
        <w:tc>
          <w:tcPr>
            <w:tcW w:w="2155" w:type="dxa"/>
            <w:vAlign w:val="center"/>
          </w:tcPr>
          <w:p w14:paraId="19BDBD97"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300 cycles @ 5mA cm</w:t>
            </w:r>
            <w:r w:rsidRPr="007C2F85">
              <w:rPr>
                <w:rFonts w:ascii="Times New Roman" w:eastAsia="等线" w:hAnsi="Times New Roman" w:cs="Times New Roman"/>
                <w:sz w:val="20"/>
                <w:szCs w:val="20"/>
                <w:vertAlign w:val="superscript"/>
              </w:rPr>
              <w:t>-2</w:t>
            </w:r>
          </w:p>
        </w:tc>
        <w:tc>
          <w:tcPr>
            <w:tcW w:w="736" w:type="dxa"/>
            <w:vAlign w:val="center"/>
          </w:tcPr>
          <w:p w14:paraId="1F1F1204" w14:textId="05DA7288"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{"citationID":"pNLrgw2e","properties":{"formattedCitation":"\\super [3]\\nosupersub{}","plainCitation":"[3]","noteIndex":0},"citationItems":[{"id":"msrF8eI4/qQnYZw38","uris":["http://zotero.org/users/12869267/items/R5N8JQ2K"],"itemData":{"id":806,"type":"article-journal","abstract":"Abstract\n            \n              A novel “dual isolation of metal active sites” heterojunction engineering is developed in this work. The double isolation of the active sites is achieved through MN\n              4\n              (M = Co, Fe) coordinating bonds in sulfonated‐substituted metalloporphyrin (MTPPS) and electrostatic interactions of MTPPS absorbed with poly(3,4‐ethylenedioxythiophene) networks. Subsequent “in situ copyrolysis” over the precursors ensures effective contact between p‐type CoFe\n              2\n              O\n              4\n              and n‐type Fe\n              2\n              O\n              3\n              species with n‐type N,S‐doping carbon support, respectively. This leads to p–n CoFe\n              2\n              O\n              4\n              ‐N,S‐C and n–n Fe\n              2\n              O\n              3\n              ‐N,S‐C heterojunctions. Meanwhile, CoFe\n              2\n              O\n              4\n              ‐N,S‐C has a higher\n              E\n              VB\n              energy level (−6.22 eV) than Fe\n              2\n              O\n              3\n              ‐N,S‐C (−6.31 eV), achieving lower energy barrier, and thus superior oxygen reduction reaction (ORR) performance with a higher half‐wave potential (0.84 V) of CoFe\n              2\n              O\n              4\n              ‐N,S‐C than Fe\n              2\n              O\n              3\n              ‐N,S‐C (0.82 V). In addition, CoFe\n              2\n              O\n              4\n              ‐N,S‐C also exhibits higher oxygen evolution reaction (OER) performance with 100 mV lower overpotential (0.41 V) than Fe\n              2\n              O\n              3\n              ‐N,S‐C. The lower overpotential is a result of larger energy gap between\n              E\n              CB\n              energy level and Fermi level of CoFe\n              2\n              O\n              4\n              ‐N,S‐C. This is the first demonstration of a novel p–n heterojunction with a special band structure that plays a key role in highly active ORR and OER bifunctional catalysis. Moreover, CoFe\n              2\n              O\n              4\n              ‐N,S‐C displays significant photoelectrochemical enhancement upon light irradiation.","container-title":"Advanced Materials Interfaces","DOI":"10.1002/admi.202101386","ISSN":"2196-7350, 2196-7350","issue":"1","journalAbbreviation":"Adv Materials Inter","language":"en","page":"2101386","source":"DOI.org (Crossref)","title":"Electronic Band Structure Engineering of Transition Metal Oxide‐N,S‐Doped Carbon Catalysts for Photoassisted Oxygen Reduction and Oxygen Evolution Catalysis","volume":"9","author":[{"family":"Xiao","given":"Zuoxu"},{"family":"Lv","given":"Xuehui"},{"family":"Liu","given":"Shanshan"},{"family":"Liu","given":"Qi"},{"family":"Wang","given":"Fuling"},{"family":"Yan","given":"Wei"},{"family":"Xing","given":"Tao"},{"family":"Li","given":"Zhi"},{"family":"Li","given":"Xiyou"},{"family":"Chen","given":"Yanli"}],"issued":{"date-parts":[["2022",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3]</w:t>
            </w:r>
            <w:r w:rsidRPr="0015381B">
              <w:rPr>
                <w:rFonts w:ascii="Times New Roman" w:hAnsi="Times New Roman" w:cs="Times New Roman"/>
              </w:rPr>
              <w:fldChar w:fldCharType="end"/>
            </w:r>
          </w:p>
        </w:tc>
      </w:tr>
      <w:tr w:rsidR="007C2F85" w:rsidRPr="007C2F85" w14:paraId="48FCD9B5" w14:textId="77777777">
        <w:tc>
          <w:tcPr>
            <w:tcW w:w="1260" w:type="dxa"/>
            <w:vAlign w:val="center"/>
          </w:tcPr>
          <w:p w14:paraId="35865F70"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ZnO/Cu2O (ZnO/CuO)</w:t>
            </w:r>
          </w:p>
        </w:tc>
        <w:tc>
          <w:tcPr>
            <w:tcW w:w="1091" w:type="dxa"/>
            <w:vAlign w:val="center"/>
          </w:tcPr>
          <w:p w14:paraId="7F080E3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0.1</w:t>
            </w:r>
          </w:p>
        </w:tc>
        <w:tc>
          <w:tcPr>
            <w:tcW w:w="1172" w:type="dxa"/>
            <w:vAlign w:val="center"/>
          </w:tcPr>
          <w:p w14:paraId="731685E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~1.5</w:t>
            </w:r>
          </w:p>
        </w:tc>
        <w:tc>
          <w:tcPr>
            <w:tcW w:w="1173" w:type="dxa"/>
            <w:vAlign w:val="center"/>
          </w:tcPr>
          <w:p w14:paraId="421D0AF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1.28</w:t>
            </w:r>
          </w:p>
        </w:tc>
        <w:tc>
          <w:tcPr>
            <w:tcW w:w="900" w:type="dxa"/>
            <w:vAlign w:val="center"/>
          </w:tcPr>
          <w:p w14:paraId="6F39E01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~0.22</w:t>
            </w:r>
          </w:p>
        </w:tc>
        <w:tc>
          <w:tcPr>
            <w:tcW w:w="2155" w:type="dxa"/>
            <w:vAlign w:val="center"/>
          </w:tcPr>
          <w:p w14:paraId="1A57E8E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22 hours @ 0.1 mA cm</w:t>
            </w:r>
            <w:r w:rsidRPr="007C2F85">
              <w:rPr>
                <w:rFonts w:ascii="Times New Roman" w:eastAsia="等线" w:hAnsi="Times New Roman" w:cs="Times New Roman"/>
                <w:sz w:val="20"/>
                <w:szCs w:val="20"/>
                <w:vertAlign w:val="superscript"/>
              </w:rPr>
              <w:t>-2</w:t>
            </w:r>
          </w:p>
        </w:tc>
        <w:tc>
          <w:tcPr>
            <w:tcW w:w="736" w:type="dxa"/>
            <w:vAlign w:val="center"/>
          </w:tcPr>
          <w:p w14:paraId="398F4953" w14:textId="34855771"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{"citationID":"oV6LWwWe","properties":{"formattedCitation":"\\super [4]\\nosupersub{}","plainCitation":"[4]","noteIndex":0},"citationItems":[{"id":"msrF8eI4/weryi63r","uris":["http://zotero.org/users/12869267/items/X5YZS4KB"],"itemData":{"id":808,"type":"article-journal","abstract":"Effective utilization of solar energy in battery systems has become an active attractive and active research in the field of green energy. Herein, highly efficient and stable bifunctional oxygen reduction reaction (ORR) and oxygen evolution reaction (OER) photoelectrodes are constructed for rechargeable Zn-air batteries. This work introduces a simple and efficient method for designing bifunctional ZnO/CuO composite materials with impressive photocatalytic activity, superhydrophilicity and excellent stability. Through the strategy of sunlight promotion, the ZnO/CuO photoelectrodes are used in the charging and discharging processes of Zn-air batteries, achieving low charge potential and high discharge potential of around 1.50 V and 1.28 V by galvanostatic charge and discharge, respectively. Under illumination, the short-circuit current and open-circuit voltage can reach up to 49 mA cm-2 and 0.9 V, respectively. We revealed that this bifunctionality is originated from the valence change mechanism of Cu, meaning that ZnO/Cu2O and ZnO/CuO play the photoelectric catalytic roles in charge and discharge processes, respectively. This work paves the way to introduce a facile and efficient method for the development of integrated single-cell photo-assisted Zn-air batteries.","container-title":"Chemical Engineering Journal","DOI":"10.1016/j.cej.2021.133559","ISSN":"13858947","journalAbbreviation":"Chemical Engineering Journal","language":"en","page":"133559","source":"DOI.org (Crossref)","title":"Rechargeable sunlight-promoted Zn-air battery constructed by bifunctional oxygen photoelectrodes: Energy-band switching between ZnO/Cu2O and ZnO/CuO in charge-discharge cycles","title-short":"Rechargeable sunlight-promoted Zn-air battery constructed by bifunctional oxygen photoelectrodes","volume":"433","author":[{"family":"Bu","given":"Degang"},{"family":"Batmunkh","given":"Munkhbayar"},{"family":"Zhang","given":"Yu"},{"family":"Li","given":"Yuewen"},{"family":"Qian","given":"Bingzhi"},{"family":"Lan","given":"Yalin"},{"family":"Hou","given":"Xing"},{"family":"Li","given":"Shuo"},{"family":"Jia","given":"Baohua"},{"family":"Song","given":"Xi-Ming"},{"family":"Ma","given":"Tianyi"}],"issued":{"date-parts":[["2022",4]]}}}],"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4]</w:t>
            </w:r>
            <w:r w:rsidRPr="0015381B">
              <w:rPr>
                <w:rFonts w:ascii="Times New Roman" w:hAnsi="Times New Roman" w:cs="Times New Roman"/>
              </w:rPr>
              <w:fldChar w:fldCharType="end"/>
            </w:r>
          </w:p>
        </w:tc>
      </w:tr>
      <w:tr w:rsidR="007C2F85" w:rsidRPr="007C2F85" w14:paraId="77E19F41" w14:textId="77777777">
        <w:tc>
          <w:tcPr>
            <w:tcW w:w="1260" w:type="dxa"/>
            <w:vAlign w:val="center"/>
          </w:tcPr>
          <w:p w14:paraId="2738C57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polytrithiophene (pTTh)</w:t>
            </w:r>
          </w:p>
        </w:tc>
        <w:tc>
          <w:tcPr>
            <w:tcW w:w="1091" w:type="dxa"/>
            <w:vAlign w:val="center"/>
          </w:tcPr>
          <w:p w14:paraId="47FBBEA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0.1</w:t>
            </w:r>
          </w:p>
        </w:tc>
        <w:tc>
          <w:tcPr>
            <w:tcW w:w="1172" w:type="dxa"/>
            <w:vAlign w:val="center"/>
          </w:tcPr>
          <w:p w14:paraId="1FCE838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~1.98</w:t>
            </w:r>
          </w:p>
        </w:tc>
        <w:tc>
          <w:tcPr>
            <w:tcW w:w="1173" w:type="dxa"/>
            <w:vAlign w:val="center"/>
          </w:tcPr>
          <w:p w14:paraId="5099CBD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~1.78</w:t>
            </w:r>
          </w:p>
        </w:tc>
        <w:tc>
          <w:tcPr>
            <w:tcW w:w="900" w:type="dxa"/>
            <w:vAlign w:val="center"/>
          </w:tcPr>
          <w:p w14:paraId="372D7DC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0.2</w:t>
            </w:r>
          </w:p>
        </w:tc>
        <w:tc>
          <w:tcPr>
            <w:tcW w:w="2155" w:type="dxa"/>
            <w:vAlign w:val="center"/>
          </w:tcPr>
          <w:p w14:paraId="673EF52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64 hours @ 0.1 mA cm</w:t>
            </w:r>
            <w:r w:rsidRPr="007C2F85">
              <w:rPr>
                <w:rFonts w:ascii="Times New Roman" w:eastAsia="等线" w:hAnsi="Times New Roman" w:cs="Times New Roman"/>
                <w:sz w:val="20"/>
                <w:szCs w:val="20"/>
                <w:vertAlign w:val="superscript"/>
              </w:rPr>
              <w:t>-2</w:t>
            </w:r>
          </w:p>
        </w:tc>
        <w:tc>
          <w:tcPr>
            <w:tcW w:w="736" w:type="dxa"/>
            <w:vAlign w:val="center"/>
          </w:tcPr>
          <w:p w14:paraId="754F223E" w14:textId="4F12D08A"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{"citationID":"Xbj1q54o","properties":{"formattedCitation":"\\super [6]\\nosupersub{}","plainCitation":"[6]","noteIndex":0},"citationItems":[{"id":"msrF8eI4/eefWYwpZ","uris":["http://zotero.org/users/12869267/items/Y3TB29XN"],"itemData":{"id":812,"type":"article-journal","abstract":"Utilization of solar energy is of great interest for a sustainable society, and its conversion into electricity in a compact battery is challenging. Herein, a zinc–air battery with the polymer semiconductor polytrithiophene (pTTh) as the cathode is reported for direct conversion of photoenergy into electric energy. Upon irradiation, photoelectrons are generated in the conduction band (CB) of pTTh and then injected into the p2p* orbitals of O2 for its reduction to HO2À, which is disproportionated to OHÀ and drives the oxidation of Zn to ZnO at the anode. The discharge voltage was significantly increased to 1.78 V without decay during discharge–charge cycles over 64 h, which corresponds to an energy density increase of 29.0 % as compared to 1.38 V for a zinc–air battery with state-of-the-art Pt/C. The zinc–air battery with an intrinsically different reaction scheme for simultaneous conversion of chemical and photoenergy into electric energy opens a new pathway for utilization of solar energy.","container-title":"Angewandte Chemie International Edition","DOI":"10.1002/anie.201905954","ISSN":"1433-7851, 1521-3773","issue":"36","journalAbbreviation":"Angew Chem Int Ed","language":"en","page":"12460-12464","source":"DOI.org (Crossref)","title":"Photoinduced Oxygen Reduction Reaction Boosts the Output Voltage of a Zinc–Air Battery","volume":"58","author":[{"family":"Zhu","given":"Dongdong"},{"family":"Zhao","given":"Qiancheng"},{"family":"Fan","given":"Guilan"},{"family":"Zhao","given":"Shuo"},{"family":"Wang","given":"Liubin"},{"family":"Li","given":"Fujun"},{"family":"Chen","given":"Jun"}],"issued":{"date-parts":[["2019",9,2]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6]</w:t>
            </w:r>
            <w:r w:rsidRPr="0015381B">
              <w:rPr>
                <w:rFonts w:ascii="Times New Roman" w:hAnsi="Times New Roman" w:cs="Times New Roman"/>
              </w:rPr>
              <w:fldChar w:fldCharType="end"/>
            </w:r>
          </w:p>
        </w:tc>
      </w:tr>
      <w:tr w:rsidR="007C2F85" w:rsidRPr="007C2F85" w14:paraId="1F50E02A" w14:textId="77777777">
        <w:tc>
          <w:tcPr>
            <w:tcW w:w="1260" w:type="dxa"/>
            <w:vAlign w:val="center"/>
          </w:tcPr>
          <w:p w14:paraId="25A76ED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pTTh</w:t>
            </w:r>
          </w:p>
        </w:tc>
        <w:tc>
          <w:tcPr>
            <w:tcW w:w="1091" w:type="dxa"/>
            <w:vAlign w:val="center"/>
          </w:tcPr>
          <w:p w14:paraId="2353C2B6"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0.1</w:t>
            </w:r>
          </w:p>
        </w:tc>
        <w:tc>
          <w:tcPr>
            <w:tcW w:w="1172" w:type="dxa"/>
            <w:vAlign w:val="center"/>
          </w:tcPr>
          <w:p w14:paraId="5F61981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1.81</w:t>
            </w:r>
          </w:p>
        </w:tc>
        <w:tc>
          <w:tcPr>
            <w:tcW w:w="1173" w:type="dxa"/>
            <w:vAlign w:val="center"/>
          </w:tcPr>
          <w:p w14:paraId="3E1440E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1.22</w:t>
            </w:r>
          </w:p>
        </w:tc>
        <w:tc>
          <w:tcPr>
            <w:tcW w:w="900" w:type="dxa"/>
            <w:vAlign w:val="center"/>
          </w:tcPr>
          <w:p w14:paraId="2A0AF7F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0.6</w:t>
            </w:r>
          </w:p>
        </w:tc>
        <w:tc>
          <w:tcPr>
            <w:tcW w:w="2155" w:type="dxa"/>
            <w:vAlign w:val="center"/>
          </w:tcPr>
          <w:p w14:paraId="01D7D052"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380 hours @ 0.1 mA cm</w:t>
            </w:r>
            <w:r w:rsidRPr="007C2F85">
              <w:rPr>
                <w:rFonts w:ascii="Times New Roman" w:eastAsia="等线" w:hAnsi="Times New Roman" w:cs="Times New Roman"/>
                <w:sz w:val="20"/>
                <w:szCs w:val="20"/>
                <w:vertAlign w:val="superscript"/>
              </w:rPr>
              <w:t>-2</w:t>
            </w:r>
          </w:p>
        </w:tc>
        <w:tc>
          <w:tcPr>
            <w:tcW w:w="736" w:type="dxa"/>
            <w:vAlign w:val="center"/>
          </w:tcPr>
          <w:p w14:paraId="4F5F8A7E" w14:textId="3ECFCE2D"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{"citationID":"LDq8i59T","properties":{"formattedCitation":"\\super [9]\\nosupersub{}","plainCitation":"[9]","noteIndex":0},"citationItems":[{"id":"msrF8eI4/flXGx1Ak","uris":["http://zotero.org/users/12869267/items/XLS67UFA"],"itemData":{"id":818,"type":"article-journal","abstract":"Photo-assisted zinc-air batteries have gained attention for incorporating solar energy, reducing reliance on nonrenewable sources, and promoting clean energy adoption. However, currently, the efficiency of the photoassisted cathode for oxygen reduction/evolution reactions (ORR/OER) remains low, and its application is limited to aqueous zinc-air batteries. Therefore, it is highly necessary to develop bifunctional cathodes with high photo-assisted ORR/OER efficiency and to expand the application of aqueous zinc-air batteries to flexible zinc-air batteries, providing efficient, flexible, and portable power solutions. In this study, we employed pTTh as a bifunctional catalyst in rechargeable zinc-air batteries (RZABs) and utilized solar energy to address the issues of high polarization and low round-trip efficiencies. For photo-assisted pTTh cathode, the Eonset is 0.910 V vs. RHE, E1/2 is 0.831 V vs. RHE, and E10 is 1.99 V vs. RHE. The power density of pTTh cathode-based ZABs is enhanced 56.25 % under illumination. Furthermore, we have pioneered the application of photo-assisted strategy in flexible zinc-air batteries. This photo-assisted pTTh cathode based flexible zinc-air batteries showing the discharge potential of ca. 1.2 V, and the charge potential of ca. 1.8 V at 0.1 mA cm− 2 under illumination. Further, under illumination a single photo-assisted flexible zinc-air battery can light up a diode and propel a toy car, and four photo-assisted rechargeable flexible Zn-air pouch batteries (FZAPBs) in series can charge a smartphone.","container-title":"Energy Storage Materials","DOI":"10.1016/j.ensm.2023.103139","ISSN":"24058297","journalAbbreviation":"Energy Storage Materials","language":"en","page":"103139","source":"DOI.org (Crossref)","title":"Flexible rechargeable photo-assisted zinc-air batteries based on photo-active pTTh bifunctional oxygen electrocatalyst","volume":"65","author":[{"family":"Hu","given":"Sujuan"},{"family":"Shi","given":"Jingwei"},{"family":"Yan","given":"Rong"},{"family":"Pang","given":"Shengcui"},{"family":"Zhang","given":"Zixuan"},{"family":"Wang","given":"Junjie"},{"family":"Zhu","given":"Mingshan"}],"issued":{"date-parts":[["2024",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9]</w:t>
            </w:r>
            <w:r w:rsidRPr="0015381B">
              <w:rPr>
                <w:rFonts w:ascii="Times New Roman" w:hAnsi="Times New Roman" w:cs="Times New Roman"/>
              </w:rPr>
              <w:fldChar w:fldCharType="end"/>
            </w:r>
          </w:p>
        </w:tc>
      </w:tr>
      <w:tr w:rsidR="007C2F85" w:rsidRPr="007C2F85" w14:paraId="3A67067F" w14:textId="77777777">
        <w:tc>
          <w:tcPr>
            <w:tcW w:w="1260" w:type="dxa"/>
            <w:vAlign w:val="center"/>
          </w:tcPr>
          <w:p w14:paraId="7CB4744F"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Ni</w:t>
            </w:r>
            <w:r w:rsidRPr="007C2F85">
              <w:rPr>
                <w:rFonts w:ascii="Times New Roman" w:eastAsia="等线" w:hAnsi="Times New Roman" w:cs="Times New Roman"/>
                <w:sz w:val="20"/>
                <w:szCs w:val="20"/>
                <w:vertAlign w:val="subscript"/>
              </w:rPr>
              <w:t>12</w:t>
            </w:r>
            <w:r w:rsidRPr="007C2F85">
              <w:rPr>
                <w:rFonts w:ascii="Times New Roman" w:eastAsia="等线" w:hAnsi="Times New Roman" w:cs="Times New Roman"/>
                <w:sz w:val="20"/>
                <w:szCs w:val="20"/>
              </w:rPr>
              <w:t>P</w:t>
            </w:r>
            <w:r w:rsidRPr="007C2F85">
              <w:rPr>
                <w:rFonts w:ascii="Times New Roman" w:eastAsia="等线" w:hAnsi="Times New Roman" w:cs="Times New Roman"/>
                <w:sz w:val="20"/>
                <w:szCs w:val="20"/>
                <w:vertAlign w:val="subscript"/>
              </w:rPr>
              <w:t>5</w:t>
            </w:r>
            <w:r w:rsidRPr="007C2F85">
              <w:rPr>
                <w:rFonts w:ascii="Times New Roman" w:eastAsia="等线" w:hAnsi="Times New Roman" w:cs="Times New Roman"/>
                <w:sz w:val="20"/>
                <w:szCs w:val="20"/>
              </w:rPr>
              <w:t>@NCNT</w:t>
            </w:r>
          </w:p>
        </w:tc>
        <w:tc>
          <w:tcPr>
            <w:tcW w:w="1091" w:type="dxa"/>
            <w:vAlign w:val="center"/>
          </w:tcPr>
          <w:p w14:paraId="31DEFEB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w:t>
            </w:r>
          </w:p>
        </w:tc>
        <w:tc>
          <w:tcPr>
            <w:tcW w:w="1172" w:type="dxa"/>
            <w:vAlign w:val="center"/>
          </w:tcPr>
          <w:p w14:paraId="52DEDB2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1.94</w:t>
            </w:r>
          </w:p>
        </w:tc>
        <w:tc>
          <w:tcPr>
            <w:tcW w:w="1173" w:type="dxa"/>
            <w:vAlign w:val="center"/>
          </w:tcPr>
          <w:p w14:paraId="4A89EF6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1.19</w:t>
            </w:r>
          </w:p>
        </w:tc>
        <w:tc>
          <w:tcPr>
            <w:tcW w:w="900" w:type="dxa"/>
            <w:vAlign w:val="center"/>
          </w:tcPr>
          <w:p w14:paraId="28B2683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0.75</w:t>
            </w:r>
          </w:p>
        </w:tc>
        <w:tc>
          <w:tcPr>
            <w:tcW w:w="2155" w:type="dxa"/>
            <w:vAlign w:val="center"/>
          </w:tcPr>
          <w:p w14:paraId="5F559E83"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500 cycles @ 10 mA cm</w:t>
            </w:r>
            <w:r w:rsidRPr="007C2F85">
              <w:rPr>
                <w:rFonts w:ascii="Times New Roman" w:eastAsia="等线" w:hAnsi="Times New Roman" w:cs="Times New Roman"/>
                <w:sz w:val="20"/>
                <w:szCs w:val="20"/>
                <w:vertAlign w:val="superscript"/>
              </w:rPr>
              <w:t>-2</w:t>
            </w:r>
          </w:p>
        </w:tc>
        <w:tc>
          <w:tcPr>
            <w:tcW w:w="736" w:type="dxa"/>
            <w:vAlign w:val="center"/>
          </w:tcPr>
          <w:p w14:paraId="72AEE3D3" w14:textId="2B36FD19"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{"citationID":"CLa35GrV","properties":{"formattedCitation":"\\super [10]\\nosupersub{}","plainCitation":"[10]","noteIndex":0},"citationItems":[{"id":"msrF8eI4/knAuACEd","uris":["http://zotero.org/users/12869267/items/YU5XC7GA"],"itemData":{"id":820,"type":"article-journal","abstract":"Oxygen reduction reaction (ORR) and oxygen evolution reaction (OER) are of paramount importance towards to regenerative fuel cells and rechargeable metal-air batteries. Many eﬀorts have been devoted to developing high active ORR and OER bifunctional electrocatalysts to improve the eﬃciency of devices. However, the possibility of using free solar energy in ORR/OER electrocatalysts to get higher eﬃciency in the devices has not yet been recognized. Herein, we report a photo-responsive bifunctional ORR/OER electrocatalyst with a built-in p-n heterojunction based on Ni12P5 nanoparticles (NPs) coupled strongly with nitrogen-doped carbon nanotubes (NCNT). The Ni12P5@NCNT hybrid catalyst exhibited unusually high catalytic activities for both ORR (onset potential at 0.90 V vs. RHE) and OER (η = 360 mV @10 mA cm−2) in 0.1 M KOH solution with a ΔE (EOj E=R 10 - EO1/R2R) = 0.82 V, comparable to that of its state-of-the-art counterparts (e.g., Pt for ORR, IrO2 for OER). Upon light irradiation (300 W Xenon lamp equipped with an AM 1.5G ﬁlter, 5 cm to electrode), the ΔE further decreased to 0.80 V. A rechargeable Zn-air battery devised from a Ni12P5@NCNT cathode in 6 M KOH/0.2 M Zn(Ac)2 exhibited a low charge-discharge voltage gap (~ 0.75 V @ 10 mA cm−2, charge potential = 1.94 V and discharge potential = 1.19 V) and a remarkable cycling stability over 500 cycles, which, upon the light irradiation, showed an even lower charge potential of 1.90 V and higher discharge potential of 1.22 V (i.e., a charge-discharge voltage gap: 0.68 V @ 10 mA cm−2). The irradiation caused also a concomitant increase in the round-trip eﬃciency from ~ 61.3% to ~ 64.2%. To demonstrate the potential applications in portable/wearable electronic devices, we have also developed all solid-state ﬂexible photo-assisted rechargeable Zn-air batteries based on the Ni12P5@NCNT air electrode with high-performance in the both presence and absence of light irradiation. This conceptual demonstration of the ﬁrst photo-responsive ORR/OER bifunctional catalyst is signiﬁcant as it reveals a novel catalytic mechanism, from which a class of new bifunctional catalysts with further enhanced photo-responsive performance could be developed, using in other rechargeable metal-air batteries.","container-title":"Nano Energy","DOI":"10.1016/j.nanoen.2017.11.020","ISSN":"22112855","journalAbbreviation":"Nano Energy","language":"en","page":"130-137","source":"DOI.org (Crossref)","title":"A photo-responsive bifunctional electrocatalyst for oxygen reduction and evolution reactions","volume":"43","author":[{"family":"Lv","given":"Jiangquan"},{"family":"Abbas","given":"Syed Comail"},{"family":"Huang","given":"Yiyin"},{"family":"Liu","given":"Qin"},{"family":"Wu","given":"Maoxiang"},{"family":"Wang","given":"Yaobing"},{"family":"Dai","given":"Liming"}],"issued":{"date-parts":[["2018",1]]}}}],"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10]</w:t>
            </w:r>
            <w:r w:rsidRPr="0015381B">
              <w:rPr>
                <w:rFonts w:ascii="Times New Roman" w:hAnsi="Times New Roman" w:cs="Times New Roman"/>
              </w:rPr>
              <w:fldChar w:fldCharType="end"/>
            </w:r>
          </w:p>
        </w:tc>
      </w:tr>
      <w:tr w:rsidR="007C2F85" w:rsidRPr="007C2F85" w14:paraId="139F9CE2" w14:textId="77777777">
        <w:tc>
          <w:tcPr>
            <w:tcW w:w="1260" w:type="dxa"/>
            <w:vAlign w:val="center"/>
          </w:tcPr>
          <w:p w14:paraId="1D70FEE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αFe</w:t>
            </w:r>
            <w:r w:rsidRPr="007C2F85">
              <w:rPr>
                <w:rFonts w:ascii="Times New Roman" w:eastAsia="等线" w:hAnsi="Times New Roman" w:cs="Times New Roman"/>
                <w:sz w:val="20"/>
                <w:szCs w:val="20"/>
                <w:vertAlign w:val="subscript"/>
              </w:rPr>
              <w:t>2</w:t>
            </w:r>
            <w:r w:rsidRPr="007C2F85">
              <w:rPr>
                <w:rFonts w:ascii="Times New Roman" w:eastAsia="等线" w:hAnsi="Times New Roman" w:cs="Times New Roman"/>
                <w:sz w:val="20"/>
                <w:szCs w:val="20"/>
              </w:rPr>
              <w:t>O</w:t>
            </w:r>
            <w:r w:rsidRPr="007C2F85">
              <w:rPr>
                <w:rFonts w:ascii="Times New Roman" w:eastAsia="等线" w:hAnsi="Times New Roman" w:cs="Times New Roman"/>
                <w:sz w:val="20"/>
                <w:szCs w:val="20"/>
                <w:vertAlign w:val="subscript"/>
              </w:rPr>
              <w:t>3</w:t>
            </w:r>
          </w:p>
        </w:tc>
        <w:tc>
          <w:tcPr>
            <w:tcW w:w="1091" w:type="dxa"/>
            <w:vAlign w:val="center"/>
          </w:tcPr>
          <w:p w14:paraId="12EF58FB"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0.5</w:t>
            </w:r>
          </w:p>
        </w:tc>
        <w:tc>
          <w:tcPr>
            <w:tcW w:w="1172" w:type="dxa"/>
            <w:vAlign w:val="center"/>
          </w:tcPr>
          <w:p w14:paraId="03355B19"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~1.64</w:t>
            </w:r>
          </w:p>
        </w:tc>
        <w:tc>
          <w:tcPr>
            <w:tcW w:w="1173" w:type="dxa"/>
            <w:vAlign w:val="center"/>
          </w:tcPr>
          <w:p w14:paraId="30F46D41"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~1.15</w:t>
            </w:r>
          </w:p>
        </w:tc>
        <w:tc>
          <w:tcPr>
            <w:tcW w:w="900" w:type="dxa"/>
            <w:vAlign w:val="center"/>
          </w:tcPr>
          <w:p w14:paraId="2C101FA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0.49</w:t>
            </w:r>
          </w:p>
        </w:tc>
        <w:tc>
          <w:tcPr>
            <w:tcW w:w="2155" w:type="dxa"/>
            <w:vAlign w:val="center"/>
          </w:tcPr>
          <w:p w14:paraId="019BD7CA"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50 hours @ 0.5 mA cm</w:t>
            </w:r>
            <w:r w:rsidRPr="007C2F85">
              <w:rPr>
                <w:rFonts w:ascii="Times New Roman" w:eastAsia="等线" w:hAnsi="Times New Roman" w:cs="Times New Roman"/>
                <w:sz w:val="20"/>
                <w:szCs w:val="20"/>
                <w:vertAlign w:val="superscript"/>
              </w:rPr>
              <w:t>-2</w:t>
            </w:r>
          </w:p>
        </w:tc>
        <w:tc>
          <w:tcPr>
            <w:tcW w:w="736" w:type="dxa"/>
            <w:vAlign w:val="center"/>
          </w:tcPr>
          <w:p w14:paraId="52B20CBD" w14:textId="72067092"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{"citationID":"gPiCsiLL","properties":{"formattedCitation":"\\super [26]\\nosupersub{}","plainCitation":"[26]","noteIndex":0},"citationItems":[{"id":"msrF8eI4/aDXO58ia","uris":["http://zotero.org/users/12869267/items/77JCKC9X"],"itemData":{"id":841,"type":"article-journal","abstract":"Abstract\n            \n              Directly harvesting solar energy for battery charging represents an ultimate solution toward low-cost, green, efficient and sustainable electrochemical energy storage. Here, we design a sunlight promotion strategy into rechargeable zinc–air battery with significantly reduced charging potential below the theoretical cell voltage of zinc–air batteries. The sunlight-promoted zinc–air battery using BiVO\n              4\n              or α-Fe\n              2\n              O\n              3\n              air photoelectrode achieves a record-low charge potential of ~1.20 and ~1.43 V, respectively, under illumination, which is lowered by ~0.5–0.8 V compared to the typical charge voltage of ~2 V in conventional zinc–air battery. The band structure and photoelectrochemical stability of photoelectrodes are found to be key factors determining the charging performance of sunlight-promoted zinc–air batteries. The introduction of photoelectrode as an air electrode opens a facile way for developing integrated single-unit zinc–air batteries that can efficiently use solar energy to overcome the high charging overpotential of conventional zinc–air batteries.","container-title":"Nature Communications","DOI":"10.1038/s41467-019-12627-2","ISSN":"2041-1723","issue":"1","journalAbbreviation":"Nat Commun","language":"en","page":"4767","source":"DOI.org (Crossref)","title":"Utilizing solar energy to improve the oxygen evolution reaction kinetics in zinc–air battery","volume":"10","author":[{"family":"Liu","given":"Xiaorui"},{"family":"Yuan","given":"Yifei"},{"family":"Liu","given":"Jie"},{"family":"Liu","given":"Bin"},{"family":"Chen","given":"Xu"},{"family":"Ding","given":"Jia"},{"family":"Han","given":"Xiaopeng"},{"family":"Deng","given":"Yida"},{"family":"Zhong","given":"Cheng"},{"family":"Hu","given":"Wenbin"}],"issued":{"date-parts":[["2019",10,18]]}}}],"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14]</w:t>
            </w:r>
            <w:r w:rsidRPr="0015381B">
              <w:rPr>
                <w:rFonts w:ascii="Times New Roman" w:hAnsi="Times New Roman" w:cs="Times New Roman"/>
              </w:rPr>
              <w:fldChar w:fldCharType="end"/>
            </w:r>
          </w:p>
        </w:tc>
      </w:tr>
      <w:tr w:rsidR="007C2F85" w:rsidRPr="007C2F85" w14:paraId="24EAA4FC" w14:textId="77777777">
        <w:tc>
          <w:tcPr>
            <w:tcW w:w="1260" w:type="dxa"/>
            <w:vAlign w:val="center"/>
          </w:tcPr>
          <w:p w14:paraId="6D52507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C4N</w:t>
            </w:r>
          </w:p>
        </w:tc>
        <w:tc>
          <w:tcPr>
            <w:tcW w:w="1091" w:type="dxa"/>
            <w:vAlign w:val="center"/>
          </w:tcPr>
          <w:p w14:paraId="09E587DA"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0.01</w:t>
            </w:r>
          </w:p>
        </w:tc>
        <w:tc>
          <w:tcPr>
            <w:tcW w:w="1172" w:type="dxa"/>
            <w:vAlign w:val="center"/>
          </w:tcPr>
          <w:p w14:paraId="459966A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1.35</w:t>
            </w:r>
          </w:p>
        </w:tc>
        <w:tc>
          <w:tcPr>
            <w:tcW w:w="1173" w:type="dxa"/>
            <w:vAlign w:val="center"/>
          </w:tcPr>
          <w:p w14:paraId="2904C25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1.32</w:t>
            </w:r>
          </w:p>
        </w:tc>
        <w:tc>
          <w:tcPr>
            <w:tcW w:w="900" w:type="dxa"/>
            <w:vAlign w:val="center"/>
          </w:tcPr>
          <w:p w14:paraId="369FF54C"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0.03</w:t>
            </w:r>
          </w:p>
        </w:tc>
        <w:tc>
          <w:tcPr>
            <w:tcW w:w="2155" w:type="dxa"/>
            <w:vAlign w:val="center"/>
          </w:tcPr>
          <w:p w14:paraId="319223DA"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50 cycles @ 0.01 mA cm</w:t>
            </w:r>
            <w:r w:rsidRPr="007C2F85">
              <w:rPr>
                <w:rFonts w:ascii="Times New Roman" w:eastAsia="等线" w:hAnsi="Times New Roman" w:cs="Times New Roman"/>
                <w:sz w:val="20"/>
                <w:szCs w:val="20"/>
                <w:vertAlign w:val="superscript"/>
              </w:rPr>
              <w:t>-2</w:t>
            </w:r>
          </w:p>
        </w:tc>
        <w:tc>
          <w:tcPr>
            <w:tcW w:w="736" w:type="dxa"/>
            <w:vAlign w:val="center"/>
          </w:tcPr>
          <w:p w14:paraId="4E76215C" w14:textId="2CDA4E5F"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{"citationID":"Cy6mlvNl","properties":{"formattedCitation":"\\super [12]\\nosupersub{}","plainCitation":"[12]","noteIndex":0},"citationItems":[{"id":"msrF8eI4/LMqeM8hs","uris":["http://zotero.org/users/12869267/items/K63E9PGT"],"itemData":{"id":824,"type":"article-journal","abstract":"We report facile synthesis of low-band-gap mesoporous C4N particles and their use as responsive bifunctional oxygen catalysts for visible-light-sensitive (VLS) rechargeable Zn-air battery (RZAB) and polymer-air battery (RPAB). Compared to widely studied g-C3N4, C4N shows a smaller band gap of 1.99 eV, with a larger photocurrent response, and it can function as visible-light-harvesting antenna and bifunctional oxygen reduction/evolution (ORR/OER) catalysts, enabling effective photocoupling to tune oxygen catalysis. The C4Nenabled VLS-RZAB displays a low charge voltage of 1.35 V under visible light, which is below the theoretical RZAB voltage of 1.65 V, corresponding to a high energy efficiency of 97.78 %. Pairing a C4N cathode with a polymer anode also endows an VLS-RPAB with light-boosted charge performance. It is revealed that the ORR and OER active sites in C4N are separate carbon sites near pyrazine-nitrogen atoms and photogenerated energetic holes can activate OER for improved reaction kinetics.","container-title":"Angewandte Chemie International Edition","DOI":"10.1002/anie.202104790","ISSN":"1433-7851, 1521-3773","issue":"32","journalAbbreviation":"Angew Chem Int Ed","language":"en","page":"17615-17621","source":"DOI.org (Crossref)","title":"Capturing Visible Light in Low‐Band‐Gap C &lt;sub&gt;4&lt;/sub&gt; N‐Derived Responsive Bifunctional Air Electrodes for Solar Energy Conversion and Storage","volume":"60","author":[{"family":"Fang","given":"Zhengsong"},{"family":"Li","given":"Yuan"},{"family":"Li","given":"Jing"},{"family":"Shu","given":"Chenhao"},{"family":"Zhong","given":"Linfeng"},{"family":"Lu","given":"Shaolin"},{"family":"Mo","given":"Chunshao"},{"family":"Yang","given":"Meijia"},{"family":"Yu","given":"Dingshan"}],"issued":{"date-parts":[["2021",8,2]]}}}],"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12]</w:t>
            </w:r>
            <w:r w:rsidRPr="0015381B">
              <w:rPr>
                <w:rFonts w:ascii="Times New Roman" w:hAnsi="Times New Roman" w:cs="Times New Roman"/>
              </w:rPr>
              <w:fldChar w:fldCharType="end"/>
            </w:r>
          </w:p>
        </w:tc>
      </w:tr>
      <w:tr w:rsidR="007C2F85" w:rsidRPr="007C2F85" w14:paraId="6FF9A3D2" w14:textId="77777777">
        <w:tc>
          <w:tcPr>
            <w:tcW w:w="1260" w:type="dxa"/>
            <w:tcBorders>
              <w:bottom w:val="single" w:sz="4" w:space="0" w:color="auto"/>
            </w:tcBorders>
            <w:vAlign w:val="center"/>
          </w:tcPr>
          <w:p w14:paraId="58C813DD"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FeNi-S,N-HCS</w:t>
            </w:r>
          </w:p>
        </w:tc>
        <w:tc>
          <w:tcPr>
            <w:tcW w:w="1091" w:type="dxa"/>
            <w:tcBorders>
              <w:bottom w:val="single" w:sz="4" w:space="0" w:color="auto"/>
            </w:tcBorders>
            <w:vAlign w:val="center"/>
          </w:tcPr>
          <w:p w14:paraId="0EAEE798"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5</w:t>
            </w:r>
          </w:p>
        </w:tc>
        <w:tc>
          <w:tcPr>
            <w:tcW w:w="1172" w:type="dxa"/>
            <w:tcBorders>
              <w:bottom w:val="single" w:sz="4" w:space="0" w:color="auto"/>
            </w:tcBorders>
            <w:vAlign w:val="center"/>
          </w:tcPr>
          <w:p w14:paraId="66F771AE"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~2.0</w:t>
            </w:r>
          </w:p>
        </w:tc>
        <w:tc>
          <w:tcPr>
            <w:tcW w:w="1173" w:type="dxa"/>
            <w:tcBorders>
              <w:bottom w:val="single" w:sz="4" w:space="0" w:color="auto"/>
            </w:tcBorders>
            <w:vAlign w:val="center"/>
          </w:tcPr>
          <w:p w14:paraId="3DD11AA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~1.1</w:t>
            </w:r>
          </w:p>
        </w:tc>
        <w:tc>
          <w:tcPr>
            <w:tcW w:w="900" w:type="dxa"/>
            <w:tcBorders>
              <w:bottom w:val="single" w:sz="4" w:space="0" w:color="auto"/>
            </w:tcBorders>
            <w:vAlign w:val="center"/>
          </w:tcPr>
          <w:p w14:paraId="19F7FE24"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~0.9</w:t>
            </w:r>
          </w:p>
        </w:tc>
        <w:tc>
          <w:tcPr>
            <w:tcW w:w="2155" w:type="dxa"/>
            <w:tcBorders>
              <w:bottom w:val="single" w:sz="4" w:space="0" w:color="auto"/>
            </w:tcBorders>
            <w:vAlign w:val="center"/>
          </w:tcPr>
          <w:p w14:paraId="59DD6885" w14:textId="77777777" w:rsidR="006D6F60" w:rsidRPr="007C2F85" w:rsidRDefault="004C079F" w:rsidP="00414787">
            <w:pPr>
              <w:rPr>
                <w:rFonts w:ascii="Times New Roman" w:hAnsi="Times New Roman" w:cs="Times New Roman"/>
              </w:rPr>
            </w:pPr>
            <w:r w:rsidRPr="007C2F85">
              <w:rPr>
                <w:rFonts w:ascii="Times New Roman" w:eastAsia="等线" w:hAnsi="Times New Roman" w:cs="Times New Roman"/>
                <w:sz w:val="20"/>
                <w:szCs w:val="20"/>
              </w:rPr>
              <w:t>120 hours @ 5 mA cm</w:t>
            </w:r>
            <w:r w:rsidRPr="007C2F85">
              <w:rPr>
                <w:rFonts w:ascii="Times New Roman" w:eastAsia="等线" w:hAnsi="Times New Roman" w:cs="Times New Roman"/>
                <w:sz w:val="20"/>
                <w:szCs w:val="20"/>
                <w:vertAlign w:val="superscript"/>
              </w:rPr>
              <w:t>-2</w:t>
            </w:r>
          </w:p>
        </w:tc>
        <w:tc>
          <w:tcPr>
            <w:tcW w:w="736" w:type="dxa"/>
            <w:tcBorders>
              <w:bottom w:val="single" w:sz="4" w:space="0" w:color="auto"/>
            </w:tcBorders>
            <w:vAlign w:val="center"/>
          </w:tcPr>
          <w:p w14:paraId="1DFF8E0F" w14:textId="46E0F264" w:rsidR="006D6F60" w:rsidRPr="0015381B" w:rsidRDefault="004C079F" w:rsidP="00414787">
            <w:pPr>
              <w:rPr>
                <w:rFonts w:ascii="Times New Roman" w:hAnsi="Times New Roman" w:cs="Times New Roman"/>
              </w:rPr>
            </w:pPr>
            <w:r w:rsidRPr="0015381B">
              <w:rPr>
                <w:rFonts w:ascii="Times New Roman" w:hAnsi="Times New Roman" w:cs="Times New Roman"/>
              </w:rPr>
              <w:fldChar w:fldCharType="begin"/>
            </w:r>
            <w:r w:rsidRPr="0015381B">
              <w:rPr>
                <w:rFonts w:ascii="Times New Roman" w:hAnsi="Times New Roman" w:cs="Times New Roman"/>
              </w:rPr>
              <w:instrText xml:space="preserve"> ADDIN ZOTERO_ITEM CSL_CITATION {"citationID":"2UDhT08v","properties":{"formattedCitation":"\\super [13]\\nosupersub{}","plainCitation":"[13]","noteIndex":0},"citationItems":[{"id":"msrF8eI4/ECXPDq6w","uris":["http://zotero.org/users/12869267/items/VBIRLB3C"],"itemData":{"id":826,"type":"article-journal","abstract":"It is extremely challenging to significantly increase the voltaic efficiency, power density, and cycle stability of a Zn−air battery by just adjusting the catalytic performance of the cathode with nanometers/atomistic engineering because of the restriction of thermodynamic equilibrium potential. Herein, inspired by solar batteries, the S-atom-bridged FeNi particles and N-doped hollow carbon nanosphere composite configuration (FeNi-S,N-HCS) is presented as a prototype of muti-functional air electrode material (intrinsic electrocatalytic function and additional photothermal function) for designing photoresponsive all-solid-state Zn−air batteries (PR-ZABs) based on the photothermal effect. The local temperature of the FeNi-S,N-HCS electrode can well respond to the stimuli of sunlight irradiation because of their superior photothermal effect. As expected, under illumination, the power density of the as-fabricated PR-ZABs based on the FeNi-S,NHCS electrode can be improved from 77 mW cm−2 to 126 mW cm−2. Simultaneously, charge voltage can be dramatically reduced, and cycle lifetime is also prolonged under illumination, because of the expedited electrocatalytic kinetics, the increased electrical conductivity, and the accelerated desorption rate of O2 bubbles from the electrode. By exerting the intrinsic electrocatalytic and photothermal efficiency of the electrode materials, this research paves new ways to improve battery performance from kinetic and thermodynamic perspectives.","container-title":"ACS Applied Materials &amp; Interfaces","DOI":"10.1021/acsami.2c19663","ISSN":"1944-8244, 1944-8252","issue":"2","journalAbbreviation":"ACS Appl. Mater. Interfaces","language":"en","license":"https://doi.org/10.15223/policy-029","page":"2985-2995","source":"DOI.org (Crossref)","title":"Solar-Light-Responsive Zinc–Air Battery with Self-Regulated Charge–Discharge Performance based on Photothermal Effect","volume":"15","author":[{"family":"Zheng","given":"Shushan"},{"family":"Chen","given":"Mengyu"},{"family":"Chen","given":"Kui"},{"family":"Wu","given":"Yongjian"},{"family":"Yu","given":"Jing"},{"family":"Jiang","given":"Tongtong"},{"family":"Wu","given":"Mingzai"}],"issued":{"date-parts":[["2023",1,18]]}}}],"schema":"https://github.com/citation-style-language/schema/raw/master/csl-citation.json"} </w:instrText>
            </w:r>
            <w:r w:rsidRPr="0015381B">
              <w:rPr>
                <w:rFonts w:ascii="Times New Roman" w:hAnsi="Times New Roman" w:cs="Times New Roman"/>
              </w:rPr>
              <w:fldChar w:fldCharType="separate"/>
            </w:r>
            <w:r w:rsidR="008441E0">
              <w:rPr>
                <w:rFonts w:ascii="Times New Roman" w:hAnsi="Times New Roman" w:cs="Times New Roman" w:hint="eastAsia"/>
                <w:kern w:val="0"/>
                <w:szCs w:val="24"/>
              </w:rPr>
              <w:t>[S</w:t>
            </w:r>
            <w:r w:rsidRPr="0015381B">
              <w:rPr>
                <w:rFonts w:ascii="Times New Roman" w:hAnsi="Times New Roman" w:cs="Times New Roman" w:hint="eastAsia"/>
                <w:kern w:val="0"/>
                <w:szCs w:val="24"/>
              </w:rPr>
              <w:t>13]</w:t>
            </w:r>
            <w:r w:rsidRPr="0015381B">
              <w:rPr>
                <w:rFonts w:ascii="Times New Roman" w:hAnsi="Times New Roman" w:cs="Times New Roman"/>
              </w:rPr>
              <w:fldChar w:fldCharType="end"/>
            </w:r>
          </w:p>
        </w:tc>
      </w:tr>
    </w:tbl>
    <w:p w14:paraId="696986C7" w14:textId="10A2A1DF" w:rsidR="006D6F60" w:rsidRPr="008441E0" w:rsidRDefault="008441E0" w:rsidP="008441E0">
      <w:pPr>
        <w:spacing w:before="240" w:after="240"/>
        <w:rPr>
          <w:rFonts w:ascii="Times New Roman" w:hAnsi="Times New Roman" w:cs="Times New Roman"/>
          <w:b/>
          <w:bCs/>
          <w:sz w:val="28"/>
          <w:szCs w:val="28"/>
        </w:rPr>
      </w:pPr>
      <w:r w:rsidRPr="008441E0">
        <w:rPr>
          <w:rFonts w:ascii="Times New Roman" w:hAnsi="Times New Roman" w:cs="Times New Roman"/>
          <w:b/>
          <w:bCs/>
          <w:sz w:val="28"/>
          <w:szCs w:val="28"/>
        </w:rPr>
        <w:t xml:space="preserve">Supplementary </w:t>
      </w:r>
      <w:r w:rsidR="004C079F" w:rsidRPr="008441E0">
        <w:rPr>
          <w:rFonts w:ascii="Times New Roman" w:hAnsi="Times New Roman" w:cs="Times New Roman"/>
          <w:b/>
          <w:bCs/>
          <w:sz w:val="28"/>
          <w:szCs w:val="28"/>
        </w:rPr>
        <w:t>References</w:t>
      </w:r>
    </w:p>
    <w:p w14:paraId="39E11A84" w14:textId="3AA8BD46"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R. Ren, G. Liu, J.Y. Kim, R.E.A. </w:t>
      </w:r>
      <w:proofErr w:type="spellStart"/>
      <w:r w:rsidRPr="007E27DB">
        <w:rPr>
          <w:rFonts w:ascii="Times New Roman" w:eastAsia="等线" w:hAnsi="Times New Roman" w:cs="Times New Roman"/>
          <w:sz w:val="24"/>
          <w:szCs w:val="24"/>
        </w:rPr>
        <w:t>Ardhi</w:t>
      </w:r>
      <w:proofErr w:type="spellEnd"/>
      <w:r w:rsidRPr="007E27DB">
        <w:rPr>
          <w:rFonts w:ascii="Times New Roman" w:eastAsia="等线" w:hAnsi="Times New Roman" w:cs="Times New Roman"/>
          <w:sz w:val="24"/>
          <w:szCs w:val="24"/>
        </w:rPr>
        <w:t>, M.X. Tran et al., Photoactive g-C</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N</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/CuZIF-67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electrocatalyst</w:t>
      </w:r>
      <w:proofErr w:type="spellEnd"/>
      <w:r w:rsidRPr="007E27DB">
        <w:rPr>
          <w:rFonts w:ascii="Times New Roman" w:eastAsia="等线" w:hAnsi="Times New Roman" w:cs="Times New Roman"/>
          <w:sz w:val="24"/>
          <w:szCs w:val="24"/>
        </w:rPr>
        <w:t xml:space="preserve"> with staggered p-n heterojunction for rechargeable Zn-air batteries. Appl. </w:t>
      </w:r>
      <w:proofErr w:type="spellStart"/>
      <w:r w:rsidRPr="007E27DB">
        <w:rPr>
          <w:rFonts w:ascii="Times New Roman" w:eastAsia="等线" w:hAnsi="Times New Roman" w:cs="Times New Roman"/>
          <w:sz w:val="24"/>
          <w:szCs w:val="24"/>
        </w:rPr>
        <w:t>Catal</w:t>
      </w:r>
      <w:proofErr w:type="spellEnd"/>
      <w:r w:rsidRPr="007E27DB">
        <w:rPr>
          <w:rFonts w:ascii="Times New Roman" w:eastAsia="等线" w:hAnsi="Times New Roman" w:cs="Times New Roman"/>
          <w:sz w:val="24"/>
          <w:szCs w:val="24"/>
        </w:rPr>
        <w:t xml:space="preserve">. B Environ. </w:t>
      </w:r>
      <w:r w:rsidRPr="007E27DB">
        <w:rPr>
          <w:rFonts w:ascii="Times New Roman" w:eastAsia="等线" w:hAnsi="Times New Roman" w:cs="Times New Roman"/>
          <w:b/>
          <w:sz w:val="24"/>
          <w:szCs w:val="24"/>
        </w:rPr>
        <w:t>306</w:t>
      </w:r>
      <w:r w:rsidRPr="007E27DB">
        <w:rPr>
          <w:rFonts w:ascii="Times New Roman" w:eastAsia="等线" w:hAnsi="Times New Roman" w:cs="Times New Roman"/>
          <w:sz w:val="24"/>
          <w:szCs w:val="24"/>
        </w:rPr>
        <w:t xml:space="preserve">, 121096 (2022). </w:t>
      </w:r>
      <w:hyperlink r:id="rId54" w:history="1">
        <w:r w:rsidRPr="00541C05">
          <w:rPr>
            <w:rStyle w:val="aa"/>
            <w:rFonts w:ascii="Times New Roman" w:eastAsia="等线" w:hAnsi="Times New Roman" w:cs="Times New Roman"/>
            <w:sz w:val="24"/>
            <w:szCs w:val="24"/>
          </w:rPr>
          <w:t>https://doi.org/10.1016/j.apcatb.2022.121096</w:t>
        </w:r>
      </w:hyperlink>
      <w:r>
        <w:rPr>
          <w:rFonts w:ascii="Times New Roman" w:eastAsia="等线" w:hAnsi="Times New Roman" w:cs="Times New Roman"/>
          <w:sz w:val="24"/>
          <w:szCs w:val="24"/>
        </w:rPr>
        <w:t xml:space="preserve"> </w:t>
      </w:r>
    </w:p>
    <w:p w14:paraId="0BC30C87" w14:textId="216E5074" w:rsidR="007E27DB" w:rsidRPr="007E27DB" w:rsidRDefault="00681FF2" w:rsidP="00542F7A">
      <w:pPr>
        <w:numPr>
          <w:ilvl w:val="0"/>
          <w:numId w:val="1"/>
        </w:numPr>
        <w:spacing w:before="120"/>
        <w:ind w:left="0" w:hanging="567"/>
        <w:rPr>
          <w:rFonts w:ascii="Times New Roman" w:eastAsia="等线" w:hAnsi="Times New Roman" w:cs="Times New Roman"/>
          <w:sz w:val="24"/>
          <w:szCs w:val="24"/>
        </w:rPr>
      </w:pPr>
      <w:r w:rsidRPr="00681FF2">
        <w:rPr>
          <w:rFonts w:ascii="Times New Roman" w:eastAsia="等线" w:hAnsi="Times New Roman" w:cs="Times New Roman"/>
          <w:sz w:val="24"/>
          <w:szCs w:val="24"/>
        </w:rPr>
        <w:t xml:space="preserve">N. Kumar, K. Naveen, M. Kumar, T. C. </w:t>
      </w:r>
      <w:proofErr w:type="spellStart"/>
      <w:r w:rsidRPr="00681FF2">
        <w:rPr>
          <w:rFonts w:ascii="Times New Roman" w:eastAsia="等线" w:hAnsi="Times New Roman" w:cs="Times New Roman"/>
          <w:sz w:val="24"/>
          <w:szCs w:val="24"/>
        </w:rPr>
        <w:t>Nagaiah</w:t>
      </w:r>
      <w:proofErr w:type="spellEnd"/>
      <w:r w:rsidRPr="00681FF2">
        <w:rPr>
          <w:rFonts w:ascii="Times New Roman" w:eastAsia="等线" w:hAnsi="Times New Roman" w:cs="Times New Roman"/>
          <w:sz w:val="24"/>
          <w:szCs w:val="24"/>
        </w:rPr>
        <w:t xml:space="preserve">, R. </w:t>
      </w:r>
      <w:proofErr w:type="spellStart"/>
      <w:r w:rsidRPr="00681FF2">
        <w:rPr>
          <w:rFonts w:ascii="Times New Roman" w:eastAsia="等线" w:hAnsi="Times New Roman" w:cs="Times New Roman"/>
          <w:sz w:val="24"/>
          <w:szCs w:val="24"/>
        </w:rPr>
        <w:t>Sakla</w:t>
      </w:r>
      <w:proofErr w:type="spellEnd"/>
      <w:r w:rsidRPr="00681FF2">
        <w:rPr>
          <w:rFonts w:ascii="Times New Roman" w:eastAsia="等线" w:hAnsi="Times New Roman" w:cs="Times New Roman"/>
          <w:sz w:val="24"/>
          <w:szCs w:val="24"/>
        </w:rPr>
        <w:t xml:space="preserve"> et al., </w:t>
      </w:r>
      <w:proofErr w:type="spellStart"/>
      <w:r w:rsidRPr="00681FF2">
        <w:rPr>
          <w:rFonts w:ascii="Times New Roman" w:eastAsia="等线" w:hAnsi="Times New Roman" w:cs="Times New Roman"/>
          <w:sz w:val="24"/>
          <w:szCs w:val="24"/>
        </w:rPr>
        <w:t>Multifunctionality</w:t>
      </w:r>
      <w:proofErr w:type="spellEnd"/>
      <w:r w:rsidRPr="00681FF2">
        <w:rPr>
          <w:rFonts w:ascii="Times New Roman" w:eastAsia="等线" w:hAnsi="Times New Roman" w:cs="Times New Roman"/>
          <w:sz w:val="24"/>
          <w:szCs w:val="24"/>
        </w:rPr>
        <w:t xml:space="preserve"> exploration of Ca</w:t>
      </w:r>
      <w:r w:rsidRPr="00681FF2">
        <w:rPr>
          <w:rFonts w:ascii="Times New Roman" w:eastAsia="等线" w:hAnsi="Times New Roman" w:cs="Times New Roman"/>
          <w:sz w:val="24"/>
          <w:szCs w:val="24"/>
          <w:vertAlign w:val="subscript"/>
        </w:rPr>
        <w:t>2</w:t>
      </w:r>
      <w:r w:rsidRPr="00681FF2">
        <w:rPr>
          <w:rFonts w:ascii="Times New Roman" w:eastAsia="等线" w:hAnsi="Times New Roman" w:cs="Times New Roman"/>
          <w:sz w:val="24"/>
          <w:szCs w:val="24"/>
        </w:rPr>
        <w:t>FeRuO</w:t>
      </w:r>
      <w:r w:rsidRPr="00681FF2">
        <w:rPr>
          <w:rFonts w:ascii="Times New Roman" w:eastAsia="等线" w:hAnsi="Times New Roman" w:cs="Times New Roman"/>
          <w:sz w:val="24"/>
          <w:szCs w:val="24"/>
          <w:vertAlign w:val="subscript"/>
        </w:rPr>
        <w:t>6</w:t>
      </w:r>
      <w:r w:rsidRPr="00681FF2">
        <w:rPr>
          <w:rFonts w:ascii="Times New Roman" w:eastAsia="等线" w:hAnsi="Times New Roman" w:cs="Times New Roman"/>
          <w:sz w:val="24"/>
          <w:szCs w:val="24"/>
        </w:rPr>
        <w:t xml:space="preserve">: an efficient trifunctional </w:t>
      </w:r>
      <w:proofErr w:type="spellStart"/>
      <w:r w:rsidRPr="00681FF2">
        <w:rPr>
          <w:rFonts w:ascii="Times New Roman" w:eastAsia="等线" w:hAnsi="Times New Roman" w:cs="Times New Roman"/>
          <w:sz w:val="24"/>
          <w:szCs w:val="24"/>
        </w:rPr>
        <w:t>electrocatalyst</w:t>
      </w:r>
      <w:proofErr w:type="spellEnd"/>
      <w:r w:rsidRPr="00681FF2">
        <w:rPr>
          <w:rFonts w:ascii="Times New Roman" w:eastAsia="等线" w:hAnsi="Times New Roman" w:cs="Times New Roman"/>
          <w:sz w:val="24"/>
          <w:szCs w:val="24"/>
        </w:rPr>
        <w:t xml:space="preserve"> toward OER/ORR/HER and </w:t>
      </w:r>
      <w:proofErr w:type="spellStart"/>
      <w:r w:rsidRPr="00681FF2">
        <w:rPr>
          <w:rFonts w:ascii="Times New Roman" w:eastAsia="等线" w:hAnsi="Times New Roman" w:cs="Times New Roman"/>
          <w:sz w:val="24"/>
          <w:szCs w:val="24"/>
        </w:rPr>
        <w:t>photocatalyst</w:t>
      </w:r>
      <w:proofErr w:type="spellEnd"/>
      <w:r w:rsidRPr="00681FF2">
        <w:rPr>
          <w:rFonts w:ascii="Times New Roman" w:eastAsia="等线" w:hAnsi="Times New Roman" w:cs="Times New Roman"/>
          <w:sz w:val="24"/>
          <w:szCs w:val="24"/>
        </w:rPr>
        <w:t xml:space="preserve"> for water splitting</w:t>
      </w:r>
      <w:r>
        <w:rPr>
          <w:rFonts w:ascii="Times New Roman" w:eastAsia="等线" w:hAnsi="Times New Roman" w:cs="Times New Roman"/>
          <w:sz w:val="24"/>
          <w:szCs w:val="24"/>
        </w:rPr>
        <w:t>.</w:t>
      </w:r>
      <w:r w:rsidRPr="00681FF2">
        <w:rPr>
          <w:rFonts w:ascii="Times New Roman" w:eastAsia="等线" w:hAnsi="Times New Roman" w:cs="Times New Roman"/>
          <w:sz w:val="24"/>
          <w:szCs w:val="24"/>
        </w:rPr>
        <w:t xml:space="preserve"> </w:t>
      </w:r>
      <w:r>
        <w:rPr>
          <w:rFonts w:ascii="Times New Roman" w:eastAsia="等线" w:hAnsi="Times New Roman" w:cs="Times New Roman"/>
          <w:sz w:val="24"/>
          <w:szCs w:val="24"/>
        </w:rPr>
        <w:t>ACS Appl. Energy Mater.</w:t>
      </w:r>
      <w:r w:rsidRPr="00681FF2">
        <w:rPr>
          <w:rFonts w:ascii="Times New Roman" w:eastAsia="等线" w:hAnsi="Times New Roman" w:cs="Times New Roman"/>
          <w:sz w:val="24"/>
          <w:szCs w:val="24"/>
        </w:rPr>
        <w:t xml:space="preserve"> </w:t>
      </w:r>
      <w:r w:rsidRPr="00681FF2">
        <w:rPr>
          <w:rFonts w:ascii="Times New Roman" w:eastAsia="等线" w:hAnsi="Times New Roman" w:cs="Times New Roman"/>
          <w:b/>
          <w:sz w:val="24"/>
          <w:szCs w:val="24"/>
        </w:rPr>
        <w:t>4</w:t>
      </w:r>
      <w:r w:rsidRPr="00681FF2">
        <w:rPr>
          <w:rFonts w:ascii="Times New Roman" w:eastAsia="等线" w:hAnsi="Times New Roman" w:cs="Times New Roman"/>
          <w:sz w:val="24"/>
          <w:szCs w:val="24"/>
        </w:rPr>
        <w:t>, 1323–1334</w:t>
      </w:r>
      <w:r>
        <w:rPr>
          <w:rFonts w:ascii="Times New Roman" w:eastAsia="等线" w:hAnsi="Times New Roman" w:cs="Times New Roman"/>
          <w:sz w:val="24"/>
          <w:szCs w:val="24"/>
        </w:rPr>
        <w:t xml:space="preserve"> (</w:t>
      </w:r>
      <w:r w:rsidRPr="00681FF2">
        <w:rPr>
          <w:rFonts w:ascii="Times New Roman" w:eastAsia="等线" w:hAnsi="Times New Roman" w:cs="Times New Roman"/>
          <w:sz w:val="24"/>
          <w:szCs w:val="24"/>
        </w:rPr>
        <w:t>2021</w:t>
      </w:r>
      <w:r>
        <w:rPr>
          <w:rFonts w:ascii="Times New Roman" w:eastAsia="等线" w:hAnsi="Times New Roman" w:cs="Times New Roman"/>
          <w:sz w:val="24"/>
          <w:szCs w:val="24"/>
        </w:rPr>
        <w:t>)</w:t>
      </w:r>
      <w:r w:rsidRPr="00681FF2">
        <w:rPr>
          <w:rFonts w:ascii="Times New Roman" w:eastAsia="等线" w:hAnsi="Times New Roman" w:cs="Times New Roman"/>
          <w:sz w:val="24"/>
          <w:szCs w:val="24"/>
        </w:rPr>
        <w:t xml:space="preserve">. </w:t>
      </w:r>
      <w:hyperlink r:id="rId55" w:history="1">
        <w:r w:rsidRPr="00541C05">
          <w:rPr>
            <w:rStyle w:val="aa"/>
            <w:rFonts w:ascii="Times New Roman" w:eastAsia="等线" w:hAnsi="Times New Roman" w:cs="Times New Roman"/>
            <w:sz w:val="24"/>
            <w:szCs w:val="24"/>
          </w:rPr>
          <w:t>https://doi.org/10.1021/acsaem.0c02579</w:t>
        </w:r>
      </w:hyperlink>
      <w:r>
        <w:rPr>
          <w:rFonts w:ascii="Times New Roman" w:eastAsia="等线" w:hAnsi="Times New Roman" w:cs="Times New Roman"/>
          <w:sz w:val="24"/>
          <w:szCs w:val="24"/>
        </w:rPr>
        <w:t xml:space="preserve"> </w:t>
      </w:r>
    </w:p>
    <w:p w14:paraId="01C22D4B"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Z. Xiao, X. </w:t>
      </w:r>
      <w:proofErr w:type="spellStart"/>
      <w:r w:rsidRPr="007E27DB">
        <w:rPr>
          <w:rFonts w:ascii="Times New Roman" w:eastAsia="等线" w:hAnsi="Times New Roman" w:cs="Times New Roman"/>
          <w:sz w:val="24"/>
          <w:szCs w:val="24"/>
        </w:rPr>
        <w:t>Lv</w:t>
      </w:r>
      <w:proofErr w:type="spellEnd"/>
      <w:r w:rsidRPr="007E27DB">
        <w:rPr>
          <w:rFonts w:ascii="Times New Roman" w:eastAsia="等线" w:hAnsi="Times New Roman" w:cs="Times New Roman"/>
          <w:sz w:val="24"/>
          <w:szCs w:val="24"/>
        </w:rPr>
        <w:t xml:space="preserve">, S. Liu, Q. Liu, F. Wang et al., Electronic band structure engineering of transition metal oxide-N, S-doped carbon catalysts for </w:t>
      </w:r>
      <w:proofErr w:type="spellStart"/>
      <w:r w:rsidRPr="007E27DB">
        <w:rPr>
          <w:rFonts w:ascii="Times New Roman" w:eastAsia="等线" w:hAnsi="Times New Roman" w:cs="Times New Roman"/>
          <w:sz w:val="24"/>
          <w:szCs w:val="24"/>
        </w:rPr>
        <w:t>photoassisted</w:t>
      </w:r>
      <w:proofErr w:type="spellEnd"/>
      <w:r w:rsidRPr="007E27DB">
        <w:rPr>
          <w:rFonts w:ascii="Times New Roman" w:eastAsia="等线" w:hAnsi="Times New Roman" w:cs="Times New Roman"/>
          <w:sz w:val="24"/>
          <w:szCs w:val="24"/>
        </w:rPr>
        <w:t xml:space="preserve"> oxygen reduction and oxygen evolution catalysis. Adv. Mater. Interfaces </w:t>
      </w:r>
      <w:r w:rsidRPr="007E27DB">
        <w:rPr>
          <w:rFonts w:ascii="Times New Roman" w:eastAsia="等线" w:hAnsi="Times New Roman" w:cs="Times New Roman"/>
          <w:b/>
          <w:sz w:val="24"/>
          <w:szCs w:val="24"/>
        </w:rPr>
        <w:t>9</w:t>
      </w:r>
      <w:r w:rsidRPr="007E27DB">
        <w:rPr>
          <w:rFonts w:ascii="Times New Roman" w:eastAsia="等线" w:hAnsi="Times New Roman" w:cs="Times New Roman"/>
          <w:sz w:val="24"/>
          <w:szCs w:val="24"/>
        </w:rPr>
        <w:t xml:space="preserve">(1), 2101386 (2022). </w:t>
      </w:r>
      <w:hyperlink r:id="rId56" w:history="1">
        <w:r w:rsidR="00681FF2" w:rsidRPr="00541C05">
          <w:rPr>
            <w:rStyle w:val="aa"/>
            <w:rFonts w:ascii="Times New Roman" w:eastAsia="等线" w:hAnsi="Times New Roman" w:cs="Times New Roman"/>
            <w:sz w:val="24"/>
            <w:szCs w:val="24"/>
          </w:rPr>
          <w:t>https://doi.org/10.1002/admi.202101386</w:t>
        </w:r>
      </w:hyperlink>
      <w:r w:rsidR="00681FF2">
        <w:rPr>
          <w:rFonts w:ascii="Times New Roman" w:eastAsia="等线" w:hAnsi="Times New Roman" w:cs="Times New Roman"/>
          <w:sz w:val="24"/>
          <w:szCs w:val="24"/>
        </w:rPr>
        <w:t xml:space="preserve"> </w:t>
      </w:r>
    </w:p>
    <w:p w14:paraId="54C450F6" w14:textId="193C5656"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D. Bu, M. </w:t>
      </w:r>
      <w:proofErr w:type="spellStart"/>
      <w:r w:rsidRPr="007E27DB">
        <w:rPr>
          <w:rFonts w:ascii="Times New Roman" w:eastAsia="等线" w:hAnsi="Times New Roman" w:cs="Times New Roman"/>
          <w:sz w:val="24"/>
          <w:szCs w:val="24"/>
        </w:rPr>
        <w:t>Batmunkh</w:t>
      </w:r>
      <w:proofErr w:type="spellEnd"/>
      <w:r w:rsidRPr="007E27DB">
        <w:rPr>
          <w:rFonts w:ascii="Times New Roman" w:eastAsia="等线" w:hAnsi="Times New Roman" w:cs="Times New Roman"/>
          <w:sz w:val="24"/>
          <w:szCs w:val="24"/>
        </w:rPr>
        <w:t>, Y. Zhang, Y. Li, B. Qian</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 xml:space="preserve">Rechargeable sunlight-promoted Zn-air battery constructed by </w:t>
      </w:r>
      <w:proofErr w:type="spellStart"/>
      <w:r w:rsidR="00681FF2" w:rsidRPr="00681FF2">
        <w:rPr>
          <w:rFonts w:ascii="Times New Roman" w:eastAsia="等线" w:hAnsi="Times New Roman" w:cs="Times New Roman"/>
          <w:sz w:val="24"/>
          <w:szCs w:val="24"/>
        </w:rPr>
        <w:t>bifunctional</w:t>
      </w:r>
      <w:proofErr w:type="spellEnd"/>
      <w:r w:rsidR="00681FF2" w:rsidRPr="00681FF2">
        <w:rPr>
          <w:rFonts w:ascii="Times New Roman" w:eastAsia="等线" w:hAnsi="Times New Roman" w:cs="Times New Roman"/>
          <w:sz w:val="24"/>
          <w:szCs w:val="24"/>
        </w:rPr>
        <w:t xml:space="preserve"> oxygen </w:t>
      </w:r>
      <w:proofErr w:type="spellStart"/>
      <w:r w:rsidR="00681FF2" w:rsidRPr="00681FF2">
        <w:rPr>
          <w:rFonts w:ascii="Times New Roman" w:eastAsia="等线" w:hAnsi="Times New Roman" w:cs="Times New Roman"/>
          <w:sz w:val="24"/>
          <w:szCs w:val="24"/>
        </w:rPr>
        <w:t>photoelectrodes</w:t>
      </w:r>
      <w:proofErr w:type="spellEnd"/>
      <w:r w:rsidR="00681FF2" w:rsidRPr="00681FF2">
        <w:rPr>
          <w:rFonts w:ascii="Times New Roman" w:eastAsia="等线" w:hAnsi="Times New Roman" w:cs="Times New Roman"/>
          <w:sz w:val="24"/>
          <w:szCs w:val="24"/>
        </w:rPr>
        <w:t xml:space="preserve">: Energy-band </w:t>
      </w:r>
      <w:r w:rsidR="00681FF2" w:rsidRPr="00681FF2">
        <w:rPr>
          <w:rFonts w:ascii="Times New Roman" w:eastAsia="等线" w:hAnsi="Times New Roman" w:cs="Times New Roman"/>
          <w:sz w:val="24"/>
          <w:szCs w:val="24"/>
        </w:rPr>
        <w:lastRenderedPageBreak/>
        <w:t xml:space="preserve">switching between </w:t>
      </w:r>
      <w:proofErr w:type="spellStart"/>
      <w:r w:rsidR="00681FF2" w:rsidRPr="00681FF2">
        <w:rPr>
          <w:rFonts w:ascii="Times New Roman" w:eastAsia="等线" w:hAnsi="Times New Roman" w:cs="Times New Roman"/>
          <w:sz w:val="24"/>
          <w:szCs w:val="24"/>
        </w:rPr>
        <w:t>ZnO</w:t>
      </w:r>
      <w:proofErr w:type="spellEnd"/>
      <w:r w:rsidR="00681FF2" w:rsidRPr="00681FF2">
        <w:rPr>
          <w:rFonts w:ascii="Times New Roman" w:eastAsia="等线" w:hAnsi="Times New Roman" w:cs="Times New Roman"/>
          <w:sz w:val="24"/>
          <w:szCs w:val="24"/>
        </w:rPr>
        <w:t>/Cu</w:t>
      </w:r>
      <w:r w:rsidR="00681FF2" w:rsidRPr="00681FF2">
        <w:rPr>
          <w:rFonts w:ascii="Times New Roman" w:eastAsia="等线" w:hAnsi="Times New Roman" w:cs="Times New Roman"/>
          <w:sz w:val="24"/>
          <w:szCs w:val="24"/>
          <w:vertAlign w:val="subscript"/>
        </w:rPr>
        <w:t>2</w:t>
      </w:r>
      <w:r w:rsidR="00681FF2" w:rsidRPr="00681FF2">
        <w:rPr>
          <w:rFonts w:ascii="Times New Roman" w:eastAsia="等线" w:hAnsi="Times New Roman" w:cs="Times New Roman"/>
          <w:sz w:val="24"/>
          <w:szCs w:val="24"/>
        </w:rPr>
        <w:t xml:space="preserve">O and </w:t>
      </w:r>
      <w:proofErr w:type="spellStart"/>
      <w:r w:rsidR="00681FF2" w:rsidRPr="00681FF2">
        <w:rPr>
          <w:rFonts w:ascii="Times New Roman" w:eastAsia="等线" w:hAnsi="Times New Roman" w:cs="Times New Roman"/>
          <w:sz w:val="24"/>
          <w:szCs w:val="24"/>
        </w:rPr>
        <w:t>ZnO</w:t>
      </w:r>
      <w:proofErr w:type="spellEnd"/>
      <w:r w:rsidR="00681FF2" w:rsidRPr="00681FF2">
        <w:rPr>
          <w:rFonts w:ascii="Times New Roman" w:eastAsia="等线" w:hAnsi="Times New Roman" w:cs="Times New Roman"/>
          <w:sz w:val="24"/>
          <w:szCs w:val="24"/>
        </w:rPr>
        <w:t>/</w:t>
      </w:r>
      <w:proofErr w:type="spellStart"/>
      <w:r w:rsidR="00681FF2" w:rsidRPr="00681FF2">
        <w:rPr>
          <w:rFonts w:ascii="Times New Roman" w:eastAsia="等线" w:hAnsi="Times New Roman" w:cs="Times New Roman"/>
          <w:sz w:val="24"/>
          <w:szCs w:val="24"/>
        </w:rPr>
        <w:t>CuO</w:t>
      </w:r>
      <w:proofErr w:type="spellEnd"/>
      <w:r w:rsidR="00681FF2" w:rsidRPr="00681FF2">
        <w:rPr>
          <w:rFonts w:ascii="Times New Roman" w:eastAsia="等线" w:hAnsi="Times New Roman" w:cs="Times New Roman"/>
          <w:sz w:val="24"/>
          <w:szCs w:val="24"/>
        </w:rPr>
        <w:t xml:space="preserve"> in charge-discharge cycles</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 xml:space="preserve">Chem. Eng. J. </w:t>
      </w:r>
      <w:r w:rsidRPr="007E27DB">
        <w:rPr>
          <w:rFonts w:ascii="Times New Roman" w:eastAsia="等线" w:hAnsi="Times New Roman" w:cs="Times New Roman"/>
          <w:b/>
          <w:sz w:val="24"/>
          <w:szCs w:val="24"/>
        </w:rPr>
        <w:t>433</w:t>
      </w:r>
      <w:r w:rsidRPr="007E27DB">
        <w:rPr>
          <w:rFonts w:ascii="Times New Roman" w:eastAsia="等线" w:hAnsi="Times New Roman" w:cs="Times New Roman"/>
          <w:sz w:val="24"/>
          <w:szCs w:val="24"/>
        </w:rPr>
        <w:t>, 133559</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2022</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57" w:history="1">
        <w:r w:rsidR="00681FF2" w:rsidRPr="00541C05">
          <w:rPr>
            <w:rStyle w:val="aa"/>
            <w:rFonts w:ascii="Times New Roman" w:eastAsia="等线" w:hAnsi="Times New Roman" w:cs="Times New Roman"/>
            <w:sz w:val="24"/>
            <w:szCs w:val="24"/>
          </w:rPr>
          <w:t>https://doi.org/10.1016/j.cej.2021.133559</w:t>
        </w:r>
      </w:hyperlink>
      <w:r w:rsidR="00681FF2">
        <w:rPr>
          <w:rFonts w:ascii="Times New Roman" w:eastAsia="等线" w:hAnsi="Times New Roman" w:cs="Times New Roman"/>
          <w:sz w:val="24"/>
          <w:szCs w:val="24"/>
        </w:rPr>
        <w:t xml:space="preserve"> </w:t>
      </w:r>
    </w:p>
    <w:p w14:paraId="0A62D6DF" w14:textId="1283635B"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H. Feng, C. Zhang, Z. Liu, J. Sang, S. </w:t>
      </w:r>
      <w:proofErr w:type="spellStart"/>
      <w:r w:rsidRPr="007E27DB">
        <w:rPr>
          <w:rFonts w:ascii="Times New Roman" w:eastAsia="等线" w:hAnsi="Times New Roman" w:cs="Times New Roman"/>
          <w:sz w:val="24"/>
          <w:szCs w:val="24"/>
        </w:rPr>
        <w:t>Xue</w:t>
      </w:r>
      <w:proofErr w:type="spellEnd"/>
      <w:r w:rsidRPr="007E27DB">
        <w:rPr>
          <w:rFonts w:ascii="Times New Roman" w:eastAsia="等线" w:hAnsi="Times New Roman" w:cs="Times New Roman"/>
          <w:sz w:val="24"/>
          <w:szCs w:val="24"/>
        </w:rPr>
        <w:t xml:space="preserve"> et al., A light-activated TiO</w:t>
      </w:r>
      <w:r w:rsidRPr="007E27DB">
        <w:rPr>
          <w:rFonts w:ascii="Times New Roman" w:eastAsia="等线" w:hAnsi="Times New Roman" w:cs="Times New Roman"/>
          <w:sz w:val="24"/>
          <w:szCs w:val="24"/>
          <w:vertAlign w:val="subscript"/>
        </w:rPr>
        <w:t>2</w:t>
      </w:r>
      <w:r w:rsidRPr="007E27DB">
        <w:rPr>
          <w:rFonts w:ascii="Times New Roman" w:eastAsia="等线" w:hAnsi="Times New Roman" w:cs="Times New Roman"/>
          <w:sz w:val="24"/>
          <w:szCs w:val="24"/>
        </w:rPr>
        <w:t>@In</w:t>
      </w:r>
      <w:r w:rsidRPr="007E27DB">
        <w:rPr>
          <w:rFonts w:ascii="Times New Roman" w:eastAsia="等线" w:hAnsi="Times New Roman" w:cs="Times New Roman"/>
          <w:sz w:val="24"/>
          <w:szCs w:val="24"/>
          <w:vertAlign w:val="subscript"/>
        </w:rPr>
        <w:t>2</w:t>
      </w:r>
      <w:r w:rsidRPr="007E27DB">
        <w:rPr>
          <w:rFonts w:ascii="Times New Roman" w:eastAsia="等线" w:hAnsi="Times New Roman" w:cs="Times New Roman"/>
          <w:sz w:val="24"/>
          <w:szCs w:val="24"/>
        </w:rPr>
        <w:t>Se</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@Ag</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PO</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 cathode for high-performance Zn-Air batteries. Chem. Eng. J. </w:t>
      </w:r>
      <w:r w:rsidRPr="007E27DB">
        <w:rPr>
          <w:rFonts w:ascii="Times New Roman" w:eastAsia="等线" w:hAnsi="Times New Roman" w:cs="Times New Roman"/>
          <w:b/>
          <w:sz w:val="24"/>
          <w:szCs w:val="24"/>
        </w:rPr>
        <w:t>434</w:t>
      </w:r>
      <w:r w:rsidRPr="007E27DB">
        <w:rPr>
          <w:rFonts w:ascii="Times New Roman" w:eastAsia="等线" w:hAnsi="Times New Roman" w:cs="Times New Roman"/>
          <w:sz w:val="24"/>
          <w:szCs w:val="24"/>
        </w:rPr>
        <w:t xml:space="preserve">, 134650 (2022). </w:t>
      </w:r>
      <w:hyperlink r:id="rId58" w:history="1">
        <w:r w:rsidR="00681FF2" w:rsidRPr="00541C05">
          <w:rPr>
            <w:rStyle w:val="aa"/>
            <w:rFonts w:ascii="Times New Roman" w:eastAsia="等线" w:hAnsi="Times New Roman" w:cs="Times New Roman"/>
            <w:sz w:val="24"/>
            <w:szCs w:val="24"/>
          </w:rPr>
          <w:t>https://doi.org/10.1016/j.cej.2022.134650</w:t>
        </w:r>
      </w:hyperlink>
      <w:r w:rsidR="00681FF2">
        <w:rPr>
          <w:rFonts w:ascii="Times New Roman" w:eastAsia="等线" w:hAnsi="Times New Roman" w:cs="Times New Roman"/>
          <w:sz w:val="24"/>
          <w:szCs w:val="24"/>
        </w:rPr>
        <w:t xml:space="preserve"> </w:t>
      </w:r>
    </w:p>
    <w:p w14:paraId="0CD9D2E6" w14:textId="2B5E17EF"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H. Feng, C. Zhang, Z. Liu, J. Sang, S. </w:t>
      </w:r>
      <w:proofErr w:type="spellStart"/>
      <w:r w:rsidRPr="007E27DB">
        <w:rPr>
          <w:rFonts w:ascii="Times New Roman" w:eastAsia="等线" w:hAnsi="Times New Roman" w:cs="Times New Roman"/>
          <w:sz w:val="24"/>
          <w:szCs w:val="24"/>
        </w:rPr>
        <w:t>Xue</w:t>
      </w:r>
      <w:proofErr w:type="spellEnd"/>
      <w:r w:rsidRPr="007E27DB">
        <w:rPr>
          <w:rFonts w:ascii="Times New Roman" w:eastAsia="等线" w:hAnsi="Times New Roman" w:cs="Times New Roman"/>
          <w:sz w:val="24"/>
          <w:szCs w:val="24"/>
        </w:rPr>
        <w:t xml:space="preserve"> et al., A light-activated TiO</w:t>
      </w:r>
      <w:r w:rsidRPr="007E27DB">
        <w:rPr>
          <w:rFonts w:ascii="Times New Roman" w:eastAsia="等线" w:hAnsi="Times New Roman" w:cs="Times New Roman"/>
          <w:sz w:val="24"/>
          <w:szCs w:val="24"/>
          <w:vertAlign w:val="subscript"/>
        </w:rPr>
        <w:t>2</w:t>
      </w:r>
      <w:r w:rsidRPr="007E27DB">
        <w:rPr>
          <w:rFonts w:ascii="Times New Roman" w:eastAsia="等线" w:hAnsi="Times New Roman" w:cs="Times New Roman"/>
          <w:sz w:val="24"/>
          <w:szCs w:val="24"/>
        </w:rPr>
        <w:t>@In</w:t>
      </w:r>
      <w:r w:rsidRPr="007E27DB">
        <w:rPr>
          <w:rFonts w:ascii="Times New Roman" w:eastAsia="等线" w:hAnsi="Times New Roman" w:cs="Times New Roman"/>
          <w:sz w:val="24"/>
          <w:szCs w:val="24"/>
          <w:vertAlign w:val="subscript"/>
        </w:rPr>
        <w:t>2</w:t>
      </w:r>
      <w:r w:rsidRPr="007E27DB">
        <w:rPr>
          <w:rFonts w:ascii="Times New Roman" w:eastAsia="等线" w:hAnsi="Times New Roman" w:cs="Times New Roman"/>
          <w:sz w:val="24"/>
          <w:szCs w:val="24"/>
        </w:rPr>
        <w:t>Se</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@Ag</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PO</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 cathode for high-performance Zn-Air batteries. Chem. Eng. J. </w:t>
      </w:r>
      <w:r w:rsidRPr="007E27DB">
        <w:rPr>
          <w:rFonts w:ascii="Times New Roman" w:eastAsia="等线" w:hAnsi="Times New Roman" w:cs="Times New Roman"/>
          <w:b/>
          <w:sz w:val="24"/>
          <w:szCs w:val="24"/>
        </w:rPr>
        <w:t>434</w:t>
      </w:r>
      <w:r w:rsidRPr="007E27DB">
        <w:rPr>
          <w:rFonts w:ascii="Times New Roman" w:eastAsia="等线" w:hAnsi="Times New Roman" w:cs="Times New Roman"/>
          <w:sz w:val="24"/>
          <w:szCs w:val="24"/>
        </w:rPr>
        <w:t xml:space="preserve">, 134650 (2022). </w:t>
      </w:r>
      <w:hyperlink r:id="rId59" w:history="1">
        <w:r w:rsidR="00681FF2" w:rsidRPr="00541C05">
          <w:rPr>
            <w:rStyle w:val="aa"/>
            <w:rFonts w:ascii="Times New Roman" w:eastAsia="等线" w:hAnsi="Times New Roman" w:cs="Times New Roman"/>
            <w:sz w:val="24"/>
            <w:szCs w:val="24"/>
          </w:rPr>
          <w:t>https://doi.org/10.1016/j.cej.2022.134650</w:t>
        </w:r>
      </w:hyperlink>
      <w:r w:rsidR="00681FF2">
        <w:rPr>
          <w:rFonts w:ascii="Times New Roman" w:eastAsia="等线" w:hAnsi="Times New Roman" w:cs="Times New Roman"/>
          <w:sz w:val="24"/>
          <w:szCs w:val="24"/>
        </w:rPr>
        <w:t xml:space="preserve"> </w:t>
      </w:r>
    </w:p>
    <w:p w14:paraId="13B90204" w14:textId="60B67E5E"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C. </w:t>
      </w:r>
      <w:proofErr w:type="spellStart"/>
      <w:r w:rsidRPr="007E27DB">
        <w:rPr>
          <w:rFonts w:ascii="Times New Roman" w:eastAsia="等线" w:hAnsi="Times New Roman" w:cs="Times New Roman"/>
          <w:sz w:val="24"/>
          <w:szCs w:val="24"/>
        </w:rPr>
        <w:t>Tomon</w:t>
      </w:r>
      <w:proofErr w:type="spellEnd"/>
      <w:r w:rsidRPr="007E27DB">
        <w:rPr>
          <w:rFonts w:ascii="Times New Roman" w:eastAsia="等线" w:hAnsi="Times New Roman" w:cs="Times New Roman"/>
          <w:sz w:val="24"/>
          <w:szCs w:val="24"/>
        </w:rPr>
        <w:t xml:space="preserve">, S. </w:t>
      </w:r>
      <w:proofErr w:type="spellStart"/>
      <w:r w:rsidRPr="007E27DB">
        <w:rPr>
          <w:rFonts w:ascii="Times New Roman" w:eastAsia="等线" w:hAnsi="Times New Roman" w:cs="Times New Roman"/>
          <w:sz w:val="24"/>
          <w:szCs w:val="24"/>
        </w:rPr>
        <w:t>Sarawutanukul</w:t>
      </w:r>
      <w:proofErr w:type="spellEnd"/>
      <w:r w:rsidRPr="007E27DB">
        <w:rPr>
          <w:rFonts w:ascii="Times New Roman" w:eastAsia="等线" w:hAnsi="Times New Roman" w:cs="Times New Roman"/>
          <w:sz w:val="24"/>
          <w:szCs w:val="24"/>
        </w:rPr>
        <w:t xml:space="preserve">, S. </w:t>
      </w:r>
      <w:proofErr w:type="spellStart"/>
      <w:r w:rsidRPr="007E27DB">
        <w:rPr>
          <w:rFonts w:ascii="Times New Roman" w:eastAsia="等线" w:hAnsi="Times New Roman" w:cs="Times New Roman"/>
          <w:sz w:val="24"/>
          <w:szCs w:val="24"/>
        </w:rPr>
        <w:t>Duangdangchote</w:t>
      </w:r>
      <w:proofErr w:type="spellEnd"/>
      <w:r w:rsidRPr="007E27DB">
        <w:rPr>
          <w:rFonts w:ascii="Times New Roman" w:eastAsia="等线" w:hAnsi="Times New Roman" w:cs="Times New Roman"/>
          <w:sz w:val="24"/>
          <w:szCs w:val="24"/>
        </w:rPr>
        <w:t xml:space="preserve">, A. </w:t>
      </w:r>
      <w:proofErr w:type="spellStart"/>
      <w:r w:rsidRPr="007E27DB">
        <w:rPr>
          <w:rFonts w:ascii="Times New Roman" w:eastAsia="等线" w:hAnsi="Times New Roman" w:cs="Times New Roman"/>
          <w:sz w:val="24"/>
          <w:szCs w:val="24"/>
        </w:rPr>
        <w:t>Krittayavathananon</w:t>
      </w:r>
      <w:proofErr w:type="spellEnd"/>
      <w:r w:rsidRPr="007E27DB">
        <w:rPr>
          <w:rFonts w:ascii="Times New Roman" w:eastAsia="等线" w:hAnsi="Times New Roman" w:cs="Times New Roman"/>
          <w:sz w:val="24"/>
          <w:szCs w:val="24"/>
        </w:rPr>
        <w:t xml:space="preserve">, M. </w:t>
      </w:r>
      <w:proofErr w:type="spellStart"/>
      <w:r w:rsidRPr="007E27DB">
        <w:rPr>
          <w:rFonts w:ascii="Times New Roman" w:eastAsia="等线" w:hAnsi="Times New Roman" w:cs="Times New Roman"/>
          <w:sz w:val="24"/>
          <w:szCs w:val="24"/>
        </w:rPr>
        <w:t>Sawangphruk</w:t>
      </w:r>
      <w:proofErr w:type="spellEnd"/>
      <w:r w:rsidRPr="007E27DB">
        <w:rPr>
          <w:rFonts w:ascii="Times New Roman" w:eastAsia="等线" w:hAnsi="Times New Roman" w:cs="Times New Roman"/>
          <w:sz w:val="24"/>
          <w:szCs w:val="24"/>
        </w:rPr>
        <w:t>, MnCo</w:t>
      </w:r>
      <w:r w:rsidRPr="007E27DB">
        <w:rPr>
          <w:rFonts w:ascii="Times New Roman" w:eastAsia="等线" w:hAnsi="Times New Roman" w:cs="Times New Roman"/>
          <w:sz w:val="24"/>
          <w:szCs w:val="24"/>
          <w:vertAlign w:val="subscript"/>
        </w:rPr>
        <w:t>2</w:t>
      </w:r>
      <w:r w:rsidRPr="007E27DB">
        <w:rPr>
          <w:rFonts w:ascii="Times New Roman" w:eastAsia="等线" w:hAnsi="Times New Roman" w:cs="Times New Roman"/>
          <w:sz w:val="24"/>
          <w:szCs w:val="24"/>
        </w:rPr>
        <w:t>O</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 nanofibers as efficient photo-</w:t>
      </w:r>
      <w:proofErr w:type="spellStart"/>
      <w:r w:rsidRPr="007E27DB">
        <w:rPr>
          <w:rFonts w:ascii="Times New Roman" w:eastAsia="等线" w:hAnsi="Times New Roman" w:cs="Times New Roman"/>
          <w:sz w:val="24"/>
          <w:szCs w:val="24"/>
        </w:rPr>
        <w:t>electrocatalyst</w:t>
      </w:r>
      <w:proofErr w:type="spellEnd"/>
      <w:r w:rsidRPr="007E27DB">
        <w:rPr>
          <w:rFonts w:ascii="Times New Roman" w:eastAsia="等线" w:hAnsi="Times New Roman" w:cs="Times New Roman"/>
          <w:sz w:val="24"/>
          <w:szCs w:val="24"/>
        </w:rPr>
        <w:t xml:space="preserve"> for oxygen evolution reaction and oxygen reduction reaction. ECS Trans. </w:t>
      </w:r>
      <w:r w:rsidRPr="007E27DB">
        <w:rPr>
          <w:rFonts w:ascii="Times New Roman" w:eastAsia="等线" w:hAnsi="Times New Roman" w:cs="Times New Roman"/>
          <w:b/>
          <w:sz w:val="24"/>
          <w:szCs w:val="24"/>
        </w:rPr>
        <w:t>97</w:t>
      </w:r>
      <w:r w:rsidRPr="007E27DB">
        <w:rPr>
          <w:rFonts w:ascii="Times New Roman" w:eastAsia="等线" w:hAnsi="Times New Roman" w:cs="Times New Roman"/>
          <w:sz w:val="24"/>
          <w:szCs w:val="24"/>
        </w:rPr>
        <w:t xml:space="preserve">(7), 71–86 (2020). </w:t>
      </w:r>
      <w:hyperlink r:id="rId60" w:history="1">
        <w:r w:rsidR="00681FF2" w:rsidRPr="00541C05">
          <w:rPr>
            <w:rStyle w:val="aa"/>
            <w:rFonts w:ascii="Times New Roman" w:eastAsia="等线" w:hAnsi="Times New Roman" w:cs="Times New Roman"/>
            <w:sz w:val="24"/>
            <w:szCs w:val="24"/>
          </w:rPr>
          <w:t>https://doi.org/10.1149/09707.0071ecst</w:t>
        </w:r>
      </w:hyperlink>
      <w:r w:rsidR="00681FF2">
        <w:rPr>
          <w:rFonts w:ascii="Times New Roman" w:eastAsia="等线" w:hAnsi="Times New Roman" w:cs="Times New Roman"/>
          <w:sz w:val="24"/>
          <w:szCs w:val="24"/>
        </w:rPr>
        <w:t xml:space="preserve"> </w:t>
      </w:r>
    </w:p>
    <w:p w14:paraId="3B8F1817" w14:textId="3ACFD65B"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Y. Yang, B. Hu, W. Zhao, Q. Yang, F. Yang et al., Bridging N-doped graphene and carbon rich C</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N</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 layers for photo-promoted multi-functional </w:t>
      </w:r>
      <w:proofErr w:type="spellStart"/>
      <w:r w:rsidRPr="007E27DB">
        <w:rPr>
          <w:rFonts w:ascii="Times New Roman" w:eastAsia="等线" w:hAnsi="Times New Roman" w:cs="Times New Roman"/>
          <w:sz w:val="24"/>
          <w:szCs w:val="24"/>
        </w:rPr>
        <w:t>electrocatalysts</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Electrochim</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Acta</w:t>
      </w:r>
      <w:proofErr w:type="spellEnd"/>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317</w:t>
      </w:r>
      <w:r w:rsidRPr="007E27DB">
        <w:rPr>
          <w:rFonts w:ascii="Times New Roman" w:eastAsia="等线" w:hAnsi="Times New Roman" w:cs="Times New Roman"/>
          <w:sz w:val="24"/>
          <w:szCs w:val="24"/>
        </w:rPr>
        <w:t xml:space="preserve">, 25–33 (2019). </w:t>
      </w:r>
      <w:hyperlink r:id="rId61" w:history="1">
        <w:r w:rsidR="00681FF2" w:rsidRPr="00541C05">
          <w:rPr>
            <w:rStyle w:val="aa"/>
            <w:rFonts w:ascii="Times New Roman" w:eastAsia="等线" w:hAnsi="Times New Roman" w:cs="Times New Roman"/>
            <w:sz w:val="24"/>
            <w:szCs w:val="24"/>
          </w:rPr>
          <w:t>https://doi.org/10.1016/j.electacta.2019.05.140</w:t>
        </w:r>
      </w:hyperlink>
      <w:r w:rsidR="00681FF2">
        <w:rPr>
          <w:rFonts w:ascii="Times New Roman" w:eastAsia="等线" w:hAnsi="Times New Roman" w:cs="Times New Roman"/>
          <w:sz w:val="24"/>
          <w:szCs w:val="24"/>
        </w:rPr>
        <w:t xml:space="preserve"> </w:t>
      </w:r>
    </w:p>
    <w:p w14:paraId="7B9BEC84" w14:textId="4B56F7EA"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Y. Yang, B. Hu, W. Zhao, Q. Yang, F. Yang et al., Bridging N-doped graphene and carbon rich C</w:t>
      </w:r>
      <w:r w:rsidRPr="007E27DB">
        <w:rPr>
          <w:rFonts w:ascii="Times New Roman" w:eastAsia="等线" w:hAnsi="Times New Roman" w:cs="Times New Roman"/>
          <w:sz w:val="24"/>
          <w:szCs w:val="24"/>
          <w:vertAlign w:val="subscript"/>
        </w:rPr>
        <w:t>3</w:t>
      </w:r>
      <w:r w:rsidRPr="007E27DB">
        <w:rPr>
          <w:rFonts w:ascii="Times New Roman" w:eastAsia="等线" w:hAnsi="Times New Roman" w:cs="Times New Roman"/>
          <w:sz w:val="24"/>
          <w:szCs w:val="24"/>
        </w:rPr>
        <w:t>N</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 layers for photo-promoted multi-functional </w:t>
      </w:r>
      <w:proofErr w:type="spellStart"/>
      <w:r w:rsidRPr="007E27DB">
        <w:rPr>
          <w:rFonts w:ascii="Times New Roman" w:eastAsia="等线" w:hAnsi="Times New Roman" w:cs="Times New Roman"/>
          <w:sz w:val="24"/>
          <w:szCs w:val="24"/>
        </w:rPr>
        <w:t>electrocatalysts</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Electrochim</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Acta</w:t>
      </w:r>
      <w:proofErr w:type="spellEnd"/>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317</w:t>
      </w:r>
      <w:r w:rsidRPr="007E27DB">
        <w:rPr>
          <w:rFonts w:ascii="Times New Roman" w:eastAsia="等线" w:hAnsi="Times New Roman" w:cs="Times New Roman"/>
          <w:sz w:val="24"/>
          <w:szCs w:val="24"/>
        </w:rPr>
        <w:t xml:space="preserve">, 25–33 (2019). </w:t>
      </w:r>
      <w:hyperlink r:id="rId62" w:history="1">
        <w:r w:rsidR="00681FF2" w:rsidRPr="00541C05">
          <w:rPr>
            <w:rStyle w:val="aa"/>
            <w:rFonts w:ascii="Times New Roman" w:eastAsia="等线" w:hAnsi="Times New Roman" w:cs="Times New Roman"/>
            <w:sz w:val="24"/>
            <w:szCs w:val="24"/>
          </w:rPr>
          <w:t>https://doi.org/10.1016/j.electacta.2019.05.140</w:t>
        </w:r>
      </w:hyperlink>
      <w:r w:rsidR="00681FF2">
        <w:rPr>
          <w:rFonts w:ascii="Times New Roman" w:eastAsia="等线" w:hAnsi="Times New Roman" w:cs="Times New Roman"/>
          <w:sz w:val="24"/>
          <w:szCs w:val="24"/>
        </w:rPr>
        <w:t xml:space="preserve"> </w:t>
      </w:r>
    </w:p>
    <w:p w14:paraId="27CD6CB4" w14:textId="05A1B651"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J. </w:t>
      </w:r>
      <w:proofErr w:type="spellStart"/>
      <w:r w:rsidRPr="007E27DB">
        <w:rPr>
          <w:rFonts w:ascii="Times New Roman" w:eastAsia="等线" w:hAnsi="Times New Roman" w:cs="Times New Roman"/>
          <w:sz w:val="24"/>
          <w:szCs w:val="24"/>
        </w:rPr>
        <w:t>Lv</w:t>
      </w:r>
      <w:proofErr w:type="spellEnd"/>
      <w:r w:rsidRPr="007E27DB">
        <w:rPr>
          <w:rFonts w:ascii="Times New Roman" w:eastAsia="等线" w:hAnsi="Times New Roman" w:cs="Times New Roman"/>
          <w:sz w:val="24"/>
          <w:szCs w:val="24"/>
        </w:rPr>
        <w:t xml:space="preserve">, S.C. Abbas, Y. Huang, Q. Liu, M. Wu et al., A photo-responsive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electrocatalyst</w:t>
      </w:r>
      <w:proofErr w:type="spellEnd"/>
      <w:r w:rsidRPr="007E27DB">
        <w:rPr>
          <w:rFonts w:ascii="Times New Roman" w:eastAsia="等线" w:hAnsi="Times New Roman" w:cs="Times New Roman"/>
          <w:sz w:val="24"/>
          <w:szCs w:val="24"/>
        </w:rPr>
        <w:t xml:space="preserve"> for oxygen reduction and evolution reactions. Nano Energy </w:t>
      </w:r>
      <w:r w:rsidRPr="007E27DB">
        <w:rPr>
          <w:rFonts w:ascii="Times New Roman" w:eastAsia="等线" w:hAnsi="Times New Roman" w:cs="Times New Roman"/>
          <w:b/>
          <w:sz w:val="24"/>
          <w:szCs w:val="24"/>
        </w:rPr>
        <w:t>43</w:t>
      </w:r>
      <w:r w:rsidRPr="007E27DB">
        <w:rPr>
          <w:rFonts w:ascii="Times New Roman" w:eastAsia="等线" w:hAnsi="Times New Roman" w:cs="Times New Roman"/>
          <w:sz w:val="24"/>
          <w:szCs w:val="24"/>
        </w:rPr>
        <w:t xml:space="preserve">, 130–137 (2018). </w:t>
      </w:r>
      <w:hyperlink r:id="rId63" w:history="1">
        <w:r w:rsidR="00681FF2" w:rsidRPr="00541C05">
          <w:rPr>
            <w:rStyle w:val="aa"/>
            <w:rFonts w:ascii="Times New Roman" w:eastAsia="等线" w:hAnsi="Times New Roman" w:cs="Times New Roman"/>
            <w:sz w:val="24"/>
            <w:szCs w:val="24"/>
          </w:rPr>
          <w:t>https://doi.org/10.1016/j.nanoen.2017.11.020</w:t>
        </w:r>
      </w:hyperlink>
      <w:r w:rsidR="00681FF2">
        <w:rPr>
          <w:rFonts w:ascii="Times New Roman" w:eastAsia="等线" w:hAnsi="Times New Roman" w:cs="Times New Roman"/>
          <w:sz w:val="24"/>
          <w:szCs w:val="24"/>
        </w:rPr>
        <w:t xml:space="preserve"> </w:t>
      </w:r>
    </w:p>
    <w:p w14:paraId="0ED00CD6" w14:textId="253EA835"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J. </w:t>
      </w:r>
      <w:proofErr w:type="spellStart"/>
      <w:r w:rsidRPr="007E27DB">
        <w:rPr>
          <w:rFonts w:ascii="Times New Roman" w:eastAsia="等线" w:hAnsi="Times New Roman" w:cs="Times New Roman"/>
          <w:sz w:val="24"/>
          <w:szCs w:val="24"/>
        </w:rPr>
        <w:t>Lv</w:t>
      </w:r>
      <w:proofErr w:type="spellEnd"/>
      <w:r w:rsidRPr="007E27DB">
        <w:rPr>
          <w:rFonts w:ascii="Times New Roman" w:eastAsia="等线" w:hAnsi="Times New Roman" w:cs="Times New Roman"/>
          <w:sz w:val="24"/>
          <w:szCs w:val="24"/>
        </w:rPr>
        <w:t xml:space="preserve">, S.C. Abbas, Y. Huang, Q. Liu, M. Wu et al., A photo-responsive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electrocatalyst</w:t>
      </w:r>
      <w:proofErr w:type="spellEnd"/>
      <w:r w:rsidRPr="007E27DB">
        <w:rPr>
          <w:rFonts w:ascii="Times New Roman" w:eastAsia="等线" w:hAnsi="Times New Roman" w:cs="Times New Roman"/>
          <w:sz w:val="24"/>
          <w:szCs w:val="24"/>
        </w:rPr>
        <w:t xml:space="preserve"> for oxygen reduction and evolution reactions. Nano Energy </w:t>
      </w:r>
      <w:r w:rsidRPr="007E27DB">
        <w:rPr>
          <w:rFonts w:ascii="Times New Roman" w:eastAsia="等线" w:hAnsi="Times New Roman" w:cs="Times New Roman"/>
          <w:b/>
          <w:sz w:val="24"/>
          <w:szCs w:val="24"/>
        </w:rPr>
        <w:t>43</w:t>
      </w:r>
      <w:r w:rsidRPr="007E27DB">
        <w:rPr>
          <w:rFonts w:ascii="Times New Roman" w:eastAsia="等线" w:hAnsi="Times New Roman" w:cs="Times New Roman"/>
          <w:sz w:val="24"/>
          <w:szCs w:val="24"/>
        </w:rPr>
        <w:t xml:space="preserve">, 130–137 (2018). </w:t>
      </w:r>
      <w:hyperlink r:id="rId64" w:history="1">
        <w:r w:rsidR="00681FF2" w:rsidRPr="00541C05">
          <w:rPr>
            <w:rStyle w:val="aa"/>
            <w:rFonts w:ascii="Times New Roman" w:eastAsia="等线" w:hAnsi="Times New Roman" w:cs="Times New Roman"/>
            <w:sz w:val="24"/>
            <w:szCs w:val="24"/>
          </w:rPr>
          <w:t>https://doi.org/10.1016/j.nanoen.2017.11.020</w:t>
        </w:r>
      </w:hyperlink>
      <w:r w:rsidR="00681FF2">
        <w:rPr>
          <w:rFonts w:ascii="Times New Roman" w:eastAsia="等线" w:hAnsi="Times New Roman" w:cs="Times New Roman"/>
          <w:sz w:val="24"/>
          <w:szCs w:val="24"/>
        </w:rPr>
        <w:t xml:space="preserve"> </w:t>
      </w:r>
    </w:p>
    <w:p w14:paraId="5E89203E" w14:textId="3E792C80"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Z. Fang, Y. Li, J. Li, C. Shu, L. </w:t>
      </w:r>
      <w:proofErr w:type="spellStart"/>
      <w:r w:rsidRPr="007E27DB">
        <w:rPr>
          <w:rFonts w:ascii="Times New Roman" w:eastAsia="等线" w:hAnsi="Times New Roman" w:cs="Times New Roman"/>
          <w:sz w:val="24"/>
          <w:szCs w:val="24"/>
        </w:rPr>
        <w:t>Zhong</w:t>
      </w:r>
      <w:proofErr w:type="spellEnd"/>
      <w:r w:rsidRPr="007E27DB">
        <w:rPr>
          <w:rFonts w:ascii="Times New Roman" w:eastAsia="等线" w:hAnsi="Times New Roman" w:cs="Times New Roman"/>
          <w:sz w:val="24"/>
          <w:szCs w:val="24"/>
        </w:rPr>
        <w:t xml:space="preserve"> et al., Capturing visible light in low-band-gap C</w:t>
      </w:r>
      <w:r w:rsidRPr="007E27DB">
        <w:rPr>
          <w:rFonts w:ascii="Times New Roman" w:eastAsia="等线" w:hAnsi="Times New Roman" w:cs="Times New Roman"/>
          <w:sz w:val="24"/>
          <w:szCs w:val="24"/>
          <w:vertAlign w:val="subscript"/>
        </w:rPr>
        <w:t>4</w:t>
      </w:r>
      <w:r w:rsidRPr="007E27DB">
        <w:rPr>
          <w:rFonts w:ascii="Times New Roman" w:eastAsia="等线" w:hAnsi="Times New Roman" w:cs="Times New Roman"/>
          <w:sz w:val="24"/>
          <w:szCs w:val="24"/>
        </w:rPr>
        <w:t xml:space="preserve">N-derived responsive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air electrodes for solar energy conversion and storage. </w:t>
      </w:r>
      <w:proofErr w:type="spellStart"/>
      <w:r w:rsidRPr="007E27DB">
        <w:rPr>
          <w:rFonts w:ascii="Times New Roman" w:eastAsia="等线" w:hAnsi="Times New Roman" w:cs="Times New Roman"/>
          <w:sz w:val="24"/>
          <w:szCs w:val="24"/>
        </w:rPr>
        <w:t>Angew</w:t>
      </w:r>
      <w:proofErr w:type="spellEnd"/>
      <w:r w:rsidRPr="007E27DB">
        <w:rPr>
          <w:rFonts w:ascii="Times New Roman" w:eastAsia="等线" w:hAnsi="Times New Roman" w:cs="Times New Roman"/>
          <w:sz w:val="24"/>
          <w:szCs w:val="24"/>
        </w:rPr>
        <w:t xml:space="preserve">. Chem. Int. Ed. </w:t>
      </w:r>
      <w:r w:rsidRPr="007E27DB">
        <w:rPr>
          <w:rFonts w:ascii="Times New Roman" w:eastAsia="等线" w:hAnsi="Times New Roman" w:cs="Times New Roman"/>
          <w:b/>
          <w:sz w:val="24"/>
          <w:szCs w:val="24"/>
        </w:rPr>
        <w:t>60</w:t>
      </w:r>
      <w:r w:rsidRPr="007E27DB">
        <w:rPr>
          <w:rFonts w:ascii="Times New Roman" w:eastAsia="等线" w:hAnsi="Times New Roman" w:cs="Times New Roman"/>
          <w:sz w:val="24"/>
          <w:szCs w:val="24"/>
        </w:rPr>
        <w:t xml:space="preserve">(32), 17615–17621 (2021). </w:t>
      </w:r>
      <w:hyperlink r:id="rId65" w:history="1">
        <w:r w:rsidR="00681FF2" w:rsidRPr="00541C05">
          <w:rPr>
            <w:rStyle w:val="aa"/>
            <w:rFonts w:ascii="Times New Roman" w:eastAsia="等线" w:hAnsi="Times New Roman" w:cs="Times New Roman"/>
            <w:sz w:val="24"/>
            <w:szCs w:val="24"/>
          </w:rPr>
          <w:t>https://doi.org/10.1002/anie.202104790</w:t>
        </w:r>
      </w:hyperlink>
      <w:r w:rsidR="00681FF2">
        <w:rPr>
          <w:rFonts w:ascii="Times New Roman" w:eastAsia="等线" w:hAnsi="Times New Roman" w:cs="Times New Roman"/>
          <w:sz w:val="24"/>
          <w:szCs w:val="24"/>
        </w:rPr>
        <w:t xml:space="preserve"> </w:t>
      </w:r>
    </w:p>
    <w:p w14:paraId="2769EDDA"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S. Zheng, M. Chen, K. Chen, Y. Wu, J. Yu et al., Solar-light-responsive zinc–air battery with self-regulated charge–discharge performance based on </w:t>
      </w:r>
      <w:proofErr w:type="spellStart"/>
      <w:r w:rsidRPr="007E27DB">
        <w:rPr>
          <w:rFonts w:ascii="Times New Roman" w:eastAsia="等线" w:hAnsi="Times New Roman" w:cs="Times New Roman"/>
          <w:sz w:val="24"/>
          <w:szCs w:val="24"/>
        </w:rPr>
        <w:t>photothermal</w:t>
      </w:r>
      <w:proofErr w:type="spellEnd"/>
      <w:r w:rsidRPr="007E27DB">
        <w:rPr>
          <w:rFonts w:ascii="Times New Roman" w:eastAsia="等线" w:hAnsi="Times New Roman" w:cs="Times New Roman"/>
          <w:sz w:val="24"/>
          <w:szCs w:val="24"/>
        </w:rPr>
        <w:t xml:space="preserve"> effect. ACS Appl. Mater. Interfaces </w:t>
      </w:r>
      <w:r w:rsidRPr="007E27DB">
        <w:rPr>
          <w:rFonts w:ascii="Times New Roman" w:eastAsia="等线" w:hAnsi="Times New Roman" w:cs="Times New Roman"/>
          <w:b/>
          <w:sz w:val="24"/>
          <w:szCs w:val="24"/>
        </w:rPr>
        <w:t>15</w:t>
      </w:r>
      <w:r w:rsidRPr="007E27DB">
        <w:rPr>
          <w:rFonts w:ascii="Times New Roman" w:eastAsia="等线" w:hAnsi="Times New Roman" w:cs="Times New Roman"/>
          <w:sz w:val="24"/>
          <w:szCs w:val="24"/>
        </w:rPr>
        <w:t xml:space="preserve">(2), 2985–2995 (2023). </w:t>
      </w:r>
      <w:hyperlink r:id="rId66" w:history="1">
        <w:r w:rsidR="00681FF2" w:rsidRPr="00541C05">
          <w:rPr>
            <w:rStyle w:val="aa"/>
            <w:rFonts w:ascii="Times New Roman" w:eastAsia="等线" w:hAnsi="Times New Roman" w:cs="Times New Roman"/>
            <w:sz w:val="24"/>
            <w:szCs w:val="24"/>
          </w:rPr>
          <w:t>https://doi.org/10.1021/acsami.2c19663</w:t>
        </w:r>
      </w:hyperlink>
      <w:r w:rsidR="00681FF2">
        <w:rPr>
          <w:rFonts w:ascii="Times New Roman" w:eastAsia="等线" w:hAnsi="Times New Roman" w:cs="Times New Roman"/>
          <w:sz w:val="24"/>
          <w:szCs w:val="24"/>
        </w:rPr>
        <w:t xml:space="preserve"> </w:t>
      </w:r>
    </w:p>
    <w:p w14:paraId="20B92956"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Z. Liang, H. </w:t>
      </w:r>
      <w:proofErr w:type="spellStart"/>
      <w:r w:rsidRPr="007E27DB">
        <w:rPr>
          <w:rFonts w:ascii="Times New Roman" w:eastAsia="等线" w:hAnsi="Times New Roman" w:cs="Times New Roman"/>
          <w:sz w:val="24"/>
          <w:szCs w:val="24"/>
        </w:rPr>
        <w:t>Guo</w:t>
      </w:r>
      <w:proofErr w:type="spellEnd"/>
      <w:r w:rsidRPr="007E27DB">
        <w:rPr>
          <w:rFonts w:ascii="Times New Roman" w:eastAsia="等线" w:hAnsi="Times New Roman" w:cs="Times New Roman"/>
          <w:sz w:val="24"/>
          <w:szCs w:val="24"/>
        </w:rPr>
        <w:t xml:space="preserve">, G. Zhou, K. </w:t>
      </w:r>
      <w:proofErr w:type="spellStart"/>
      <w:r w:rsidRPr="007E27DB">
        <w:rPr>
          <w:rFonts w:ascii="Times New Roman" w:eastAsia="等线" w:hAnsi="Times New Roman" w:cs="Times New Roman"/>
          <w:sz w:val="24"/>
          <w:szCs w:val="24"/>
        </w:rPr>
        <w:t>Guo</w:t>
      </w:r>
      <w:proofErr w:type="spellEnd"/>
      <w:r w:rsidRPr="007E27DB">
        <w:rPr>
          <w:rFonts w:ascii="Times New Roman" w:eastAsia="等线" w:hAnsi="Times New Roman" w:cs="Times New Roman"/>
          <w:sz w:val="24"/>
          <w:szCs w:val="24"/>
        </w:rPr>
        <w:t xml:space="preserve">, B. Wang, H. Lei, W. Zhang, H. Zheng, U. </w:t>
      </w:r>
      <w:proofErr w:type="spellStart"/>
      <w:r w:rsidRPr="007E27DB">
        <w:rPr>
          <w:rFonts w:ascii="Times New Roman" w:eastAsia="等线" w:hAnsi="Times New Roman" w:cs="Times New Roman"/>
          <w:sz w:val="24"/>
          <w:szCs w:val="24"/>
        </w:rPr>
        <w:t>Apfel</w:t>
      </w:r>
      <w:proofErr w:type="spellEnd"/>
      <w:r w:rsidR="00681FF2">
        <w:rPr>
          <w:rFonts w:ascii="Times New Roman" w:eastAsia="等线" w:hAnsi="Times New Roman" w:cs="Times New Roman"/>
          <w:sz w:val="24"/>
          <w:szCs w:val="24"/>
        </w:rPr>
        <w:t xml:space="preserve">, R. Cao, </w:t>
      </w:r>
      <w:r w:rsidR="00681FF2" w:rsidRPr="00681FF2">
        <w:rPr>
          <w:rFonts w:ascii="Times New Roman" w:eastAsia="等线" w:hAnsi="Times New Roman" w:cs="Times New Roman"/>
          <w:sz w:val="24"/>
          <w:szCs w:val="24"/>
        </w:rPr>
        <w:t xml:space="preserve">Metal–organic-framework-supported molecular </w:t>
      </w:r>
      <w:proofErr w:type="spellStart"/>
      <w:r w:rsidR="00681FF2" w:rsidRPr="00681FF2">
        <w:rPr>
          <w:rFonts w:ascii="Times New Roman" w:eastAsia="等线" w:hAnsi="Times New Roman" w:cs="Times New Roman"/>
          <w:sz w:val="24"/>
          <w:szCs w:val="24"/>
        </w:rPr>
        <w:t>electrocatalysis</w:t>
      </w:r>
      <w:proofErr w:type="spellEnd"/>
      <w:r w:rsidR="00681FF2" w:rsidRPr="00681FF2">
        <w:rPr>
          <w:rFonts w:ascii="Times New Roman" w:eastAsia="等线" w:hAnsi="Times New Roman" w:cs="Times New Roman"/>
          <w:sz w:val="24"/>
          <w:szCs w:val="24"/>
        </w:rPr>
        <w:t xml:space="preserve"> for the oxygen reduction reaction</w:t>
      </w:r>
      <w:r w:rsidR="00681FF2">
        <w:rPr>
          <w:rFonts w:ascii="Times New Roman" w:eastAsia="等线" w:hAnsi="Times New Roman" w:cs="Times New Roman"/>
          <w:sz w:val="24"/>
          <w:szCs w:val="24"/>
        </w:rPr>
        <w:t xml:space="preserve">. </w:t>
      </w:r>
      <w:proofErr w:type="spellStart"/>
      <w:r w:rsidR="00681FF2">
        <w:rPr>
          <w:rFonts w:ascii="Times New Roman" w:eastAsia="等线" w:hAnsi="Times New Roman" w:cs="Times New Roman"/>
          <w:sz w:val="24"/>
          <w:szCs w:val="24"/>
        </w:rPr>
        <w:t>Angew</w:t>
      </w:r>
      <w:proofErr w:type="spellEnd"/>
      <w:r w:rsidR="00681FF2">
        <w:rPr>
          <w:rFonts w:ascii="Times New Roman" w:eastAsia="等线" w:hAnsi="Times New Roman" w:cs="Times New Roman"/>
          <w:sz w:val="24"/>
          <w:szCs w:val="24"/>
        </w:rPr>
        <w:t>. Chem. Int. Ed.</w:t>
      </w:r>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133</w:t>
      </w:r>
      <w:r w:rsidRPr="007E27DB">
        <w:rPr>
          <w:rFonts w:ascii="Times New Roman" w:eastAsia="等线" w:hAnsi="Times New Roman" w:cs="Times New Roman"/>
          <w:sz w:val="24"/>
          <w:szCs w:val="24"/>
        </w:rPr>
        <w:t>, 8553-8557</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2021</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67" w:history="1">
        <w:r w:rsidR="00681FF2" w:rsidRPr="00541C05">
          <w:rPr>
            <w:rStyle w:val="aa"/>
            <w:rFonts w:ascii="Times New Roman" w:eastAsia="等线" w:hAnsi="Times New Roman" w:cs="Times New Roman"/>
            <w:sz w:val="24"/>
            <w:szCs w:val="24"/>
          </w:rPr>
          <w:t>https://doi.org/10.1002/ange.202016024</w:t>
        </w:r>
      </w:hyperlink>
      <w:r w:rsidR="00681FF2">
        <w:rPr>
          <w:rFonts w:ascii="Times New Roman" w:eastAsia="等线" w:hAnsi="Times New Roman" w:cs="Times New Roman"/>
          <w:sz w:val="24"/>
          <w:szCs w:val="24"/>
        </w:rPr>
        <w:t xml:space="preserve"> </w:t>
      </w:r>
    </w:p>
    <w:p w14:paraId="40A760C6"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Y. Chen, W. Zhang, Z. Zhu, L. Zhang, J. Yang</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w:t>
      </w:r>
      <w:r w:rsidR="00681FF2">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Co nanoparticles combined with nitrogen-doped graphitic carbon anchored on carbon fibers as a self-standing air electrode for flexible zinc–air batteries</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J. Mater. Chem. </w:t>
      </w:r>
      <w:proofErr w:type="gramStart"/>
      <w:r w:rsidRPr="007E27DB">
        <w:rPr>
          <w:rFonts w:ascii="Times New Roman" w:eastAsia="等线" w:hAnsi="Times New Roman" w:cs="Times New Roman"/>
          <w:sz w:val="24"/>
          <w:szCs w:val="24"/>
        </w:rPr>
        <w:t>A</w:t>
      </w:r>
      <w:proofErr w:type="gramEnd"/>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8</w:t>
      </w:r>
      <w:r w:rsidRPr="007E27DB">
        <w:rPr>
          <w:rFonts w:ascii="Times New Roman" w:eastAsia="等线" w:hAnsi="Times New Roman" w:cs="Times New Roman"/>
          <w:sz w:val="24"/>
          <w:szCs w:val="24"/>
        </w:rPr>
        <w:t>, 7184-7191</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2020</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68" w:history="1">
        <w:r w:rsidR="00681FF2" w:rsidRPr="00541C05">
          <w:rPr>
            <w:rStyle w:val="aa"/>
            <w:rFonts w:ascii="Times New Roman" w:eastAsia="等线" w:hAnsi="Times New Roman" w:cs="Times New Roman"/>
            <w:sz w:val="24"/>
            <w:szCs w:val="24"/>
          </w:rPr>
          <w:t>https://doi.org/10.1039/D0TA00793E</w:t>
        </w:r>
      </w:hyperlink>
      <w:r w:rsidR="00681FF2">
        <w:rPr>
          <w:rFonts w:ascii="Times New Roman" w:eastAsia="等线" w:hAnsi="Times New Roman" w:cs="Times New Roman"/>
          <w:sz w:val="24"/>
          <w:szCs w:val="24"/>
        </w:rPr>
        <w:t xml:space="preserve"> </w:t>
      </w:r>
    </w:p>
    <w:p w14:paraId="4DA6D4B2" w14:textId="2E904C42"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lastRenderedPageBreak/>
        <w:t xml:space="preserve">C. Zhang, H. Yang, D. </w:t>
      </w:r>
      <w:proofErr w:type="spellStart"/>
      <w:r w:rsidRPr="007E27DB">
        <w:rPr>
          <w:rFonts w:ascii="Times New Roman" w:eastAsia="等线" w:hAnsi="Times New Roman" w:cs="Times New Roman"/>
          <w:sz w:val="24"/>
          <w:szCs w:val="24"/>
        </w:rPr>
        <w:t>Zhong</w:t>
      </w:r>
      <w:proofErr w:type="spellEnd"/>
      <w:r w:rsidRPr="007E27DB">
        <w:rPr>
          <w:rFonts w:ascii="Times New Roman" w:eastAsia="等线" w:hAnsi="Times New Roman" w:cs="Times New Roman"/>
          <w:sz w:val="24"/>
          <w:szCs w:val="24"/>
        </w:rPr>
        <w:t>, Y. Xu, Y. Wang</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w:t>
      </w:r>
      <w:r w:rsidR="00681FF2">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A yolk–shell structured metal–organic framework with encapsulated iron-porphyrin and its derived bimetallic nitrogen-doped porous carbon for an efficient oxygen reduction reaction</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 xml:space="preserve">J. Mater. Chem. </w:t>
      </w:r>
      <w:proofErr w:type="gramStart"/>
      <w:r w:rsidRPr="007E27DB">
        <w:rPr>
          <w:rFonts w:ascii="Times New Roman" w:eastAsia="等线" w:hAnsi="Times New Roman" w:cs="Times New Roman"/>
          <w:sz w:val="24"/>
          <w:szCs w:val="24"/>
        </w:rPr>
        <w:t>A</w:t>
      </w:r>
      <w:proofErr w:type="gramEnd"/>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8</w:t>
      </w:r>
      <w:r w:rsidRPr="007E27DB">
        <w:rPr>
          <w:rFonts w:ascii="Times New Roman" w:eastAsia="等线" w:hAnsi="Times New Roman" w:cs="Times New Roman"/>
          <w:sz w:val="24"/>
          <w:szCs w:val="24"/>
        </w:rPr>
        <w:t>, 9536-9544</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2020</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69" w:history="1">
        <w:r w:rsidR="00681FF2" w:rsidRPr="00541C05">
          <w:rPr>
            <w:rStyle w:val="aa"/>
            <w:rFonts w:ascii="Times New Roman" w:eastAsia="等线" w:hAnsi="Times New Roman" w:cs="Times New Roman"/>
            <w:sz w:val="24"/>
            <w:szCs w:val="24"/>
          </w:rPr>
          <w:t>https://doi.org/10.1039/D0TA00962H</w:t>
        </w:r>
      </w:hyperlink>
      <w:r w:rsidR="00681FF2">
        <w:rPr>
          <w:rFonts w:ascii="Times New Roman" w:eastAsia="等线" w:hAnsi="Times New Roman" w:cs="Times New Roman"/>
          <w:sz w:val="24"/>
          <w:szCs w:val="24"/>
        </w:rPr>
        <w:t xml:space="preserve"> </w:t>
      </w:r>
    </w:p>
    <w:p w14:paraId="143A9944" w14:textId="589C097A"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J. Li, Z. </w:t>
      </w:r>
      <w:proofErr w:type="spellStart"/>
      <w:r w:rsidRPr="007E27DB">
        <w:rPr>
          <w:rFonts w:ascii="Times New Roman" w:eastAsia="等线" w:hAnsi="Times New Roman" w:cs="Times New Roman"/>
          <w:sz w:val="24"/>
          <w:szCs w:val="24"/>
        </w:rPr>
        <w:t>Meng</w:t>
      </w:r>
      <w:proofErr w:type="spellEnd"/>
      <w:r w:rsidRPr="007E27DB">
        <w:rPr>
          <w:rFonts w:ascii="Times New Roman" w:eastAsia="等线" w:hAnsi="Times New Roman" w:cs="Times New Roman"/>
          <w:sz w:val="24"/>
          <w:szCs w:val="24"/>
        </w:rPr>
        <w:t xml:space="preserve">, D.J.L. Brett, P.R. Shearing, N.T. Skipper et al., High-performance zinc–air batteries with scalable metal–organic frameworks and platinum carbon black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catalysts. ACS Appl. Mater. Interfaces </w:t>
      </w:r>
      <w:r w:rsidRPr="007E27DB">
        <w:rPr>
          <w:rFonts w:ascii="Times New Roman" w:eastAsia="等线" w:hAnsi="Times New Roman" w:cs="Times New Roman"/>
          <w:b/>
          <w:sz w:val="24"/>
          <w:szCs w:val="24"/>
        </w:rPr>
        <w:t>12</w:t>
      </w:r>
      <w:r w:rsidRPr="007E27DB">
        <w:rPr>
          <w:rFonts w:ascii="Times New Roman" w:eastAsia="等线" w:hAnsi="Times New Roman" w:cs="Times New Roman"/>
          <w:sz w:val="24"/>
          <w:szCs w:val="24"/>
        </w:rPr>
        <w:t xml:space="preserve">(38), 42696–42703 (2020). </w:t>
      </w:r>
      <w:hyperlink r:id="rId70" w:history="1">
        <w:r w:rsidR="00681FF2" w:rsidRPr="00541C05">
          <w:rPr>
            <w:rStyle w:val="aa"/>
            <w:rFonts w:ascii="Times New Roman" w:eastAsia="等线" w:hAnsi="Times New Roman" w:cs="Times New Roman"/>
            <w:sz w:val="24"/>
            <w:szCs w:val="24"/>
          </w:rPr>
          <w:t>https://doi.org/10.1021/acsami.0c10151</w:t>
        </w:r>
      </w:hyperlink>
      <w:r w:rsidR="00681FF2">
        <w:rPr>
          <w:rFonts w:ascii="Times New Roman" w:eastAsia="等线" w:hAnsi="Times New Roman" w:cs="Times New Roman"/>
          <w:sz w:val="24"/>
          <w:szCs w:val="24"/>
        </w:rPr>
        <w:t xml:space="preserve"> </w:t>
      </w:r>
    </w:p>
    <w:p w14:paraId="61FEBBD0"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C. </w:t>
      </w:r>
      <w:proofErr w:type="spellStart"/>
      <w:r w:rsidRPr="007E27DB">
        <w:rPr>
          <w:rFonts w:ascii="Times New Roman" w:eastAsia="等线" w:hAnsi="Times New Roman" w:cs="Times New Roman"/>
          <w:sz w:val="24"/>
          <w:szCs w:val="24"/>
        </w:rPr>
        <w:t>Tomon</w:t>
      </w:r>
      <w:proofErr w:type="spellEnd"/>
      <w:r w:rsidRPr="007E27DB">
        <w:rPr>
          <w:rFonts w:ascii="Times New Roman" w:eastAsia="等线" w:hAnsi="Times New Roman" w:cs="Times New Roman"/>
          <w:sz w:val="24"/>
          <w:szCs w:val="24"/>
        </w:rPr>
        <w:t xml:space="preserve">, S. </w:t>
      </w:r>
      <w:proofErr w:type="spellStart"/>
      <w:r w:rsidRPr="007E27DB">
        <w:rPr>
          <w:rFonts w:ascii="Times New Roman" w:eastAsia="等线" w:hAnsi="Times New Roman" w:cs="Times New Roman"/>
          <w:sz w:val="24"/>
          <w:szCs w:val="24"/>
        </w:rPr>
        <w:t>Sarawutanukul</w:t>
      </w:r>
      <w:proofErr w:type="spellEnd"/>
      <w:r w:rsidRPr="007E27DB">
        <w:rPr>
          <w:rFonts w:ascii="Times New Roman" w:eastAsia="等线" w:hAnsi="Times New Roman" w:cs="Times New Roman"/>
          <w:sz w:val="24"/>
          <w:szCs w:val="24"/>
        </w:rPr>
        <w:t xml:space="preserve">, S. </w:t>
      </w:r>
      <w:proofErr w:type="spellStart"/>
      <w:r w:rsidRPr="007E27DB">
        <w:rPr>
          <w:rFonts w:ascii="Times New Roman" w:eastAsia="等线" w:hAnsi="Times New Roman" w:cs="Times New Roman"/>
          <w:sz w:val="24"/>
          <w:szCs w:val="24"/>
        </w:rPr>
        <w:t>Duangdangchote</w:t>
      </w:r>
      <w:proofErr w:type="spellEnd"/>
      <w:r w:rsidRPr="007E27DB">
        <w:rPr>
          <w:rFonts w:ascii="Times New Roman" w:eastAsia="等线" w:hAnsi="Times New Roman" w:cs="Times New Roman"/>
          <w:sz w:val="24"/>
          <w:szCs w:val="24"/>
        </w:rPr>
        <w:t xml:space="preserve">, A. </w:t>
      </w:r>
      <w:proofErr w:type="spellStart"/>
      <w:r w:rsidRPr="007E27DB">
        <w:rPr>
          <w:rFonts w:ascii="Times New Roman" w:eastAsia="等线" w:hAnsi="Times New Roman" w:cs="Times New Roman"/>
          <w:sz w:val="24"/>
          <w:szCs w:val="24"/>
        </w:rPr>
        <w:t>Krittayavathananon</w:t>
      </w:r>
      <w:proofErr w:type="spellEnd"/>
      <w:r w:rsidRPr="007E27DB">
        <w:rPr>
          <w:rFonts w:ascii="Times New Roman" w:eastAsia="等线" w:hAnsi="Times New Roman" w:cs="Times New Roman"/>
          <w:sz w:val="24"/>
          <w:szCs w:val="24"/>
        </w:rPr>
        <w:t xml:space="preserve">, M. </w:t>
      </w:r>
      <w:proofErr w:type="spellStart"/>
      <w:r w:rsidRPr="007E27DB">
        <w:rPr>
          <w:rFonts w:ascii="Times New Roman" w:eastAsia="等线" w:hAnsi="Times New Roman" w:cs="Times New Roman"/>
          <w:sz w:val="24"/>
          <w:szCs w:val="24"/>
        </w:rPr>
        <w:t>Sawangphruk</w:t>
      </w:r>
      <w:proofErr w:type="spellEnd"/>
      <w:r w:rsidRPr="007E27DB">
        <w:rPr>
          <w:rFonts w:ascii="Times New Roman" w:eastAsia="等线" w:hAnsi="Times New Roman" w:cs="Times New Roman"/>
          <w:sz w:val="24"/>
          <w:szCs w:val="24"/>
        </w:rPr>
        <w:t xml:space="preserve">, Photoactive Zn–air batteries using spinel-type cobalt oxide as a </w:t>
      </w:r>
      <w:proofErr w:type="spellStart"/>
      <w:r w:rsidRPr="007E27DB">
        <w:rPr>
          <w:rFonts w:ascii="Times New Roman" w:eastAsia="等线" w:hAnsi="Times New Roman" w:cs="Times New Roman"/>
          <w:sz w:val="24"/>
          <w:szCs w:val="24"/>
        </w:rPr>
        <w:t>bifunctional</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photocatalyst</w:t>
      </w:r>
      <w:proofErr w:type="spellEnd"/>
      <w:r w:rsidRPr="007E27DB">
        <w:rPr>
          <w:rFonts w:ascii="Times New Roman" w:eastAsia="等线" w:hAnsi="Times New Roman" w:cs="Times New Roman"/>
          <w:sz w:val="24"/>
          <w:szCs w:val="24"/>
        </w:rPr>
        <w:t xml:space="preserve"> at the air cathode. Chem. </w:t>
      </w:r>
      <w:proofErr w:type="spellStart"/>
      <w:r w:rsidRPr="007E27DB">
        <w:rPr>
          <w:rFonts w:ascii="Times New Roman" w:eastAsia="等线" w:hAnsi="Times New Roman" w:cs="Times New Roman"/>
          <w:sz w:val="24"/>
          <w:szCs w:val="24"/>
        </w:rPr>
        <w:t>Commun</w:t>
      </w:r>
      <w:proofErr w:type="spellEnd"/>
      <w:r w:rsidRPr="007E27DB">
        <w:rPr>
          <w:rFonts w:ascii="Times New Roman" w:eastAsia="等线" w:hAnsi="Times New Roman" w:cs="Times New Roman"/>
          <w:sz w:val="24"/>
          <w:szCs w:val="24"/>
        </w:rPr>
        <w:t xml:space="preserve">. </w:t>
      </w:r>
      <w:r w:rsidRPr="007E27DB">
        <w:rPr>
          <w:rFonts w:ascii="Times New Roman" w:eastAsia="等线" w:hAnsi="Times New Roman" w:cs="Times New Roman"/>
          <w:b/>
          <w:sz w:val="24"/>
          <w:szCs w:val="24"/>
        </w:rPr>
        <w:t>55</w:t>
      </w:r>
      <w:r w:rsidRPr="007E27DB">
        <w:rPr>
          <w:rFonts w:ascii="Times New Roman" w:eastAsia="等线" w:hAnsi="Times New Roman" w:cs="Times New Roman"/>
          <w:sz w:val="24"/>
          <w:szCs w:val="24"/>
        </w:rPr>
        <w:t xml:space="preserve">(42), 5855–5858 (2019). </w:t>
      </w:r>
      <w:hyperlink r:id="rId71" w:history="1">
        <w:r w:rsidR="00681FF2" w:rsidRPr="00541C05">
          <w:rPr>
            <w:rStyle w:val="aa"/>
            <w:rFonts w:ascii="Times New Roman" w:eastAsia="等线" w:hAnsi="Times New Roman" w:cs="Times New Roman"/>
            <w:sz w:val="24"/>
            <w:szCs w:val="24"/>
          </w:rPr>
          <w:t>https://doi.org/10.1039/c9cc01876j</w:t>
        </w:r>
      </w:hyperlink>
      <w:r w:rsidR="00681FF2">
        <w:rPr>
          <w:rFonts w:ascii="Times New Roman" w:eastAsia="等线" w:hAnsi="Times New Roman" w:cs="Times New Roman"/>
          <w:sz w:val="24"/>
          <w:szCs w:val="24"/>
        </w:rPr>
        <w:t xml:space="preserve"> </w:t>
      </w:r>
    </w:p>
    <w:p w14:paraId="27168F0F" w14:textId="2BCB1C1F"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T. Wang, Z. Kou, S. Mu, J. Liu, D. He</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 xml:space="preserve">2D dual-metal </w:t>
      </w:r>
      <w:proofErr w:type="spellStart"/>
      <w:r w:rsidR="00681FF2" w:rsidRPr="00681FF2">
        <w:rPr>
          <w:rFonts w:ascii="Times New Roman" w:eastAsia="等线" w:hAnsi="Times New Roman" w:cs="Times New Roman"/>
          <w:sz w:val="24"/>
          <w:szCs w:val="24"/>
        </w:rPr>
        <w:t>zeolitic</w:t>
      </w:r>
      <w:proofErr w:type="spellEnd"/>
      <w:r w:rsidR="00681FF2" w:rsidRPr="00681FF2">
        <w:rPr>
          <w:rFonts w:ascii="Times New Roman" w:eastAsia="等线" w:hAnsi="Times New Roman" w:cs="Times New Roman"/>
          <w:sz w:val="24"/>
          <w:szCs w:val="24"/>
        </w:rPr>
        <w:t>-</w:t>
      </w:r>
      <w:proofErr w:type="spellStart"/>
      <w:r w:rsidR="00681FF2" w:rsidRPr="00681FF2">
        <w:rPr>
          <w:rFonts w:ascii="Times New Roman" w:eastAsia="等线" w:hAnsi="Times New Roman" w:cs="Times New Roman"/>
          <w:sz w:val="24"/>
          <w:szCs w:val="24"/>
        </w:rPr>
        <w:t>imidazolate</w:t>
      </w:r>
      <w:proofErr w:type="spellEnd"/>
      <w:r w:rsidR="00681FF2" w:rsidRPr="00681FF2">
        <w:rPr>
          <w:rFonts w:ascii="Times New Roman" w:eastAsia="等线" w:hAnsi="Times New Roman" w:cs="Times New Roman"/>
          <w:sz w:val="24"/>
          <w:szCs w:val="24"/>
        </w:rPr>
        <w:t xml:space="preserve">-framework-(ZIF)-derived </w:t>
      </w:r>
      <w:proofErr w:type="spellStart"/>
      <w:r w:rsidR="00681FF2" w:rsidRPr="00681FF2">
        <w:rPr>
          <w:rFonts w:ascii="Times New Roman" w:eastAsia="等线" w:hAnsi="Times New Roman" w:cs="Times New Roman"/>
          <w:sz w:val="24"/>
          <w:szCs w:val="24"/>
        </w:rPr>
        <w:t>bifunctional</w:t>
      </w:r>
      <w:proofErr w:type="spellEnd"/>
      <w:r w:rsidR="00681FF2" w:rsidRPr="00681FF2">
        <w:rPr>
          <w:rFonts w:ascii="Times New Roman" w:eastAsia="等线" w:hAnsi="Times New Roman" w:cs="Times New Roman"/>
          <w:sz w:val="24"/>
          <w:szCs w:val="24"/>
        </w:rPr>
        <w:t xml:space="preserve"> air electrodes with ultrahigh electrochemical properties for rechargeable zinc–air batteries</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 xml:space="preserve">Adv. </w:t>
      </w:r>
      <w:proofErr w:type="spellStart"/>
      <w:r w:rsidRPr="007E27DB">
        <w:rPr>
          <w:rFonts w:ascii="Times New Roman" w:eastAsia="等线" w:hAnsi="Times New Roman" w:cs="Times New Roman"/>
          <w:sz w:val="24"/>
          <w:szCs w:val="24"/>
        </w:rPr>
        <w:t>Funct</w:t>
      </w:r>
      <w:proofErr w:type="spellEnd"/>
      <w:r w:rsidRPr="007E27DB">
        <w:rPr>
          <w:rFonts w:ascii="Times New Roman" w:eastAsia="等线" w:hAnsi="Times New Roman" w:cs="Times New Roman"/>
          <w:sz w:val="24"/>
          <w:szCs w:val="24"/>
        </w:rPr>
        <w:t xml:space="preserve">. Mater. </w:t>
      </w:r>
      <w:r w:rsidRPr="007E27DB">
        <w:rPr>
          <w:rFonts w:ascii="Times New Roman" w:eastAsia="等线" w:hAnsi="Times New Roman" w:cs="Times New Roman"/>
          <w:b/>
          <w:sz w:val="24"/>
          <w:szCs w:val="24"/>
        </w:rPr>
        <w:t>28</w:t>
      </w:r>
      <w:r w:rsidRPr="007E27DB">
        <w:rPr>
          <w:rFonts w:ascii="Times New Roman" w:eastAsia="等线" w:hAnsi="Times New Roman" w:cs="Times New Roman"/>
          <w:sz w:val="24"/>
          <w:szCs w:val="24"/>
        </w:rPr>
        <w:t>, 1705048</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2018</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72" w:history="1">
        <w:r w:rsidR="00681FF2" w:rsidRPr="00541C05">
          <w:rPr>
            <w:rStyle w:val="aa"/>
            <w:rFonts w:ascii="Times New Roman" w:eastAsia="等线" w:hAnsi="Times New Roman" w:cs="Times New Roman"/>
            <w:sz w:val="24"/>
            <w:szCs w:val="24"/>
          </w:rPr>
          <w:t>https://doi.org/10.1002/adfm.201705048</w:t>
        </w:r>
      </w:hyperlink>
      <w:r w:rsidR="00681FF2">
        <w:rPr>
          <w:rFonts w:ascii="Times New Roman" w:eastAsia="等线" w:hAnsi="Times New Roman" w:cs="Times New Roman"/>
          <w:sz w:val="24"/>
          <w:szCs w:val="24"/>
        </w:rPr>
        <w:t xml:space="preserve"> </w:t>
      </w:r>
    </w:p>
    <w:p w14:paraId="0D125165"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H. Yang, B. Wang, H. Li, B. Ni, K. Wang et al., </w:t>
      </w:r>
      <w:proofErr w:type="spellStart"/>
      <w:r w:rsidRPr="007E27DB">
        <w:rPr>
          <w:rFonts w:ascii="Times New Roman" w:eastAsia="等线" w:hAnsi="Times New Roman" w:cs="Times New Roman"/>
          <w:sz w:val="24"/>
          <w:szCs w:val="24"/>
        </w:rPr>
        <w:t>Trimetallic</w:t>
      </w:r>
      <w:proofErr w:type="spellEnd"/>
      <w:r w:rsidRPr="007E27DB">
        <w:rPr>
          <w:rFonts w:ascii="Times New Roman" w:eastAsia="等线" w:hAnsi="Times New Roman" w:cs="Times New Roman"/>
          <w:sz w:val="24"/>
          <w:szCs w:val="24"/>
        </w:rPr>
        <w:t xml:space="preserve"> sulfide mesoporous </w:t>
      </w:r>
      <w:proofErr w:type="spellStart"/>
      <w:r w:rsidRPr="007E27DB">
        <w:rPr>
          <w:rFonts w:ascii="Times New Roman" w:eastAsia="等线" w:hAnsi="Times New Roman" w:cs="Times New Roman"/>
          <w:sz w:val="24"/>
          <w:szCs w:val="24"/>
        </w:rPr>
        <w:t>nanospheres</w:t>
      </w:r>
      <w:proofErr w:type="spellEnd"/>
      <w:r w:rsidRPr="007E27DB">
        <w:rPr>
          <w:rFonts w:ascii="Times New Roman" w:eastAsia="等线" w:hAnsi="Times New Roman" w:cs="Times New Roman"/>
          <w:sz w:val="24"/>
          <w:szCs w:val="24"/>
        </w:rPr>
        <w:t xml:space="preserve"> as superior </w:t>
      </w:r>
      <w:proofErr w:type="spellStart"/>
      <w:r w:rsidRPr="007E27DB">
        <w:rPr>
          <w:rFonts w:ascii="Times New Roman" w:eastAsia="等线" w:hAnsi="Times New Roman" w:cs="Times New Roman"/>
          <w:sz w:val="24"/>
          <w:szCs w:val="24"/>
        </w:rPr>
        <w:t>electrocatalysts</w:t>
      </w:r>
      <w:proofErr w:type="spellEnd"/>
      <w:r w:rsidRPr="007E27DB">
        <w:rPr>
          <w:rFonts w:ascii="Times New Roman" w:eastAsia="等线" w:hAnsi="Times New Roman" w:cs="Times New Roman"/>
          <w:sz w:val="24"/>
          <w:szCs w:val="24"/>
        </w:rPr>
        <w:t xml:space="preserve"> for rechargeable Zn–air batteries. Adv. Energy Mater. </w:t>
      </w:r>
      <w:r w:rsidRPr="007E27DB">
        <w:rPr>
          <w:rFonts w:ascii="Times New Roman" w:eastAsia="等线" w:hAnsi="Times New Roman" w:cs="Times New Roman"/>
          <w:b/>
          <w:sz w:val="24"/>
          <w:szCs w:val="24"/>
        </w:rPr>
        <w:t>8</w:t>
      </w:r>
      <w:r w:rsidRPr="007E27DB">
        <w:rPr>
          <w:rFonts w:ascii="Times New Roman" w:eastAsia="等线" w:hAnsi="Times New Roman" w:cs="Times New Roman"/>
          <w:sz w:val="24"/>
          <w:szCs w:val="24"/>
        </w:rPr>
        <w:t xml:space="preserve">(34), 1801839 (2018). </w:t>
      </w:r>
      <w:hyperlink r:id="rId73" w:history="1">
        <w:r w:rsidR="00681FF2" w:rsidRPr="00541C05">
          <w:rPr>
            <w:rStyle w:val="aa"/>
            <w:rFonts w:ascii="Times New Roman" w:eastAsia="等线" w:hAnsi="Times New Roman" w:cs="Times New Roman"/>
            <w:sz w:val="24"/>
            <w:szCs w:val="24"/>
          </w:rPr>
          <w:t>https://doi.org/10.1002/aenm.201801839</w:t>
        </w:r>
      </w:hyperlink>
      <w:r w:rsidR="00681FF2">
        <w:rPr>
          <w:rFonts w:ascii="Times New Roman" w:eastAsia="等线" w:hAnsi="Times New Roman" w:cs="Times New Roman"/>
          <w:sz w:val="24"/>
          <w:szCs w:val="24"/>
        </w:rPr>
        <w:t xml:space="preserve"> </w:t>
      </w:r>
    </w:p>
    <w:p w14:paraId="35937011" w14:textId="3C17DE3B" w:rsidR="007E27DB" w:rsidRPr="007E27DB"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L. An, Z. Zhang, J. Feng, F. </w:t>
      </w:r>
      <w:proofErr w:type="spellStart"/>
      <w:r w:rsidRPr="007E27DB">
        <w:rPr>
          <w:rFonts w:ascii="Times New Roman" w:eastAsia="等线" w:hAnsi="Times New Roman" w:cs="Times New Roman"/>
          <w:sz w:val="24"/>
          <w:szCs w:val="24"/>
        </w:rPr>
        <w:t>Lv</w:t>
      </w:r>
      <w:proofErr w:type="spellEnd"/>
      <w:r w:rsidRPr="007E27DB">
        <w:rPr>
          <w:rFonts w:ascii="Times New Roman" w:eastAsia="等线" w:hAnsi="Times New Roman" w:cs="Times New Roman"/>
          <w:sz w:val="24"/>
          <w:szCs w:val="24"/>
        </w:rPr>
        <w:t>, Y. Li</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 xml:space="preserve">, </w:t>
      </w:r>
      <w:proofErr w:type="spellStart"/>
      <w:r w:rsidR="00681FF2" w:rsidRPr="00681FF2">
        <w:rPr>
          <w:rFonts w:ascii="Times New Roman" w:eastAsia="等线" w:hAnsi="Times New Roman" w:cs="Times New Roman"/>
          <w:sz w:val="24"/>
          <w:szCs w:val="24"/>
        </w:rPr>
        <w:t>Heterostructure</w:t>
      </w:r>
      <w:proofErr w:type="spellEnd"/>
      <w:r w:rsidR="00681FF2" w:rsidRPr="00681FF2">
        <w:rPr>
          <w:rFonts w:ascii="Times New Roman" w:eastAsia="等线" w:hAnsi="Times New Roman" w:cs="Times New Roman"/>
          <w:sz w:val="24"/>
          <w:szCs w:val="24"/>
        </w:rPr>
        <w:t xml:space="preserve">-promoted oxygen </w:t>
      </w:r>
      <w:proofErr w:type="spellStart"/>
      <w:r w:rsidR="00681FF2" w:rsidRPr="00681FF2">
        <w:rPr>
          <w:rFonts w:ascii="Times New Roman" w:eastAsia="等线" w:hAnsi="Times New Roman" w:cs="Times New Roman"/>
          <w:sz w:val="24"/>
          <w:szCs w:val="24"/>
        </w:rPr>
        <w:t>electrocatalysis</w:t>
      </w:r>
      <w:proofErr w:type="spellEnd"/>
      <w:r w:rsidR="00681FF2" w:rsidRPr="00681FF2">
        <w:rPr>
          <w:rFonts w:ascii="Times New Roman" w:eastAsia="等线" w:hAnsi="Times New Roman" w:cs="Times New Roman"/>
          <w:sz w:val="24"/>
          <w:szCs w:val="24"/>
        </w:rPr>
        <w:t xml:space="preserve"> enables rechargeable zinc–air battery with neutral aqueous electrolyte</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 xml:space="preserve">J. Am. Chem. Soc. </w:t>
      </w:r>
      <w:r w:rsidRPr="007E27DB">
        <w:rPr>
          <w:rFonts w:ascii="Times New Roman" w:eastAsia="等线" w:hAnsi="Times New Roman" w:cs="Times New Roman"/>
          <w:b/>
          <w:sz w:val="24"/>
          <w:szCs w:val="24"/>
        </w:rPr>
        <w:t>140</w:t>
      </w:r>
      <w:r w:rsidRPr="007E27DB">
        <w:rPr>
          <w:rFonts w:ascii="Times New Roman" w:eastAsia="等线" w:hAnsi="Times New Roman" w:cs="Times New Roman"/>
          <w:sz w:val="24"/>
          <w:szCs w:val="24"/>
        </w:rPr>
        <w:t>, 17624-17631</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2018</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74" w:history="1">
        <w:r w:rsidR="00681FF2" w:rsidRPr="00541C05">
          <w:rPr>
            <w:rStyle w:val="aa"/>
            <w:rFonts w:ascii="Times New Roman" w:eastAsia="等线" w:hAnsi="Times New Roman" w:cs="Times New Roman"/>
            <w:sz w:val="24"/>
            <w:szCs w:val="24"/>
          </w:rPr>
          <w:t>https://doi.org/10.1021/jacs.8b09805</w:t>
        </w:r>
      </w:hyperlink>
      <w:r w:rsidR="00681FF2">
        <w:rPr>
          <w:rFonts w:ascii="Times New Roman" w:eastAsia="等线" w:hAnsi="Times New Roman" w:cs="Times New Roman"/>
          <w:sz w:val="24"/>
          <w:szCs w:val="24"/>
        </w:rPr>
        <w:t xml:space="preserve"> </w:t>
      </w:r>
    </w:p>
    <w:p w14:paraId="706C4E94" w14:textId="7621AF55"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 xml:space="preserve">Y. Zhao, Q. Lai, J. Zhu, J. </w:t>
      </w:r>
      <w:proofErr w:type="spellStart"/>
      <w:r w:rsidRPr="007E27DB">
        <w:rPr>
          <w:rFonts w:ascii="Times New Roman" w:eastAsia="等线" w:hAnsi="Times New Roman" w:cs="Times New Roman"/>
          <w:sz w:val="24"/>
          <w:szCs w:val="24"/>
        </w:rPr>
        <w:t>Zhong</w:t>
      </w:r>
      <w:proofErr w:type="spellEnd"/>
      <w:r w:rsidRPr="007E27DB">
        <w:rPr>
          <w:rFonts w:ascii="Times New Roman" w:eastAsia="等线" w:hAnsi="Times New Roman" w:cs="Times New Roman"/>
          <w:sz w:val="24"/>
          <w:szCs w:val="24"/>
        </w:rPr>
        <w:t xml:space="preserve">, Z. Tang et al., Controllable construction of core–shell </w:t>
      </w:r>
      <w:proofErr w:type="spellStart"/>
      <w:r w:rsidRPr="007E27DB">
        <w:rPr>
          <w:rFonts w:ascii="Times New Roman" w:eastAsia="等线" w:hAnsi="Times New Roman" w:cs="Times New Roman"/>
          <w:sz w:val="24"/>
          <w:szCs w:val="24"/>
        </w:rPr>
        <w:t>Polymer@Zeolitic</w:t>
      </w:r>
      <w:proofErr w:type="spellEnd"/>
      <w:r w:rsidRPr="007E27DB">
        <w:rPr>
          <w:rFonts w:ascii="Times New Roman" w:eastAsia="等线" w:hAnsi="Times New Roman" w:cs="Times New Roman"/>
          <w:sz w:val="24"/>
          <w:szCs w:val="24"/>
        </w:rPr>
        <w:t xml:space="preserve"> </w:t>
      </w:r>
      <w:proofErr w:type="spellStart"/>
      <w:r w:rsidRPr="007E27DB">
        <w:rPr>
          <w:rFonts w:ascii="Times New Roman" w:eastAsia="等线" w:hAnsi="Times New Roman" w:cs="Times New Roman"/>
          <w:sz w:val="24"/>
          <w:szCs w:val="24"/>
        </w:rPr>
        <w:t>imidazolate</w:t>
      </w:r>
      <w:proofErr w:type="spellEnd"/>
      <w:r w:rsidRPr="007E27DB">
        <w:rPr>
          <w:rFonts w:ascii="Times New Roman" w:eastAsia="等线" w:hAnsi="Times New Roman" w:cs="Times New Roman"/>
          <w:sz w:val="24"/>
          <w:szCs w:val="24"/>
        </w:rPr>
        <w:t xml:space="preserve"> frameworks fiber derived heteroatom-doped carbon nanofiber network for efficient oxygen </w:t>
      </w:r>
      <w:proofErr w:type="spellStart"/>
      <w:r w:rsidRPr="007E27DB">
        <w:rPr>
          <w:rFonts w:ascii="Times New Roman" w:eastAsia="等线" w:hAnsi="Times New Roman" w:cs="Times New Roman"/>
          <w:sz w:val="24"/>
          <w:szCs w:val="24"/>
        </w:rPr>
        <w:t>electrocatalysis</w:t>
      </w:r>
      <w:proofErr w:type="spellEnd"/>
      <w:r w:rsidRPr="007E27DB">
        <w:rPr>
          <w:rFonts w:ascii="Times New Roman" w:eastAsia="等线" w:hAnsi="Times New Roman" w:cs="Times New Roman"/>
          <w:sz w:val="24"/>
          <w:szCs w:val="24"/>
        </w:rPr>
        <w:t xml:space="preserve">. Small </w:t>
      </w:r>
      <w:r w:rsidRPr="007E27DB">
        <w:rPr>
          <w:rFonts w:ascii="Times New Roman" w:eastAsia="等线" w:hAnsi="Times New Roman" w:cs="Times New Roman"/>
          <w:b/>
          <w:sz w:val="24"/>
          <w:szCs w:val="24"/>
        </w:rPr>
        <w:t>14</w:t>
      </w:r>
      <w:r w:rsidRPr="007E27DB">
        <w:rPr>
          <w:rFonts w:ascii="Times New Roman" w:eastAsia="等线" w:hAnsi="Times New Roman" w:cs="Times New Roman"/>
          <w:sz w:val="24"/>
          <w:szCs w:val="24"/>
        </w:rPr>
        <w:t xml:space="preserve">(19), 1704207 (2018). </w:t>
      </w:r>
      <w:hyperlink r:id="rId75" w:history="1">
        <w:r w:rsidR="00681FF2" w:rsidRPr="00541C05">
          <w:rPr>
            <w:rStyle w:val="aa"/>
            <w:rFonts w:ascii="Times New Roman" w:eastAsia="等线" w:hAnsi="Times New Roman" w:cs="Times New Roman"/>
            <w:sz w:val="24"/>
            <w:szCs w:val="24"/>
          </w:rPr>
          <w:t>https://doi.org/10.1002/smll.201704207</w:t>
        </w:r>
      </w:hyperlink>
    </w:p>
    <w:p w14:paraId="714F4558" w14:textId="7C67F4A5"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7E27DB">
        <w:rPr>
          <w:rFonts w:ascii="Times New Roman" w:eastAsia="等线" w:hAnsi="Times New Roman" w:cs="Times New Roman"/>
          <w:sz w:val="24"/>
          <w:szCs w:val="24"/>
        </w:rPr>
        <w:t>Y. Qian, Z. Hu, X. Ge, S. Yang, Y. Peng</w:t>
      </w:r>
      <w:r w:rsidR="00681FF2">
        <w:rPr>
          <w:rFonts w:ascii="Times New Roman" w:eastAsia="等线" w:hAnsi="Times New Roman" w:cs="Times New Roman"/>
          <w:sz w:val="24"/>
          <w:szCs w:val="24"/>
        </w:rPr>
        <w:t xml:space="preserve"> et al.,</w:t>
      </w:r>
      <w:r w:rsidRPr="007E27DB">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 xml:space="preserve">A metal-free ORR/OER </w:t>
      </w:r>
      <w:proofErr w:type="spellStart"/>
      <w:r w:rsidR="00681FF2" w:rsidRPr="00681FF2">
        <w:rPr>
          <w:rFonts w:ascii="Times New Roman" w:eastAsia="等线" w:hAnsi="Times New Roman" w:cs="Times New Roman"/>
          <w:sz w:val="24"/>
          <w:szCs w:val="24"/>
        </w:rPr>
        <w:t>bifunctional</w:t>
      </w:r>
      <w:proofErr w:type="spellEnd"/>
      <w:r w:rsidR="00681FF2" w:rsidRPr="00681FF2">
        <w:rPr>
          <w:rFonts w:ascii="Times New Roman" w:eastAsia="等线" w:hAnsi="Times New Roman" w:cs="Times New Roman"/>
          <w:sz w:val="24"/>
          <w:szCs w:val="24"/>
        </w:rPr>
        <w:t xml:space="preserve"> </w:t>
      </w:r>
      <w:proofErr w:type="spellStart"/>
      <w:r w:rsidR="00681FF2" w:rsidRPr="00681FF2">
        <w:rPr>
          <w:rFonts w:ascii="Times New Roman" w:eastAsia="等线" w:hAnsi="Times New Roman" w:cs="Times New Roman"/>
          <w:sz w:val="24"/>
          <w:szCs w:val="24"/>
        </w:rPr>
        <w:t>electrocatalyst</w:t>
      </w:r>
      <w:proofErr w:type="spellEnd"/>
      <w:r w:rsidR="00681FF2" w:rsidRPr="00681FF2">
        <w:rPr>
          <w:rFonts w:ascii="Times New Roman" w:eastAsia="等线" w:hAnsi="Times New Roman" w:cs="Times New Roman"/>
          <w:sz w:val="24"/>
          <w:szCs w:val="24"/>
        </w:rPr>
        <w:t xml:space="preserve"> derived from metal-organic frameworks for rechargeable Zn-Air batteries</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 xml:space="preserve">Carbon </w:t>
      </w:r>
      <w:r w:rsidRPr="007E27DB">
        <w:rPr>
          <w:rFonts w:ascii="Times New Roman" w:eastAsia="等线" w:hAnsi="Times New Roman" w:cs="Times New Roman"/>
          <w:b/>
          <w:sz w:val="24"/>
          <w:szCs w:val="24"/>
        </w:rPr>
        <w:t>111</w:t>
      </w:r>
      <w:r w:rsidRPr="007E27DB">
        <w:rPr>
          <w:rFonts w:ascii="Times New Roman" w:eastAsia="等线" w:hAnsi="Times New Roman" w:cs="Times New Roman"/>
          <w:sz w:val="24"/>
          <w:szCs w:val="24"/>
        </w:rPr>
        <w:t>, 641-650</w:t>
      </w:r>
      <w:r w:rsidR="00681FF2">
        <w:rPr>
          <w:rFonts w:ascii="Times New Roman" w:eastAsia="等线" w:hAnsi="Times New Roman" w:cs="Times New Roman"/>
          <w:sz w:val="24"/>
          <w:szCs w:val="24"/>
        </w:rPr>
        <w:t xml:space="preserve"> (</w:t>
      </w:r>
      <w:r w:rsidRPr="007E27DB">
        <w:rPr>
          <w:rFonts w:ascii="Times New Roman" w:eastAsia="等线" w:hAnsi="Times New Roman" w:cs="Times New Roman"/>
          <w:sz w:val="24"/>
          <w:szCs w:val="24"/>
        </w:rPr>
        <w:t>2017</w:t>
      </w:r>
      <w:r w:rsidR="00681FF2">
        <w:rPr>
          <w:rFonts w:ascii="Times New Roman" w:eastAsia="等线" w:hAnsi="Times New Roman" w:cs="Times New Roman"/>
          <w:sz w:val="24"/>
          <w:szCs w:val="24"/>
        </w:rPr>
        <w:t>)</w:t>
      </w:r>
      <w:r w:rsidRPr="007E27DB">
        <w:rPr>
          <w:rFonts w:ascii="Times New Roman" w:eastAsia="等线" w:hAnsi="Times New Roman" w:cs="Times New Roman"/>
          <w:sz w:val="24"/>
          <w:szCs w:val="24"/>
        </w:rPr>
        <w:t xml:space="preserve">. </w:t>
      </w:r>
      <w:hyperlink r:id="rId76" w:history="1">
        <w:r w:rsidR="00681FF2" w:rsidRPr="00541C05">
          <w:rPr>
            <w:rStyle w:val="aa"/>
            <w:rFonts w:ascii="Times New Roman" w:eastAsia="等线" w:hAnsi="Times New Roman" w:cs="Times New Roman"/>
            <w:sz w:val="24"/>
            <w:szCs w:val="24"/>
          </w:rPr>
          <w:t>https://doi.org/10.1016/j.carbon.2016.10.046</w:t>
        </w:r>
      </w:hyperlink>
    </w:p>
    <w:p w14:paraId="7AC87ED2" w14:textId="77777777" w:rsidR="00681FF2" w:rsidRDefault="007E27DB" w:rsidP="00542F7A">
      <w:pPr>
        <w:numPr>
          <w:ilvl w:val="0"/>
          <w:numId w:val="1"/>
        </w:numPr>
        <w:spacing w:before="120"/>
        <w:ind w:left="0" w:hanging="567"/>
        <w:rPr>
          <w:rFonts w:ascii="Times New Roman" w:eastAsia="等线" w:hAnsi="Times New Roman" w:cs="Times New Roman"/>
          <w:sz w:val="24"/>
          <w:szCs w:val="24"/>
        </w:rPr>
      </w:pPr>
      <w:r w:rsidRPr="00681FF2">
        <w:rPr>
          <w:rFonts w:ascii="Times New Roman" w:eastAsia="等线" w:hAnsi="Times New Roman" w:cs="Times New Roman"/>
          <w:sz w:val="24"/>
          <w:szCs w:val="24"/>
        </w:rPr>
        <w:t xml:space="preserve">J. Di, J. </w:t>
      </w:r>
      <w:proofErr w:type="spellStart"/>
      <w:r w:rsidRPr="00681FF2">
        <w:rPr>
          <w:rFonts w:ascii="Times New Roman" w:eastAsia="等线" w:hAnsi="Times New Roman" w:cs="Times New Roman"/>
          <w:sz w:val="24"/>
          <w:szCs w:val="24"/>
        </w:rPr>
        <w:t>Guo</w:t>
      </w:r>
      <w:proofErr w:type="spellEnd"/>
      <w:r w:rsidRPr="00681FF2">
        <w:rPr>
          <w:rFonts w:ascii="Times New Roman" w:eastAsia="等线" w:hAnsi="Times New Roman" w:cs="Times New Roman"/>
          <w:sz w:val="24"/>
          <w:szCs w:val="24"/>
        </w:rPr>
        <w:t xml:space="preserve">, N. Wang, G. Ma, Multicomponent doped sugar-coated haws stick-like nanofibers as efficient oxygen reduction reaction catalysts for the Zn–air battery. ACS Sustainable Chem. Eng. </w:t>
      </w:r>
      <w:r w:rsidRPr="00681FF2">
        <w:rPr>
          <w:rFonts w:ascii="Times New Roman" w:eastAsia="等线" w:hAnsi="Times New Roman" w:cs="Times New Roman"/>
          <w:b/>
          <w:sz w:val="24"/>
          <w:szCs w:val="24"/>
        </w:rPr>
        <w:t>7</w:t>
      </w:r>
      <w:r w:rsidRPr="00681FF2">
        <w:rPr>
          <w:rFonts w:ascii="Times New Roman" w:eastAsia="等线" w:hAnsi="Times New Roman" w:cs="Times New Roman"/>
          <w:sz w:val="24"/>
          <w:szCs w:val="24"/>
        </w:rPr>
        <w:t xml:space="preserve">(8), 7716–7727 (2019). </w:t>
      </w:r>
      <w:hyperlink r:id="rId77" w:history="1">
        <w:r w:rsidR="00681FF2" w:rsidRPr="00541C05">
          <w:rPr>
            <w:rStyle w:val="aa"/>
            <w:rFonts w:ascii="Times New Roman" w:eastAsia="等线" w:hAnsi="Times New Roman" w:cs="Times New Roman"/>
            <w:sz w:val="24"/>
            <w:szCs w:val="24"/>
          </w:rPr>
          <w:t>https://doi.org/10.1021/acssuschemeng.8b06447</w:t>
        </w:r>
      </w:hyperlink>
      <w:r w:rsidR="00681FF2">
        <w:rPr>
          <w:rFonts w:ascii="Times New Roman" w:eastAsia="等线" w:hAnsi="Times New Roman" w:cs="Times New Roman"/>
          <w:sz w:val="24"/>
          <w:szCs w:val="24"/>
        </w:rPr>
        <w:t xml:space="preserve"> </w:t>
      </w:r>
    </w:p>
    <w:p w14:paraId="39066222" w14:textId="66096FC1" w:rsidR="007E27DB" w:rsidRPr="00681FF2" w:rsidRDefault="007E27DB" w:rsidP="00542F7A">
      <w:pPr>
        <w:numPr>
          <w:ilvl w:val="0"/>
          <w:numId w:val="1"/>
        </w:numPr>
        <w:spacing w:before="120"/>
        <w:ind w:left="0" w:hanging="567"/>
        <w:rPr>
          <w:rFonts w:ascii="Times New Roman" w:eastAsia="等线" w:hAnsi="Times New Roman" w:cs="Times New Roman"/>
          <w:sz w:val="24"/>
          <w:szCs w:val="24"/>
        </w:rPr>
      </w:pPr>
      <w:r w:rsidRPr="00681FF2">
        <w:rPr>
          <w:rFonts w:ascii="Times New Roman" w:eastAsia="等线" w:hAnsi="Times New Roman" w:cs="Times New Roman"/>
          <w:sz w:val="24"/>
          <w:szCs w:val="24"/>
        </w:rPr>
        <w:t xml:space="preserve">C. </w:t>
      </w:r>
      <w:proofErr w:type="spellStart"/>
      <w:r w:rsidRPr="00681FF2">
        <w:rPr>
          <w:rFonts w:ascii="Times New Roman" w:eastAsia="等线" w:hAnsi="Times New Roman" w:cs="Times New Roman"/>
          <w:sz w:val="24"/>
          <w:szCs w:val="24"/>
        </w:rPr>
        <w:t>Hou</w:t>
      </w:r>
      <w:proofErr w:type="spellEnd"/>
      <w:r w:rsidRPr="00681FF2">
        <w:rPr>
          <w:rFonts w:ascii="Times New Roman" w:eastAsia="等线" w:hAnsi="Times New Roman" w:cs="Times New Roman"/>
          <w:sz w:val="24"/>
          <w:szCs w:val="24"/>
        </w:rPr>
        <w:t xml:space="preserve">, L. Zou, </w:t>
      </w:r>
      <w:proofErr w:type="gramStart"/>
      <w:r w:rsidRPr="00681FF2">
        <w:rPr>
          <w:rFonts w:ascii="Times New Roman" w:eastAsia="等线" w:hAnsi="Times New Roman" w:cs="Times New Roman"/>
          <w:sz w:val="24"/>
          <w:szCs w:val="24"/>
        </w:rPr>
        <w:t>Q</w:t>
      </w:r>
      <w:proofErr w:type="gramEnd"/>
      <w:r w:rsidRPr="00681FF2">
        <w:rPr>
          <w:rFonts w:ascii="Times New Roman" w:eastAsia="等线" w:hAnsi="Times New Roman" w:cs="Times New Roman"/>
          <w:sz w:val="24"/>
          <w:szCs w:val="24"/>
        </w:rPr>
        <w:t xml:space="preserve">. Xu, </w:t>
      </w:r>
      <w:r w:rsidR="00681FF2" w:rsidRPr="00681FF2">
        <w:rPr>
          <w:rFonts w:ascii="Times New Roman" w:eastAsia="等线" w:hAnsi="Times New Roman" w:cs="Times New Roman"/>
          <w:sz w:val="24"/>
          <w:szCs w:val="24"/>
        </w:rPr>
        <w:t>Hierarchical superstructures: a hydrangea-like superstructure of open carbon cages with hierarchical porosity and highly active metal sites</w:t>
      </w:r>
      <w:r w:rsidR="00681FF2">
        <w:rPr>
          <w:rFonts w:ascii="Times New Roman" w:eastAsia="等线" w:hAnsi="Times New Roman" w:cs="Times New Roman"/>
          <w:sz w:val="24"/>
          <w:szCs w:val="24"/>
        </w:rPr>
        <w:t xml:space="preserve">. Adv. Mater. </w:t>
      </w:r>
      <w:r w:rsidRPr="00681FF2">
        <w:rPr>
          <w:rFonts w:ascii="Times New Roman" w:eastAsia="等线" w:hAnsi="Times New Roman" w:cs="Times New Roman"/>
          <w:b/>
          <w:sz w:val="24"/>
          <w:szCs w:val="24"/>
        </w:rPr>
        <w:t>31</w:t>
      </w:r>
      <w:r w:rsidRPr="00681FF2">
        <w:rPr>
          <w:rFonts w:ascii="Times New Roman" w:eastAsia="等线" w:hAnsi="Times New Roman" w:cs="Times New Roman"/>
          <w:sz w:val="24"/>
          <w:szCs w:val="24"/>
        </w:rPr>
        <w:t>, 1904689</w:t>
      </w:r>
      <w:r w:rsidR="00681FF2">
        <w:rPr>
          <w:rFonts w:ascii="Times New Roman" w:eastAsia="等线" w:hAnsi="Times New Roman" w:cs="Times New Roman"/>
          <w:sz w:val="24"/>
          <w:szCs w:val="24"/>
        </w:rPr>
        <w:t xml:space="preserve"> (</w:t>
      </w:r>
      <w:r w:rsidR="00681FF2" w:rsidRPr="00681FF2">
        <w:rPr>
          <w:rFonts w:ascii="Times New Roman" w:eastAsia="等线" w:hAnsi="Times New Roman" w:cs="Times New Roman"/>
          <w:sz w:val="24"/>
          <w:szCs w:val="24"/>
        </w:rPr>
        <w:t>2019</w:t>
      </w:r>
      <w:r w:rsidR="00681FF2">
        <w:rPr>
          <w:rFonts w:ascii="Times New Roman" w:eastAsia="等线" w:hAnsi="Times New Roman" w:cs="Times New Roman"/>
          <w:sz w:val="24"/>
          <w:szCs w:val="24"/>
        </w:rPr>
        <w:t>)</w:t>
      </w:r>
      <w:r w:rsidRPr="00681FF2">
        <w:rPr>
          <w:rFonts w:ascii="Times New Roman" w:eastAsia="等线" w:hAnsi="Times New Roman" w:cs="Times New Roman"/>
          <w:sz w:val="24"/>
          <w:szCs w:val="24"/>
        </w:rPr>
        <w:t xml:space="preserve">. </w:t>
      </w:r>
      <w:hyperlink r:id="rId78" w:history="1">
        <w:r w:rsidR="00681FF2" w:rsidRPr="00541C05">
          <w:rPr>
            <w:rStyle w:val="aa"/>
            <w:rFonts w:ascii="Times New Roman" w:eastAsia="等线" w:hAnsi="Times New Roman" w:cs="Times New Roman"/>
            <w:sz w:val="24"/>
            <w:szCs w:val="24"/>
          </w:rPr>
          <w:t>https://doi.org/10.1002/adma.201970327</w:t>
        </w:r>
      </w:hyperlink>
      <w:r w:rsidR="00681FF2">
        <w:rPr>
          <w:rFonts w:ascii="Times New Roman" w:eastAsia="等线" w:hAnsi="Times New Roman" w:cs="Times New Roman"/>
          <w:sz w:val="24"/>
          <w:szCs w:val="24"/>
        </w:rPr>
        <w:t xml:space="preserve"> </w:t>
      </w:r>
    </w:p>
    <w:p w14:paraId="661F4EC1" w14:textId="77777777" w:rsidR="006D6F60" w:rsidRPr="007C2F85" w:rsidRDefault="006D6F60" w:rsidP="00414787">
      <w:pPr>
        <w:rPr>
          <w:rFonts w:ascii="Times New Roman" w:hAnsi="Times New Roman" w:cs="Times New Roman"/>
          <w:sz w:val="24"/>
          <w:szCs w:val="24"/>
        </w:rPr>
      </w:pPr>
    </w:p>
    <w:sectPr w:rsidR="006D6F60" w:rsidRPr="007C2F85">
      <w:headerReference w:type="default" r:id="rId79"/>
      <w:footerReference w:type="default" r:id="rId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E59C56" w14:textId="77777777" w:rsidR="00334E1B" w:rsidRDefault="00334E1B" w:rsidP="007C2F85">
      <w:r>
        <w:separator/>
      </w:r>
    </w:p>
  </w:endnote>
  <w:endnote w:type="continuationSeparator" w:id="0">
    <w:p w14:paraId="7C971202" w14:textId="77777777" w:rsidR="00334E1B" w:rsidRDefault="00334E1B" w:rsidP="007C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B0283" w14:textId="7B4D6EDF" w:rsidR="00F70614" w:rsidRPr="00F70614" w:rsidRDefault="00F70614" w:rsidP="00F70614">
    <w:pPr>
      <w:pStyle w:val="a4"/>
      <w:jc w:val="center"/>
      <w:rPr>
        <w:rFonts w:ascii="Times New Roman" w:hAnsi="Times New Roman" w:cs="Times New Roman" w:hint="eastAsia"/>
        <w:sz w:val="21"/>
        <w:szCs w:val="21"/>
      </w:rPr>
    </w:pPr>
    <w:r w:rsidRPr="00F70614">
      <w:rPr>
        <w:rFonts w:ascii="Times New Roman" w:hAnsi="Times New Roman" w:cs="Times New Roman"/>
        <w:sz w:val="21"/>
        <w:szCs w:val="21"/>
      </w:rPr>
      <w:t>S</w:t>
    </w:r>
    <w:sdt>
      <w:sdtPr>
        <w:rPr>
          <w:rFonts w:ascii="Times New Roman" w:hAnsi="Times New Roman" w:cs="Times New Roman"/>
          <w:sz w:val="21"/>
          <w:szCs w:val="21"/>
        </w:rPr>
        <w:id w:val="1681237468"/>
        <w:docPartObj>
          <w:docPartGallery w:val="Page Numbers (Bottom of Page)"/>
          <w:docPartUnique/>
        </w:docPartObj>
      </w:sdtPr>
      <w:sdtContent>
        <w:r w:rsidRPr="00F70614">
          <w:rPr>
            <w:rFonts w:ascii="Times New Roman" w:hAnsi="Times New Roman" w:cs="Times New Roman"/>
            <w:sz w:val="21"/>
            <w:szCs w:val="21"/>
          </w:rPr>
          <w:fldChar w:fldCharType="begin"/>
        </w:r>
        <w:r w:rsidRPr="00F70614">
          <w:rPr>
            <w:rFonts w:ascii="Times New Roman" w:hAnsi="Times New Roman" w:cs="Times New Roman"/>
            <w:sz w:val="21"/>
            <w:szCs w:val="21"/>
          </w:rPr>
          <w:instrText>PAGE   \* MERGEFORMAT</w:instrText>
        </w:r>
        <w:r w:rsidRPr="00F70614">
          <w:rPr>
            <w:rFonts w:ascii="Times New Roman" w:hAnsi="Times New Roman" w:cs="Times New Roman"/>
            <w:sz w:val="21"/>
            <w:szCs w:val="21"/>
          </w:rPr>
          <w:fldChar w:fldCharType="separate"/>
        </w:r>
        <w:r w:rsidR="00C60F6D" w:rsidRPr="00C60F6D">
          <w:rPr>
            <w:rFonts w:ascii="Times New Roman" w:hAnsi="Times New Roman" w:cs="Times New Roman"/>
            <w:noProof/>
            <w:sz w:val="21"/>
            <w:szCs w:val="21"/>
            <w:lang w:val="zh-CN"/>
          </w:rPr>
          <w:t>19</w:t>
        </w:r>
        <w:r w:rsidRPr="00F70614">
          <w:rPr>
            <w:rFonts w:ascii="Times New Roman" w:hAnsi="Times New Roman" w:cs="Times New Roman"/>
            <w:sz w:val="21"/>
            <w:szCs w:val="21"/>
          </w:rPr>
          <w:fldChar w:fldCharType="end"/>
        </w:r>
        <w:r w:rsidRPr="00F70614">
          <w:rPr>
            <w:rFonts w:ascii="Times New Roman" w:hAnsi="Times New Roman" w:cs="Times New Roman"/>
            <w:sz w:val="21"/>
            <w:szCs w:val="21"/>
          </w:rPr>
          <w:t>/S20</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4CC064" w14:textId="77777777" w:rsidR="00334E1B" w:rsidRDefault="00334E1B" w:rsidP="007C2F85">
      <w:r>
        <w:separator/>
      </w:r>
    </w:p>
  </w:footnote>
  <w:footnote w:type="continuationSeparator" w:id="0">
    <w:p w14:paraId="33BD6F64" w14:textId="77777777" w:rsidR="00334E1B" w:rsidRDefault="00334E1B" w:rsidP="007C2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51B6F" w14:textId="1BD32FF1" w:rsidR="00F70614" w:rsidRPr="00F70614" w:rsidRDefault="00F70614">
    <w:pPr>
      <w:pStyle w:val="a6"/>
      <w:rPr>
        <w:rFonts w:ascii="Times New Roman" w:hAnsi="Times New Roman" w:cs="Times New Roman"/>
        <w:sz w:val="24"/>
        <w:szCs w:val="24"/>
      </w:rPr>
    </w:pPr>
    <w:hyperlink r:id="rId1" w:history="1">
      <w:r w:rsidRPr="00F70614">
        <w:rPr>
          <w:rStyle w:val="aa"/>
          <w:rFonts w:ascii="Times New Roman" w:hAnsi="Times New Roman" w:cs="Times New Roman" w:hint="eastAsia"/>
          <w:sz w:val="24"/>
          <w:szCs w:val="24"/>
        </w:rPr>
        <w:t>N</w:t>
      </w:r>
      <w:r w:rsidRPr="00F70614">
        <w:rPr>
          <w:rStyle w:val="aa"/>
          <w:rFonts w:ascii="Times New Roman" w:hAnsi="Times New Roman" w:cs="Times New Roman"/>
          <w:sz w:val="24"/>
          <w:szCs w:val="24"/>
        </w:rPr>
        <w:t>ano-Micro Letters</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22A78"/>
    <w:multiLevelType w:val="hybridMultilevel"/>
    <w:tmpl w:val="0108FE2E"/>
    <w:lvl w:ilvl="0" w:tplc="B0265890">
      <w:start w:val="1"/>
      <w:numFmt w:val="decimal"/>
      <w:lvlText w:val="[S%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A0NWMxZDA0NjIxZGQ4ZDI2YWJlMjE2Nzk5NGNhYTMifQ=="/>
    <w:docVar w:name="EN.InstantFormat" w:val="&lt;ENInstantFormat&gt;&lt;Enabled&gt;1&lt;/Enabled&gt;&lt;ScanUnformatted&gt;1&lt;/ScanUnformatted&gt;&lt;ScanChanges&gt;1&lt;/ScanChanges&gt;&lt;Suspended&gt;1&lt;/Suspended&gt;&lt;/ENInstantFormat&gt;"/>
    <w:docVar w:name="EN.Layout" w:val="&lt;ENLayout&gt;&lt;Style&gt;Royal Society of Chemistr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BD4628"/>
    <w:rsid w:val="00014BD0"/>
    <w:rsid w:val="00030900"/>
    <w:rsid w:val="000365D5"/>
    <w:rsid w:val="000943B5"/>
    <w:rsid w:val="000A46C6"/>
    <w:rsid w:val="000A5737"/>
    <w:rsid w:val="000A6478"/>
    <w:rsid w:val="000B160E"/>
    <w:rsid w:val="000B43B4"/>
    <w:rsid w:val="000C6F3D"/>
    <w:rsid w:val="00113419"/>
    <w:rsid w:val="00116D34"/>
    <w:rsid w:val="00123656"/>
    <w:rsid w:val="00133644"/>
    <w:rsid w:val="0015381B"/>
    <w:rsid w:val="001832AF"/>
    <w:rsid w:val="0018427A"/>
    <w:rsid w:val="00187D3A"/>
    <w:rsid w:val="001910E3"/>
    <w:rsid w:val="001963DF"/>
    <w:rsid w:val="001B16CB"/>
    <w:rsid w:val="001C2315"/>
    <w:rsid w:val="001C64BA"/>
    <w:rsid w:val="001D3628"/>
    <w:rsid w:val="001D5DF4"/>
    <w:rsid w:val="00200F82"/>
    <w:rsid w:val="00206117"/>
    <w:rsid w:val="0022073E"/>
    <w:rsid w:val="002311BA"/>
    <w:rsid w:val="002327D7"/>
    <w:rsid w:val="00236DAA"/>
    <w:rsid w:val="0024097D"/>
    <w:rsid w:val="00267EC1"/>
    <w:rsid w:val="002751D0"/>
    <w:rsid w:val="00277915"/>
    <w:rsid w:val="002A0F54"/>
    <w:rsid w:val="002A73C0"/>
    <w:rsid w:val="002B4932"/>
    <w:rsid w:val="002C5D79"/>
    <w:rsid w:val="002E0419"/>
    <w:rsid w:val="00305AA6"/>
    <w:rsid w:val="0031534D"/>
    <w:rsid w:val="00326147"/>
    <w:rsid w:val="00334E1B"/>
    <w:rsid w:val="00343645"/>
    <w:rsid w:val="0034462D"/>
    <w:rsid w:val="00362FDA"/>
    <w:rsid w:val="0036753E"/>
    <w:rsid w:val="00370F50"/>
    <w:rsid w:val="00380F8E"/>
    <w:rsid w:val="00392943"/>
    <w:rsid w:val="00393619"/>
    <w:rsid w:val="003A25C2"/>
    <w:rsid w:val="003C1D5F"/>
    <w:rsid w:val="003D1E54"/>
    <w:rsid w:val="003D36F2"/>
    <w:rsid w:val="003D725C"/>
    <w:rsid w:val="003E3A72"/>
    <w:rsid w:val="003E5268"/>
    <w:rsid w:val="00410AB3"/>
    <w:rsid w:val="0041320D"/>
    <w:rsid w:val="00413F93"/>
    <w:rsid w:val="00414787"/>
    <w:rsid w:val="0044031D"/>
    <w:rsid w:val="0044698D"/>
    <w:rsid w:val="00447B40"/>
    <w:rsid w:val="0045102B"/>
    <w:rsid w:val="00452EA2"/>
    <w:rsid w:val="00464FDA"/>
    <w:rsid w:val="0047526C"/>
    <w:rsid w:val="00475EDF"/>
    <w:rsid w:val="00476C63"/>
    <w:rsid w:val="00480996"/>
    <w:rsid w:val="00484708"/>
    <w:rsid w:val="0048470E"/>
    <w:rsid w:val="004916A1"/>
    <w:rsid w:val="004B5277"/>
    <w:rsid w:val="004C0631"/>
    <w:rsid w:val="004C079F"/>
    <w:rsid w:val="004C23B4"/>
    <w:rsid w:val="004D2F48"/>
    <w:rsid w:val="004D2FD5"/>
    <w:rsid w:val="004F3774"/>
    <w:rsid w:val="005011D9"/>
    <w:rsid w:val="0050434F"/>
    <w:rsid w:val="005075E4"/>
    <w:rsid w:val="005101C6"/>
    <w:rsid w:val="00542F7A"/>
    <w:rsid w:val="00581575"/>
    <w:rsid w:val="005A0660"/>
    <w:rsid w:val="005A61A6"/>
    <w:rsid w:val="005A7205"/>
    <w:rsid w:val="005C0C57"/>
    <w:rsid w:val="005D76BB"/>
    <w:rsid w:val="005D7DD2"/>
    <w:rsid w:val="005E5C70"/>
    <w:rsid w:val="005E7F68"/>
    <w:rsid w:val="005F6425"/>
    <w:rsid w:val="0060225E"/>
    <w:rsid w:val="006042A2"/>
    <w:rsid w:val="00613D90"/>
    <w:rsid w:val="00615C7A"/>
    <w:rsid w:val="00620258"/>
    <w:rsid w:val="00623D9D"/>
    <w:rsid w:val="00630331"/>
    <w:rsid w:val="0063257C"/>
    <w:rsid w:val="00635F69"/>
    <w:rsid w:val="00636CEE"/>
    <w:rsid w:val="00641404"/>
    <w:rsid w:val="00646D9C"/>
    <w:rsid w:val="0065161A"/>
    <w:rsid w:val="00667768"/>
    <w:rsid w:val="00681FF2"/>
    <w:rsid w:val="00685EC7"/>
    <w:rsid w:val="00694CBD"/>
    <w:rsid w:val="006A693E"/>
    <w:rsid w:val="006C1CAA"/>
    <w:rsid w:val="006C51BB"/>
    <w:rsid w:val="006C5D7D"/>
    <w:rsid w:val="006D46AD"/>
    <w:rsid w:val="006D6F60"/>
    <w:rsid w:val="006E556A"/>
    <w:rsid w:val="00700713"/>
    <w:rsid w:val="00712CD9"/>
    <w:rsid w:val="00730DB6"/>
    <w:rsid w:val="00732D4F"/>
    <w:rsid w:val="0073503C"/>
    <w:rsid w:val="00757F5F"/>
    <w:rsid w:val="007749E7"/>
    <w:rsid w:val="00781B94"/>
    <w:rsid w:val="00786E93"/>
    <w:rsid w:val="007903AE"/>
    <w:rsid w:val="007B09C3"/>
    <w:rsid w:val="007B3EA5"/>
    <w:rsid w:val="007C131D"/>
    <w:rsid w:val="007C2F85"/>
    <w:rsid w:val="007C38ED"/>
    <w:rsid w:val="007C6A7F"/>
    <w:rsid w:val="007C7FAD"/>
    <w:rsid w:val="007D2992"/>
    <w:rsid w:val="007E09EF"/>
    <w:rsid w:val="007E27DB"/>
    <w:rsid w:val="007F39A6"/>
    <w:rsid w:val="008014BD"/>
    <w:rsid w:val="008031EB"/>
    <w:rsid w:val="0081159A"/>
    <w:rsid w:val="0082645F"/>
    <w:rsid w:val="008441E0"/>
    <w:rsid w:val="00844FA1"/>
    <w:rsid w:val="0085256A"/>
    <w:rsid w:val="008666FC"/>
    <w:rsid w:val="008879C5"/>
    <w:rsid w:val="00890694"/>
    <w:rsid w:val="0089576B"/>
    <w:rsid w:val="008963BF"/>
    <w:rsid w:val="008A014B"/>
    <w:rsid w:val="008D72BF"/>
    <w:rsid w:val="008E0E47"/>
    <w:rsid w:val="00911235"/>
    <w:rsid w:val="009261E5"/>
    <w:rsid w:val="0093198B"/>
    <w:rsid w:val="00953AD6"/>
    <w:rsid w:val="00965AD1"/>
    <w:rsid w:val="0096692F"/>
    <w:rsid w:val="00971A00"/>
    <w:rsid w:val="00984BE9"/>
    <w:rsid w:val="00990A7A"/>
    <w:rsid w:val="009C3106"/>
    <w:rsid w:val="009C3CEC"/>
    <w:rsid w:val="009D2792"/>
    <w:rsid w:val="009D7FB0"/>
    <w:rsid w:val="009E097A"/>
    <w:rsid w:val="009E1315"/>
    <w:rsid w:val="009E44C9"/>
    <w:rsid w:val="009E5E54"/>
    <w:rsid w:val="009E6285"/>
    <w:rsid w:val="009F5FEA"/>
    <w:rsid w:val="009F71FB"/>
    <w:rsid w:val="00A05A5B"/>
    <w:rsid w:val="00A1298D"/>
    <w:rsid w:val="00A161FC"/>
    <w:rsid w:val="00A168D2"/>
    <w:rsid w:val="00A20010"/>
    <w:rsid w:val="00A229F3"/>
    <w:rsid w:val="00A25611"/>
    <w:rsid w:val="00A271B6"/>
    <w:rsid w:val="00A341BB"/>
    <w:rsid w:val="00A3552F"/>
    <w:rsid w:val="00A376DB"/>
    <w:rsid w:val="00A4007B"/>
    <w:rsid w:val="00A47489"/>
    <w:rsid w:val="00A85FED"/>
    <w:rsid w:val="00A9074C"/>
    <w:rsid w:val="00AA4739"/>
    <w:rsid w:val="00AC2677"/>
    <w:rsid w:val="00AF6BA4"/>
    <w:rsid w:val="00B05DA2"/>
    <w:rsid w:val="00B11682"/>
    <w:rsid w:val="00B20286"/>
    <w:rsid w:val="00B3722B"/>
    <w:rsid w:val="00B45F25"/>
    <w:rsid w:val="00B47E9F"/>
    <w:rsid w:val="00B82C40"/>
    <w:rsid w:val="00B9532E"/>
    <w:rsid w:val="00BD065E"/>
    <w:rsid w:val="00BD104A"/>
    <w:rsid w:val="00BD4628"/>
    <w:rsid w:val="00C14324"/>
    <w:rsid w:val="00C231D6"/>
    <w:rsid w:val="00C30F60"/>
    <w:rsid w:val="00C32B1C"/>
    <w:rsid w:val="00C36256"/>
    <w:rsid w:val="00C36AE7"/>
    <w:rsid w:val="00C403A4"/>
    <w:rsid w:val="00C60F6D"/>
    <w:rsid w:val="00C62367"/>
    <w:rsid w:val="00C63517"/>
    <w:rsid w:val="00C91985"/>
    <w:rsid w:val="00C922C0"/>
    <w:rsid w:val="00C93043"/>
    <w:rsid w:val="00C97617"/>
    <w:rsid w:val="00CA5F76"/>
    <w:rsid w:val="00CC09F3"/>
    <w:rsid w:val="00CD0678"/>
    <w:rsid w:val="00CE2314"/>
    <w:rsid w:val="00CF1A5C"/>
    <w:rsid w:val="00CF3C45"/>
    <w:rsid w:val="00D01477"/>
    <w:rsid w:val="00D02027"/>
    <w:rsid w:val="00D02405"/>
    <w:rsid w:val="00D0372E"/>
    <w:rsid w:val="00D05761"/>
    <w:rsid w:val="00D06578"/>
    <w:rsid w:val="00D14EB4"/>
    <w:rsid w:val="00D30B56"/>
    <w:rsid w:val="00D349AE"/>
    <w:rsid w:val="00D34F9B"/>
    <w:rsid w:val="00D37B00"/>
    <w:rsid w:val="00D400DF"/>
    <w:rsid w:val="00D60655"/>
    <w:rsid w:val="00D62C26"/>
    <w:rsid w:val="00DA5A1D"/>
    <w:rsid w:val="00DB2658"/>
    <w:rsid w:val="00DB4139"/>
    <w:rsid w:val="00DC0D64"/>
    <w:rsid w:val="00DD4F66"/>
    <w:rsid w:val="00DD6128"/>
    <w:rsid w:val="00DF4670"/>
    <w:rsid w:val="00E031AD"/>
    <w:rsid w:val="00E219E2"/>
    <w:rsid w:val="00E25392"/>
    <w:rsid w:val="00E31CCD"/>
    <w:rsid w:val="00E34F6E"/>
    <w:rsid w:val="00E6487E"/>
    <w:rsid w:val="00E76347"/>
    <w:rsid w:val="00E803CF"/>
    <w:rsid w:val="00E826DA"/>
    <w:rsid w:val="00E86215"/>
    <w:rsid w:val="00EA49EE"/>
    <w:rsid w:val="00EA6482"/>
    <w:rsid w:val="00EE2855"/>
    <w:rsid w:val="00EE3FCE"/>
    <w:rsid w:val="00EE7BC2"/>
    <w:rsid w:val="00F02322"/>
    <w:rsid w:val="00F06148"/>
    <w:rsid w:val="00F14C96"/>
    <w:rsid w:val="00F24C82"/>
    <w:rsid w:val="00F27D16"/>
    <w:rsid w:val="00F561CF"/>
    <w:rsid w:val="00F70614"/>
    <w:rsid w:val="00F72AF9"/>
    <w:rsid w:val="00F90244"/>
    <w:rsid w:val="00FB6BBB"/>
    <w:rsid w:val="00FE2E48"/>
    <w:rsid w:val="00FE77ED"/>
    <w:rsid w:val="012443CF"/>
    <w:rsid w:val="01D47F8D"/>
    <w:rsid w:val="01D71ED4"/>
    <w:rsid w:val="023D401F"/>
    <w:rsid w:val="02D43B86"/>
    <w:rsid w:val="039A720A"/>
    <w:rsid w:val="03CC4543"/>
    <w:rsid w:val="042A0CA0"/>
    <w:rsid w:val="049C2D1F"/>
    <w:rsid w:val="04A033F2"/>
    <w:rsid w:val="058E2281"/>
    <w:rsid w:val="05BA7DB9"/>
    <w:rsid w:val="061C410F"/>
    <w:rsid w:val="069A65B0"/>
    <w:rsid w:val="08FD2E27"/>
    <w:rsid w:val="0B5B36B4"/>
    <w:rsid w:val="0C7F5A1C"/>
    <w:rsid w:val="10C26C60"/>
    <w:rsid w:val="123E24E6"/>
    <w:rsid w:val="126D1954"/>
    <w:rsid w:val="127F665A"/>
    <w:rsid w:val="12FB3A37"/>
    <w:rsid w:val="14153E12"/>
    <w:rsid w:val="145C30F7"/>
    <w:rsid w:val="14AB1989"/>
    <w:rsid w:val="14B7657F"/>
    <w:rsid w:val="151F5452"/>
    <w:rsid w:val="15600B5B"/>
    <w:rsid w:val="15F12D0F"/>
    <w:rsid w:val="174B1EB0"/>
    <w:rsid w:val="1752258F"/>
    <w:rsid w:val="17C57205"/>
    <w:rsid w:val="18BA2A92"/>
    <w:rsid w:val="191C4C03"/>
    <w:rsid w:val="19371A3D"/>
    <w:rsid w:val="19657E68"/>
    <w:rsid w:val="19BC16BA"/>
    <w:rsid w:val="19F63627"/>
    <w:rsid w:val="1A0279C3"/>
    <w:rsid w:val="1A0D716D"/>
    <w:rsid w:val="1A442A69"/>
    <w:rsid w:val="1B210BF7"/>
    <w:rsid w:val="1CF665C4"/>
    <w:rsid w:val="1D2965C5"/>
    <w:rsid w:val="1EBA7324"/>
    <w:rsid w:val="1EFF58FC"/>
    <w:rsid w:val="20F2221A"/>
    <w:rsid w:val="211C146B"/>
    <w:rsid w:val="219A525F"/>
    <w:rsid w:val="21F20BF7"/>
    <w:rsid w:val="22A068A5"/>
    <w:rsid w:val="22B3616A"/>
    <w:rsid w:val="234125E4"/>
    <w:rsid w:val="23E5588D"/>
    <w:rsid w:val="243313F3"/>
    <w:rsid w:val="249E6AF6"/>
    <w:rsid w:val="26350F13"/>
    <w:rsid w:val="269B380C"/>
    <w:rsid w:val="26C46C65"/>
    <w:rsid w:val="27740103"/>
    <w:rsid w:val="28EA5551"/>
    <w:rsid w:val="29096867"/>
    <w:rsid w:val="291B4555"/>
    <w:rsid w:val="295A3759"/>
    <w:rsid w:val="296536C8"/>
    <w:rsid w:val="29F058D7"/>
    <w:rsid w:val="2A0156B3"/>
    <w:rsid w:val="2AC174AF"/>
    <w:rsid w:val="2D102879"/>
    <w:rsid w:val="2D1A0BCB"/>
    <w:rsid w:val="2E73701B"/>
    <w:rsid w:val="2F3445FD"/>
    <w:rsid w:val="324F5600"/>
    <w:rsid w:val="34733E19"/>
    <w:rsid w:val="34BE5AC2"/>
    <w:rsid w:val="36253A11"/>
    <w:rsid w:val="37BA2373"/>
    <w:rsid w:val="37C95510"/>
    <w:rsid w:val="37D837AD"/>
    <w:rsid w:val="38575800"/>
    <w:rsid w:val="38622E2B"/>
    <w:rsid w:val="39097F5F"/>
    <w:rsid w:val="3C411555"/>
    <w:rsid w:val="3C756255"/>
    <w:rsid w:val="3D0231A8"/>
    <w:rsid w:val="3F1B7C3B"/>
    <w:rsid w:val="3F210D54"/>
    <w:rsid w:val="40371D16"/>
    <w:rsid w:val="420F2FBD"/>
    <w:rsid w:val="421F0E45"/>
    <w:rsid w:val="42937435"/>
    <w:rsid w:val="42EB54C2"/>
    <w:rsid w:val="43491BE3"/>
    <w:rsid w:val="43514B68"/>
    <w:rsid w:val="439450EA"/>
    <w:rsid w:val="43FB34E3"/>
    <w:rsid w:val="45C14EC8"/>
    <w:rsid w:val="460D66F7"/>
    <w:rsid w:val="46EE14DD"/>
    <w:rsid w:val="48777145"/>
    <w:rsid w:val="48886BAC"/>
    <w:rsid w:val="49A25537"/>
    <w:rsid w:val="4AD36F68"/>
    <w:rsid w:val="4C6065D9"/>
    <w:rsid w:val="4D0C49B3"/>
    <w:rsid w:val="4D135D42"/>
    <w:rsid w:val="4E8B1908"/>
    <w:rsid w:val="4EB42C0C"/>
    <w:rsid w:val="4EFD14D8"/>
    <w:rsid w:val="4FE70DC0"/>
    <w:rsid w:val="50463DEE"/>
    <w:rsid w:val="506D4A8D"/>
    <w:rsid w:val="507054A4"/>
    <w:rsid w:val="51611F49"/>
    <w:rsid w:val="529E74C8"/>
    <w:rsid w:val="52F4543C"/>
    <w:rsid w:val="539238D5"/>
    <w:rsid w:val="53A56FC8"/>
    <w:rsid w:val="54505185"/>
    <w:rsid w:val="5455545A"/>
    <w:rsid w:val="55C549AB"/>
    <w:rsid w:val="55DE0F53"/>
    <w:rsid w:val="563C64FC"/>
    <w:rsid w:val="592519DF"/>
    <w:rsid w:val="595C6329"/>
    <w:rsid w:val="598B1E8C"/>
    <w:rsid w:val="59C8705B"/>
    <w:rsid w:val="5AE021FD"/>
    <w:rsid w:val="5AE62AAB"/>
    <w:rsid w:val="5B353327"/>
    <w:rsid w:val="5B9C20DB"/>
    <w:rsid w:val="5C9B365E"/>
    <w:rsid w:val="5D290C69"/>
    <w:rsid w:val="5D4635C9"/>
    <w:rsid w:val="5D8F70D2"/>
    <w:rsid w:val="5DBA4EB4"/>
    <w:rsid w:val="5DCE21F0"/>
    <w:rsid w:val="5EEC63F2"/>
    <w:rsid w:val="5F16108D"/>
    <w:rsid w:val="60963196"/>
    <w:rsid w:val="61F211CC"/>
    <w:rsid w:val="6205183D"/>
    <w:rsid w:val="627C4CDF"/>
    <w:rsid w:val="62C05BCC"/>
    <w:rsid w:val="634063CE"/>
    <w:rsid w:val="63B374DF"/>
    <w:rsid w:val="64936FE2"/>
    <w:rsid w:val="64D616D7"/>
    <w:rsid w:val="65AF1C1C"/>
    <w:rsid w:val="664F5A97"/>
    <w:rsid w:val="67733B28"/>
    <w:rsid w:val="67972ADA"/>
    <w:rsid w:val="67E85F0E"/>
    <w:rsid w:val="68027460"/>
    <w:rsid w:val="681A2058"/>
    <w:rsid w:val="682E169E"/>
    <w:rsid w:val="694F1A58"/>
    <w:rsid w:val="69DF00D2"/>
    <w:rsid w:val="6AC205E5"/>
    <w:rsid w:val="6B4B04BA"/>
    <w:rsid w:val="6B6F58E0"/>
    <w:rsid w:val="6BA94FF2"/>
    <w:rsid w:val="6C411B2C"/>
    <w:rsid w:val="6D371181"/>
    <w:rsid w:val="6EF54BF9"/>
    <w:rsid w:val="6F0E2EC2"/>
    <w:rsid w:val="6F457799"/>
    <w:rsid w:val="6FA06B69"/>
    <w:rsid w:val="6FDE6A11"/>
    <w:rsid w:val="702A49FB"/>
    <w:rsid w:val="707F2C23"/>
    <w:rsid w:val="70A47C72"/>
    <w:rsid w:val="70C359D6"/>
    <w:rsid w:val="70DD12F7"/>
    <w:rsid w:val="71A01B77"/>
    <w:rsid w:val="7237150C"/>
    <w:rsid w:val="724F1864"/>
    <w:rsid w:val="74107724"/>
    <w:rsid w:val="75F356A6"/>
    <w:rsid w:val="77A75DB9"/>
    <w:rsid w:val="77CB11E8"/>
    <w:rsid w:val="78355B98"/>
    <w:rsid w:val="792151BF"/>
    <w:rsid w:val="7A5A304A"/>
    <w:rsid w:val="7A682979"/>
    <w:rsid w:val="7B45539C"/>
    <w:rsid w:val="7BDF46BF"/>
    <w:rsid w:val="7CB43C54"/>
    <w:rsid w:val="7D446097"/>
    <w:rsid w:val="7E8B1BA5"/>
    <w:rsid w:val="7F7653B8"/>
    <w:rsid w:val="7F8E50F9"/>
    <w:rsid w:val="7FE0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17B37D"/>
  <w15:docId w15:val="{A895C5FD-C308-4472-B15F-17D9B859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paragraph" w:styleId="a8">
    <w:name w:val="Normal (Web)"/>
    <w:basedOn w:val="a"/>
    <w:uiPriority w:val="99"/>
    <w:semiHidden/>
    <w:unhideWhenUsed/>
    <w:qFormat/>
    <w:pPr>
      <w:spacing w:beforeAutospacing="1" w:afterAutospacing="1"/>
      <w:jc w:val="left"/>
    </w:pPr>
    <w:rPr>
      <w:rFonts w:cs="Times New Roman"/>
      <w:kern w:val="0"/>
      <w:sz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styleId="ab">
    <w:name w:val="annotation reference"/>
    <w:basedOn w:val="a0"/>
    <w:uiPriority w:val="99"/>
    <w:semiHidden/>
    <w:unhideWhenUsed/>
    <w:qFormat/>
    <w:rPr>
      <w:sz w:val="21"/>
      <w:szCs w:val="21"/>
    </w:rPr>
  </w:style>
  <w:style w:type="character" w:styleId="ac">
    <w:name w:val="Placeholder Text"/>
    <w:basedOn w:val="a0"/>
    <w:uiPriority w:val="99"/>
    <w:semiHidden/>
    <w:qFormat/>
    <w:rPr>
      <w:color w:val="808080"/>
    </w:rPr>
  </w:style>
  <w:style w:type="character" w:customStyle="1" w:styleId="a7">
    <w:name w:val="页眉 字符"/>
    <w:basedOn w:val="a0"/>
    <w:link w:val="a6"/>
    <w:uiPriority w:val="99"/>
    <w:qFormat/>
    <w:rPr>
      <w:kern w:val="2"/>
      <w:sz w:val="18"/>
      <w:szCs w:val="18"/>
    </w:rPr>
  </w:style>
  <w:style w:type="character" w:customStyle="1" w:styleId="a5">
    <w:name w:val="页脚 字符"/>
    <w:basedOn w:val="a0"/>
    <w:link w:val="a4"/>
    <w:uiPriority w:val="99"/>
    <w:qFormat/>
    <w:rPr>
      <w:kern w:val="2"/>
      <w:sz w:val="18"/>
      <w:szCs w:val="18"/>
    </w:r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 w:type="character" w:customStyle="1" w:styleId="fontstyle01">
    <w:name w:val="fontstyle01"/>
    <w:basedOn w:val="a0"/>
    <w:qFormat/>
    <w:rPr>
      <w:rFonts w:ascii="Times New Roman" w:hAnsi="Times New Roman" w:cs="Times New Roman" w:hint="default"/>
      <w:b/>
      <w:bCs/>
      <w:color w:val="000000"/>
      <w:sz w:val="24"/>
      <w:szCs w:val="24"/>
    </w:rPr>
  </w:style>
  <w:style w:type="paragraph" w:customStyle="1" w:styleId="10">
    <w:name w:val="书目1"/>
    <w:basedOn w:val="a"/>
    <w:next w:val="a"/>
    <w:uiPriority w:val="37"/>
    <w:unhideWhenUsed/>
    <w:qFormat/>
  </w:style>
  <w:style w:type="paragraph" w:customStyle="1" w:styleId="EndNoteBibliography">
    <w:name w:val="EndNote Bibliography"/>
    <w:basedOn w:val="a"/>
    <w:qFormat/>
    <w:rPr>
      <w:rFonts w:ascii="等线" w:eastAsia="等线" w:hAnsi="等线"/>
      <w:sz w:val="20"/>
    </w:rPr>
  </w:style>
  <w:style w:type="paragraph" w:customStyle="1" w:styleId="2">
    <w:name w:val="修订2"/>
    <w:hidden/>
    <w:uiPriority w:val="99"/>
    <w:unhideWhenUsed/>
    <w:qFormat/>
    <w:rPr>
      <w:rFonts w:asciiTheme="minorHAnsi" w:eastAsiaTheme="minorEastAsia" w:hAnsiTheme="minorHAnsi" w:cstheme="minorBidi"/>
      <w:kern w:val="2"/>
      <w:sz w:val="21"/>
      <w:szCs w:val="22"/>
    </w:rPr>
  </w:style>
  <w:style w:type="paragraph" w:customStyle="1" w:styleId="20">
    <w:name w:val="书目2"/>
    <w:basedOn w:val="a"/>
    <w:next w:val="a"/>
    <w:uiPriority w:val="37"/>
    <w:unhideWhenUsed/>
    <w:qFormat/>
    <w:pPr>
      <w:tabs>
        <w:tab w:val="left" w:pos="504"/>
      </w:tabs>
      <w:ind w:left="504" w:hanging="504"/>
    </w:p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 w:type="paragraph" w:customStyle="1" w:styleId="30">
    <w:name w:val="书目3"/>
    <w:basedOn w:val="a"/>
    <w:next w:val="a"/>
    <w:uiPriority w:val="37"/>
    <w:unhideWhenUsed/>
    <w:qFormat/>
    <w:pPr>
      <w:tabs>
        <w:tab w:val="left" w:pos="504"/>
      </w:tabs>
      <w:ind w:left="504" w:hanging="504"/>
    </w:pPr>
  </w:style>
  <w:style w:type="paragraph" w:customStyle="1" w:styleId="40">
    <w:name w:val="书目4"/>
    <w:basedOn w:val="a"/>
    <w:next w:val="a"/>
    <w:uiPriority w:val="37"/>
    <w:semiHidden/>
    <w:unhideWhenUsed/>
    <w:qFormat/>
  </w:style>
  <w:style w:type="paragraph" w:customStyle="1" w:styleId="6">
    <w:name w:val="修订6"/>
    <w:hidden/>
    <w:uiPriority w:val="99"/>
    <w:unhideWhenUsed/>
    <w:qFormat/>
    <w:rPr>
      <w:rFonts w:asciiTheme="minorHAnsi" w:eastAsiaTheme="minorEastAsia" w:hAnsiTheme="minorHAnsi" w:cstheme="minorBidi"/>
      <w:kern w:val="2"/>
      <w:sz w:val="21"/>
      <w:szCs w:val="22"/>
    </w:rPr>
  </w:style>
  <w:style w:type="paragraph" w:customStyle="1" w:styleId="7">
    <w:name w:val="修订7"/>
    <w:hidden/>
    <w:uiPriority w:val="99"/>
    <w:unhideWhenUsed/>
    <w:qFormat/>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qFormat/>
    <w:rPr>
      <w:rFonts w:ascii="等线" w:eastAsia="等线" w:hAnsi="等线" w:cstheme="minorBidi"/>
      <w:kern w:val="2"/>
      <w:szCs w:val="22"/>
    </w:rPr>
  </w:style>
  <w:style w:type="character" w:customStyle="1" w:styleId="11">
    <w:name w:val="未处理的提及1"/>
    <w:basedOn w:val="a0"/>
    <w:uiPriority w:val="99"/>
    <w:semiHidden/>
    <w:unhideWhenUsed/>
    <w:qFormat/>
    <w:rPr>
      <w:color w:val="605E5C"/>
      <w:shd w:val="clear" w:color="auto" w:fill="E1DFDD"/>
    </w:rPr>
  </w:style>
  <w:style w:type="character" w:customStyle="1" w:styleId="15">
    <w:name w:val="15"/>
    <w:basedOn w:val="a0"/>
    <w:qFormat/>
    <w:rPr>
      <w:rFonts w:ascii="Times New Roman" w:hAnsi="Times New Roman" w:cs="Times New Roman" w:hint="default"/>
      <w:color w:val="0563C1"/>
      <w:u w:val="single"/>
    </w:rPr>
  </w:style>
  <w:style w:type="paragraph" w:customStyle="1" w:styleId="50">
    <w:name w:val="书目5"/>
    <w:basedOn w:val="a"/>
    <w:next w:val="a"/>
    <w:uiPriority w:val="37"/>
    <w:semiHidden/>
    <w:unhideWhenUsed/>
    <w:qFormat/>
  </w:style>
  <w:style w:type="paragraph" w:customStyle="1" w:styleId="60">
    <w:name w:val="书目6"/>
    <w:basedOn w:val="a"/>
    <w:next w:val="a"/>
    <w:uiPriority w:val="37"/>
    <w:unhideWhenUsed/>
    <w:qFormat/>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cit-title">
    <w:name w:val="cit-title"/>
    <w:basedOn w:val="a0"/>
    <w:rsid w:val="007E27DB"/>
  </w:style>
  <w:style w:type="character" w:customStyle="1" w:styleId="cit-year-info">
    <w:name w:val="cit-year-info"/>
    <w:basedOn w:val="a0"/>
    <w:rsid w:val="007E27DB"/>
  </w:style>
  <w:style w:type="character" w:customStyle="1" w:styleId="cit-volume">
    <w:name w:val="cit-volume"/>
    <w:basedOn w:val="a0"/>
    <w:rsid w:val="007E27DB"/>
  </w:style>
  <w:style w:type="character" w:customStyle="1" w:styleId="cit-issue">
    <w:name w:val="cit-issue"/>
    <w:basedOn w:val="a0"/>
    <w:rsid w:val="007E27DB"/>
  </w:style>
  <w:style w:type="character" w:customStyle="1" w:styleId="cit-pagerange">
    <w:name w:val="cit-pagerange"/>
    <w:basedOn w:val="a0"/>
    <w:rsid w:val="007E27DB"/>
  </w:style>
  <w:style w:type="character" w:customStyle="1" w:styleId="articlecopytext">
    <w:name w:val="article__copy__text"/>
    <w:basedOn w:val="a0"/>
    <w:rsid w:val="007E2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224198">
      <w:bodyDiv w:val="1"/>
      <w:marLeft w:val="0"/>
      <w:marRight w:val="0"/>
      <w:marTop w:val="0"/>
      <w:marBottom w:val="0"/>
      <w:divBdr>
        <w:top w:val="none" w:sz="0" w:space="0" w:color="auto"/>
        <w:left w:val="none" w:sz="0" w:space="0" w:color="auto"/>
        <w:bottom w:val="none" w:sz="0" w:space="0" w:color="auto"/>
        <w:right w:val="none" w:sz="0" w:space="0" w:color="auto"/>
      </w:divBdr>
    </w:div>
    <w:div w:id="2075422933">
      <w:bodyDiv w:val="1"/>
      <w:marLeft w:val="0"/>
      <w:marRight w:val="0"/>
      <w:marTop w:val="0"/>
      <w:marBottom w:val="0"/>
      <w:divBdr>
        <w:top w:val="none" w:sz="0" w:space="0" w:color="auto"/>
        <w:left w:val="none" w:sz="0" w:space="0" w:color="auto"/>
        <w:bottom w:val="none" w:sz="0" w:space="0" w:color="auto"/>
        <w:right w:val="none" w:sz="0" w:space="0" w:color="auto"/>
      </w:divBdr>
      <w:divsChild>
        <w:div w:id="618994936">
          <w:marLeft w:val="0"/>
          <w:marRight w:val="0"/>
          <w:marTop w:val="0"/>
          <w:marBottom w:val="0"/>
          <w:divBdr>
            <w:top w:val="none" w:sz="0" w:space="0" w:color="auto"/>
            <w:left w:val="none" w:sz="0" w:space="0" w:color="auto"/>
            <w:bottom w:val="none" w:sz="0" w:space="0" w:color="auto"/>
            <w:right w:val="none" w:sz="0" w:space="0" w:color="auto"/>
          </w:divBdr>
          <w:divsChild>
            <w:div w:id="272443436">
              <w:marLeft w:val="0"/>
              <w:marRight w:val="0"/>
              <w:marTop w:val="0"/>
              <w:marBottom w:val="0"/>
              <w:divBdr>
                <w:top w:val="none" w:sz="0" w:space="0" w:color="auto"/>
                <w:left w:val="none" w:sz="0" w:space="0" w:color="auto"/>
                <w:bottom w:val="none" w:sz="0" w:space="0" w:color="auto"/>
                <w:right w:val="none" w:sz="0" w:space="0" w:color="auto"/>
              </w:divBdr>
            </w:div>
          </w:divsChild>
        </w:div>
        <w:div w:id="198627618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8.png"/><Relationship Id="rId63" Type="http://schemas.openxmlformats.org/officeDocument/2006/relationships/hyperlink" Target="https://doi.org/10.1016/j.nanoen.2017.11.020" TargetMode="External"/><Relationship Id="rId68" Type="http://schemas.openxmlformats.org/officeDocument/2006/relationships/hyperlink" Target="https://doi.org/10.1039/D0TA00793E" TargetMode="External"/><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hyperlink" Target="https://doi.org/10.1016/j.cej.2022.134650" TargetMode="External"/><Relationship Id="rId74" Type="http://schemas.openxmlformats.org/officeDocument/2006/relationships/hyperlink" Target="https://doi.org/10.1021/jacs.8b09805" TargetMode="External"/><Relationship Id="rId79"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doi.org/10.1016/j.electacta.2019.05.140" TargetMode="External"/><Relationship Id="rId82" Type="http://schemas.openxmlformats.org/officeDocument/2006/relationships/theme" Target="theme/theme1.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hyperlink" Target="https://doi.org/10.1002/admi.202101386" TargetMode="External"/><Relationship Id="rId64" Type="http://schemas.openxmlformats.org/officeDocument/2006/relationships/hyperlink" Target="https://doi.org/10.1016/j.nanoen.2017.11.020" TargetMode="External"/><Relationship Id="rId69" Type="http://schemas.openxmlformats.org/officeDocument/2006/relationships/hyperlink" Target="https://doi.org/10.1039/D0TA00962H" TargetMode="External"/><Relationship Id="rId77" Type="http://schemas.openxmlformats.org/officeDocument/2006/relationships/hyperlink" Target="https://doi.org/10.1021/acssuschemeng.8b06447" TargetMode="External"/><Relationship Id="rId8" Type="http://schemas.openxmlformats.org/officeDocument/2006/relationships/hyperlink" Target="mailto:yudings@mail.sysu.edu.cn" TargetMode="External"/><Relationship Id="rId51" Type="http://schemas.openxmlformats.org/officeDocument/2006/relationships/image" Target="media/image42.png"/><Relationship Id="rId72" Type="http://schemas.openxmlformats.org/officeDocument/2006/relationships/hyperlink" Target="https://doi.org/10.1002/adfm.201705048"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7.png"/><Relationship Id="rId59" Type="http://schemas.openxmlformats.org/officeDocument/2006/relationships/hyperlink" Target="https://doi.org/10.1016/j.cej.2022.134650" TargetMode="External"/><Relationship Id="rId67" Type="http://schemas.openxmlformats.org/officeDocument/2006/relationships/hyperlink" Target="https://doi.org/10.1002/ange.202016024"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hyperlink" Target="https://doi.org/10.1016/j.apcatb.2022.121096" TargetMode="External"/><Relationship Id="rId62" Type="http://schemas.openxmlformats.org/officeDocument/2006/relationships/hyperlink" Target="https://doi.org/10.1016/j.electacta.2019.05.140" TargetMode="External"/><Relationship Id="rId70" Type="http://schemas.openxmlformats.org/officeDocument/2006/relationships/hyperlink" Target="https://doi.org/10.1021/acsami.0c10151" TargetMode="External"/><Relationship Id="rId75" Type="http://schemas.openxmlformats.org/officeDocument/2006/relationships/hyperlink" Target="https://doi.org/10.1002/smll.20170420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hyperlink" Target="https://doi.org/10.1016/j.cej.2021.133559" TargetMode="Externa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3.png"/><Relationship Id="rId60" Type="http://schemas.openxmlformats.org/officeDocument/2006/relationships/hyperlink" Target="https://doi.org/10.1149/09707.0071ecst" TargetMode="External"/><Relationship Id="rId65" Type="http://schemas.openxmlformats.org/officeDocument/2006/relationships/hyperlink" Target="https://doi.org/10.1002/anie.202104790" TargetMode="External"/><Relationship Id="rId73" Type="http://schemas.openxmlformats.org/officeDocument/2006/relationships/hyperlink" Target="https://doi.org/10.1002/aenm.201801839" TargetMode="External"/><Relationship Id="rId78" Type="http://schemas.openxmlformats.org/officeDocument/2006/relationships/hyperlink" Target="https://doi.org/10.1002/adma.201970327"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1.png"/><Relationship Id="rId55" Type="http://schemas.openxmlformats.org/officeDocument/2006/relationships/hyperlink" Target="https://doi.org/10.1021/acsaem.0c02579" TargetMode="External"/><Relationship Id="rId76" Type="http://schemas.openxmlformats.org/officeDocument/2006/relationships/hyperlink" Target="https://doi.org/10.1016/j.carbon.2016.10.046" TargetMode="External"/><Relationship Id="rId7" Type="http://schemas.openxmlformats.org/officeDocument/2006/relationships/hyperlink" Target="mailto:zzhip8@mail.sysu.edu.cn" TargetMode="External"/><Relationship Id="rId71" Type="http://schemas.openxmlformats.org/officeDocument/2006/relationships/hyperlink" Target="https://doi.org/10.1039/c9cc01876j" TargetMode="External"/><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oleObject" Target="embeddings/oleObject1.bin"/><Relationship Id="rId66" Type="http://schemas.openxmlformats.org/officeDocument/2006/relationships/hyperlink" Target="https://doi.org/10.1021/acsami.2c19663"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20</Pages>
  <Words>15882</Words>
  <Characters>90533</Characters>
  <Application>Microsoft Office Word</Application>
  <DocSecurity>0</DocSecurity>
  <Lines>754</Lines>
  <Paragraphs>212</Paragraphs>
  <ScaleCrop>false</ScaleCrop>
  <Company>中山大学</Company>
  <LinksUpToDate>false</LinksUpToDate>
  <CharactersWithSpaces>106203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 刘</dc:creator>
  <cp:lastModifiedBy>rhe</cp:lastModifiedBy>
  <cp:revision>10</cp:revision>
  <dcterms:created xsi:type="dcterms:W3CDTF">2025-02-20T07:26:00Z</dcterms:created>
  <dcterms:modified xsi:type="dcterms:W3CDTF">2025-02-20T08:27:00Z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9f50242f-c9dd-45b3-9552-c0755166b9d1</vt:lpwstr>
  </property>
  <property fmtid="{D5CDD505-2E9C-101B-9397-08002B2CF9AE}" pid="3" name="KSOProductBuildVer">
    <vt:lpwstr>2052-12.1.0.19770</vt:lpwstr>
  </property>
  <property fmtid="{D5CDD505-2E9C-101B-9397-08002B2CF9AE}" pid="4" name="ICV">
    <vt:lpwstr>40B51CA758C1495096E36FBEF6B92618_13</vt:lpwstr>
  </property>
  <property fmtid="{D5CDD505-2E9C-101B-9397-08002B2CF9AE}" pid="5" name="ZOTERO_PREF_1">
    <vt:lpwstr>&lt;data data-version="3" zotero-version="6.0.36"&gt;&lt;session id="msrF8eI4"/&gt;&lt;style id="http://www.zotero.org/styles/angewandte-chemie" hasBibliography="1" bibliographyStyleHasBeenSet="1"/&gt;&lt;prefs&gt;&lt;pref name="fieldType" value="Field"/&gt;&lt;/prefs&gt;&lt;/data&gt;</vt:lpwstr>
  </property>
  <property fmtid="{D5CDD505-2E9C-101B-9397-08002B2CF9AE}" pid="6" name="KSOTemplateDocerSaveRecord">
    <vt:lpwstr>eyJoZGlkIjoiYjA0NWMxZDA0NjIxZGQ4ZDI2YWJlMjE2Nzk5NGNhYTMiLCJ1c2VySWQiOiIxNDcyNjE1MDExIn0=</vt:lpwstr>
  </property>
</Properties>
</file>