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FE7B3" w14:textId="582329BD" w:rsidR="00F672BA" w:rsidRPr="008D460F" w:rsidRDefault="00BE59E1" w:rsidP="008D460F">
      <w:pPr>
        <w:spacing w:beforeLines="0" w:before="120" w:after="120" w:line="240" w:lineRule="auto"/>
        <w:rPr>
          <w:bCs/>
          <w:sz w:val="32"/>
          <w:szCs w:val="32"/>
        </w:rPr>
      </w:pPr>
      <w:bookmarkStart w:id="0" w:name="_Hlk209026933"/>
      <w:bookmarkEnd w:id="0"/>
      <w:r w:rsidRPr="008D460F">
        <w:rPr>
          <w:bCs/>
          <w:szCs w:val="32"/>
        </w:rPr>
        <w:t xml:space="preserve">Supporting </w:t>
      </w:r>
      <w:r w:rsidR="008D460F" w:rsidRPr="008D460F">
        <w:rPr>
          <w:bCs/>
          <w:szCs w:val="32"/>
        </w:rPr>
        <w:t>I</w:t>
      </w:r>
      <w:r w:rsidRPr="008D460F">
        <w:rPr>
          <w:bCs/>
          <w:szCs w:val="32"/>
        </w:rPr>
        <w:t>nformation</w:t>
      </w:r>
      <w:r w:rsidR="008D460F">
        <w:rPr>
          <w:bCs/>
          <w:szCs w:val="32"/>
        </w:rPr>
        <w:t xml:space="preserve"> for</w:t>
      </w:r>
    </w:p>
    <w:p w14:paraId="31BF28F7" w14:textId="58D184A8" w:rsidR="008D460F" w:rsidRPr="006568A6" w:rsidRDefault="008D460F" w:rsidP="008D460F">
      <w:pPr>
        <w:spacing w:beforeLines="0" w:before="120" w:after="120" w:line="240" w:lineRule="auto"/>
        <w:rPr>
          <w:b/>
          <w:bCs/>
          <w:sz w:val="28"/>
          <w:szCs w:val="28"/>
        </w:rPr>
      </w:pPr>
      <w:bookmarkStart w:id="1" w:name="_Hlk201995191"/>
      <w:bookmarkStart w:id="2" w:name="_Hlk184647554"/>
      <w:r w:rsidRPr="007C4E6F">
        <w:rPr>
          <w:b/>
          <w:bCs/>
          <w:sz w:val="28"/>
          <w:szCs w:val="28"/>
        </w:rPr>
        <w:t>Unlocking Reversible Mn</w:t>
      </w:r>
      <w:r w:rsidRPr="007C4E6F">
        <w:rPr>
          <w:b/>
          <w:bCs/>
          <w:sz w:val="28"/>
          <w:szCs w:val="28"/>
          <w:vertAlign w:val="superscript"/>
        </w:rPr>
        <w:t>2+</w:t>
      </w:r>
      <w:r w:rsidRPr="007C4E6F">
        <w:rPr>
          <w:b/>
          <w:bCs/>
          <w:sz w:val="28"/>
          <w:szCs w:val="28"/>
        </w:rPr>
        <w:t>/MnO</w:t>
      </w:r>
      <w:r w:rsidRPr="007C4E6F">
        <w:rPr>
          <w:b/>
          <w:bCs/>
          <w:sz w:val="28"/>
          <w:szCs w:val="28"/>
          <w:vertAlign w:val="subscript"/>
        </w:rPr>
        <w:t>2</w:t>
      </w:r>
      <w:r w:rsidRPr="007C4E6F">
        <w:rPr>
          <w:b/>
          <w:bCs/>
          <w:sz w:val="28"/>
          <w:szCs w:val="28"/>
        </w:rPr>
        <w:t xml:space="preserve"> Chemistry in Semi</w:t>
      </w:r>
      <w:r w:rsidR="009F0690">
        <w:rPr>
          <w:rFonts w:hint="eastAsia"/>
          <w:b/>
          <w:bCs/>
          <w:sz w:val="28"/>
          <w:szCs w:val="28"/>
        </w:rPr>
        <w:t>s</w:t>
      </w:r>
      <w:r w:rsidRPr="007C4E6F">
        <w:rPr>
          <w:b/>
          <w:bCs/>
          <w:sz w:val="28"/>
          <w:szCs w:val="28"/>
        </w:rPr>
        <w:t>olid Slurry Electrodes for High-Performance Aqueous Zn</w:t>
      </w:r>
      <w:r w:rsidRPr="007C4E6F">
        <w:rPr>
          <w:rFonts w:hint="eastAsia"/>
          <w:b/>
          <w:bCs/>
          <w:sz w:val="28"/>
          <w:szCs w:val="28"/>
        </w:rPr>
        <w:t>-</w:t>
      </w:r>
      <w:r w:rsidRPr="007C4E6F">
        <w:rPr>
          <w:b/>
          <w:bCs/>
          <w:sz w:val="28"/>
          <w:szCs w:val="28"/>
        </w:rPr>
        <w:t>Mn Batteries</w:t>
      </w:r>
      <w:bookmarkEnd w:id="1"/>
      <w:bookmarkEnd w:id="2"/>
    </w:p>
    <w:p w14:paraId="0D934940" w14:textId="77777777" w:rsidR="008D460F" w:rsidRPr="006568A6" w:rsidRDefault="008D460F" w:rsidP="008D460F">
      <w:pPr>
        <w:pStyle w:val="AuthorsFull"/>
        <w:spacing w:before="120" w:after="120"/>
        <w:jc w:val="both"/>
        <w:rPr>
          <w:i w:val="0"/>
        </w:rPr>
      </w:pPr>
      <w:bookmarkStart w:id="3" w:name="_Hlk209451855"/>
      <w:r w:rsidRPr="007C4E6F">
        <w:rPr>
          <w:i w:val="0"/>
        </w:rPr>
        <w:t>Zefang Yang</w:t>
      </w:r>
      <w:r w:rsidRPr="007C4E6F">
        <w:rPr>
          <w:i w:val="0"/>
          <w:vertAlign w:val="superscript"/>
        </w:rPr>
        <w:t>1</w:t>
      </w:r>
      <w:r>
        <w:rPr>
          <w:i w:val="0"/>
          <w:vertAlign w:val="superscript"/>
        </w:rPr>
        <w:t>,2,3</w:t>
      </w:r>
      <w:r w:rsidRPr="007C4E6F">
        <w:rPr>
          <w:i w:val="0"/>
        </w:rPr>
        <w:t>, Qi Zhang</w:t>
      </w:r>
      <w:r w:rsidRPr="007C4E6F">
        <w:rPr>
          <w:i w:val="0"/>
          <w:vertAlign w:val="superscript"/>
        </w:rPr>
        <w:t>1</w:t>
      </w:r>
      <w:r w:rsidRPr="007C4E6F">
        <w:rPr>
          <w:i w:val="0"/>
        </w:rPr>
        <w:t>*, Chao Hu</w:t>
      </w:r>
      <w:r w:rsidRPr="007C4E6F">
        <w:rPr>
          <w:i w:val="0"/>
          <w:vertAlign w:val="superscript"/>
        </w:rPr>
        <w:t>1</w:t>
      </w:r>
      <w:r w:rsidRPr="007C4E6F">
        <w:rPr>
          <w:i w:val="0"/>
        </w:rPr>
        <w:t>, Yougen Tang</w:t>
      </w:r>
      <w:r w:rsidRPr="007C4E6F">
        <w:rPr>
          <w:i w:val="0"/>
          <w:vertAlign w:val="superscript"/>
        </w:rPr>
        <w:t>1</w:t>
      </w:r>
      <w:r w:rsidRPr="007C4E6F">
        <w:rPr>
          <w:i w:val="0"/>
        </w:rPr>
        <w:t xml:space="preserve">, </w:t>
      </w:r>
      <w:bookmarkStart w:id="4" w:name="_Hlk187782294"/>
      <w:r w:rsidRPr="007C4E6F">
        <w:rPr>
          <w:i w:val="0"/>
        </w:rPr>
        <w:t>Jinchi Li</w:t>
      </w:r>
      <w:r w:rsidRPr="007C4E6F">
        <w:rPr>
          <w:i w:val="0"/>
          <w:vertAlign w:val="superscript"/>
        </w:rPr>
        <w:t>2</w:t>
      </w:r>
      <w:r w:rsidRPr="007C4E6F">
        <w:rPr>
          <w:i w:val="0"/>
        </w:rPr>
        <w:t>, Qi Wa</w:t>
      </w:r>
      <w:bookmarkStart w:id="5" w:name="_GoBack"/>
      <w:bookmarkEnd w:id="5"/>
      <w:r w:rsidRPr="007C4E6F">
        <w:rPr>
          <w:i w:val="0"/>
        </w:rPr>
        <w:t>ng</w:t>
      </w:r>
      <w:r>
        <w:rPr>
          <w:i w:val="0"/>
          <w:vertAlign w:val="superscript"/>
        </w:rPr>
        <w:t>4</w:t>
      </w:r>
      <w:r w:rsidRPr="007C4E6F">
        <w:rPr>
          <w:i w:val="0"/>
        </w:rPr>
        <w:t xml:space="preserve">, Wanhai </w:t>
      </w:r>
      <w:r w:rsidRPr="007C4E6F">
        <w:rPr>
          <w:rFonts w:hint="eastAsia"/>
          <w:i w:val="0"/>
        </w:rPr>
        <w:t>Z</w:t>
      </w:r>
      <w:r w:rsidRPr="007C4E6F">
        <w:rPr>
          <w:i w:val="0"/>
        </w:rPr>
        <w:t>hou</w:t>
      </w:r>
      <w:r w:rsidRPr="007C4E6F">
        <w:rPr>
          <w:i w:val="0"/>
          <w:vertAlign w:val="superscript"/>
        </w:rPr>
        <w:t>2</w:t>
      </w:r>
      <w:r w:rsidRPr="007C4E6F">
        <w:rPr>
          <w:i w:val="0"/>
        </w:rPr>
        <w:t>, Dongliang Chao</w:t>
      </w:r>
      <w:bookmarkEnd w:id="4"/>
      <w:r w:rsidRPr="007C4E6F">
        <w:rPr>
          <w:i w:val="0"/>
          <w:vertAlign w:val="superscript"/>
        </w:rPr>
        <w:t>2</w:t>
      </w:r>
      <w:r w:rsidRPr="007C4E6F">
        <w:rPr>
          <w:i w:val="0"/>
        </w:rPr>
        <w:t>*, Haiyan Wang</w:t>
      </w:r>
      <w:r w:rsidRPr="007C4E6F">
        <w:rPr>
          <w:i w:val="0"/>
          <w:vertAlign w:val="superscript"/>
        </w:rPr>
        <w:t>1</w:t>
      </w:r>
      <w:r w:rsidRPr="007C4E6F">
        <w:rPr>
          <w:i w:val="0"/>
        </w:rPr>
        <w:t>*</w:t>
      </w:r>
    </w:p>
    <w:p w14:paraId="666DD498" w14:textId="77777777" w:rsidR="008D460F" w:rsidRPr="006568A6" w:rsidRDefault="008D460F" w:rsidP="008D460F">
      <w:pPr>
        <w:pStyle w:val="BCAuthorAddress"/>
        <w:spacing w:before="120" w:after="120" w:line="240" w:lineRule="auto"/>
        <w:jc w:val="both"/>
        <w:rPr>
          <w:rFonts w:ascii="Times New Roman" w:hAnsi="Times New Roman"/>
          <w:szCs w:val="24"/>
        </w:rPr>
      </w:pPr>
      <w:r>
        <w:rPr>
          <w:rFonts w:ascii="Times New Roman" w:hAnsi="Times New Roman"/>
          <w:szCs w:val="24"/>
          <w:vertAlign w:val="superscript"/>
        </w:rPr>
        <w:t>1</w:t>
      </w:r>
      <w:r>
        <w:rPr>
          <w:rFonts w:ascii="Times New Roman" w:hAnsi="Times New Roman" w:hint="eastAsia"/>
          <w:szCs w:val="24"/>
        </w:rPr>
        <w:t xml:space="preserve"> </w:t>
      </w:r>
      <w:r w:rsidRPr="00BA2135">
        <w:rPr>
          <w:rFonts w:ascii="Times New Roman" w:hAnsi="Times New Roman"/>
          <w:szCs w:val="24"/>
        </w:rPr>
        <w:t>Hunan Provincial Key Laboratory of Chemical Power Sources, College of Chemistry and Chemical Engineering, Central South University, Changsha 410083, P.</w:t>
      </w:r>
      <w:r>
        <w:rPr>
          <w:rFonts w:ascii="Times New Roman" w:hAnsi="Times New Roman"/>
          <w:szCs w:val="24"/>
        </w:rPr>
        <w:t xml:space="preserve"> </w:t>
      </w:r>
      <w:r w:rsidRPr="00BA2135">
        <w:rPr>
          <w:rFonts w:ascii="Times New Roman" w:hAnsi="Times New Roman"/>
          <w:szCs w:val="24"/>
        </w:rPr>
        <w:t>R. China</w:t>
      </w:r>
    </w:p>
    <w:p w14:paraId="1E81BBD7" w14:textId="77777777" w:rsidR="008D460F" w:rsidRPr="006568A6" w:rsidRDefault="008D460F" w:rsidP="008D460F">
      <w:pPr>
        <w:pStyle w:val="BCAuthorAddress"/>
        <w:spacing w:before="120" w:after="120" w:line="240" w:lineRule="auto"/>
        <w:jc w:val="both"/>
        <w:rPr>
          <w:rFonts w:ascii="Times New Roman" w:hAnsi="Times New Roman"/>
          <w:szCs w:val="24"/>
          <w:lang w:val="de-DE"/>
        </w:rPr>
      </w:pPr>
      <w:r>
        <w:rPr>
          <w:rFonts w:ascii="Times New Roman" w:hAnsi="Times New Roman"/>
          <w:szCs w:val="24"/>
          <w:vertAlign w:val="superscript"/>
        </w:rPr>
        <w:t>2</w:t>
      </w:r>
      <w:r>
        <w:t xml:space="preserve"> </w:t>
      </w:r>
      <w:r w:rsidRPr="00886047">
        <w:rPr>
          <w:rFonts w:ascii="Times New Roman" w:hAnsi="Times New Roman"/>
          <w:szCs w:val="24"/>
        </w:rPr>
        <w:t>Laboratory of</w:t>
      </w:r>
      <w:r>
        <w:rPr>
          <w:rFonts w:ascii="Times New Roman" w:hAnsi="Times New Roman"/>
          <w:szCs w:val="24"/>
        </w:rPr>
        <w:t xml:space="preserve"> </w:t>
      </w:r>
      <w:r w:rsidRPr="00886047">
        <w:rPr>
          <w:rFonts w:ascii="Times New Roman" w:hAnsi="Times New Roman"/>
          <w:szCs w:val="24"/>
        </w:rPr>
        <w:t>Advanced Materials</w:t>
      </w:r>
      <w:r>
        <w:rPr>
          <w:rFonts w:ascii="Times New Roman" w:hAnsi="Times New Roman"/>
          <w:szCs w:val="24"/>
        </w:rPr>
        <w:t>,</w:t>
      </w:r>
      <w:r w:rsidRPr="00886047">
        <w:rPr>
          <w:rFonts w:ascii="Times New Roman" w:hAnsi="Times New Roman"/>
          <w:szCs w:val="24"/>
        </w:rPr>
        <w:t xml:space="preserve"> Aqueous Battery Center</w:t>
      </w:r>
      <w:r>
        <w:rPr>
          <w:rFonts w:ascii="Times New Roman" w:hAnsi="Times New Roman"/>
          <w:szCs w:val="24"/>
        </w:rPr>
        <w:t>,</w:t>
      </w:r>
      <w:r w:rsidRPr="00886047">
        <w:rPr>
          <w:rFonts w:ascii="Times New Roman" w:hAnsi="Times New Roman"/>
          <w:szCs w:val="24"/>
        </w:rPr>
        <w:t xml:space="preserve"> </w:t>
      </w:r>
      <w:r w:rsidRPr="00BA2135">
        <w:rPr>
          <w:rFonts w:ascii="Times New Roman" w:hAnsi="Times New Roman"/>
          <w:szCs w:val="24"/>
        </w:rPr>
        <w:t xml:space="preserve">State Key Laboratory of Molecular Engineering of Polymers, </w:t>
      </w:r>
      <w:r w:rsidRPr="00886047">
        <w:rPr>
          <w:rFonts w:ascii="Times New Roman" w:hAnsi="Times New Roman"/>
          <w:szCs w:val="24"/>
        </w:rPr>
        <w:t>College of</w:t>
      </w:r>
      <w:r>
        <w:rPr>
          <w:rFonts w:ascii="Times New Roman" w:hAnsi="Times New Roman"/>
          <w:szCs w:val="24"/>
        </w:rPr>
        <w:t xml:space="preserve"> </w:t>
      </w:r>
      <w:r w:rsidRPr="00886047">
        <w:rPr>
          <w:rFonts w:ascii="Times New Roman" w:hAnsi="Times New Roman"/>
          <w:szCs w:val="24"/>
        </w:rPr>
        <w:t>Smart Materials and Future Energy</w:t>
      </w:r>
      <w:r>
        <w:rPr>
          <w:rFonts w:ascii="Times New Roman" w:hAnsi="Times New Roman"/>
          <w:szCs w:val="24"/>
        </w:rPr>
        <w:t>,</w:t>
      </w:r>
      <w:r w:rsidRPr="00886047">
        <w:rPr>
          <w:rFonts w:ascii="Times New Roman" w:hAnsi="Times New Roman"/>
          <w:szCs w:val="24"/>
        </w:rPr>
        <w:t xml:space="preserve"> Fudan University</w:t>
      </w:r>
      <w:r>
        <w:rPr>
          <w:rFonts w:ascii="Times New Roman" w:hAnsi="Times New Roman"/>
          <w:szCs w:val="24"/>
        </w:rPr>
        <w:t xml:space="preserve">, </w:t>
      </w:r>
      <w:r w:rsidRPr="002121B3">
        <w:rPr>
          <w:rFonts w:ascii="Times New Roman" w:hAnsi="Times New Roman"/>
          <w:szCs w:val="24"/>
          <w:lang w:val="de-DE"/>
        </w:rPr>
        <w:t>Shanghai 200433, P. R. China</w:t>
      </w:r>
    </w:p>
    <w:p w14:paraId="720FDACE" w14:textId="77777777" w:rsidR="008D460F" w:rsidRPr="006568A6" w:rsidRDefault="008D460F" w:rsidP="008D460F">
      <w:pPr>
        <w:pStyle w:val="BIEmailAddress"/>
        <w:spacing w:before="120" w:after="120" w:line="240" w:lineRule="auto"/>
        <w:rPr>
          <w:lang w:val="de-DE"/>
        </w:rPr>
      </w:pPr>
      <w:r w:rsidRPr="00886047">
        <w:rPr>
          <w:iCs/>
          <w:vertAlign w:val="superscript"/>
        </w:rPr>
        <w:t>3</w:t>
      </w:r>
      <w:r>
        <w:rPr>
          <w:i/>
          <w:vertAlign w:val="superscript"/>
        </w:rPr>
        <w:t xml:space="preserve"> </w:t>
      </w:r>
      <w:r w:rsidRPr="00886047">
        <w:rPr>
          <w:lang w:val="de-DE"/>
        </w:rPr>
        <w:t>School of Physical and Mathematical Sciences, Nanyang Technological University, Singapore 637371, Singapore</w:t>
      </w:r>
    </w:p>
    <w:p w14:paraId="6549F769" w14:textId="77777777" w:rsidR="008D460F" w:rsidRPr="006568A6" w:rsidRDefault="008D460F" w:rsidP="008D460F">
      <w:pPr>
        <w:pStyle w:val="BCAuthorAddress"/>
        <w:spacing w:before="120" w:after="120" w:line="240" w:lineRule="auto"/>
        <w:jc w:val="both"/>
        <w:rPr>
          <w:rFonts w:ascii="Times New Roman" w:hAnsi="Times New Roman"/>
          <w:szCs w:val="24"/>
        </w:rPr>
      </w:pPr>
      <w:r>
        <w:rPr>
          <w:rFonts w:ascii="Times New Roman" w:hAnsi="Times New Roman"/>
          <w:szCs w:val="24"/>
          <w:vertAlign w:val="superscript"/>
          <w:lang w:eastAsia="zh-CN"/>
        </w:rPr>
        <w:t>4</w:t>
      </w:r>
      <w:r>
        <w:t xml:space="preserve"> </w:t>
      </w:r>
      <w:r w:rsidRPr="00BA2135">
        <w:rPr>
          <w:rFonts w:ascii="Times New Roman" w:hAnsi="Times New Roman"/>
          <w:szCs w:val="24"/>
        </w:rPr>
        <w:t>Nanotechnology Research Laboratory, Faculty of Engineering, University of Sydney, NSW 2006, Australia</w:t>
      </w:r>
    </w:p>
    <w:p w14:paraId="61A56A9B" w14:textId="1DE7A504" w:rsidR="008D460F" w:rsidRDefault="008D460F" w:rsidP="008D460F">
      <w:pPr>
        <w:spacing w:beforeLines="0" w:before="120" w:after="120" w:line="240" w:lineRule="auto"/>
        <w:jc w:val="left"/>
      </w:pPr>
      <w:r>
        <w:t>*Corresponding author</w:t>
      </w:r>
      <w:r w:rsidRPr="008D460F">
        <w:rPr>
          <w:rFonts w:cs="Times New Roman"/>
        </w:rPr>
        <w:t>s.</w:t>
      </w:r>
      <w:r>
        <w:t xml:space="preserve"> E-mail: </w:t>
      </w:r>
      <w:hyperlink r:id="rId7" w:history="1">
        <w:r w:rsidRPr="00E63D77">
          <w:rPr>
            <w:rStyle w:val="Hyperlink"/>
          </w:rPr>
          <w:t>qzhang1027@csu.edu.cn</w:t>
        </w:r>
      </w:hyperlink>
      <w:r>
        <w:t xml:space="preserve"> (</w:t>
      </w:r>
      <w:r w:rsidRPr="007C4E6F">
        <w:t>Qi Zhang</w:t>
      </w:r>
      <w:r>
        <w:t>)</w:t>
      </w:r>
      <w:r w:rsidRPr="00BA2135">
        <w:t xml:space="preserve">; </w:t>
      </w:r>
      <w:hyperlink r:id="rId8" w:history="1">
        <w:r w:rsidRPr="00E63D77">
          <w:rPr>
            <w:rStyle w:val="Hyperlink"/>
          </w:rPr>
          <w:t>chaod@fudan.edu.cn</w:t>
        </w:r>
      </w:hyperlink>
      <w:r>
        <w:t xml:space="preserve"> (</w:t>
      </w:r>
      <w:r w:rsidRPr="007C4E6F">
        <w:t>Dongliang Chao</w:t>
      </w:r>
      <w:r>
        <w:t>);</w:t>
      </w:r>
      <w:r w:rsidRPr="00BA2135">
        <w:t xml:space="preserve"> </w:t>
      </w:r>
      <w:hyperlink r:id="rId9" w:history="1">
        <w:r w:rsidRPr="00E63D77">
          <w:rPr>
            <w:rStyle w:val="Hyperlink"/>
          </w:rPr>
          <w:t>wanghy419@csu.edu.cn</w:t>
        </w:r>
      </w:hyperlink>
      <w:r>
        <w:t xml:space="preserve"> (</w:t>
      </w:r>
      <w:r w:rsidRPr="007C4E6F">
        <w:t>Haiyan Wang</w:t>
      </w:r>
      <w:r>
        <w:t>)</w:t>
      </w:r>
      <w:bookmarkEnd w:id="3"/>
    </w:p>
    <w:p w14:paraId="5AB24173" w14:textId="0B94C76E" w:rsidR="008D460F" w:rsidRPr="008D460F" w:rsidRDefault="008D460F" w:rsidP="008D460F">
      <w:pPr>
        <w:spacing w:beforeLines="0" w:before="120" w:after="120" w:line="240" w:lineRule="auto"/>
        <w:jc w:val="left"/>
        <w:rPr>
          <w:b/>
          <w:sz w:val="28"/>
          <w:szCs w:val="28"/>
        </w:rPr>
      </w:pPr>
      <w:r w:rsidRPr="008D460F">
        <w:rPr>
          <w:b/>
          <w:sz w:val="28"/>
        </w:rPr>
        <w:t>Supplementary Figures</w:t>
      </w:r>
    </w:p>
    <w:p w14:paraId="0BF8ABD8"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2D79AC17" wp14:editId="0DB93830">
            <wp:extent cx="4236090" cy="34798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7942" cy="3497751"/>
                    </a:xfrm>
                    <a:prstGeom prst="rect">
                      <a:avLst/>
                    </a:prstGeom>
                    <a:noFill/>
                    <a:ln>
                      <a:noFill/>
                    </a:ln>
                  </pic:spPr>
                </pic:pic>
              </a:graphicData>
            </a:graphic>
          </wp:inline>
        </w:drawing>
      </w:r>
    </w:p>
    <w:p w14:paraId="3CE12218" w14:textId="24B53D07" w:rsidR="00F672BA" w:rsidRPr="00F672BA" w:rsidRDefault="008D460F" w:rsidP="008D460F">
      <w:pPr>
        <w:spacing w:beforeLines="0" w:before="120" w:after="120" w:line="240" w:lineRule="auto"/>
      </w:pPr>
      <w:r w:rsidRPr="008D460F">
        <w:rPr>
          <w:rFonts w:hint="eastAsia"/>
          <w:b/>
        </w:rPr>
        <w:t>Fig. S</w:t>
      </w:r>
      <w:r w:rsidR="00BE59E1" w:rsidRPr="001E155B">
        <w:rPr>
          <w:b/>
        </w:rPr>
        <w:t>1</w:t>
      </w:r>
      <w:r w:rsidR="00BE59E1">
        <w:t xml:space="preserve"> (</w:t>
      </w:r>
      <w:r w:rsidR="00BE59E1" w:rsidRPr="001E155B">
        <w:rPr>
          <w:b/>
        </w:rPr>
        <w:t>a</w:t>
      </w:r>
      <w:r w:rsidR="00BE59E1">
        <w:t>) Cyclic voltammetry curve of MnO</w:t>
      </w:r>
      <w:r w:rsidR="00BE59E1">
        <w:rPr>
          <w:vertAlign w:val="subscript"/>
        </w:rPr>
        <w:t>2</w:t>
      </w:r>
      <w:r w:rsidR="00BE59E1">
        <w:t xml:space="preserve"> and zinc deposition/dissolution with a voltage gap. (</w:t>
      </w:r>
      <w:r w:rsidR="00BE59E1" w:rsidRPr="001E155B">
        <w:rPr>
          <w:b/>
        </w:rPr>
        <w:t>b</w:t>
      </w:r>
      <w:r w:rsidR="00BE59E1">
        <w:t xml:space="preserve">) </w:t>
      </w:r>
      <w:r w:rsidR="00BE59E1" w:rsidRPr="007D06CE">
        <w:t>The electrochemical window of the elect</w:t>
      </w:r>
      <w:r w:rsidR="001E155B">
        <w:t>rolyte for the slurry electrode</w:t>
      </w:r>
    </w:p>
    <w:p w14:paraId="6D81FC20"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36B52462" wp14:editId="660D69A4">
            <wp:extent cx="4527550" cy="3524111"/>
            <wp:effectExtent l="0" t="0" r="635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1088" cy="3534648"/>
                    </a:xfrm>
                    <a:prstGeom prst="rect">
                      <a:avLst/>
                    </a:prstGeom>
                    <a:noFill/>
                    <a:ln>
                      <a:noFill/>
                    </a:ln>
                  </pic:spPr>
                </pic:pic>
              </a:graphicData>
            </a:graphic>
          </wp:inline>
        </w:drawing>
      </w:r>
    </w:p>
    <w:p w14:paraId="27219ED5" w14:textId="2C21B8A4" w:rsidR="00F672BA" w:rsidRPr="00F672BA" w:rsidRDefault="008D460F" w:rsidP="008D460F">
      <w:pPr>
        <w:spacing w:beforeLines="0" w:before="120" w:after="120" w:line="240" w:lineRule="auto"/>
      </w:pPr>
      <w:r w:rsidRPr="008D460F">
        <w:rPr>
          <w:rFonts w:hint="eastAsia"/>
          <w:b/>
        </w:rPr>
        <w:t>Fig. S</w:t>
      </w:r>
      <w:r w:rsidR="00BE59E1">
        <w:t>2 Voltage-current relationship of the slurry with CNTs concentrations of (</w:t>
      </w:r>
      <w:r w:rsidR="00BE59E1" w:rsidRPr="001E155B">
        <w:rPr>
          <w:b/>
        </w:rPr>
        <w:t>a</w:t>
      </w:r>
      <w:r w:rsidR="00BE59E1">
        <w:t>) 0.5%, (</w:t>
      </w:r>
      <w:r w:rsidR="00BE59E1" w:rsidRPr="001E155B">
        <w:rPr>
          <w:b/>
        </w:rPr>
        <w:t>b</w:t>
      </w:r>
      <w:r w:rsidR="00BE59E1">
        <w:t>) 1%</w:t>
      </w:r>
      <w:r w:rsidR="00BE59E1">
        <w:rPr>
          <w:rFonts w:hint="eastAsia"/>
        </w:rPr>
        <w:t>,</w:t>
      </w:r>
      <w:r w:rsidR="001E155B">
        <w:t xml:space="preserve"> (</w:t>
      </w:r>
      <w:r w:rsidR="001E155B" w:rsidRPr="001E155B">
        <w:rPr>
          <w:b/>
        </w:rPr>
        <w:t>c</w:t>
      </w:r>
      <w:r w:rsidR="001E155B">
        <w:t>) 2% and (</w:t>
      </w:r>
      <w:r w:rsidR="001E155B" w:rsidRPr="001E155B">
        <w:rPr>
          <w:b/>
        </w:rPr>
        <w:t>d</w:t>
      </w:r>
      <w:r w:rsidR="001E155B">
        <w:t>) 3%</w:t>
      </w:r>
    </w:p>
    <w:p w14:paraId="0C7996D4" w14:textId="04173B34" w:rsidR="00F672BA" w:rsidRPr="00F672BA" w:rsidRDefault="00BE59E1" w:rsidP="008D460F">
      <w:pPr>
        <w:spacing w:beforeLines="0" w:before="120" w:after="120" w:line="240" w:lineRule="auto"/>
      </w:pPr>
      <w:r>
        <w:t xml:space="preserve">The resistance of the slurry </w:t>
      </w:r>
      <w:r>
        <w:rPr>
          <w:rFonts w:hint="eastAsia"/>
        </w:rPr>
        <w:t>wa</w:t>
      </w:r>
      <w:r>
        <w:t xml:space="preserve">s calculated using the previous </w:t>
      </w:r>
      <w:r w:rsidRPr="001E155B">
        <w:t>methods.</w:t>
      </w:r>
      <w:r w:rsidRPr="001E155B">
        <w:rPr>
          <w:noProof/>
        </w:rPr>
        <w:t xml:space="preserve"> [</w:t>
      </w:r>
      <w:r w:rsidR="001E155B" w:rsidRPr="001E155B">
        <w:rPr>
          <w:noProof/>
        </w:rPr>
        <w:t>S</w:t>
      </w:r>
      <w:r w:rsidRPr="001E155B">
        <w:rPr>
          <w:noProof/>
        </w:rPr>
        <w:t xml:space="preserve">1, </w:t>
      </w:r>
      <w:r w:rsidR="001E155B" w:rsidRPr="001E155B">
        <w:rPr>
          <w:noProof/>
        </w:rPr>
        <w:t>S</w:t>
      </w:r>
      <w:r w:rsidRPr="001E155B">
        <w:rPr>
          <w:noProof/>
        </w:rPr>
        <w:t>2]</w:t>
      </w:r>
      <w:r w:rsidRPr="001E155B">
        <w:t xml:space="preserve"> The</w:t>
      </w:r>
      <w:r>
        <w:t xml:space="preserve"> electrode slurry is first encapsulated between the graphite plates. The measurement is conducted on the electrochemical workstation at a fixed scan rate of 0.1 mV s</w:t>
      </w:r>
      <w:r>
        <w:rPr>
          <w:rFonts w:cs="Times New Roman"/>
          <w:vertAlign w:val="superscript"/>
        </w:rPr>
        <w:t>−</w:t>
      </w:r>
      <w:r>
        <w:rPr>
          <w:vertAlign w:val="superscript"/>
        </w:rPr>
        <w:t>1</w:t>
      </w:r>
      <w:r>
        <w:t>. The electronic conductivity of slurry can be calculated using the formula below.</w:t>
      </w:r>
    </w:p>
    <w:p w14:paraId="102070DC" w14:textId="75DDBF7A" w:rsidR="00F672BA" w:rsidRPr="00F672BA" w:rsidRDefault="00BE59E1" w:rsidP="008D460F">
      <w:pPr>
        <w:spacing w:beforeLines="0" w:before="120" w:after="120" w:line="240" w:lineRule="auto"/>
        <w:jc w:val="right"/>
      </w:pPr>
      <w:r>
        <w:rPr>
          <w:rFonts w:hint="eastAsia"/>
          <w:i/>
          <w:iCs/>
        </w:rPr>
        <w:t>R</w:t>
      </w:r>
      <w:r>
        <w:t xml:space="preserve"> = </w:t>
      </w:r>
      <w:r>
        <w:rPr>
          <w:i/>
          <w:iCs/>
        </w:rPr>
        <w:t>U</w:t>
      </w:r>
      <w:r>
        <w:t>/</w:t>
      </w:r>
      <w:r>
        <w:rPr>
          <w:i/>
          <w:iCs/>
        </w:rPr>
        <w:t>I</w:t>
      </w:r>
      <w:r>
        <w:t xml:space="preserve">                                      (</w:t>
      </w:r>
      <w:r w:rsidR="001E155B">
        <w:t>S</w:t>
      </w:r>
      <w:r>
        <w:t>1)</w:t>
      </w:r>
    </w:p>
    <w:p w14:paraId="6DC46F28" w14:textId="3E16E7EB" w:rsidR="00F672BA" w:rsidRPr="00F672BA" w:rsidRDefault="00BE59E1" w:rsidP="008D460F">
      <w:pPr>
        <w:spacing w:beforeLines="0" w:before="120" w:after="120" w:line="240" w:lineRule="auto"/>
        <w:jc w:val="right"/>
      </w:pPr>
      <w:r>
        <w:rPr>
          <w:rFonts w:cs="Times New Roman"/>
          <w:i/>
          <w:iCs/>
        </w:rPr>
        <w:t>σ</w:t>
      </w:r>
      <w:r>
        <w:rPr>
          <w:rFonts w:hint="eastAsia"/>
        </w:rPr>
        <w:t xml:space="preserve"> </w:t>
      </w:r>
      <w:r>
        <w:t xml:space="preserve">= </w:t>
      </w:r>
      <w:r>
        <w:rPr>
          <w:i/>
          <w:iCs/>
        </w:rPr>
        <w:t>L</w:t>
      </w:r>
      <w:r>
        <w:t>/</w:t>
      </w:r>
      <w:r>
        <w:rPr>
          <w:i/>
          <w:iCs/>
        </w:rPr>
        <w:t>RS</w:t>
      </w:r>
      <w:r>
        <w:t xml:space="preserve">                                      (</w:t>
      </w:r>
      <w:r w:rsidR="001E155B">
        <w:t>S</w:t>
      </w:r>
      <w:r>
        <w:t>2)</w:t>
      </w:r>
    </w:p>
    <w:p w14:paraId="69A79EEB" w14:textId="235F8C45" w:rsidR="00F672BA" w:rsidRPr="00F672BA" w:rsidRDefault="00BE59E1" w:rsidP="008D460F">
      <w:pPr>
        <w:spacing w:beforeLines="0" w:before="120" w:after="120" w:line="240" w:lineRule="auto"/>
      </w:pPr>
      <w:r>
        <w:rPr>
          <w:rFonts w:hint="eastAsia"/>
        </w:rPr>
        <w:t>w</w:t>
      </w:r>
      <w:r>
        <w:t xml:space="preserve">here </w:t>
      </w:r>
      <w:r>
        <w:rPr>
          <w:i/>
          <w:iCs/>
        </w:rPr>
        <w:t>R</w:t>
      </w:r>
      <w:r>
        <w:t xml:space="preserve">, </w:t>
      </w:r>
      <w:r>
        <w:rPr>
          <w:i/>
          <w:iCs/>
        </w:rPr>
        <w:t>L</w:t>
      </w:r>
      <w:r>
        <w:t xml:space="preserve"> and </w:t>
      </w:r>
      <w:r>
        <w:rPr>
          <w:i/>
          <w:iCs/>
        </w:rPr>
        <w:t>S</w:t>
      </w:r>
      <w:r>
        <w:t xml:space="preserve"> are the slope (1/</w:t>
      </w:r>
      <w:r w:rsidRPr="009E5809">
        <w:rPr>
          <w:i/>
          <w:iCs/>
        </w:rPr>
        <w:t>K</w:t>
      </w:r>
      <w:r>
        <w:t>) of the voltage-current plot, the thickness of the slurry electrode and the reaction area of the slurry, respectively.</w:t>
      </w:r>
    </w:p>
    <w:p w14:paraId="3A56DEF9"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12DAD0E9" wp14:editId="42521E46">
            <wp:extent cx="2520950" cy="2157762"/>
            <wp:effectExtent l="0" t="0" r="0" b="0"/>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2"/>
                    <a:stretch>
                      <a:fillRect/>
                    </a:stretch>
                  </pic:blipFill>
                  <pic:spPr>
                    <a:xfrm>
                      <a:off x="0" y="0"/>
                      <a:ext cx="2528229" cy="2163992"/>
                    </a:xfrm>
                    <a:prstGeom prst="rect">
                      <a:avLst/>
                    </a:prstGeom>
                  </pic:spPr>
                </pic:pic>
              </a:graphicData>
            </a:graphic>
          </wp:inline>
        </w:drawing>
      </w:r>
    </w:p>
    <w:p w14:paraId="7D43AC56" w14:textId="6E0BB672" w:rsidR="00F672BA" w:rsidRPr="00F672BA" w:rsidRDefault="008D460F" w:rsidP="007773FB">
      <w:pPr>
        <w:spacing w:beforeLines="0" w:before="120" w:after="120" w:line="240" w:lineRule="auto"/>
      </w:pPr>
      <w:r w:rsidRPr="008D460F">
        <w:rPr>
          <w:rFonts w:hint="eastAsia"/>
          <w:b/>
        </w:rPr>
        <w:t>Fig. S</w:t>
      </w:r>
      <w:r w:rsidR="00BE59E1" w:rsidRPr="001E155B">
        <w:rPr>
          <w:b/>
        </w:rPr>
        <w:t>3</w:t>
      </w:r>
      <w:r w:rsidR="00BE59E1">
        <w:t xml:space="preserve"> </w:t>
      </w:r>
      <w:bookmarkStart w:id="6" w:name="OLE_LINK10"/>
      <w:r w:rsidR="00BE59E1">
        <w:t>Nyquist plot</w:t>
      </w:r>
      <w:r w:rsidR="00BE59E1">
        <w:rPr>
          <w:rFonts w:hint="eastAsia"/>
        </w:rPr>
        <w:t>s</w:t>
      </w:r>
      <w:r w:rsidR="00BE59E1">
        <w:t xml:space="preserve"> of the slurry with different concentrations of CNTs. The measurements are conducted by employing two stainless sheets as work and counter electrodes, respectively</w:t>
      </w:r>
      <w:bookmarkEnd w:id="6"/>
    </w:p>
    <w:p w14:paraId="7285BF2D" w14:textId="77777777" w:rsidR="00F672BA" w:rsidRPr="00F672BA" w:rsidRDefault="00BE59E1" w:rsidP="008D460F">
      <w:pPr>
        <w:spacing w:beforeLines="0" w:before="120" w:after="120" w:line="240" w:lineRule="auto"/>
        <w:jc w:val="center"/>
      </w:pPr>
      <w:r>
        <w:rPr>
          <w:rFonts w:hint="eastAsia"/>
          <w:noProof/>
          <w:lang w:val="en-IN" w:eastAsia="en-IN"/>
        </w:rPr>
        <w:drawing>
          <wp:inline distT="0" distB="0" distL="0" distR="0" wp14:anchorId="1945A95F" wp14:editId="207F6639">
            <wp:extent cx="5274310" cy="44488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a:stretch>
                      <a:fillRect/>
                    </a:stretch>
                  </pic:blipFill>
                  <pic:spPr>
                    <a:xfrm>
                      <a:off x="0" y="0"/>
                      <a:ext cx="5274310" cy="4448810"/>
                    </a:xfrm>
                    <a:prstGeom prst="rect">
                      <a:avLst/>
                    </a:prstGeom>
                  </pic:spPr>
                </pic:pic>
              </a:graphicData>
            </a:graphic>
          </wp:inline>
        </w:drawing>
      </w:r>
    </w:p>
    <w:p w14:paraId="080C810B" w14:textId="7E1102D2" w:rsidR="00F672BA" w:rsidRPr="00F672BA" w:rsidRDefault="008D460F" w:rsidP="008D460F">
      <w:pPr>
        <w:spacing w:beforeLines="0" w:before="120" w:after="120" w:line="240" w:lineRule="auto"/>
      </w:pPr>
      <w:r w:rsidRPr="008D460F">
        <w:rPr>
          <w:rFonts w:hint="eastAsia"/>
          <w:b/>
        </w:rPr>
        <w:t>Fig. S</w:t>
      </w:r>
      <w:r w:rsidR="00BE59E1" w:rsidRPr="001E155B">
        <w:rPr>
          <w:b/>
        </w:rPr>
        <w:t>4</w:t>
      </w:r>
      <w:r w:rsidR="00BE59E1">
        <w:t xml:space="preserve"> Rheological property of the slurry with a CNTs concentration</w:t>
      </w:r>
      <w:r w:rsidR="001E155B">
        <w:t xml:space="preserve"> of (</w:t>
      </w:r>
      <w:r w:rsidR="001E155B" w:rsidRPr="001E155B">
        <w:rPr>
          <w:b/>
        </w:rPr>
        <w:t>a</w:t>
      </w:r>
      <w:r w:rsidR="001E155B">
        <w:t>) 0.5%, (b) 1% and (</w:t>
      </w:r>
      <w:r w:rsidR="001E155B" w:rsidRPr="001E155B">
        <w:rPr>
          <w:b/>
        </w:rPr>
        <w:t>c</w:t>
      </w:r>
      <w:r w:rsidR="001E155B">
        <w:t>) 3%</w:t>
      </w:r>
    </w:p>
    <w:p w14:paraId="62BF43E2" w14:textId="66BA475C" w:rsidR="00F672BA" w:rsidRDefault="00F672BA" w:rsidP="008D460F">
      <w:pPr>
        <w:spacing w:beforeLines="0" w:before="120" w:after="120" w:line="240" w:lineRule="auto"/>
      </w:pPr>
    </w:p>
    <w:p w14:paraId="13507F0C" w14:textId="77777777" w:rsidR="001E155B" w:rsidRPr="00F672BA" w:rsidRDefault="001E155B" w:rsidP="008D460F">
      <w:pPr>
        <w:spacing w:beforeLines="0" w:before="120" w:after="120" w:line="240" w:lineRule="auto"/>
      </w:pPr>
    </w:p>
    <w:p w14:paraId="25B0B14F"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528161D6" wp14:editId="2D9A8811">
            <wp:extent cx="5316638" cy="18605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4"/>
                    <a:stretch>
                      <a:fillRect/>
                    </a:stretch>
                  </pic:blipFill>
                  <pic:spPr>
                    <a:xfrm>
                      <a:off x="0" y="0"/>
                      <a:ext cx="5320865" cy="1862029"/>
                    </a:xfrm>
                    <a:prstGeom prst="rect">
                      <a:avLst/>
                    </a:prstGeom>
                    <a:noFill/>
                    <a:ln>
                      <a:noFill/>
                    </a:ln>
                  </pic:spPr>
                </pic:pic>
              </a:graphicData>
            </a:graphic>
          </wp:inline>
        </w:drawing>
      </w:r>
    </w:p>
    <w:p w14:paraId="33710D89" w14:textId="00EA0B51" w:rsidR="00F672BA" w:rsidRPr="00F672BA" w:rsidRDefault="008D460F" w:rsidP="001E155B">
      <w:pPr>
        <w:spacing w:beforeLines="0" w:before="120" w:after="120" w:line="240" w:lineRule="auto"/>
        <w:jc w:val="left"/>
      </w:pPr>
      <w:r w:rsidRPr="008D460F">
        <w:rPr>
          <w:rFonts w:hint="eastAsia"/>
          <w:b/>
        </w:rPr>
        <w:t>Fig. S</w:t>
      </w:r>
      <w:r w:rsidR="00BE59E1" w:rsidRPr="001E155B">
        <w:rPr>
          <w:b/>
        </w:rPr>
        <w:t>5</w:t>
      </w:r>
      <w:r w:rsidR="00BE59E1">
        <w:t xml:space="preserve"> (</w:t>
      </w:r>
      <w:r w:rsidR="00BE59E1" w:rsidRPr="001E155B">
        <w:rPr>
          <w:b/>
        </w:rPr>
        <w:t>a</w:t>
      </w:r>
      <w:r w:rsidR="00BE59E1">
        <w:t xml:space="preserve">) The </w:t>
      </w:r>
      <w:r w:rsidR="00BE59E1">
        <w:rPr>
          <w:rFonts w:hint="eastAsia"/>
        </w:rPr>
        <w:t>units</w:t>
      </w:r>
      <w:r w:rsidR="00BE59E1">
        <w:t xml:space="preserve"> </w:t>
      </w:r>
      <w:r w:rsidR="00BE59E1">
        <w:rPr>
          <w:rFonts w:hint="eastAsia"/>
        </w:rPr>
        <w:t>and</w:t>
      </w:r>
      <w:r w:rsidR="00BE59E1">
        <w:t xml:space="preserve"> (</w:t>
      </w:r>
      <w:r w:rsidR="00BE59E1" w:rsidRPr="001E155B">
        <w:rPr>
          <w:b/>
        </w:rPr>
        <w:t>b</w:t>
      </w:r>
      <w:r w:rsidR="00BE59E1">
        <w:t>) setup of the Perspex-type M</w:t>
      </w:r>
      <w:r w:rsidR="00BE59E1">
        <w:rPr>
          <w:rFonts w:hint="eastAsia"/>
        </w:rPr>
        <w:t>nO</w:t>
      </w:r>
      <w:r w:rsidR="00BE59E1">
        <w:rPr>
          <w:vertAlign w:val="subscript"/>
        </w:rPr>
        <w:t>2</w:t>
      </w:r>
      <w:r w:rsidR="001E155B">
        <w:t xml:space="preserve"> slurry cell</w:t>
      </w:r>
    </w:p>
    <w:p w14:paraId="13210748" w14:textId="77777777" w:rsidR="00F672BA" w:rsidRPr="00F672BA" w:rsidRDefault="00F672BA" w:rsidP="008D460F">
      <w:pPr>
        <w:spacing w:beforeLines="0" w:before="120" w:after="120" w:line="240" w:lineRule="auto"/>
      </w:pPr>
    </w:p>
    <w:p w14:paraId="752105B5" w14:textId="77777777" w:rsidR="00F672BA" w:rsidRPr="00F672BA" w:rsidRDefault="00F672BA" w:rsidP="008D460F">
      <w:pPr>
        <w:spacing w:beforeLines="0" w:before="120" w:after="120" w:line="240" w:lineRule="auto"/>
      </w:pPr>
    </w:p>
    <w:p w14:paraId="0EE4E592" w14:textId="77777777" w:rsidR="00F672BA" w:rsidRPr="00F672BA" w:rsidRDefault="00F672BA" w:rsidP="008D460F">
      <w:pPr>
        <w:spacing w:beforeLines="0" w:before="120" w:after="120" w:line="240" w:lineRule="auto"/>
      </w:pPr>
    </w:p>
    <w:p w14:paraId="0BCB239C"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52269B2D" wp14:editId="2E1BFB1E">
            <wp:extent cx="2803231" cy="2415450"/>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7664" cy="2427887"/>
                    </a:xfrm>
                    <a:prstGeom prst="rect">
                      <a:avLst/>
                    </a:prstGeom>
                    <a:noFill/>
                    <a:ln>
                      <a:noFill/>
                    </a:ln>
                  </pic:spPr>
                </pic:pic>
              </a:graphicData>
            </a:graphic>
          </wp:inline>
        </w:drawing>
      </w:r>
    </w:p>
    <w:p w14:paraId="4C35C7F9" w14:textId="0AF6A28B" w:rsidR="00F672BA" w:rsidRDefault="008D460F" w:rsidP="008D460F">
      <w:pPr>
        <w:spacing w:beforeLines="0" w:before="120" w:after="120" w:line="240" w:lineRule="auto"/>
      </w:pPr>
      <w:r w:rsidRPr="008D460F">
        <w:rPr>
          <w:rFonts w:hint="eastAsia"/>
          <w:b/>
        </w:rPr>
        <w:t>Fig. S</w:t>
      </w:r>
      <w:r w:rsidR="00BE59E1" w:rsidRPr="001E155B">
        <w:rPr>
          <w:b/>
        </w:rPr>
        <w:t>6</w:t>
      </w:r>
      <w:r w:rsidR="00BE59E1">
        <w:t xml:space="preserve"> The constant-voltage charge and galvanostatic discharge curve</w:t>
      </w:r>
      <w:r w:rsidR="00BE59E1">
        <w:rPr>
          <w:rFonts w:hint="eastAsia"/>
        </w:rPr>
        <w:t>s</w:t>
      </w:r>
      <w:r w:rsidR="00BE59E1">
        <w:t xml:space="preserve"> of the slurry electrode</w:t>
      </w:r>
      <w:r w:rsidR="00BE59E1">
        <w:rPr>
          <w:rFonts w:hint="eastAsia"/>
        </w:rPr>
        <w:t>s</w:t>
      </w:r>
      <w:r w:rsidR="00BE59E1">
        <w:t xml:space="preserve"> with di</w:t>
      </w:r>
      <w:r w:rsidR="001E155B">
        <w:t>fferent concentrations of CNTs</w:t>
      </w:r>
    </w:p>
    <w:p w14:paraId="32C671DC" w14:textId="77777777" w:rsidR="001E155B" w:rsidRPr="00F672BA" w:rsidRDefault="001E155B" w:rsidP="008D460F">
      <w:pPr>
        <w:spacing w:beforeLines="0" w:before="120" w:after="120" w:line="240" w:lineRule="auto"/>
      </w:pPr>
    </w:p>
    <w:p w14:paraId="7138FBB6" w14:textId="77777777" w:rsidR="00F672BA" w:rsidRPr="00F672BA" w:rsidRDefault="00BE59E1" w:rsidP="001E155B">
      <w:pPr>
        <w:spacing w:beforeLines="0" w:before="120" w:after="120" w:line="240" w:lineRule="auto"/>
        <w:jc w:val="center"/>
      </w:pPr>
      <w:r>
        <w:rPr>
          <w:noProof/>
          <w:lang w:val="en-IN" w:eastAsia="en-IN"/>
        </w:rPr>
        <w:drawing>
          <wp:inline distT="0" distB="0" distL="0" distR="0" wp14:anchorId="027D8BB6" wp14:editId="2A0B8483">
            <wp:extent cx="4764793" cy="41211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71349" cy="4126820"/>
                    </a:xfrm>
                    <a:prstGeom prst="rect">
                      <a:avLst/>
                    </a:prstGeom>
                    <a:noFill/>
                    <a:ln>
                      <a:noFill/>
                    </a:ln>
                  </pic:spPr>
                </pic:pic>
              </a:graphicData>
            </a:graphic>
          </wp:inline>
        </w:drawing>
      </w:r>
    </w:p>
    <w:p w14:paraId="2C4ABDA5" w14:textId="5031B1A1" w:rsidR="00F672BA" w:rsidRPr="00F672BA" w:rsidRDefault="008D460F" w:rsidP="008D460F">
      <w:pPr>
        <w:spacing w:beforeLines="0" w:before="120" w:after="120" w:line="240" w:lineRule="auto"/>
      </w:pPr>
      <w:r w:rsidRPr="008D460F">
        <w:rPr>
          <w:rFonts w:hint="eastAsia"/>
          <w:b/>
        </w:rPr>
        <w:t>Fig. S</w:t>
      </w:r>
      <w:r w:rsidR="00BE59E1" w:rsidRPr="001E155B">
        <w:rPr>
          <w:b/>
        </w:rPr>
        <w:t>7</w:t>
      </w:r>
      <w:r w:rsidR="00BE59E1">
        <w:t xml:space="preserve"> (</w:t>
      </w:r>
      <w:r w:rsidR="00BE59E1" w:rsidRPr="001E155B">
        <w:rPr>
          <w:b/>
        </w:rPr>
        <w:t>a</w:t>
      </w:r>
      <w:r w:rsidR="00BE59E1">
        <w:t>) Voltage curve</w:t>
      </w:r>
      <w:r w:rsidR="00BE59E1">
        <w:rPr>
          <w:rFonts w:hint="eastAsia"/>
        </w:rPr>
        <w:t>s</w:t>
      </w:r>
      <w:r w:rsidR="00BE59E1">
        <w:t xml:space="preserve"> of MnO</w:t>
      </w:r>
      <w:r w:rsidR="00BE59E1">
        <w:rPr>
          <w:vertAlign w:val="subscript"/>
        </w:rPr>
        <w:t>2</w:t>
      </w:r>
      <w:r w:rsidR="00BE59E1">
        <w:t xml:space="preserve"> deposition on stainless mesh, hydrophobic and hydrophilic CC in the catholyte at a constant current. Cycling curves of MnO</w:t>
      </w:r>
      <w:r w:rsidR="00BE59E1">
        <w:rPr>
          <w:vertAlign w:val="subscript"/>
        </w:rPr>
        <w:t>2</w:t>
      </w:r>
      <w:r w:rsidR="00BE59E1">
        <w:t xml:space="preserve"> deposition/dissolution on (</w:t>
      </w:r>
      <w:r w:rsidR="00BE59E1" w:rsidRPr="001E155B">
        <w:rPr>
          <w:b/>
        </w:rPr>
        <w:t>b</w:t>
      </w:r>
      <w:r w:rsidR="00BE59E1">
        <w:t>) stainless mesh, (</w:t>
      </w:r>
      <w:r w:rsidR="00BE59E1" w:rsidRPr="001E155B">
        <w:rPr>
          <w:b/>
        </w:rPr>
        <w:t>c</w:t>
      </w:r>
      <w:r w:rsidR="00BE59E1">
        <w:t>) hydrophobic and (</w:t>
      </w:r>
      <w:r w:rsidR="00BE59E1" w:rsidRPr="001E155B">
        <w:rPr>
          <w:b/>
        </w:rPr>
        <w:t>d</w:t>
      </w:r>
      <w:r w:rsidR="001E155B">
        <w:t>) hydrophilic CC</w:t>
      </w:r>
    </w:p>
    <w:p w14:paraId="4A5A301E" w14:textId="77777777" w:rsidR="00F672BA" w:rsidRPr="00F672BA" w:rsidRDefault="00F672BA" w:rsidP="008D460F">
      <w:pPr>
        <w:spacing w:beforeLines="0" w:before="120" w:after="120" w:line="240" w:lineRule="auto"/>
      </w:pPr>
    </w:p>
    <w:p w14:paraId="4A4A0662" w14:textId="77777777" w:rsidR="00F672BA" w:rsidRPr="00F672BA" w:rsidRDefault="00BE59E1" w:rsidP="008D460F">
      <w:pPr>
        <w:spacing w:beforeLines="0" w:before="120" w:after="120" w:line="240" w:lineRule="auto"/>
      </w:pPr>
      <w:r>
        <w:br w:type="page"/>
      </w:r>
    </w:p>
    <w:p w14:paraId="7F464414"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331957A" wp14:editId="60403C0A">
            <wp:extent cx="2807970" cy="183134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826669" cy="1843860"/>
                    </a:xfrm>
                    <a:prstGeom prst="rect">
                      <a:avLst/>
                    </a:prstGeom>
                    <a:noFill/>
                    <a:ln>
                      <a:noFill/>
                    </a:ln>
                  </pic:spPr>
                </pic:pic>
              </a:graphicData>
            </a:graphic>
          </wp:inline>
        </w:drawing>
      </w:r>
    </w:p>
    <w:p w14:paraId="5B4FE718" w14:textId="1C773CA1" w:rsidR="00F672BA" w:rsidRPr="00F672BA" w:rsidRDefault="008D460F" w:rsidP="008D460F">
      <w:pPr>
        <w:spacing w:beforeLines="0" w:before="120" w:after="120" w:line="240" w:lineRule="auto"/>
      </w:pPr>
      <w:r w:rsidRPr="008D460F">
        <w:rPr>
          <w:rFonts w:hint="eastAsia"/>
          <w:b/>
        </w:rPr>
        <w:t>Fig. S</w:t>
      </w:r>
      <w:r w:rsidR="00BE59E1" w:rsidRPr="001E155B">
        <w:rPr>
          <w:b/>
        </w:rPr>
        <w:t>8</w:t>
      </w:r>
      <w:r w:rsidR="00BE59E1">
        <w:t xml:space="preserve"> Digital photograph</w:t>
      </w:r>
      <w:r w:rsidR="00BE59E1">
        <w:rPr>
          <w:rFonts w:hint="eastAsia"/>
        </w:rPr>
        <w:t>s</w:t>
      </w:r>
      <w:r w:rsidR="00BE59E1">
        <w:t xml:space="preserve"> of </w:t>
      </w:r>
      <w:bookmarkStart w:id="7" w:name="OLE_LINK80"/>
      <w:r w:rsidR="00BE59E1">
        <w:t>stainless mesh, hydrophobic and hydrophilic CC</w:t>
      </w:r>
      <w:bookmarkEnd w:id="7"/>
      <w:r w:rsidR="00BE59E1">
        <w:t xml:space="preserve"> disassembled from electrolytic MnO</w:t>
      </w:r>
      <w:r w:rsidR="00BE59E1">
        <w:rPr>
          <w:vertAlign w:val="subscript"/>
        </w:rPr>
        <w:t>2</w:t>
      </w:r>
      <w:r w:rsidR="001E155B">
        <w:t xml:space="preserve"> cell after cycling</w:t>
      </w:r>
    </w:p>
    <w:p w14:paraId="181F01A4" w14:textId="2E4AF649" w:rsidR="00F672BA" w:rsidRDefault="00BE59E1" w:rsidP="008D460F">
      <w:pPr>
        <w:spacing w:beforeLines="0" w:before="120" w:after="120" w:line="240" w:lineRule="auto"/>
      </w:pPr>
      <w:r>
        <w:rPr>
          <w:rFonts w:hint="eastAsia"/>
        </w:rPr>
        <w:t>M</w:t>
      </w:r>
      <w:r>
        <w:t>nO</w:t>
      </w:r>
      <w:r>
        <w:rPr>
          <w:vertAlign w:val="subscript"/>
        </w:rPr>
        <w:t>2</w:t>
      </w:r>
      <w:r>
        <w:t xml:space="preserve"> deposition/dissolution on stainless mesh, hydrophobic and hydrophilic CC was investigated. Hydrophobic CC exhibits a high </w:t>
      </w:r>
      <w:bookmarkStart w:id="8" w:name="OLE_LINK81"/>
      <w:r>
        <w:t>MnO</w:t>
      </w:r>
      <w:r>
        <w:rPr>
          <w:vertAlign w:val="subscript"/>
        </w:rPr>
        <w:t>2</w:t>
      </w:r>
      <w:bookmarkEnd w:id="8"/>
      <w:r>
        <w:t xml:space="preserve"> deposition overpotential close to electrolytic water, whereas the MnO</w:t>
      </w:r>
      <w:r>
        <w:rPr>
          <w:vertAlign w:val="subscript"/>
        </w:rPr>
        <w:t>2</w:t>
      </w:r>
      <w:r>
        <w:t xml:space="preserve"> deposition overpotentials on hydrophilic CC and stainless mesh are 2.19 and 2.32 V, respectively. It can be seen from the voltage profiles of MnO</w:t>
      </w:r>
      <w:r>
        <w:rPr>
          <w:vertAlign w:val="subscript"/>
        </w:rPr>
        <w:t>2</w:t>
      </w:r>
      <w:r>
        <w:t xml:space="preserve"> on hydrophobic CC that no MnO</w:t>
      </w:r>
      <w:r>
        <w:rPr>
          <w:vertAlign w:val="subscript"/>
        </w:rPr>
        <w:t>2</w:t>
      </w:r>
      <w:r>
        <w:t xml:space="preserve"> dissolution behavior occurs</w:t>
      </w:r>
      <w:r w:rsidRPr="0030653C">
        <w:t xml:space="preserve"> </w:t>
      </w:r>
      <w:r>
        <w:t>during the cycling period. In addition, only a tiny amount of MnO</w:t>
      </w:r>
      <w:r>
        <w:rPr>
          <w:vertAlign w:val="subscript"/>
        </w:rPr>
        <w:t>2</w:t>
      </w:r>
      <w:r>
        <w:t xml:space="preserve"> is separated from the stainless mesh. The fracture on the stainless mesh is observed after repeated </w:t>
      </w:r>
      <w:r>
        <w:rPr>
          <w:rFonts w:hint="eastAsia"/>
        </w:rPr>
        <w:t>M</w:t>
      </w:r>
      <w:r>
        <w:t>nO</w:t>
      </w:r>
      <w:r>
        <w:rPr>
          <w:vertAlign w:val="subscript"/>
        </w:rPr>
        <w:t>2</w:t>
      </w:r>
      <w:r>
        <w:t xml:space="preserve"> deposition/dissolution</w:t>
      </w:r>
      <w:r>
        <w:rPr>
          <w:rFonts w:hint="eastAsia"/>
        </w:rPr>
        <w:t>.</w:t>
      </w:r>
      <w:r>
        <w:t xml:space="preserve"> Both hydrophilic and hydrophobic CC show no change in integrity and appearance. Note that the current collector for the slurry is supposed to be highly conductive to rapidly transport electrons but inert to MnO</w:t>
      </w:r>
      <w:r>
        <w:rPr>
          <w:vertAlign w:val="subscript"/>
        </w:rPr>
        <w:t>2</w:t>
      </w:r>
      <w:r>
        <w:t xml:space="preserve"> to ensure reversible MnO</w:t>
      </w:r>
      <w:r>
        <w:rPr>
          <w:vertAlign w:val="subscript"/>
        </w:rPr>
        <w:t>2</w:t>
      </w:r>
      <w:r>
        <w:t xml:space="preserve"> deposition/dissolution on the CNTs in the slurry. Therefore, an optimized hydrophobic CC is chosen as the conductive substrate for the slurry.</w:t>
      </w:r>
    </w:p>
    <w:p w14:paraId="0CD7115C" w14:textId="77777777" w:rsidR="001E155B" w:rsidRPr="00F672BA" w:rsidRDefault="001E155B" w:rsidP="008D460F">
      <w:pPr>
        <w:spacing w:beforeLines="0" w:before="120" w:after="120" w:line="240" w:lineRule="auto"/>
      </w:pPr>
    </w:p>
    <w:p w14:paraId="154C46D6" w14:textId="77777777" w:rsidR="00F672BA" w:rsidRPr="00F672BA" w:rsidRDefault="00BE59E1" w:rsidP="008D460F">
      <w:pPr>
        <w:spacing w:beforeLines="0" w:before="120" w:after="120" w:line="240" w:lineRule="auto"/>
        <w:jc w:val="center"/>
      </w:pPr>
      <w:r>
        <w:rPr>
          <w:rFonts w:hint="eastAsia"/>
          <w:noProof/>
          <w:lang w:val="en-IN" w:eastAsia="en-IN"/>
        </w:rPr>
        <w:drawing>
          <wp:inline distT="0" distB="0" distL="0" distR="0" wp14:anchorId="1B4C39DB" wp14:editId="56544174">
            <wp:extent cx="2498194" cy="2091577"/>
            <wp:effectExtent l="0" t="0" r="0" b="4445"/>
            <wp:docPr id="1917552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5148" cy="2097399"/>
                    </a:xfrm>
                    <a:prstGeom prst="rect">
                      <a:avLst/>
                    </a:prstGeom>
                    <a:noFill/>
                    <a:ln>
                      <a:noFill/>
                    </a:ln>
                  </pic:spPr>
                </pic:pic>
              </a:graphicData>
            </a:graphic>
          </wp:inline>
        </w:drawing>
      </w:r>
    </w:p>
    <w:p w14:paraId="62D43541" w14:textId="3F8A2A9F" w:rsidR="00F672BA" w:rsidRPr="00F672BA" w:rsidRDefault="008D460F" w:rsidP="008D460F">
      <w:pPr>
        <w:spacing w:beforeLines="0" w:before="120" w:after="120" w:line="240" w:lineRule="auto"/>
      </w:pPr>
      <w:r w:rsidRPr="008D460F">
        <w:rPr>
          <w:rFonts w:hint="eastAsia"/>
          <w:b/>
        </w:rPr>
        <w:t>Fig. S</w:t>
      </w:r>
      <w:r w:rsidR="00BE59E1" w:rsidRPr="001E155B">
        <w:rPr>
          <w:b/>
        </w:rPr>
        <w:t>9</w:t>
      </w:r>
      <w:r w:rsidR="00BE59E1">
        <w:t xml:space="preserve"> XRD patterns of MnO</w:t>
      </w:r>
      <w:r w:rsidR="00BE59E1">
        <w:rPr>
          <w:vertAlign w:val="subscript"/>
        </w:rPr>
        <w:t>2</w:t>
      </w:r>
      <w:r w:rsidR="00BE59E1">
        <w:t xml:space="preserve"> deposition/dissolution in CE-MnO</w:t>
      </w:r>
      <w:r w:rsidR="00BE59E1">
        <w:rPr>
          <w:vertAlign w:val="subscript"/>
        </w:rPr>
        <w:t>2</w:t>
      </w:r>
      <w:r w:rsidR="001E155B">
        <w:t xml:space="preserve"> cells with AEM</w:t>
      </w:r>
    </w:p>
    <w:p w14:paraId="020BED49" w14:textId="77777777" w:rsidR="00F672BA" w:rsidRPr="00F672BA" w:rsidRDefault="00F672BA" w:rsidP="008D460F">
      <w:pPr>
        <w:spacing w:beforeLines="0" w:before="120" w:after="120" w:line="240" w:lineRule="auto"/>
      </w:pPr>
    </w:p>
    <w:p w14:paraId="32F2218F"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795FD023" wp14:editId="22ABCC07">
            <wp:extent cx="3327400" cy="2513475"/>
            <wp:effectExtent l="0" t="0" r="6350" b="127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46496" cy="2527900"/>
                    </a:xfrm>
                    <a:prstGeom prst="rect">
                      <a:avLst/>
                    </a:prstGeom>
                    <a:noFill/>
                    <a:ln>
                      <a:noFill/>
                    </a:ln>
                  </pic:spPr>
                </pic:pic>
              </a:graphicData>
            </a:graphic>
          </wp:inline>
        </w:drawing>
      </w:r>
    </w:p>
    <w:p w14:paraId="52BBC7E5" w14:textId="77777777" w:rsidR="0099781A" w:rsidRDefault="008D460F" w:rsidP="007773FB">
      <w:pPr>
        <w:spacing w:beforeLines="0" w:before="120" w:after="120" w:line="240" w:lineRule="auto"/>
      </w:pPr>
      <w:r w:rsidRPr="008D460F">
        <w:rPr>
          <w:rFonts w:hint="eastAsia"/>
          <w:b/>
        </w:rPr>
        <w:t>Fig. S</w:t>
      </w:r>
      <w:r w:rsidR="00BE59E1" w:rsidRPr="0099781A">
        <w:rPr>
          <w:b/>
        </w:rPr>
        <w:t>10</w:t>
      </w:r>
      <w:r w:rsidR="00BE59E1">
        <w:t xml:space="preserve"> </w:t>
      </w:r>
      <w:r w:rsidR="00BE59E1" w:rsidRPr="002861D4">
        <w:t>SEM images of MnO</w:t>
      </w:r>
      <w:r w:rsidR="00BE59E1" w:rsidRPr="0030653C">
        <w:rPr>
          <w:vertAlign w:val="subscript"/>
        </w:rPr>
        <w:t>2</w:t>
      </w:r>
      <w:r w:rsidR="00BE59E1" w:rsidRPr="002861D4">
        <w:t xml:space="preserve"> </w:t>
      </w:r>
      <w:r w:rsidR="00BE59E1">
        <w:t xml:space="preserve">slurry electrode </w:t>
      </w:r>
      <w:r w:rsidR="00BE59E1" w:rsidRPr="002861D4">
        <w:t>after</w:t>
      </w:r>
      <w:r w:rsidR="00BE59E1">
        <w:t xml:space="preserve"> (</w:t>
      </w:r>
      <w:r w:rsidR="00BE59E1" w:rsidRPr="0099781A">
        <w:rPr>
          <w:b/>
        </w:rPr>
        <w:t>a</w:t>
      </w:r>
      <w:r w:rsidR="00BE59E1">
        <w:t xml:space="preserve">) the </w:t>
      </w:r>
      <w:r w:rsidR="00BE59E1" w:rsidRPr="002861D4">
        <w:t xml:space="preserve">charge </w:t>
      </w:r>
      <w:r w:rsidR="00BE59E1">
        <w:t>and (</w:t>
      </w:r>
      <w:r w:rsidR="00BE59E1" w:rsidRPr="0099781A">
        <w:rPr>
          <w:b/>
        </w:rPr>
        <w:t>b-d</w:t>
      </w:r>
      <w:r w:rsidR="00BE59E1">
        <w:t>) discharge at different states</w:t>
      </w:r>
    </w:p>
    <w:p w14:paraId="002A44D7" w14:textId="2FB1CABF" w:rsidR="00F672BA" w:rsidRPr="00F672BA" w:rsidRDefault="00BE59E1" w:rsidP="0099781A">
      <w:pPr>
        <w:spacing w:beforeLines="0" w:before="120" w:after="120" w:line="240" w:lineRule="auto"/>
        <w:jc w:val="center"/>
      </w:pPr>
      <w:r>
        <w:rPr>
          <w:noProof/>
          <w:lang w:val="en-IN" w:eastAsia="en-IN"/>
        </w:rPr>
        <w:drawing>
          <wp:inline distT="0" distB="0" distL="0" distR="0" wp14:anchorId="5B1769D9" wp14:editId="064B1275">
            <wp:extent cx="3587852" cy="5099050"/>
            <wp:effectExtent l="0" t="0" r="0" b="635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1322" cy="5118194"/>
                    </a:xfrm>
                    <a:prstGeom prst="rect">
                      <a:avLst/>
                    </a:prstGeom>
                    <a:noFill/>
                    <a:ln>
                      <a:noFill/>
                    </a:ln>
                  </pic:spPr>
                </pic:pic>
              </a:graphicData>
            </a:graphic>
          </wp:inline>
        </w:drawing>
      </w:r>
    </w:p>
    <w:p w14:paraId="383DF758" w14:textId="7E9E0962" w:rsidR="00F672BA" w:rsidRPr="00F672BA" w:rsidRDefault="008D460F" w:rsidP="008D460F">
      <w:pPr>
        <w:spacing w:beforeLines="0" w:before="120" w:after="120" w:line="240" w:lineRule="auto"/>
      </w:pPr>
      <w:r w:rsidRPr="008D460F">
        <w:rPr>
          <w:rFonts w:hint="eastAsia"/>
          <w:b/>
        </w:rPr>
        <w:t>Fig. S</w:t>
      </w:r>
      <w:r w:rsidR="00BE59E1" w:rsidRPr="0099781A">
        <w:rPr>
          <w:b/>
        </w:rPr>
        <w:t>1</w:t>
      </w:r>
      <w:r w:rsidR="00BE59E1" w:rsidRPr="0099781A">
        <w:rPr>
          <w:rFonts w:hint="eastAsia"/>
          <w:b/>
        </w:rPr>
        <w:t>1</w:t>
      </w:r>
      <w:r w:rsidR="00BE59E1">
        <w:t xml:space="preserve"> SEM </w:t>
      </w:r>
      <w:r w:rsidR="00BE59E1">
        <w:rPr>
          <w:rFonts w:hint="eastAsia"/>
        </w:rPr>
        <w:t>images</w:t>
      </w:r>
      <w:r w:rsidR="00BE59E1">
        <w:t xml:space="preserve"> </w:t>
      </w:r>
      <w:r w:rsidR="00BE59E1">
        <w:rPr>
          <w:rFonts w:hint="eastAsia"/>
        </w:rPr>
        <w:t>of</w:t>
      </w:r>
      <w:r w:rsidR="00BE59E1">
        <w:t xml:space="preserve"> CE-M</w:t>
      </w:r>
      <w:r w:rsidR="00BE59E1">
        <w:rPr>
          <w:rFonts w:hint="eastAsia"/>
        </w:rPr>
        <w:t>nO</w:t>
      </w:r>
      <w:r w:rsidR="00BE59E1">
        <w:rPr>
          <w:vertAlign w:val="subscript"/>
        </w:rPr>
        <w:t>2</w:t>
      </w:r>
      <w:r w:rsidR="00BE59E1">
        <w:t xml:space="preserve"> cell </w:t>
      </w:r>
      <w:r w:rsidR="00BE59E1">
        <w:rPr>
          <w:rFonts w:hint="eastAsia"/>
        </w:rPr>
        <w:t>without</w:t>
      </w:r>
      <w:r w:rsidR="00BE59E1">
        <w:t xml:space="preserve"> AEM after (</w:t>
      </w:r>
      <w:r w:rsidR="00BE59E1" w:rsidRPr="0099781A">
        <w:rPr>
          <w:b/>
        </w:rPr>
        <w:t>a, b</w:t>
      </w:r>
      <w:r w:rsidR="00BE59E1">
        <w:t xml:space="preserve">) the </w:t>
      </w:r>
      <w:r w:rsidR="00BE59E1" w:rsidRPr="002861D4">
        <w:t xml:space="preserve">charge </w:t>
      </w:r>
      <w:r w:rsidR="00BE59E1">
        <w:t>and (</w:t>
      </w:r>
      <w:r w:rsidR="00BE59E1" w:rsidRPr="0099781A">
        <w:rPr>
          <w:b/>
        </w:rPr>
        <w:t>c-h</w:t>
      </w:r>
      <w:r w:rsidR="00BE59E1">
        <w:t>) discharge at different states</w:t>
      </w:r>
    </w:p>
    <w:p w14:paraId="68AF6C5D"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5EA10AF2" wp14:editId="41027AEC">
            <wp:extent cx="4898766" cy="47434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06772" cy="4751202"/>
                    </a:xfrm>
                    <a:prstGeom prst="rect">
                      <a:avLst/>
                    </a:prstGeom>
                    <a:noFill/>
                    <a:ln>
                      <a:noFill/>
                    </a:ln>
                  </pic:spPr>
                </pic:pic>
              </a:graphicData>
            </a:graphic>
          </wp:inline>
        </w:drawing>
      </w:r>
    </w:p>
    <w:p w14:paraId="1B42A801" w14:textId="75CA34D3" w:rsidR="00F672BA" w:rsidRPr="00F672BA" w:rsidRDefault="008D460F" w:rsidP="008D460F">
      <w:pPr>
        <w:spacing w:beforeLines="0" w:before="120" w:after="120" w:line="240" w:lineRule="auto"/>
      </w:pPr>
      <w:r w:rsidRPr="008D460F">
        <w:rPr>
          <w:rFonts w:hint="eastAsia"/>
          <w:b/>
        </w:rPr>
        <w:t>Fig. S</w:t>
      </w:r>
      <w:r w:rsidR="00BE59E1" w:rsidRPr="00E127C8">
        <w:rPr>
          <w:b/>
        </w:rPr>
        <w:t>1</w:t>
      </w:r>
      <w:r w:rsidR="00BE59E1" w:rsidRPr="00E127C8">
        <w:rPr>
          <w:rFonts w:hint="eastAsia"/>
          <w:b/>
        </w:rPr>
        <w:t>2</w:t>
      </w:r>
      <w:r w:rsidR="00BE59E1">
        <w:t xml:space="preserve"> SEM </w:t>
      </w:r>
      <w:r w:rsidR="00BE59E1">
        <w:rPr>
          <w:rFonts w:hint="eastAsia"/>
        </w:rPr>
        <w:t>images</w:t>
      </w:r>
      <w:r w:rsidR="00BE59E1">
        <w:t xml:space="preserve"> </w:t>
      </w:r>
      <w:r w:rsidR="00BE59E1">
        <w:rPr>
          <w:rFonts w:hint="eastAsia"/>
        </w:rPr>
        <w:t>of</w:t>
      </w:r>
      <w:r w:rsidR="00BE59E1">
        <w:t xml:space="preserve"> CE-M</w:t>
      </w:r>
      <w:r w:rsidR="00BE59E1">
        <w:rPr>
          <w:rFonts w:hint="eastAsia"/>
        </w:rPr>
        <w:t>nO</w:t>
      </w:r>
      <w:r w:rsidR="00BE59E1">
        <w:rPr>
          <w:vertAlign w:val="subscript"/>
        </w:rPr>
        <w:t>2</w:t>
      </w:r>
      <w:r w:rsidR="00BE59E1">
        <w:t xml:space="preserve"> cell </w:t>
      </w:r>
      <w:r w:rsidR="00BE59E1">
        <w:rPr>
          <w:rFonts w:hint="eastAsia"/>
        </w:rPr>
        <w:t>with</w:t>
      </w:r>
      <w:r w:rsidR="00BE59E1">
        <w:t xml:space="preserve"> AEM after (</w:t>
      </w:r>
      <w:r w:rsidR="00BE59E1" w:rsidRPr="00E127C8">
        <w:rPr>
          <w:b/>
        </w:rPr>
        <w:t>a-c</w:t>
      </w:r>
      <w:r w:rsidR="00BE59E1">
        <w:t xml:space="preserve">) the </w:t>
      </w:r>
      <w:r w:rsidR="00BE59E1" w:rsidRPr="002861D4">
        <w:t xml:space="preserve">charge </w:t>
      </w:r>
      <w:r w:rsidR="00BE59E1">
        <w:t>and (</w:t>
      </w:r>
      <w:r w:rsidR="00BE59E1" w:rsidRPr="00E127C8">
        <w:rPr>
          <w:b/>
        </w:rPr>
        <w:t>d-l</w:t>
      </w:r>
      <w:r w:rsidR="00BE59E1">
        <w:t>) discharge at different states</w:t>
      </w:r>
    </w:p>
    <w:p w14:paraId="4F7C8379"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6C9DE6BB" wp14:editId="6721C409">
            <wp:extent cx="4476750" cy="2466363"/>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4903" cy="2476364"/>
                    </a:xfrm>
                    <a:prstGeom prst="rect">
                      <a:avLst/>
                    </a:prstGeom>
                    <a:noFill/>
                    <a:ln>
                      <a:noFill/>
                    </a:ln>
                  </pic:spPr>
                </pic:pic>
              </a:graphicData>
            </a:graphic>
          </wp:inline>
        </w:drawing>
      </w:r>
    </w:p>
    <w:p w14:paraId="1F372428" w14:textId="031071EE" w:rsidR="00F672BA" w:rsidRPr="00F672BA" w:rsidRDefault="008D460F" w:rsidP="008D460F">
      <w:pPr>
        <w:spacing w:beforeLines="0" w:before="120" w:after="120" w:line="240" w:lineRule="auto"/>
      </w:pPr>
      <w:r w:rsidRPr="008D460F">
        <w:rPr>
          <w:rFonts w:hint="eastAsia"/>
          <w:b/>
        </w:rPr>
        <w:t>Fig. S</w:t>
      </w:r>
      <w:r w:rsidR="00BE59E1" w:rsidRPr="00E127C8">
        <w:rPr>
          <w:b/>
        </w:rPr>
        <w:t>13</w:t>
      </w:r>
      <w:r w:rsidR="00BE59E1">
        <w:t xml:space="preserve"> (</w:t>
      </w:r>
      <w:r w:rsidR="00BE59E1" w:rsidRPr="00E127C8">
        <w:rPr>
          <w:b/>
        </w:rPr>
        <w:t>a</w:t>
      </w:r>
      <w:r w:rsidR="00BE59E1">
        <w:t>) M</w:t>
      </w:r>
      <w:r w:rsidR="00BE59E1">
        <w:rPr>
          <w:rFonts w:hint="eastAsia"/>
        </w:rPr>
        <w:t>n</w:t>
      </w:r>
      <w:r w:rsidR="00BE59E1">
        <w:t xml:space="preserve"> 3</w:t>
      </w:r>
      <w:r w:rsidR="00BE59E1">
        <w:rPr>
          <w:rFonts w:hint="eastAsia"/>
        </w:rPr>
        <w:t>s</w:t>
      </w:r>
      <w:r w:rsidR="00BE59E1">
        <w:t xml:space="preserve"> </w:t>
      </w:r>
      <w:r w:rsidR="00BE59E1">
        <w:rPr>
          <w:rFonts w:hint="eastAsia"/>
        </w:rPr>
        <w:t>spectra</w:t>
      </w:r>
      <w:r w:rsidR="00BE59E1">
        <w:t xml:space="preserve"> of </w:t>
      </w:r>
      <w:r w:rsidR="00BE59E1" w:rsidRPr="00A10A5F">
        <w:t>CE-MnO</w:t>
      </w:r>
      <w:r w:rsidR="00BE59E1" w:rsidRPr="00FF2561">
        <w:rPr>
          <w:vertAlign w:val="subscript"/>
        </w:rPr>
        <w:t>2</w:t>
      </w:r>
      <w:r w:rsidR="00BE59E1" w:rsidRPr="00A10A5F">
        <w:t xml:space="preserve"> cells with AEM</w:t>
      </w:r>
      <w:r w:rsidR="00BE59E1">
        <w:t>. (</w:t>
      </w:r>
      <w:r w:rsidR="00BE59E1" w:rsidRPr="00E127C8">
        <w:rPr>
          <w:b/>
        </w:rPr>
        <w:t>b</w:t>
      </w:r>
      <w:r w:rsidR="00BE59E1">
        <w:t>) ∆E value</w:t>
      </w:r>
      <w:r w:rsidR="00BE59E1">
        <w:rPr>
          <w:rFonts w:hint="eastAsia"/>
        </w:rPr>
        <w:t xml:space="preserve"> of</w:t>
      </w:r>
      <w:r w:rsidR="00BE59E1">
        <w:t xml:space="preserve"> M</w:t>
      </w:r>
      <w:r w:rsidR="00BE59E1">
        <w:rPr>
          <w:rFonts w:hint="eastAsia"/>
        </w:rPr>
        <w:t>nO</w:t>
      </w:r>
      <w:r w:rsidR="00BE59E1">
        <w:rPr>
          <w:vertAlign w:val="subscript"/>
        </w:rPr>
        <w:t>2</w:t>
      </w:r>
      <w:r w:rsidR="00BE59E1">
        <w:t xml:space="preserve"> slurry and CE-M</w:t>
      </w:r>
      <w:r w:rsidR="00BE59E1">
        <w:rPr>
          <w:rFonts w:hint="eastAsia"/>
        </w:rPr>
        <w:t>nO</w:t>
      </w:r>
      <w:r w:rsidR="00BE59E1">
        <w:rPr>
          <w:vertAlign w:val="subscript"/>
        </w:rPr>
        <w:t>2</w:t>
      </w:r>
      <w:r w:rsidR="00BE59E1">
        <w:t xml:space="preserve"> </w:t>
      </w:r>
      <w:r w:rsidR="00BE59E1">
        <w:rPr>
          <w:rFonts w:hint="eastAsia"/>
        </w:rPr>
        <w:t>cells</w:t>
      </w:r>
      <w:r w:rsidR="00BE59E1">
        <w:t xml:space="preserve"> with and without AEM </w:t>
      </w:r>
      <w:r w:rsidR="00BE59E1">
        <w:rPr>
          <w:rFonts w:hint="eastAsia"/>
        </w:rPr>
        <w:t>after</w:t>
      </w:r>
      <w:r w:rsidR="00BE59E1">
        <w:t xml:space="preserve"> </w:t>
      </w:r>
      <w:r w:rsidR="00BE59E1">
        <w:rPr>
          <w:rFonts w:hint="eastAsia"/>
        </w:rPr>
        <w:t>charg</w:t>
      </w:r>
      <w:r w:rsidR="00BE59E1">
        <w:t>e and discharge at differen</w:t>
      </w:r>
      <w:r w:rsidR="00E127C8">
        <w:t>t states by single peak fitting</w:t>
      </w:r>
      <w:r w:rsidR="00BE59E1">
        <w:t xml:space="preserve"> </w:t>
      </w:r>
    </w:p>
    <w:p w14:paraId="2172DC0A" w14:textId="77777777" w:rsidR="00F672BA" w:rsidRPr="00F672BA" w:rsidRDefault="00F672BA" w:rsidP="008D460F">
      <w:pPr>
        <w:spacing w:beforeLines="0" w:before="120" w:after="120" w:line="240" w:lineRule="auto"/>
      </w:pPr>
    </w:p>
    <w:p w14:paraId="5AD39359"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043D591F" wp14:editId="5B753B45">
            <wp:extent cx="5269615" cy="3251200"/>
            <wp:effectExtent l="0" t="0" r="762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5994" cy="3255136"/>
                    </a:xfrm>
                    <a:prstGeom prst="rect">
                      <a:avLst/>
                    </a:prstGeom>
                    <a:noFill/>
                    <a:ln>
                      <a:noFill/>
                    </a:ln>
                  </pic:spPr>
                </pic:pic>
              </a:graphicData>
            </a:graphic>
          </wp:inline>
        </w:drawing>
      </w:r>
    </w:p>
    <w:p w14:paraId="7DE37629" w14:textId="0EAC8530" w:rsidR="00F672BA" w:rsidRDefault="008D460F" w:rsidP="008D460F">
      <w:pPr>
        <w:spacing w:beforeLines="0" w:before="120" w:after="120" w:line="240" w:lineRule="auto"/>
      </w:pPr>
      <w:r w:rsidRPr="008D460F">
        <w:rPr>
          <w:rFonts w:hint="eastAsia"/>
          <w:b/>
        </w:rPr>
        <w:t>Fig. S</w:t>
      </w:r>
      <w:r w:rsidR="00BE59E1" w:rsidRPr="00E127C8">
        <w:rPr>
          <w:b/>
        </w:rPr>
        <w:t>14</w:t>
      </w:r>
      <w:r w:rsidR="00BE59E1">
        <w:t xml:space="preserve"> M</w:t>
      </w:r>
      <w:r w:rsidR="00BE59E1">
        <w:rPr>
          <w:rFonts w:hint="eastAsia"/>
        </w:rPr>
        <w:t>n</w:t>
      </w:r>
      <w:r w:rsidR="00BE59E1">
        <w:t xml:space="preserve"> 3</w:t>
      </w:r>
      <w:r w:rsidR="00BE59E1">
        <w:rPr>
          <w:rFonts w:hint="eastAsia"/>
        </w:rPr>
        <w:t>s</w:t>
      </w:r>
      <w:r w:rsidR="00BE59E1">
        <w:t xml:space="preserve"> </w:t>
      </w:r>
      <w:r w:rsidR="00BE59E1">
        <w:rPr>
          <w:rFonts w:hint="eastAsia"/>
        </w:rPr>
        <w:t>spectra</w:t>
      </w:r>
      <w:r w:rsidR="00BE59E1">
        <w:t xml:space="preserve"> </w:t>
      </w:r>
      <w:r w:rsidR="00BE59E1">
        <w:rPr>
          <w:rFonts w:hint="eastAsia"/>
        </w:rPr>
        <w:t>of</w:t>
      </w:r>
      <w:r w:rsidR="00BE59E1">
        <w:t xml:space="preserve"> CE-M</w:t>
      </w:r>
      <w:r w:rsidR="00BE59E1">
        <w:rPr>
          <w:rFonts w:hint="eastAsia"/>
        </w:rPr>
        <w:t>nO</w:t>
      </w:r>
      <w:r w:rsidR="00BE59E1">
        <w:rPr>
          <w:vertAlign w:val="subscript"/>
        </w:rPr>
        <w:t>2</w:t>
      </w:r>
      <w:r w:rsidR="00BE59E1">
        <w:t xml:space="preserve"> </w:t>
      </w:r>
      <w:r w:rsidR="00BE59E1">
        <w:rPr>
          <w:rFonts w:hint="eastAsia"/>
        </w:rPr>
        <w:t>cells</w:t>
      </w:r>
      <w:r w:rsidR="00BE59E1">
        <w:t xml:space="preserve"> (</w:t>
      </w:r>
      <w:r w:rsidR="00BE59E1" w:rsidRPr="00E127C8">
        <w:rPr>
          <w:b/>
        </w:rPr>
        <w:t>a</w:t>
      </w:r>
      <w:r w:rsidR="00BE59E1">
        <w:t>) with and (</w:t>
      </w:r>
      <w:r w:rsidR="00BE59E1" w:rsidRPr="00E127C8">
        <w:rPr>
          <w:b/>
        </w:rPr>
        <w:t>b</w:t>
      </w:r>
      <w:r w:rsidR="00BE59E1">
        <w:t xml:space="preserve">) without AEM </w:t>
      </w:r>
      <w:r w:rsidR="00BE59E1">
        <w:rPr>
          <w:rFonts w:hint="eastAsia"/>
        </w:rPr>
        <w:t>after</w:t>
      </w:r>
      <w:r w:rsidR="00BE59E1">
        <w:t xml:space="preserve"> </w:t>
      </w:r>
      <w:r w:rsidR="00BE59E1">
        <w:rPr>
          <w:rFonts w:hint="eastAsia"/>
        </w:rPr>
        <w:t>charg</w:t>
      </w:r>
      <w:r w:rsidR="00BE59E1">
        <w:t xml:space="preserve">e and discharge at different states by multi-peak fitting. </w:t>
      </w:r>
      <w:bookmarkStart w:id="9" w:name="_Hlk166137914"/>
      <w:r w:rsidR="00BE59E1">
        <w:t>∆E value of CE-M</w:t>
      </w:r>
      <w:r w:rsidR="00BE59E1">
        <w:rPr>
          <w:rFonts w:hint="eastAsia"/>
        </w:rPr>
        <w:t>nO</w:t>
      </w:r>
      <w:r w:rsidR="00BE59E1">
        <w:rPr>
          <w:vertAlign w:val="subscript"/>
        </w:rPr>
        <w:t>2</w:t>
      </w:r>
      <w:r w:rsidR="00BE59E1">
        <w:t xml:space="preserve"> </w:t>
      </w:r>
      <w:r w:rsidR="00BE59E1">
        <w:rPr>
          <w:rFonts w:hint="eastAsia"/>
        </w:rPr>
        <w:t>cells</w:t>
      </w:r>
      <w:r w:rsidR="00BE59E1">
        <w:t xml:space="preserve"> (</w:t>
      </w:r>
      <w:r w:rsidR="00BE59E1" w:rsidRPr="00E127C8">
        <w:rPr>
          <w:b/>
        </w:rPr>
        <w:t>c</w:t>
      </w:r>
      <w:r w:rsidR="00BE59E1">
        <w:t>) with and (</w:t>
      </w:r>
      <w:r w:rsidR="00BE59E1" w:rsidRPr="00E127C8">
        <w:rPr>
          <w:b/>
        </w:rPr>
        <w:t>d</w:t>
      </w:r>
      <w:r w:rsidR="00BE59E1">
        <w:t>) without AEM and (</w:t>
      </w:r>
      <w:r w:rsidR="00BE59E1" w:rsidRPr="00E127C8">
        <w:rPr>
          <w:b/>
        </w:rPr>
        <w:t>e</w:t>
      </w:r>
      <w:r w:rsidR="00BE59E1">
        <w:t>) MnO</w:t>
      </w:r>
      <w:r w:rsidR="00BE59E1">
        <w:rPr>
          <w:vertAlign w:val="subscript"/>
        </w:rPr>
        <w:t>2</w:t>
      </w:r>
      <w:r w:rsidR="00BE59E1">
        <w:t xml:space="preserve"> slurry cell by multi-peak fitting</w:t>
      </w:r>
      <w:bookmarkEnd w:id="9"/>
    </w:p>
    <w:p w14:paraId="0B7E33F8" w14:textId="77777777" w:rsidR="00E127C8" w:rsidRPr="00F672BA" w:rsidRDefault="00E127C8" w:rsidP="008D460F">
      <w:pPr>
        <w:spacing w:beforeLines="0" w:before="120" w:after="120" w:line="240" w:lineRule="auto"/>
      </w:pPr>
    </w:p>
    <w:p w14:paraId="15C32414"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099CA660" wp14:editId="59A7695F">
            <wp:extent cx="4851773" cy="2497873"/>
            <wp:effectExtent l="0" t="0" r="635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4260" cy="2499153"/>
                    </a:xfrm>
                    <a:prstGeom prst="rect">
                      <a:avLst/>
                    </a:prstGeom>
                    <a:noFill/>
                    <a:ln>
                      <a:noFill/>
                    </a:ln>
                  </pic:spPr>
                </pic:pic>
              </a:graphicData>
            </a:graphic>
          </wp:inline>
        </w:drawing>
      </w:r>
    </w:p>
    <w:p w14:paraId="06EFD283" w14:textId="454B4936" w:rsidR="00F672BA" w:rsidRPr="00F672BA" w:rsidRDefault="008D460F" w:rsidP="008D460F">
      <w:pPr>
        <w:spacing w:beforeLines="0" w:before="120" w:after="120" w:line="240" w:lineRule="auto"/>
      </w:pPr>
      <w:r w:rsidRPr="008D460F">
        <w:rPr>
          <w:rFonts w:hint="eastAsia"/>
          <w:b/>
        </w:rPr>
        <w:t>Fig. S</w:t>
      </w:r>
      <w:r w:rsidR="00BE59E1" w:rsidRPr="00E127C8">
        <w:rPr>
          <w:b/>
        </w:rPr>
        <w:t>15</w:t>
      </w:r>
      <w:r w:rsidR="00BE59E1">
        <w:t xml:space="preserve"> O 1s spectra of (</w:t>
      </w:r>
      <w:r w:rsidR="00BE59E1" w:rsidRPr="00E127C8">
        <w:rPr>
          <w:b/>
        </w:rPr>
        <w:t>a</w:t>
      </w:r>
      <w:r w:rsidR="00BE59E1">
        <w:t>) the MnO</w:t>
      </w:r>
      <w:r w:rsidR="00BE59E1" w:rsidRPr="00F84FD1">
        <w:rPr>
          <w:vertAlign w:val="subscript"/>
        </w:rPr>
        <w:t>2</w:t>
      </w:r>
      <w:r w:rsidR="00BE59E1">
        <w:t xml:space="preserve"> slurry and CE-MnO</w:t>
      </w:r>
      <w:r w:rsidR="00BE59E1" w:rsidRPr="00F84FD1">
        <w:rPr>
          <w:vertAlign w:val="subscript"/>
        </w:rPr>
        <w:t>2</w:t>
      </w:r>
      <w:r w:rsidR="00BE59E1">
        <w:t xml:space="preserve"> cells (</w:t>
      </w:r>
      <w:r w:rsidR="00BE59E1" w:rsidRPr="00E127C8">
        <w:rPr>
          <w:b/>
        </w:rPr>
        <w:t>b</w:t>
      </w:r>
      <w:r w:rsidR="00BE59E1">
        <w:t>) with and (</w:t>
      </w:r>
      <w:r w:rsidR="00BE59E1" w:rsidRPr="00E127C8">
        <w:rPr>
          <w:b/>
        </w:rPr>
        <w:t>c</w:t>
      </w:r>
      <w:r w:rsidR="00BE59E1">
        <w:t>) without AEM after charge an</w:t>
      </w:r>
      <w:r w:rsidR="00E127C8">
        <w:t>d discharge at different states</w:t>
      </w:r>
    </w:p>
    <w:p w14:paraId="7FF91E02" w14:textId="77777777" w:rsidR="00E127C8" w:rsidRDefault="00E127C8" w:rsidP="008D460F">
      <w:pPr>
        <w:spacing w:beforeLines="0" w:before="120" w:after="120" w:line="240" w:lineRule="auto"/>
        <w:jc w:val="center"/>
      </w:pPr>
    </w:p>
    <w:p w14:paraId="1C456D61" w14:textId="77777777" w:rsidR="00E127C8" w:rsidRDefault="00E127C8" w:rsidP="008D460F">
      <w:pPr>
        <w:spacing w:beforeLines="0" w:before="120" w:after="120" w:line="240" w:lineRule="auto"/>
        <w:jc w:val="center"/>
      </w:pPr>
    </w:p>
    <w:p w14:paraId="023CE660" w14:textId="77777777" w:rsidR="00E127C8" w:rsidRDefault="00E127C8" w:rsidP="008D460F">
      <w:pPr>
        <w:spacing w:beforeLines="0" w:before="120" w:after="120" w:line="240" w:lineRule="auto"/>
        <w:jc w:val="center"/>
      </w:pPr>
    </w:p>
    <w:p w14:paraId="6AEFBF5F" w14:textId="77777777" w:rsidR="00E127C8" w:rsidRDefault="00E127C8" w:rsidP="008D460F">
      <w:pPr>
        <w:spacing w:beforeLines="0" w:before="120" w:after="120" w:line="240" w:lineRule="auto"/>
        <w:jc w:val="center"/>
      </w:pPr>
    </w:p>
    <w:p w14:paraId="4820E82E" w14:textId="77777777" w:rsidR="00E127C8" w:rsidRDefault="00E127C8" w:rsidP="008D460F">
      <w:pPr>
        <w:spacing w:beforeLines="0" w:before="120" w:after="120" w:line="240" w:lineRule="auto"/>
        <w:jc w:val="center"/>
      </w:pPr>
    </w:p>
    <w:p w14:paraId="6B90FA36" w14:textId="77777777" w:rsidR="00E127C8" w:rsidRDefault="00E127C8" w:rsidP="008D460F">
      <w:pPr>
        <w:spacing w:beforeLines="0" w:before="120" w:after="120" w:line="240" w:lineRule="auto"/>
        <w:jc w:val="center"/>
      </w:pPr>
    </w:p>
    <w:p w14:paraId="7281CD63" w14:textId="77777777" w:rsidR="00E127C8" w:rsidRDefault="00E127C8" w:rsidP="008D460F">
      <w:pPr>
        <w:spacing w:beforeLines="0" w:before="120" w:after="120" w:line="240" w:lineRule="auto"/>
        <w:jc w:val="center"/>
      </w:pPr>
    </w:p>
    <w:p w14:paraId="72F5877F" w14:textId="1540D03F" w:rsidR="00F672BA" w:rsidRPr="00F672BA" w:rsidRDefault="00BE59E1" w:rsidP="008D460F">
      <w:pPr>
        <w:spacing w:beforeLines="0" w:before="120" w:after="120" w:line="240" w:lineRule="auto"/>
        <w:jc w:val="center"/>
      </w:pPr>
      <w:r>
        <w:rPr>
          <w:noProof/>
          <w:lang w:val="en-IN" w:eastAsia="en-IN"/>
        </w:rPr>
        <w:drawing>
          <wp:inline distT="0" distB="0" distL="0" distR="0" wp14:anchorId="068239B5" wp14:editId="4CEC8036">
            <wp:extent cx="5274310" cy="3536315"/>
            <wp:effectExtent l="0" t="0" r="2540" b="698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536315"/>
                    </a:xfrm>
                    <a:prstGeom prst="rect">
                      <a:avLst/>
                    </a:prstGeom>
                    <a:noFill/>
                    <a:ln>
                      <a:noFill/>
                    </a:ln>
                  </pic:spPr>
                </pic:pic>
              </a:graphicData>
            </a:graphic>
          </wp:inline>
        </w:drawing>
      </w:r>
    </w:p>
    <w:p w14:paraId="76FD06BF" w14:textId="0D107503" w:rsidR="00F672BA" w:rsidRPr="00F672BA" w:rsidRDefault="008D460F" w:rsidP="008D460F">
      <w:pPr>
        <w:spacing w:beforeLines="0" w:before="120" w:after="120" w:line="240" w:lineRule="auto"/>
      </w:pPr>
      <w:r w:rsidRPr="008D460F">
        <w:rPr>
          <w:rFonts w:hint="eastAsia"/>
          <w:b/>
        </w:rPr>
        <w:t>Fig. S</w:t>
      </w:r>
      <w:r w:rsidR="00BE59E1" w:rsidRPr="00E127C8">
        <w:rPr>
          <w:b/>
        </w:rPr>
        <w:t>16</w:t>
      </w:r>
      <w:r w:rsidR="00BE59E1">
        <w:t xml:space="preserve"> (</w:t>
      </w:r>
      <w:r w:rsidR="00BE59E1" w:rsidRPr="00E127C8">
        <w:rPr>
          <w:b/>
        </w:rPr>
        <w:t>a, e</w:t>
      </w:r>
      <w:r w:rsidR="00BE59E1">
        <w:t>) TEM images, (</w:t>
      </w:r>
      <w:r w:rsidR="00BE59E1" w:rsidRPr="00E127C8">
        <w:rPr>
          <w:b/>
        </w:rPr>
        <w:t>b, c, f, g</w:t>
      </w:r>
      <w:r w:rsidR="00BE59E1">
        <w:t>) high-resolution TEM images and (</w:t>
      </w:r>
      <w:r w:rsidR="00BE59E1" w:rsidRPr="00E127C8">
        <w:rPr>
          <w:b/>
        </w:rPr>
        <w:t>d, h</w:t>
      </w:r>
      <w:r w:rsidR="00BE59E1">
        <w:t>) the selected area electron diffraction patterns of MnO</w:t>
      </w:r>
      <w:r w:rsidR="00BE59E1">
        <w:rPr>
          <w:vertAlign w:val="subscript"/>
        </w:rPr>
        <w:t>2</w:t>
      </w:r>
      <w:r w:rsidR="00BE59E1">
        <w:t xml:space="preserve"> deposition in CE-MnO</w:t>
      </w:r>
      <w:r w:rsidR="00BE59E1">
        <w:rPr>
          <w:vertAlign w:val="subscript"/>
        </w:rPr>
        <w:t>2</w:t>
      </w:r>
      <w:r w:rsidR="00BE59E1">
        <w:t xml:space="preserve"> cells (</w:t>
      </w:r>
      <w:r w:rsidR="00BE59E1" w:rsidRPr="00E127C8">
        <w:rPr>
          <w:b/>
        </w:rPr>
        <w:t>a-d</w:t>
      </w:r>
      <w:r w:rsidR="00BE59E1">
        <w:t>) with and (</w:t>
      </w:r>
      <w:r w:rsidR="00BE59E1" w:rsidRPr="00E127C8">
        <w:rPr>
          <w:b/>
        </w:rPr>
        <w:t>e-h</w:t>
      </w:r>
      <w:r w:rsidR="00BE59E1">
        <w:t>) w</w:t>
      </w:r>
      <w:r w:rsidR="00E127C8">
        <w:t>ithout AEM</w:t>
      </w:r>
    </w:p>
    <w:p w14:paraId="63F8C6C5" w14:textId="77777777" w:rsidR="00F672BA" w:rsidRPr="00F672BA" w:rsidRDefault="00F672BA" w:rsidP="008D460F">
      <w:pPr>
        <w:spacing w:beforeLines="0" w:before="120" w:after="120" w:line="240" w:lineRule="auto"/>
      </w:pPr>
    </w:p>
    <w:p w14:paraId="2797CF62"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27FF7EF2" wp14:editId="0FB5CFE6">
            <wp:extent cx="5274310" cy="2188845"/>
            <wp:effectExtent l="0" t="0" r="254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188845"/>
                    </a:xfrm>
                    <a:prstGeom prst="rect">
                      <a:avLst/>
                    </a:prstGeom>
                    <a:noFill/>
                    <a:ln>
                      <a:noFill/>
                    </a:ln>
                  </pic:spPr>
                </pic:pic>
              </a:graphicData>
            </a:graphic>
          </wp:inline>
        </w:drawing>
      </w:r>
    </w:p>
    <w:p w14:paraId="7BD763CB" w14:textId="358952F1" w:rsidR="00F672BA" w:rsidRPr="00F672BA" w:rsidRDefault="008D460F" w:rsidP="00E127C8">
      <w:pPr>
        <w:spacing w:beforeLines="0" w:before="120" w:after="120" w:line="240" w:lineRule="auto"/>
        <w:jc w:val="left"/>
      </w:pPr>
      <w:r w:rsidRPr="008D460F">
        <w:rPr>
          <w:rFonts w:hint="eastAsia"/>
          <w:b/>
        </w:rPr>
        <w:t>Fig. S</w:t>
      </w:r>
      <w:r w:rsidR="00BE59E1" w:rsidRPr="00E127C8">
        <w:rPr>
          <w:b/>
        </w:rPr>
        <w:t>17</w:t>
      </w:r>
      <w:r w:rsidR="00BE59E1">
        <w:t xml:space="preserve"> N</w:t>
      </w:r>
      <w:r w:rsidR="00BE59E1">
        <w:rPr>
          <w:vertAlign w:val="subscript"/>
        </w:rPr>
        <w:t>2</w:t>
      </w:r>
      <w:r w:rsidR="00BE59E1">
        <w:t xml:space="preserve"> adsorption</w:t>
      </w:r>
      <w:r w:rsidR="00BE59E1" w:rsidRPr="00F672BA">
        <w:t>–</w:t>
      </w:r>
      <w:r w:rsidR="00BE59E1">
        <w:t>desorption isotherms o</w:t>
      </w:r>
      <w:r w:rsidR="00E127C8">
        <w:t>f (</w:t>
      </w:r>
      <w:r w:rsidR="00E127C8" w:rsidRPr="00E127C8">
        <w:rPr>
          <w:b/>
        </w:rPr>
        <w:t>a</w:t>
      </w:r>
      <w:r w:rsidR="00E127C8">
        <w:t>) carbon cloth and (</w:t>
      </w:r>
      <w:r w:rsidR="00E127C8" w:rsidRPr="00E127C8">
        <w:rPr>
          <w:b/>
        </w:rPr>
        <w:t>b</w:t>
      </w:r>
      <w:r w:rsidR="00E127C8">
        <w:t>) CNTs</w:t>
      </w:r>
      <w:r w:rsidR="00BE59E1">
        <w:br w:type="page"/>
      </w:r>
    </w:p>
    <w:p w14:paraId="07A2A653" w14:textId="77777777" w:rsidR="00F672BA" w:rsidRPr="00F672BA" w:rsidRDefault="00BE59E1" w:rsidP="008D460F">
      <w:pPr>
        <w:spacing w:beforeLines="0" w:before="120" w:after="120" w:line="240" w:lineRule="auto"/>
      </w:pPr>
      <w:r>
        <w:rPr>
          <w:noProof/>
          <w:lang w:val="en-IN" w:eastAsia="en-IN"/>
        </w:rPr>
        <w:drawing>
          <wp:inline distT="0" distB="0" distL="0" distR="0" wp14:anchorId="4CF5770E" wp14:editId="63DA6BF8">
            <wp:extent cx="5321300" cy="2660650"/>
            <wp:effectExtent l="0" t="0" r="0" b="635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1300" cy="2660650"/>
                    </a:xfrm>
                    <a:prstGeom prst="rect">
                      <a:avLst/>
                    </a:prstGeom>
                    <a:noFill/>
                    <a:ln>
                      <a:noFill/>
                    </a:ln>
                  </pic:spPr>
                </pic:pic>
              </a:graphicData>
            </a:graphic>
          </wp:inline>
        </w:drawing>
      </w:r>
    </w:p>
    <w:p w14:paraId="1A08F2B1" w14:textId="12C26B65" w:rsidR="00F672BA" w:rsidRPr="00F672BA" w:rsidRDefault="008D460F" w:rsidP="008D460F">
      <w:pPr>
        <w:spacing w:beforeLines="0" w:before="120" w:after="120" w:line="240" w:lineRule="auto"/>
      </w:pPr>
      <w:r w:rsidRPr="008D460F">
        <w:rPr>
          <w:rFonts w:hint="eastAsia"/>
          <w:b/>
        </w:rPr>
        <w:t>Fig. S</w:t>
      </w:r>
      <w:r w:rsidR="00BE59E1" w:rsidRPr="00E127C8">
        <w:rPr>
          <w:b/>
        </w:rPr>
        <w:t>18</w:t>
      </w:r>
      <w:r w:rsidR="00BE59E1">
        <w:t xml:space="preserve"> </w:t>
      </w:r>
      <w:r w:rsidR="00BE59E1" w:rsidRPr="00985AD5">
        <w:t>(</w:t>
      </w:r>
      <w:r w:rsidR="00BE59E1" w:rsidRPr="00E127C8">
        <w:rPr>
          <w:b/>
        </w:rPr>
        <w:t>a</w:t>
      </w:r>
      <w:r w:rsidR="00BE59E1" w:rsidRPr="00985AD5">
        <w:t>) C</w:t>
      </w:r>
      <w:r w:rsidR="00BE59E1" w:rsidRPr="00985AD5">
        <w:rPr>
          <w:rFonts w:hint="eastAsia"/>
        </w:rPr>
        <w:t>ycling</w:t>
      </w:r>
      <w:r w:rsidR="00BE59E1" w:rsidRPr="00985AD5">
        <w:t xml:space="preserve"> </w:t>
      </w:r>
      <w:r w:rsidR="00BE59E1" w:rsidRPr="00985AD5">
        <w:rPr>
          <w:rFonts w:hint="eastAsia"/>
        </w:rPr>
        <w:t>stability</w:t>
      </w:r>
      <w:r w:rsidR="00BE59E1" w:rsidRPr="00985AD5">
        <w:t xml:space="preserve"> and (</w:t>
      </w:r>
      <w:r w:rsidR="00BE59E1" w:rsidRPr="00E127C8">
        <w:rPr>
          <w:b/>
        </w:rPr>
        <w:t>b</w:t>
      </w:r>
      <w:r w:rsidR="00BE59E1" w:rsidRPr="00985AD5">
        <w:t xml:space="preserve">) rate performance of </w:t>
      </w:r>
      <w:r w:rsidR="00BE59E1">
        <w:t>Zn-</w:t>
      </w:r>
      <w:r w:rsidR="00BE59E1" w:rsidRPr="00C03EB7">
        <w:t>MnO</w:t>
      </w:r>
      <w:r w:rsidR="00BE59E1" w:rsidRPr="00C03EB7">
        <w:rPr>
          <w:rFonts w:hint="eastAsia"/>
          <w:vertAlign w:val="subscript"/>
        </w:rPr>
        <w:t>2</w:t>
      </w:r>
      <w:r w:rsidR="00BE59E1" w:rsidRPr="00985AD5">
        <w:t xml:space="preserve"> slurry and CE-MnO</w:t>
      </w:r>
      <w:r w:rsidR="00BE59E1" w:rsidRPr="00985AD5">
        <w:rPr>
          <w:vertAlign w:val="subscript"/>
        </w:rPr>
        <w:t>2</w:t>
      </w:r>
      <w:r w:rsidR="00BE59E1" w:rsidRPr="00985AD5">
        <w:t xml:space="preserve"> cells with and without AEM. (</w:t>
      </w:r>
      <w:r w:rsidR="00BE59E1" w:rsidRPr="00E127C8">
        <w:rPr>
          <w:b/>
        </w:rPr>
        <w:t>c</w:t>
      </w:r>
      <w:r w:rsidR="00BE59E1" w:rsidRPr="00985AD5">
        <w:t>) C</w:t>
      </w:r>
      <w:r w:rsidR="00BE59E1" w:rsidRPr="00985AD5">
        <w:rPr>
          <w:rFonts w:hint="eastAsia"/>
        </w:rPr>
        <w:t>ycling</w:t>
      </w:r>
      <w:r w:rsidR="00BE59E1" w:rsidRPr="00985AD5">
        <w:t xml:space="preserve"> performance of </w:t>
      </w:r>
      <w:r w:rsidR="00BE59E1" w:rsidRPr="00B24BC4">
        <w:t>Zn-MnO</w:t>
      </w:r>
      <w:r w:rsidR="00BE59E1" w:rsidRPr="00C03EB7">
        <w:rPr>
          <w:vertAlign w:val="subscript"/>
        </w:rPr>
        <w:t>2</w:t>
      </w:r>
      <w:r w:rsidR="00BE59E1" w:rsidRPr="00985AD5">
        <w:t xml:space="preserve"> slurry and CE-MnO</w:t>
      </w:r>
      <w:r w:rsidR="00BE59E1" w:rsidRPr="00985AD5">
        <w:rPr>
          <w:vertAlign w:val="subscript"/>
        </w:rPr>
        <w:t>2</w:t>
      </w:r>
      <w:r w:rsidR="00BE59E1" w:rsidRPr="00985AD5">
        <w:t xml:space="preserve"> cells with and without AEM at 2 mA cm</w:t>
      </w:r>
      <w:r w:rsidR="00BE59E1" w:rsidRPr="00985AD5">
        <w:rPr>
          <w:vertAlign w:val="superscript"/>
        </w:rPr>
        <w:t>−2</w:t>
      </w:r>
      <w:r w:rsidR="00BE59E1" w:rsidRPr="00985AD5">
        <w:t xml:space="preserve"> and 2 mAh cm</w:t>
      </w:r>
      <w:r w:rsidR="00BE59E1" w:rsidRPr="00985AD5">
        <w:rPr>
          <w:vertAlign w:val="superscript"/>
        </w:rPr>
        <w:t>−2</w:t>
      </w:r>
      <w:r w:rsidR="00BE59E1" w:rsidRPr="00985AD5">
        <w:t>. (</w:t>
      </w:r>
      <w:r w:rsidR="00BE59E1" w:rsidRPr="00E127C8">
        <w:rPr>
          <w:b/>
        </w:rPr>
        <w:t>d</w:t>
      </w:r>
      <w:r w:rsidR="00BE59E1" w:rsidRPr="00985AD5">
        <w:t>)</w:t>
      </w:r>
      <w:r w:rsidR="00BE59E1">
        <w:t xml:space="preserve"> </w:t>
      </w:r>
      <w:r w:rsidR="00BE59E1" w:rsidRPr="00985AD5">
        <w:t>C</w:t>
      </w:r>
      <w:r w:rsidR="00BE59E1" w:rsidRPr="00985AD5">
        <w:rPr>
          <w:rFonts w:hint="eastAsia"/>
        </w:rPr>
        <w:t>ycling</w:t>
      </w:r>
      <w:r w:rsidR="00BE59E1" w:rsidRPr="00985AD5">
        <w:t xml:space="preserve"> performance of</w:t>
      </w:r>
      <w:r w:rsidR="00BE59E1">
        <w:t xml:space="preserve"> Zn-MnO</w:t>
      </w:r>
      <w:r w:rsidR="00BE59E1" w:rsidRPr="00B24BC4">
        <w:rPr>
          <w:vertAlign w:val="subscript"/>
        </w:rPr>
        <w:t>2</w:t>
      </w:r>
      <w:r w:rsidR="00BE59E1">
        <w:t xml:space="preserve"> slurry cells at 2 mA cm</w:t>
      </w:r>
      <w:r w:rsidR="00BE59E1">
        <w:rPr>
          <w:rFonts w:cs="Times New Roman"/>
          <w:vertAlign w:val="superscript"/>
        </w:rPr>
        <w:t>−</w:t>
      </w:r>
      <w:r w:rsidR="00BE59E1">
        <w:rPr>
          <w:vertAlign w:val="superscript"/>
        </w:rPr>
        <w:t>2</w:t>
      </w:r>
      <w:r w:rsidR="00BE59E1">
        <w:t xml:space="preserve"> and 1 mAh cm</w:t>
      </w:r>
      <w:r w:rsidR="00BE59E1">
        <w:rPr>
          <w:rFonts w:cs="Times New Roman"/>
          <w:vertAlign w:val="superscript"/>
        </w:rPr>
        <w:t>−</w:t>
      </w:r>
      <w:r w:rsidR="00BE59E1">
        <w:rPr>
          <w:vertAlign w:val="superscript"/>
        </w:rPr>
        <w:t>2</w:t>
      </w:r>
      <w:r w:rsidR="00BE59E1">
        <w:t>.</w:t>
      </w:r>
      <w:r w:rsidR="00BE59E1" w:rsidRPr="00985AD5">
        <w:t xml:space="preserve"> (</w:t>
      </w:r>
      <w:r w:rsidR="00BE59E1" w:rsidRPr="00E127C8">
        <w:rPr>
          <w:b/>
        </w:rPr>
        <w:t>e</w:t>
      </w:r>
      <w:r w:rsidR="00BE59E1" w:rsidRPr="00985AD5">
        <w:t>)The c</w:t>
      </w:r>
      <w:r w:rsidR="00BE59E1" w:rsidRPr="00985AD5">
        <w:rPr>
          <w:rFonts w:hint="eastAsia"/>
        </w:rPr>
        <w:t>ycling</w:t>
      </w:r>
      <w:r w:rsidR="00BE59E1" w:rsidRPr="00985AD5">
        <w:t xml:space="preserve"> life of </w:t>
      </w:r>
      <w:r w:rsidR="00BE59E1">
        <w:t>the Zn-MnO</w:t>
      </w:r>
      <w:r w:rsidR="00BE59E1" w:rsidRPr="00B24BC4">
        <w:rPr>
          <w:vertAlign w:val="subscript"/>
        </w:rPr>
        <w:t>2</w:t>
      </w:r>
      <w:r w:rsidR="00BE59E1" w:rsidRPr="00985AD5">
        <w:t xml:space="preserve"> slurry </w:t>
      </w:r>
      <w:r w:rsidR="00BE59E1">
        <w:t xml:space="preserve">cell was enhanced </w:t>
      </w:r>
      <w:r w:rsidR="00BE59E1" w:rsidRPr="00985AD5">
        <w:t xml:space="preserve">by </w:t>
      </w:r>
      <w:r w:rsidR="00E127C8">
        <w:t>the injection of the catholyte</w:t>
      </w:r>
    </w:p>
    <w:p w14:paraId="286CD16C" w14:textId="35E3ED74" w:rsidR="00F672BA" w:rsidRPr="00F672BA" w:rsidRDefault="00BE59E1" w:rsidP="008D460F">
      <w:pPr>
        <w:spacing w:beforeLines="0" w:before="120" w:after="120" w:line="240" w:lineRule="auto"/>
      </w:pPr>
      <w:r w:rsidRPr="000C2E05">
        <w:t>T</w:t>
      </w:r>
      <w:r w:rsidRPr="000C2E05">
        <w:rPr>
          <w:rFonts w:hint="eastAsia"/>
        </w:rPr>
        <w:t>he</w:t>
      </w:r>
      <w:r w:rsidRPr="000C2E05">
        <w:t xml:space="preserve"> charge and discharge conditions are further set to 2 mA cm</w:t>
      </w:r>
      <w:r w:rsidRPr="000C2E05">
        <w:rPr>
          <w:vertAlign w:val="superscript"/>
        </w:rPr>
        <w:t>−2</w:t>
      </w:r>
      <w:r w:rsidRPr="000C2E05">
        <w:t xml:space="preserve"> and 2 mAh </w:t>
      </w:r>
      <w:bookmarkStart w:id="10" w:name="_Hlk201846762"/>
      <w:r w:rsidRPr="000C2E05">
        <w:t>cm</w:t>
      </w:r>
      <w:r w:rsidRPr="000C2E05">
        <w:rPr>
          <w:vertAlign w:val="superscript"/>
        </w:rPr>
        <w:t>−2</w:t>
      </w:r>
      <w:bookmarkEnd w:id="10"/>
      <w:r w:rsidRPr="000C2E05">
        <w:t xml:space="preserve">. As shown in </w:t>
      </w:r>
      <w:r w:rsidR="008D460F" w:rsidRPr="008D460F">
        <w:rPr>
          <w:b/>
        </w:rPr>
        <w:t>Fig. S</w:t>
      </w:r>
      <w:r>
        <w:t>18</w:t>
      </w:r>
      <w:r>
        <w:rPr>
          <w:rFonts w:hint="eastAsia"/>
        </w:rPr>
        <w:t>c</w:t>
      </w:r>
      <w:r w:rsidRPr="000C2E05">
        <w:t>, the MnO</w:t>
      </w:r>
      <w:r w:rsidRPr="000C2E05">
        <w:rPr>
          <w:rFonts w:hint="eastAsia"/>
          <w:vertAlign w:val="subscript"/>
        </w:rPr>
        <w:t>2</w:t>
      </w:r>
      <w:r w:rsidRPr="000C2E05">
        <w:t xml:space="preserve"> slurry cell deliver</w:t>
      </w:r>
      <w:r>
        <w:rPr>
          <w:rFonts w:hint="eastAsia"/>
        </w:rPr>
        <w:t>s</w:t>
      </w:r>
      <w:r w:rsidRPr="000C2E05">
        <w:t xml:space="preserve"> a specific capacity of 464 mAh g</w:t>
      </w:r>
      <w:r w:rsidRPr="000C2E05">
        <w:rPr>
          <w:vertAlign w:val="superscript"/>
        </w:rPr>
        <w:t>−1</w:t>
      </w:r>
      <w:r w:rsidRPr="000C2E05">
        <w:t xml:space="preserve"> (calculated based on the mass loading of active CNTs)</w:t>
      </w:r>
      <w:r w:rsidRPr="000C2E05">
        <w:rPr>
          <w:rFonts w:hint="eastAsia"/>
        </w:rPr>
        <w:t xml:space="preserve"> and </w:t>
      </w:r>
      <w:r w:rsidRPr="000C2E05">
        <w:t>maintain</w:t>
      </w:r>
      <w:r>
        <w:t>s</w:t>
      </w:r>
      <w:r w:rsidRPr="000C2E05">
        <w:t xml:space="preserve"> a </w:t>
      </w:r>
      <w:r w:rsidRPr="000C2E05">
        <w:rPr>
          <w:rFonts w:hint="eastAsia"/>
        </w:rPr>
        <w:t>stable</w:t>
      </w:r>
      <w:r w:rsidRPr="000C2E05">
        <w:t xml:space="preserve"> capacity after 80 cycles, whereas the capacity </w:t>
      </w:r>
      <w:r w:rsidRPr="000C2E05">
        <w:rPr>
          <w:rFonts w:hint="eastAsia"/>
        </w:rPr>
        <w:t>of</w:t>
      </w:r>
      <w:r w:rsidRPr="000C2E05">
        <w:t xml:space="preserve"> CE-MnO</w:t>
      </w:r>
      <w:r w:rsidRPr="000C2E05">
        <w:rPr>
          <w:vertAlign w:val="subscript"/>
        </w:rPr>
        <w:t>2</w:t>
      </w:r>
      <w:r w:rsidRPr="000C2E05">
        <w:t xml:space="preserve"> cells with and without AEM</w:t>
      </w:r>
      <w:r w:rsidRPr="000C2E05">
        <w:rPr>
          <w:rFonts w:hint="eastAsia"/>
        </w:rPr>
        <w:t xml:space="preserve"> </w:t>
      </w:r>
      <w:r w:rsidRPr="000C2E05">
        <w:t>is rapidly degraded after 44 and 21 cycles, respectively. Note that the thick MnO</w:t>
      </w:r>
      <w:r w:rsidRPr="000C2E05">
        <w:rPr>
          <w:vertAlign w:val="subscript"/>
        </w:rPr>
        <w:t>2</w:t>
      </w:r>
      <w:r w:rsidRPr="000C2E05">
        <w:t xml:space="preserve"> deposition layers are generated in the case of high mass loading, resulting in low dissolution reversibility due to the poor electronic conductivity of </w:t>
      </w:r>
      <w:bookmarkStart w:id="11" w:name="OLE_LINK59"/>
      <w:r w:rsidRPr="000C2E05">
        <w:t>ε-MnO</w:t>
      </w:r>
      <w:r w:rsidRPr="000C2E05">
        <w:rPr>
          <w:vertAlign w:val="subscript"/>
        </w:rPr>
        <w:t>2</w:t>
      </w:r>
      <w:bookmarkEnd w:id="11"/>
      <w:r w:rsidRPr="000C2E05">
        <w:t>. To investigate the failure mechanism of the MnO</w:t>
      </w:r>
      <w:r w:rsidRPr="000C2E05">
        <w:rPr>
          <w:rFonts w:hint="eastAsia"/>
          <w:vertAlign w:val="subscript"/>
        </w:rPr>
        <w:t>2</w:t>
      </w:r>
      <w:r w:rsidRPr="000C2E05">
        <w:t xml:space="preserve"> slurry cell, the cycling performance was tested at 2 mA cm</w:t>
      </w:r>
      <w:r w:rsidRPr="000C2E05">
        <w:rPr>
          <w:vertAlign w:val="superscript"/>
        </w:rPr>
        <w:t>−2</w:t>
      </w:r>
      <w:r w:rsidRPr="000C2E05">
        <w:t xml:space="preserve"> and 1 mAh cm</w:t>
      </w:r>
      <w:r w:rsidRPr="000C2E05">
        <w:rPr>
          <w:vertAlign w:val="superscript"/>
        </w:rPr>
        <w:t>−2</w:t>
      </w:r>
      <w:r w:rsidRPr="000C2E05">
        <w:t>. The MnO</w:t>
      </w:r>
      <w:r w:rsidRPr="000C2E05">
        <w:rPr>
          <w:vertAlign w:val="subscript"/>
        </w:rPr>
        <w:t>2</w:t>
      </w:r>
      <w:r w:rsidRPr="000C2E05">
        <w:t xml:space="preserve"> slurry cell shows a steady capacity profile within 110 cycles and a subsequent sharp capacity decline </w:t>
      </w:r>
      <w:bookmarkStart w:id="12" w:name="OLE_LINK53"/>
      <w:r w:rsidRPr="000C2E05">
        <w:t>(</w:t>
      </w:r>
      <w:r w:rsidR="008D460F" w:rsidRPr="008D460F">
        <w:rPr>
          <w:b/>
        </w:rPr>
        <w:t>Fig. S</w:t>
      </w:r>
      <w:r w:rsidRPr="000C2E05">
        <w:t>1</w:t>
      </w:r>
      <w:r>
        <w:rPr>
          <w:rFonts w:hint="eastAsia"/>
        </w:rPr>
        <w:t>8d</w:t>
      </w:r>
      <w:r w:rsidRPr="000C2E05">
        <w:t>)</w:t>
      </w:r>
      <w:bookmarkEnd w:id="12"/>
      <w:r w:rsidRPr="000C2E05">
        <w:t>, which arises from the depletion of the electrolyte in the slurry by H</w:t>
      </w:r>
      <w:r w:rsidRPr="000C2E05">
        <w:rPr>
          <w:vertAlign w:val="subscript"/>
        </w:rPr>
        <w:t>2</w:t>
      </w:r>
      <w:r w:rsidRPr="000C2E05">
        <w:t xml:space="preserve"> evolution from the zinc anodes. Surprisingly, when the MnO</w:t>
      </w:r>
      <w:r w:rsidRPr="000C2E05">
        <w:rPr>
          <w:vertAlign w:val="subscript"/>
        </w:rPr>
        <w:t>2</w:t>
      </w:r>
      <w:r w:rsidRPr="000C2E05">
        <w:t xml:space="preserve"> slurry electrode is injected with a small amount of catholyte before failure, the cycle life of the slurry cells can be extended to 180 cycles, suggesting a low-cost regenerative capability of the slurry battery</w:t>
      </w:r>
      <w:r w:rsidRPr="000C2E05">
        <w:rPr>
          <w:rFonts w:hint="eastAsia"/>
        </w:rPr>
        <w:t xml:space="preserve"> (</w:t>
      </w:r>
      <w:r w:rsidR="008D460F" w:rsidRPr="008D460F">
        <w:rPr>
          <w:rFonts w:hint="eastAsia"/>
          <w:b/>
        </w:rPr>
        <w:t>Fig. S</w:t>
      </w:r>
      <w:r>
        <w:t>18</w:t>
      </w:r>
      <w:r>
        <w:rPr>
          <w:rFonts w:hint="eastAsia"/>
        </w:rPr>
        <w:t>e</w:t>
      </w:r>
      <w:r w:rsidRPr="000C2E05">
        <w:rPr>
          <w:rFonts w:hint="eastAsia"/>
        </w:rPr>
        <w:t>)</w:t>
      </w:r>
      <w:r w:rsidRPr="000C2E05">
        <w:t>.</w:t>
      </w:r>
    </w:p>
    <w:p w14:paraId="453399A5" w14:textId="77777777" w:rsidR="00F672BA" w:rsidRPr="00F672BA" w:rsidRDefault="00BE59E1" w:rsidP="008D460F">
      <w:pPr>
        <w:spacing w:beforeLines="0" w:before="120" w:after="120" w:line="240" w:lineRule="auto"/>
      </w:pPr>
      <w:r>
        <w:br w:type="page"/>
      </w:r>
    </w:p>
    <w:p w14:paraId="211846F3"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18BD70A4" wp14:editId="5C5AC8B6">
            <wp:extent cx="4566031" cy="3721100"/>
            <wp:effectExtent l="0" t="0" r="635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6794" cy="3729871"/>
                    </a:xfrm>
                    <a:prstGeom prst="rect">
                      <a:avLst/>
                    </a:prstGeom>
                    <a:noFill/>
                    <a:ln>
                      <a:noFill/>
                    </a:ln>
                  </pic:spPr>
                </pic:pic>
              </a:graphicData>
            </a:graphic>
          </wp:inline>
        </w:drawing>
      </w:r>
    </w:p>
    <w:p w14:paraId="3FE21A73" w14:textId="090294AF" w:rsidR="00F672BA" w:rsidRPr="00F672BA" w:rsidRDefault="008D460F" w:rsidP="008D460F">
      <w:pPr>
        <w:spacing w:beforeLines="0" w:before="120" w:after="120" w:line="240" w:lineRule="auto"/>
      </w:pPr>
      <w:r w:rsidRPr="008D460F">
        <w:rPr>
          <w:rFonts w:hint="eastAsia"/>
          <w:b/>
        </w:rPr>
        <w:t>Fig. S</w:t>
      </w:r>
      <w:r w:rsidR="00BE59E1" w:rsidRPr="00E127C8">
        <w:rPr>
          <w:b/>
        </w:rPr>
        <w:t>19</w:t>
      </w:r>
      <w:r w:rsidR="00BE59E1">
        <w:t xml:space="preserve"> (</w:t>
      </w:r>
      <w:r w:rsidR="00BE59E1" w:rsidRPr="00E127C8">
        <w:rPr>
          <w:b/>
        </w:rPr>
        <w:t>a</w:t>
      </w:r>
      <w:r w:rsidR="00BE59E1">
        <w:t xml:space="preserve">) XRD patterns </w:t>
      </w:r>
      <w:r w:rsidR="00BE59E1">
        <w:rPr>
          <w:rFonts w:hint="eastAsia"/>
        </w:rPr>
        <w:t>a</w:t>
      </w:r>
      <w:r w:rsidR="00BE59E1">
        <w:t>nd (</w:t>
      </w:r>
      <w:r w:rsidR="00BE59E1" w:rsidRPr="00E127C8">
        <w:rPr>
          <w:b/>
        </w:rPr>
        <w:t>b</w:t>
      </w:r>
      <w:r w:rsidR="00BE59E1">
        <w:t>) SEM images of commercial MnO</w:t>
      </w:r>
      <w:r w:rsidR="00BE59E1" w:rsidRPr="001E5031">
        <w:rPr>
          <w:vertAlign w:val="subscript"/>
        </w:rPr>
        <w:t>2</w:t>
      </w:r>
      <w:r w:rsidR="00BE59E1">
        <w:t xml:space="preserve"> powder. (</w:t>
      </w:r>
      <w:r w:rsidR="00BE59E1" w:rsidRPr="00E127C8">
        <w:rPr>
          <w:b/>
        </w:rPr>
        <w:t>c</w:t>
      </w:r>
      <w:r w:rsidR="00BE59E1">
        <w:t>) Discharge curves of slurry with appropriate amounts of commercial MnO</w:t>
      </w:r>
      <w:r w:rsidR="00BE59E1" w:rsidRPr="00CD78D9">
        <w:rPr>
          <w:vertAlign w:val="subscript"/>
        </w:rPr>
        <w:t>2</w:t>
      </w:r>
      <w:r w:rsidR="00BE59E1">
        <w:t xml:space="preserve"> powders. (</w:t>
      </w:r>
      <w:r w:rsidR="00BE59E1" w:rsidRPr="00E127C8">
        <w:rPr>
          <w:b/>
        </w:rPr>
        <w:t>d</w:t>
      </w:r>
      <w:r w:rsidR="00BE59E1">
        <w:t>) Schematic illustration of commercial MnO</w:t>
      </w:r>
      <w:r w:rsidR="00BE59E1" w:rsidRPr="00CD78D9">
        <w:rPr>
          <w:vertAlign w:val="subscript"/>
        </w:rPr>
        <w:t>2</w:t>
      </w:r>
      <w:r w:rsidR="00BE59E1">
        <w:t xml:space="preserve"> powders b</w:t>
      </w:r>
      <w:r w:rsidR="00E127C8">
        <w:t>eing dissolved during discharge</w:t>
      </w:r>
    </w:p>
    <w:p w14:paraId="712A789D" w14:textId="3E071CB4" w:rsidR="00F672BA" w:rsidRPr="00F672BA" w:rsidRDefault="00BE59E1" w:rsidP="008D460F">
      <w:pPr>
        <w:spacing w:beforeLines="0" w:before="120" w:after="120" w:line="240" w:lineRule="auto"/>
      </w:pPr>
      <w:r>
        <w:t>Commercial MnO</w:t>
      </w:r>
      <w:r w:rsidRPr="00CD78D9">
        <w:rPr>
          <w:vertAlign w:val="subscript"/>
        </w:rPr>
        <w:t>2</w:t>
      </w:r>
      <w:r>
        <w:t xml:space="preserve"> powders were added to the catholyte</w:t>
      </w:r>
      <w:r>
        <w:rPr>
          <w:rFonts w:hint="eastAsia"/>
        </w:rPr>
        <w:t>s</w:t>
      </w:r>
      <w:r>
        <w:t xml:space="preserve"> with the CNTs content of 2% to obtain a uniform slurry (</w:t>
      </w:r>
      <w:r w:rsidR="008D460F" w:rsidRPr="008D460F">
        <w:rPr>
          <w:b/>
        </w:rPr>
        <w:t>Fig. S</w:t>
      </w:r>
      <w:r>
        <w:t>19a and S19b). When a galvanostatic discharge was applied to the slurry electrode with MnO</w:t>
      </w:r>
      <w:r w:rsidRPr="00CD78D9">
        <w:rPr>
          <w:vertAlign w:val="subscript"/>
        </w:rPr>
        <w:t>2</w:t>
      </w:r>
      <w:r>
        <w:t xml:space="preserve"> powders, a distinct discharge curve with a voltage platform of 1.85 V was observed (</w:t>
      </w:r>
      <w:r w:rsidR="008D460F" w:rsidRPr="008D460F">
        <w:rPr>
          <w:b/>
        </w:rPr>
        <w:t>Fig. S</w:t>
      </w:r>
      <w:r>
        <w:t>19</w:t>
      </w:r>
      <w:r>
        <w:rPr>
          <w:rFonts w:hint="eastAsia"/>
        </w:rPr>
        <w:t>c</w:t>
      </w:r>
      <w:r>
        <w:t xml:space="preserve">). The results indicate that the </w:t>
      </w:r>
      <w:r w:rsidRPr="00E518EF">
        <w:t xml:space="preserve">pre-incorporated </w:t>
      </w:r>
      <w:r>
        <w:t>MnO</w:t>
      </w:r>
      <w:r w:rsidRPr="00CD78D9">
        <w:rPr>
          <w:vertAlign w:val="subscript"/>
        </w:rPr>
        <w:t>2</w:t>
      </w:r>
      <w:r w:rsidRPr="00E518EF">
        <w:t xml:space="preserve"> in the slurry can be activated by </w:t>
      </w:r>
      <w:r>
        <w:t xml:space="preserve">the </w:t>
      </w:r>
      <w:r w:rsidRPr="00E518EF">
        <w:t>3D conducti</w:t>
      </w:r>
      <w:r>
        <w:t>ve</w:t>
      </w:r>
      <w:r w:rsidRPr="00E518EF">
        <w:t xml:space="preserve"> CNTs network, </w:t>
      </w:r>
      <w:r>
        <w:t>suggest</w:t>
      </w:r>
      <w:r w:rsidRPr="00E518EF">
        <w:t>ing the ability of the slurry electrode to re</w:t>
      </w:r>
      <w:r>
        <w:t>vive</w:t>
      </w:r>
      <w:r w:rsidRPr="00E518EF">
        <w:t xml:space="preserve"> dead </w:t>
      </w:r>
      <w:r>
        <w:t>MnO</w:t>
      </w:r>
      <w:r w:rsidRPr="00CD78D9">
        <w:rPr>
          <w:vertAlign w:val="subscript"/>
        </w:rPr>
        <w:t>2</w:t>
      </w:r>
      <w:r w:rsidRPr="00E518EF">
        <w:t xml:space="preserve"> during </w:t>
      </w:r>
      <w:r>
        <w:t>MnO</w:t>
      </w:r>
      <w:r w:rsidRPr="00CD78D9">
        <w:rPr>
          <w:vertAlign w:val="subscript"/>
        </w:rPr>
        <w:t>2</w:t>
      </w:r>
      <w:r w:rsidRPr="00E518EF">
        <w:t xml:space="preserve"> dissolution</w:t>
      </w:r>
      <w:r>
        <w:t xml:space="preserve"> (</w:t>
      </w:r>
      <w:r w:rsidR="008D460F" w:rsidRPr="008D460F">
        <w:rPr>
          <w:b/>
        </w:rPr>
        <w:t>Fig. S</w:t>
      </w:r>
      <w:r>
        <w:t>19d)</w:t>
      </w:r>
      <w:r w:rsidRPr="00E518EF">
        <w:t>.</w:t>
      </w:r>
    </w:p>
    <w:p w14:paraId="2060B864" w14:textId="77777777" w:rsidR="00F672BA" w:rsidRPr="00F672BA" w:rsidRDefault="00BE59E1" w:rsidP="008D460F">
      <w:pPr>
        <w:spacing w:beforeLines="0" w:before="120" w:after="120" w:line="240" w:lineRule="auto"/>
      </w:pPr>
      <w:r w:rsidRPr="00CE1594">
        <w:rPr>
          <w:noProof/>
          <w:lang w:val="en-IN" w:eastAsia="en-IN"/>
        </w:rPr>
        <w:drawing>
          <wp:inline distT="0" distB="0" distL="0" distR="0" wp14:anchorId="58572858" wp14:editId="56631AE4">
            <wp:extent cx="4660900" cy="2041117"/>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88207" cy="2053075"/>
                    </a:xfrm>
                    <a:prstGeom prst="rect">
                      <a:avLst/>
                    </a:prstGeom>
                    <a:noFill/>
                    <a:ln>
                      <a:noFill/>
                    </a:ln>
                  </pic:spPr>
                </pic:pic>
              </a:graphicData>
            </a:graphic>
          </wp:inline>
        </w:drawing>
      </w:r>
    </w:p>
    <w:p w14:paraId="303E2A7F" w14:textId="7D50A25E" w:rsidR="00F672BA" w:rsidRPr="00F672BA" w:rsidRDefault="008D460F" w:rsidP="008D460F">
      <w:pPr>
        <w:spacing w:beforeLines="0" w:before="120" w:after="120" w:line="240" w:lineRule="auto"/>
      </w:pPr>
      <w:r w:rsidRPr="008D460F">
        <w:rPr>
          <w:rFonts w:hint="eastAsia"/>
          <w:b/>
        </w:rPr>
        <w:t>Fig. S</w:t>
      </w:r>
      <w:r w:rsidR="00BE59E1" w:rsidRPr="00E127C8">
        <w:rPr>
          <w:b/>
        </w:rPr>
        <w:t>20</w:t>
      </w:r>
      <w:r w:rsidR="00BE59E1" w:rsidRPr="00CE1594">
        <w:t xml:space="preserve"> Schematic illustration of (</w:t>
      </w:r>
      <w:r w:rsidR="00BE59E1" w:rsidRPr="00E127C8">
        <w:rPr>
          <w:b/>
        </w:rPr>
        <w:t>a</w:t>
      </w:r>
      <w:r w:rsidR="00BE59E1" w:rsidRPr="00CE1594">
        <w:t>) appearance and (</w:t>
      </w:r>
      <w:r w:rsidR="00BE59E1" w:rsidRPr="00E127C8">
        <w:rPr>
          <w:b/>
        </w:rPr>
        <w:t>b</w:t>
      </w:r>
      <w:r w:rsidR="00BE59E1" w:rsidRPr="00CE1594">
        <w:t>) cross section for the Zn-MnO</w:t>
      </w:r>
      <w:r w:rsidR="00BE59E1" w:rsidRPr="00CE1594">
        <w:rPr>
          <w:vertAlign w:val="subscript"/>
        </w:rPr>
        <w:t>2</w:t>
      </w:r>
      <w:r w:rsidR="00E127C8">
        <w:t xml:space="preserve"> slurry cells</w:t>
      </w:r>
    </w:p>
    <w:p w14:paraId="06D425FB"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5EB6BAD1" wp14:editId="6299BC91">
            <wp:extent cx="3917950" cy="2502847"/>
            <wp:effectExtent l="0" t="0" r="6350" b="0"/>
            <wp:docPr id="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30"/>
                    <a:stretch>
                      <a:fillRect/>
                    </a:stretch>
                  </pic:blipFill>
                  <pic:spPr>
                    <a:xfrm>
                      <a:off x="0" y="0"/>
                      <a:ext cx="3920569" cy="2504520"/>
                    </a:xfrm>
                    <a:prstGeom prst="rect">
                      <a:avLst/>
                    </a:prstGeom>
                  </pic:spPr>
                </pic:pic>
              </a:graphicData>
            </a:graphic>
          </wp:inline>
        </w:drawing>
      </w:r>
    </w:p>
    <w:p w14:paraId="1166FCA6" w14:textId="347E7CB9" w:rsidR="00F672BA" w:rsidRPr="00F672BA" w:rsidRDefault="008D460F" w:rsidP="008D460F">
      <w:pPr>
        <w:spacing w:beforeLines="0" w:before="120" w:after="120" w:line="240" w:lineRule="auto"/>
      </w:pPr>
      <w:r w:rsidRPr="008D460F">
        <w:rPr>
          <w:rFonts w:hint="eastAsia"/>
          <w:b/>
        </w:rPr>
        <w:t>Fig. S</w:t>
      </w:r>
      <w:r w:rsidR="00BE59E1" w:rsidRPr="00E127C8">
        <w:rPr>
          <w:b/>
        </w:rPr>
        <w:t>21</w:t>
      </w:r>
      <w:r w:rsidR="00BE59E1">
        <w:t xml:space="preserve"> Digital photograph</w:t>
      </w:r>
      <w:r w:rsidR="00BE59E1">
        <w:rPr>
          <w:rFonts w:hint="eastAsia"/>
        </w:rPr>
        <w:t>s</w:t>
      </w:r>
      <w:r w:rsidR="00BE59E1">
        <w:t xml:space="preserve"> of copper (Cu) foil, tinned copper (Sn@Cu) foil and pre-plated</w:t>
      </w:r>
      <w:r w:rsidR="00E127C8">
        <w:t xml:space="preserve"> zinc on Sn@Cu (Zn-Sn@Cu) foil</w:t>
      </w:r>
    </w:p>
    <w:p w14:paraId="42544447"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1613BAD7" wp14:editId="48F2B216">
            <wp:extent cx="2947335" cy="2355850"/>
            <wp:effectExtent l="0" t="0" r="571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429" t="9283" b="3351"/>
                    <a:stretch/>
                  </pic:blipFill>
                  <pic:spPr bwMode="auto">
                    <a:xfrm>
                      <a:off x="0" y="0"/>
                      <a:ext cx="2954816" cy="2361829"/>
                    </a:xfrm>
                    <a:prstGeom prst="rect">
                      <a:avLst/>
                    </a:prstGeom>
                    <a:noFill/>
                    <a:ln>
                      <a:noFill/>
                    </a:ln>
                    <a:extLst>
                      <a:ext uri="{53640926-AAD7-44D8-BBD7-CCE9431645EC}">
                        <a14:shadowObscured xmlns:a14="http://schemas.microsoft.com/office/drawing/2010/main"/>
                      </a:ext>
                    </a:extLst>
                  </pic:spPr>
                </pic:pic>
              </a:graphicData>
            </a:graphic>
          </wp:inline>
        </w:drawing>
      </w:r>
    </w:p>
    <w:p w14:paraId="69618CAF" w14:textId="0616C276" w:rsidR="00F672BA" w:rsidRDefault="00BE59E1" w:rsidP="00E127C8">
      <w:pPr>
        <w:spacing w:beforeLines="0" w:before="120" w:after="120" w:line="240" w:lineRule="auto"/>
        <w:jc w:val="left"/>
      </w:pPr>
      <w:r w:rsidRPr="00E127C8">
        <w:rPr>
          <w:rFonts w:hint="eastAsia"/>
          <w:b/>
        </w:rPr>
        <w:t>Fig</w:t>
      </w:r>
      <w:r w:rsidR="00E127C8" w:rsidRPr="00E127C8">
        <w:rPr>
          <w:b/>
        </w:rPr>
        <w:t>.</w:t>
      </w:r>
      <w:r w:rsidRPr="00E127C8">
        <w:rPr>
          <w:b/>
        </w:rPr>
        <w:t xml:space="preserve"> </w:t>
      </w:r>
      <w:r w:rsidR="00E127C8">
        <w:rPr>
          <w:b/>
        </w:rPr>
        <w:t>S</w:t>
      </w:r>
      <w:r w:rsidRPr="00E127C8">
        <w:rPr>
          <w:b/>
        </w:rPr>
        <w:t xml:space="preserve">22 </w:t>
      </w:r>
      <w:r>
        <w:t xml:space="preserve">The discharge curves of </w:t>
      </w:r>
      <w:r w:rsidRPr="00F04357">
        <w:t>CE-MnO</w:t>
      </w:r>
      <w:r w:rsidRPr="00F04357">
        <w:rPr>
          <w:vertAlign w:val="subscript"/>
        </w:rPr>
        <w:t>2</w:t>
      </w:r>
      <w:r w:rsidRPr="00F04357">
        <w:t xml:space="preserve"> batter</w:t>
      </w:r>
      <w:r>
        <w:t xml:space="preserve">y with Zn-Sn@Cu </w:t>
      </w:r>
      <w:r w:rsidR="00E127C8">
        <w:t>anode</w:t>
      </w:r>
    </w:p>
    <w:p w14:paraId="7F943351" w14:textId="77777777" w:rsidR="00F672BA" w:rsidRPr="00F672BA" w:rsidRDefault="00BE59E1" w:rsidP="00E127C8">
      <w:pPr>
        <w:spacing w:beforeLines="0" w:before="120" w:after="120" w:line="240" w:lineRule="auto"/>
        <w:jc w:val="center"/>
      </w:pPr>
      <w:r>
        <w:rPr>
          <w:rFonts w:hint="eastAsia"/>
          <w:noProof/>
          <w:lang w:val="en-IN" w:eastAsia="en-IN"/>
        </w:rPr>
        <w:drawing>
          <wp:inline distT="0" distB="0" distL="0" distR="0" wp14:anchorId="52564117" wp14:editId="518A3E0F">
            <wp:extent cx="4780134" cy="1892300"/>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95343" cy="1898321"/>
                    </a:xfrm>
                    <a:prstGeom prst="rect">
                      <a:avLst/>
                    </a:prstGeom>
                    <a:noFill/>
                    <a:ln>
                      <a:noFill/>
                    </a:ln>
                  </pic:spPr>
                </pic:pic>
              </a:graphicData>
            </a:graphic>
          </wp:inline>
        </w:drawing>
      </w:r>
    </w:p>
    <w:p w14:paraId="4FFA5A21" w14:textId="52802044" w:rsidR="00F672BA" w:rsidRPr="00F672BA" w:rsidRDefault="008D460F" w:rsidP="008D460F">
      <w:pPr>
        <w:spacing w:beforeLines="0" w:before="120" w:after="120" w:line="240" w:lineRule="auto"/>
      </w:pPr>
      <w:r w:rsidRPr="008D460F">
        <w:rPr>
          <w:rFonts w:hint="eastAsia"/>
          <w:b/>
        </w:rPr>
        <w:t>Fig. S</w:t>
      </w:r>
      <w:r w:rsidR="00BE59E1" w:rsidRPr="00E127C8">
        <w:rPr>
          <w:b/>
        </w:rPr>
        <w:t>23</w:t>
      </w:r>
      <w:r w:rsidR="00BE59E1">
        <w:t xml:space="preserve"> </w:t>
      </w:r>
      <w:r w:rsidR="00BE59E1">
        <w:rPr>
          <w:rFonts w:hint="eastAsia"/>
        </w:rPr>
        <w:t>(</w:t>
      </w:r>
      <w:r w:rsidR="00BE59E1" w:rsidRPr="00E127C8">
        <w:rPr>
          <w:b/>
        </w:rPr>
        <w:t>a</w:t>
      </w:r>
      <w:r w:rsidR="00BE59E1">
        <w:t xml:space="preserve">) </w:t>
      </w:r>
      <w:r w:rsidR="00BE59E1" w:rsidRPr="00073062">
        <w:t>Schematic illustration of fabrication for multi-layer slurry batteries with high voltage and capacity.</w:t>
      </w:r>
      <w:r w:rsidR="00BE59E1">
        <w:t xml:space="preserve"> (</w:t>
      </w:r>
      <w:r w:rsidR="00BE59E1" w:rsidRPr="00E127C8">
        <w:rPr>
          <w:b/>
        </w:rPr>
        <w:t>b</w:t>
      </w:r>
      <w:r w:rsidR="00BE59E1">
        <w:t xml:space="preserve">) </w:t>
      </w:r>
      <w:r w:rsidR="00BE59E1" w:rsidRPr="00073062">
        <w:t>Cycling performance of Zn-MnO</w:t>
      </w:r>
      <w:r w:rsidR="00BE59E1" w:rsidRPr="00073062">
        <w:rPr>
          <w:vertAlign w:val="subscript"/>
        </w:rPr>
        <w:t>2</w:t>
      </w:r>
      <w:r w:rsidR="00BE59E1" w:rsidRPr="00073062">
        <w:t xml:space="preserve"> slurry battery with three slurry electrodes in parallel after charge for 96 mAh and discharg</w:t>
      </w:r>
      <w:r w:rsidR="00E127C8">
        <w:t>e to 0.8 V at 384 mA</w:t>
      </w:r>
    </w:p>
    <w:p w14:paraId="36B76435" w14:textId="77777777" w:rsidR="00F672BA" w:rsidRPr="00E127C8" w:rsidRDefault="00BE59E1" w:rsidP="008D460F">
      <w:pPr>
        <w:widowControl/>
        <w:spacing w:beforeLines="0" w:before="120" w:after="120" w:line="240" w:lineRule="auto"/>
        <w:jc w:val="center"/>
      </w:pPr>
      <w:r w:rsidRPr="00E127C8">
        <w:rPr>
          <w:rFonts w:hint="eastAsia"/>
          <w:noProof/>
          <w:lang w:val="en-IN" w:eastAsia="en-IN"/>
        </w:rPr>
        <w:drawing>
          <wp:inline distT="0" distB="0" distL="0" distR="0" wp14:anchorId="31734D01" wp14:editId="6A8C8786">
            <wp:extent cx="3365500" cy="2574756"/>
            <wp:effectExtent l="0" t="0" r="6350" b="0"/>
            <wp:docPr id="16538309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1962" cy="2587350"/>
                    </a:xfrm>
                    <a:prstGeom prst="rect">
                      <a:avLst/>
                    </a:prstGeom>
                    <a:noFill/>
                    <a:ln>
                      <a:noFill/>
                    </a:ln>
                  </pic:spPr>
                </pic:pic>
              </a:graphicData>
            </a:graphic>
          </wp:inline>
        </w:drawing>
      </w:r>
    </w:p>
    <w:p w14:paraId="3471D337" w14:textId="5E6BBBCB" w:rsidR="00F672BA" w:rsidRPr="00F672BA" w:rsidRDefault="008D460F" w:rsidP="00E127C8">
      <w:pPr>
        <w:widowControl/>
        <w:spacing w:beforeLines="0" w:before="120" w:after="120" w:line="240" w:lineRule="auto"/>
        <w:jc w:val="left"/>
      </w:pPr>
      <w:r w:rsidRPr="00E127C8">
        <w:rPr>
          <w:rFonts w:hint="eastAsia"/>
          <w:b/>
        </w:rPr>
        <w:t>Fig. S</w:t>
      </w:r>
      <w:r w:rsidR="00BE59E1" w:rsidRPr="00E127C8">
        <w:rPr>
          <w:rFonts w:hint="eastAsia"/>
          <w:b/>
        </w:rPr>
        <w:t>24</w:t>
      </w:r>
      <w:r w:rsidR="00BE59E1" w:rsidRPr="00E127C8">
        <w:rPr>
          <w:rFonts w:hint="eastAsia"/>
        </w:rPr>
        <w:t xml:space="preserve"> Schematic illustration of Zn-MnO</w:t>
      </w:r>
      <w:r w:rsidR="00BE59E1" w:rsidRPr="00E127C8">
        <w:rPr>
          <w:vertAlign w:val="subscript"/>
        </w:rPr>
        <w:t>2</w:t>
      </w:r>
      <w:r w:rsidR="00E127C8">
        <w:rPr>
          <w:rFonts w:hint="eastAsia"/>
        </w:rPr>
        <w:t xml:space="preserve"> slurry flow cell</w:t>
      </w:r>
    </w:p>
    <w:p w14:paraId="3614D395" w14:textId="77777777" w:rsidR="00F672BA" w:rsidRPr="00F672BA" w:rsidRDefault="00BE59E1" w:rsidP="008D460F">
      <w:pPr>
        <w:widowControl/>
        <w:spacing w:beforeLines="0" w:before="120" w:after="120" w:line="240" w:lineRule="auto"/>
        <w:jc w:val="center"/>
      </w:pPr>
      <w:r>
        <w:rPr>
          <w:rFonts w:hint="eastAsia"/>
          <w:noProof/>
          <w:lang w:val="en-IN" w:eastAsia="en-IN"/>
        </w:rPr>
        <w:drawing>
          <wp:inline distT="0" distB="0" distL="0" distR="0" wp14:anchorId="429E5807" wp14:editId="4FA3EC2B">
            <wp:extent cx="3465847" cy="2196603"/>
            <wp:effectExtent l="0" t="0" r="1270" b="0"/>
            <wp:docPr id="18724974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75409" cy="2202663"/>
                    </a:xfrm>
                    <a:prstGeom prst="rect">
                      <a:avLst/>
                    </a:prstGeom>
                    <a:noFill/>
                    <a:ln>
                      <a:noFill/>
                    </a:ln>
                  </pic:spPr>
                </pic:pic>
              </a:graphicData>
            </a:graphic>
          </wp:inline>
        </w:drawing>
      </w:r>
    </w:p>
    <w:p w14:paraId="2388264D" w14:textId="2D3B9EF3" w:rsidR="00F672BA" w:rsidRPr="00E127C8" w:rsidRDefault="00BE59E1" w:rsidP="007773FB">
      <w:pPr>
        <w:widowControl/>
        <w:spacing w:beforeLines="0" w:before="120" w:after="120" w:line="240" w:lineRule="auto"/>
      </w:pPr>
      <w:r w:rsidRPr="00E127C8">
        <w:rPr>
          <w:rFonts w:hint="eastAsia"/>
          <w:b/>
        </w:rPr>
        <w:t>Fig</w:t>
      </w:r>
      <w:r w:rsidR="00E127C8">
        <w:rPr>
          <w:b/>
        </w:rPr>
        <w:t>.</w:t>
      </w:r>
      <w:r w:rsidRPr="00E127C8">
        <w:rPr>
          <w:b/>
        </w:rPr>
        <w:t xml:space="preserve"> </w:t>
      </w:r>
      <w:r w:rsidR="00E127C8">
        <w:rPr>
          <w:b/>
        </w:rPr>
        <w:t>S</w:t>
      </w:r>
      <w:r w:rsidRPr="00E127C8">
        <w:rPr>
          <w:b/>
        </w:rPr>
        <w:t>2</w:t>
      </w:r>
      <w:r w:rsidRPr="00E127C8">
        <w:rPr>
          <w:rFonts w:hint="eastAsia"/>
          <w:b/>
        </w:rPr>
        <w:t>5</w:t>
      </w:r>
      <w:r w:rsidRPr="00E127C8">
        <w:rPr>
          <w:b/>
        </w:rPr>
        <w:t xml:space="preserve"> </w:t>
      </w:r>
      <w:r w:rsidRPr="00E127C8">
        <w:rPr>
          <w:rFonts w:hint="eastAsia"/>
        </w:rPr>
        <w:t xml:space="preserve">Charge and discharge curves of </w:t>
      </w:r>
      <w:r w:rsidRPr="00E127C8">
        <w:t>CE-MnO</w:t>
      </w:r>
      <w:r w:rsidRPr="00E127C8">
        <w:rPr>
          <w:vertAlign w:val="subscript"/>
        </w:rPr>
        <w:t>2</w:t>
      </w:r>
      <w:r w:rsidRPr="00E127C8">
        <w:rPr>
          <w:rFonts w:hint="eastAsia"/>
        </w:rPr>
        <w:t xml:space="preserve"> flow cell at a discharge current density of 1.5 mA</w:t>
      </w:r>
      <w:r w:rsidRPr="00E127C8">
        <w:t xml:space="preserve"> cm</w:t>
      </w:r>
      <w:r w:rsidRPr="00E127C8">
        <w:rPr>
          <w:vertAlign w:val="superscript"/>
        </w:rPr>
        <w:t>−2</w:t>
      </w:r>
    </w:p>
    <w:p w14:paraId="5369245B" w14:textId="77777777" w:rsidR="00F672BA" w:rsidRPr="00E127C8" w:rsidRDefault="00BE59E1" w:rsidP="008D460F">
      <w:pPr>
        <w:widowControl/>
        <w:spacing w:beforeLines="0" w:before="120" w:after="120" w:line="240" w:lineRule="auto"/>
        <w:jc w:val="center"/>
      </w:pPr>
      <w:r w:rsidRPr="00E127C8">
        <w:rPr>
          <w:noProof/>
          <w:lang w:val="en-IN" w:eastAsia="en-IN"/>
        </w:rPr>
        <w:drawing>
          <wp:inline distT="0" distB="0" distL="0" distR="0" wp14:anchorId="5EA80F7A" wp14:editId="07029FF0">
            <wp:extent cx="2851150" cy="2078252"/>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2289" cy="2086371"/>
                    </a:xfrm>
                    <a:prstGeom prst="rect">
                      <a:avLst/>
                    </a:prstGeom>
                    <a:noFill/>
                    <a:ln>
                      <a:noFill/>
                    </a:ln>
                  </pic:spPr>
                </pic:pic>
              </a:graphicData>
            </a:graphic>
          </wp:inline>
        </w:drawing>
      </w:r>
    </w:p>
    <w:p w14:paraId="5F4B6BB4" w14:textId="27C857D9" w:rsidR="00F672BA" w:rsidRPr="00F672BA" w:rsidRDefault="00BE59E1" w:rsidP="007773FB">
      <w:pPr>
        <w:widowControl/>
        <w:spacing w:beforeLines="0" w:before="120" w:after="120" w:line="240" w:lineRule="auto"/>
      </w:pPr>
      <w:r w:rsidRPr="00E127C8">
        <w:rPr>
          <w:rFonts w:hint="eastAsia"/>
          <w:b/>
        </w:rPr>
        <w:t>Fig</w:t>
      </w:r>
      <w:r w:rsidR="00E127C8">
        <w:rPr>
          <w:b/>
        </w:rPr>
        <w:t>.</w:t>
      </w:r>
      <w:r w:rsidRPr="00E127C8">
        <w:rPr>
          <w:b/>
        </w:rPr>
        <w:t xml:space="preserve"> </w:t>
      </w:r>
      <w:r w:rsidR="00E127C8">
        <w:rPr>
          <w:b/>
        </w:rPr>
        <w:t>S</w:t>
      </w:r>
      <w:r w:rsidRPr="00E127C8">
        <w:rPr>
          <w:b/>
        </w:rPr>
        <w:t>2</w:t>
      </w:r>
      <w:r w:rsidRPr="00E127C8">
        <w:rPr>
          <w:rFonts w:hint="eastAsia"/>
          <w:b/>
        </w:rPr>
        <w:t>6</w:t>
      </w:r>
      <w:r w:rsidRPr="00E127C8">
        <w:rPr>
          <w:b/>
        </w:rPr>
        <w:t xml:space="preserve"> </w:t>
      </w:r>
      <w:r w:rsidRPr="00E127C8">
        <w:t xml:space="preserve">Cycling stability of </w:t>
      </w:r>
      <w:r w:rsidRPr="00E127C8">
        <w:rPr>
          <w:rFonts w:hint="eastAsia"/>
        </w:rPr>
        <w:t>t</w:t>
      </w:r>
      <w:r w:rsidRPr="00E127C8">
        <w:t>he Zn</w:t>
      </w:r>
      <w:r w:rsidRPr="00E127C8">
        <w:rPr>
          <w:rFonts w:hint="eastAsia"/>
        </w:rPr>
        <w:t>-</w:t>
      </w:r>
      <w:r w:rsidRPr="00E127C8">
        <w:t>MnO</w:t>
      </w:r>
      <w:r w:rsidRPr="00E127C8">
        <w:rPr>
          <w:vertAlign w:val="subscript"/>
        </w:rPr>
        <w:t>2</w:t>
      </w:r>
      <w:r w:rsidRPr="00E127C8">
        <w:t xml:space="preserve"> slurry flow cell at 1.5 mA cm</w:t>
      </w:r>
      <w:r w:rsidRPr="00E127C8">
        <w:rPr>
          <w:vertAlign w:val="superscript"/>
        </w:rPr>
        <w:t>−2</w:t>
      </w:r>
      <w:r w:rsidRPr="00E127C8">
        <w:t xml:space="preserve"> and 15 </w:t>
      </w:r>
      <w:r w:rsidRPr="00276C51">
        <w:t>mAh cm</w:t>
      </w:r>
      <w:r w:rsidRPr="00276C51">
        <w:rPr>
          <w:vertAlign w:val="superscript"/>
        </w:rPr>
        <w:t>−2</w:t>
      </w:r>
      <w:r>
        <w:t xml:space="preserve">, a capacity of 12.5 </w:t>
      </w:r>
      <w:r w:rsidRPr="001E3E75">
        <w:t>mAh cm</w:t>
      </w:r>
      <w:r w:rsidRPr="001E3E75">
        <w:rPr>
          <w:vertAlign w:val="superscript"/>
        </w:rPr>
        <w:t>−2</w:t>
      </w:r>
      <w:r>
        <w:t xml:space="preserve"> is retained aft</w:t>
      </w:r>
      <w:r w:rsidR="00E127C8">
        <w:t>er 40 cycles with a CE of 83.3%</w:t>
      </w:r>
    </w:p>
    <w:p w14:paraId="060F0101" w14:textId="77777777" w:rsidR="00F672BA" w:rsidRPr="00F672BA" w:rsidRDefault="00BE59E1" w:rsidP="008D460F">
      <w:pPr>
        <w:widowControl/>
        <w:spacing w:beforeLines="0" w:before="120" w:after="120" w:line="240" w:lineRule="auto"/>
        <w:jc w:val="center"/>
      </w:pPr>
      <w:r>
        <w:rPr>
          <w:noProof/>
          <w:lang w:val="en-IN" w:eastAsia="en-IN"/>
        </w:rPr>
        <w:drawing>
          <wp:inline distT="0" distB="0" distL="0" distR="0" wp14:anchorId="2BBCC8D3" wp14:editId="40780A45">
            <wp:extent cx="3816350" cy="359040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29187" cy="3602483"/>
                    </a:xfrm>
                    <a:prstGeom prst="rect">
                      <a:avLst/>
                    </a:prstGeom>
                    <a:noFill/>
                    <a:ln>
                      <a:noFill/>
                    </a:ln>
                  </pic:spPr>
                </pic:pic>
              </a:graphicData>
            </a:graphic>
          </wp:inline>
        </w:drawing>
      </w:r>
    </w:p>
    <w:p w14:paraId="374339E1" w14:textId="77777777" w:rsidR="00E127C8" w:rsidRDefault="008D460F" w:rsidP="00E127C8">
      <w:pPr>
        <w:spacing w:beforeLines="0" w:before="120" w:after="120" w:line="240" w:lineRule="auto"/>
      </w:pPr>
      <w:r w:rsidRPr="008D460F">
        <w:rPr>
          <w:rFonts w:hint="eastAsia"/>
          <w:b/>
        </w:rPr>
        <w:t>Fig. S</w:t>
      </w:r>
      <w:r w:rsidR="00BE59E1" w:rsidRPr="00E127C8">
        <w:rPr>
          <w:b/>
        </w:rPr>
        <w:t>2</w:t>
      </w:r>
      <w:r w:rsidR="00BE59E1" w:rsidRPr="00E127C8">
        <w:rPr>
          <w:rFonts w:hint="eastAsia"/>
          <w:b/>
        </w:rPr>
        <w:t>7</w:t>
      </w:r>
      <w:r w:rsidR="00BE59E1">
        <w:t xml:space="preserve"> </w:t>
      </w:r>
      <w:r w:rsidR="00BE59E1" w:rsidRPr="00994061">
        <w:t>Digital photograph</w:t>
      </w:r>
      <w:r w:rsidR="00BE59E1" w:rsidRPr="00994061">
        <w:rPr>
          <w:rFonts w:hint="eastAsia"/>
        </w:rPr>
        <w:t>s</w:t>
      </w:r>
      <w:r w:rsidR="00BE59E1" w:rsidRPr="00994061">
        <w:t xml:space="preserve"> of </w:t>
      </w:r>
      <w:r w:rsidR="00BE59E1">
        <w:t>(</w:t>
      </w:r>
      <w:r w:rsidR="00BE59E1" w:rsidRPr="00E127C8">
        <w:rPr>
          <w:b/>
        </w:rPr>
        <w:t>a</w:t>
      </w:r>
      <w:r w:rsidR="00BE59E1">
        <w:t xml:space="preserve">) </w:t>
      </w:r>
      <w:r w:rsidR="00BE59E1" w:rsidRPr="00994061">
        <w:t>open-circuit voltage</w:t>
      </w:r>
      <w:r w:rsidR="00BE59E1">
        <w:t xml:space="preserve"> test, power supply for (</w:t>
      </w:r>
      <w:r w:rsidR="00BE59E1" w:rsidRPr="00E127C8">
        <w:rPr>
          <w:b/>
        </w:rPr>
        <w:t>b</w:t>
      </w:r>
      <w:r w:rsidR="00BE59E1">
        <w:t>) mobile phone and (</w:t>
      </w:r>
      <w:r w:rsidR="00BE59E1" w:rsidRPr="00E127C8">
        <w:rPr>
          <w:b/>
        </w:rPr>
        <w:t>c, d</w:t>
      </w:r>
      <w:r w:rsidR="00BE59E1">
        <w:t>) electric</w:t>
      </w:r>
      <w:r w:rsidR="00BE59E1" w:rsidRPr="00994061">
        <w:t xml:space="preserve"> fan</w:t>
      </w:r>
      <w:r w:rsidR="00BE59E1">
        <w:t xml:space="preserve"> of</w:t>
      </w:r>
      <w:r w:rsidR="00BE59E1" w:rsidRPr="00994061">
        <w:t xml:space="preserve"> the </w:t>
      </w:r>
      <w:r w:rsidR="00BE59E1">
        <w:t>three Zn-MnO2</w:t>
      </w:r>
      <w:r w:rsidR="00BE59E1" w:rsidRPr="00994061">
        <w:t xml:space="preserve"> slurry </w:t>
      </w:r>
      <w:r w:rsidR="00BE59E1">
        <w:t>cells connected in series;</w:t>
      </w:r>
      <w:r w:rsidR="00BE59E1" w:rsidRPr="00994061">
        <w:t xml:space="preserve"> (</w:t>
      </w:r>
      <w:r w:rsidR="00BE59E1" w:rsidRPr="00E127C8">
        <w:rPr>
          <w:b/>
        </w:rPr>
        <w:t>c</w:t>
      </w:r>
      <w:r w:rsidR="00BE59E1" w:rsidRPr="00994061">
        <w:t>) disconnect state, (</w:t>
      </w:r>
      <w:r w:rsidR="00BE59E1" w:rsidRPr="00E127C8">
        <w:rPr>
          <w:b/>
        </w:rPr>
        <w:t>d</w:t>
      </w:r>
      <w:r w:rsidR="00E127C8">
        <w:t>) work state</w:t>
      </w:r>
    </w:p>
    <w:p w14:paraId="161CCC67" w14:textId="6945D682" w:rsidR="00F672BA" w:rsidRPr="00F672BA" w:rsidRDefault="00BE59E1" w:rsidP="00E127C8">
      <w:pPr>
        <w:spacing w:beforeLines="0" w:before="120" w:after="120" w:line="240" w:lineRule="auto"/>
        <w:jc w:val="center"/>
      </w:pPr>
      <w:r>
        <w:rPr>
          <w:noProof/>
          <w:lang w:val="en-IN" w:eastAsia="en-IN"/>
        </w:rPr>
        <w:drawing>
          <wp:inline distT="0" distB="0" distL="0" distR="0" wp14:anchorId="017CE485" wp14:editId="407A688E">
            <wp:extent cx="4399011" cy="3721100"/>
            <wp:effectExtent l="0" t="0" r="190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08978" cy="3729531"/>
                    </a:xfrm>
                    <a:prstGeom prst="rect">
                      <a:avLst/>
                    </a:prstGeom>
                    <a:noFill/>
                    <a:ln>
                      <a:noFill/>
                    </a:ln>
                  </pic:spPr>
                </pic:pic>
              </a:graphicData>
            </a:graphic>
          </wp:inline>
        </w:drawing>
      </w:r>
    </w:p>
    <w:p w14:paraId="76D0B029" w14:textId="33FCC3BA" w:rsidR="00F672BA" w:rsidRPr="00F672BA" w:rsidRDefault="008D460F" w:rsidP="008D460F">
      <w:pPr>
        <w:spacing w:beforeLines="0" w:before="120" w:after="120" w:line="240" w:lineRule="auto"/>
      </w:pPr>
      <w:r w:rsidRPr="008D460F">
        <w:rPr>
          <w:rFonts w:hint="eastAsia"/>
          <w:b/>
        </w:rPr>
        <w:t>Fig. S</w:t>
      </w:r>
      <w:r w:rsidR="00BE59E1" w:rsidRPr="00E127C8">
        <w:rPr>
          <w:b/>
        </w:rPr>
        <w:t>2</w:t>
      </w:r>
      <w:r w:rsidR="00BE59E1" w:rsidRPr="00E127C8">
        <w:rPr>
          <w:rFonts w:hint="eastAsia"/>
          <w:b/>
        </w:rPr>
        <w:t>8</w:t>
      </w:r>
      <w:r w:rsidR="00BE59E1">
        <w:t xml:space="preserve"> The discharge curves of (</w:t>
      </w:r>
      <w:r w:rsidR="00BE59E1" w:rsidRPr="00E127C8">
        <w:rPr>
          <w:b/>
        </w:rPr>
        <w:t>a</w:t>
      </w:r>
      <w:r w:rsidR="00BE59E1">
        <w:t>) MnO</w:t>
      </w:r>
      <w:r w:rsidR="00BE59E1">
        <w:rPr>
          <w:vertAlign w:val="subscript"/>
        </w:rPr>
        <w:t>2</w:t>
      </w:r>
      <w:r w:rsidR="00BE59E1">
        <w:t xml:space="preserve"> </w:t>
      </w:r>
      <w:r w:rsidR="00BE59E1">
        <w:rPr>
          <w:rFonts w:hint="eastAsia"/>
        </w:rPr>
        <w:t>slurry</w:t>
      </w:r>
      <w:r w:rsidR="00BE59E1">
        <w:t xml:space="preserve"> </w:t>
      </w:r>
      <w:r w:rsidR="00BE59E1">
        <w:rPr>
          <w:rFonts w:hint="eastAsia"/>
        </w:rPr>
        <w:t>and</w:t>
      </w:r>
      <w:r w:rsidR="00BE59E1">
        <w:t xml:space="preserve"> CE-MnO</w:t>
      </w:r>
      <w:r w:rsidR="00BE59E1">
        <w:rPr>
          <w:vertAlign w:val="subscript"/>
        </w:rPr>
        <w:t>2</w:t>
      </w:r>
      <w:r w:rsidR="00BE59E1">
        <w:t xml:space="preserve"> cells </w:t>
      </w:r>
      <w:r w:rsidR="00BE59E1">
        <w:rPr>
          <w:rFonts w:hint="eastAsia"/>
        </w:rPr>
        <w:t>(</w:t>
      </w:r>
      <w:r w:rsidR="00BE59E1" w:rsidRPr="00E127C8">
        <w:rPr>
          <w:rFonts w:hint="eastAsia"/>
          <w:b/>
        </w:rPr>
        <w:t>b</w:t>
      </w:r>
      <w:r w:rsidR="00BE59E1">
        <w:t xml:space="preserve">) with and </w:t>
      </w:r>
      <w:r w:rsidR="00BE59E1">
        <w:rPr>
          <w:rFonts w:hint="eastAsia"/>
        </w:rPr>
        <w:t>(</w:t>
      </w:r>
      <w:r w:rsidR="00BE59E1" w:rsidRPr="00E127C8">
        <w:rPr>
          <w:b/>
        </w:rPr>
        <w:t>c</w:t>
      </w:r>
      <w:r w:rsidR="00BE59E1">
        <w:t>) without AEM in</w:t>
      </w:r>
      <w:r w:rsidR="00E127C8">
        <w:t xml:space="preserve"> the range of 5th to 20th cycle</w:t>
      </w:r>
    </w:p>
    <w:p w14:paraId="0B8A464B"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A45F34C" wp14:editId="03074A78">
            <wp:extent cx="5556143" cy="2628900"/>
            <wp:effectExtent l="0" t="0" r="6985" b="0"/>
            <wp:docPr id="146"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5"/>
                    <pic:cNvPicPr>
                      <a:picLocks noChangeAspect="1"/>
                    </pic:cNvPicPr>
                  </pic:nvPicPr>
                  <pic:blipFill>
                    <a:blip r:embed="rId38"/>
                    <a:stretch>
                      <a:fillRect/>
                    </a:stretch>
                  </pic:blipFill>
                  <pic:spPr>
                    <a:xfrm>
                      <a:off x="0" y="0"/>
                      <a:ext cx="5559091" cy="2630295"/>
                    </a:xfrm>
                    <a:prstGeom prst="rect">
                      <a:avLst/>
                    </a:prstGeom>
                  </pic:spPr>
                </pic:pic>
              </a:graphicData>
            </a:graphic>
          </wp:inline>
        </w:drawing>
      </w:r>
    </w:p>
    <w:p w14:paraId="5EFED949" w14:textId="22798FB6" w:rsidR="00F672BA" w:rsidRPr="00F672BA" w:rsidRDefault="008D460F" w:rsidP="008D460F">
      <w:pPr>
        <w:spacing w:beforeLines="0" w:before="120" w:after="120" w:line="240" w:lineRule="auto"/>
      </w:pPr>
      <w:r w:rsidRPr="008D460F">
        <w:rPr>
          <w:rFonts w:hint="eastAsia"/>
          <w:b/>
        </w:rPr>
        <w:t>Fig.</w:t>
      </w:r>
      <w:r w:rsidRPr="00E127C8">
        <w:rPr>
          <w:rFonts w:hint="eastAsia"/>
          <w:b/>
        </w:rPr>
        <w:t xml:space="preserve"> S</w:t>
      </w:r>
      <w:r w:rsidR="00BE59E1" w:rsidRPr="00E127C8">
        <w:rPr>
          <w:b/>
        </w:rPr>
        <w:t>2</w:t>
      </w:r>
      <w:r w:rsidR="00BE59E1" w:rsidRPr="00E127C8">
        <w:rPr>
          <w:rFonts w:hint="eastAsia"/>
          <w:b/>
        </w:rPr>
        <w:t>9</w:t>
      </w:r>
      <w:r w:rsidR="00BE59E1" w:rsidRPr="00E127C8">
        <w:t xml:space="preserve"> </w:t>
      </w:r>
      <w:r w:rsidR="00BE59E1">
        <w:t>Digital photograph of zinc foil soaking in 1 M ZnSO</w:t>
      </w:r>
      <w:r w:rsidR="00BE59E1">
        <w:rPr>
          <w:vertAlign w:val="subscript"/>
        </w:rPr>
        <w:t>4</w:t>
      </w:r>
      <w:r w:rsidR="00BE59E1">
        <w:t xml:space="preserve"> (ZS) and 1 M MnSO</w:t>
      </w:r>
      <w:r w:rsidR="00BE59E1">
        <w:rPr>
          <w:rFonts w:hint="eastAsia"/>
          <w:vertAlign w:val="subscript"/>
        </w:rPr>
        <w:t>4</w:t>
      </w:r>
      <w:r w:rsidR="00BE59E1">
        <w:t>-1M ZnSO</w:t>
      </w:r>
      <w:r w:rsidR="00BE59E1">
        <w:rPr>
          <w:vertAlign w:val="subscript"/>
        </w:rPr>
        <w:t>4</w:t>
      </w:r>
      <w:r w:rsidR="00BE59E1">
        <w:t xml:space="preserve"> electrolytes with 0.1 M </w:t>
      </w:r>
      <w:bookmarkStart w:id="13" w:name="OLE_LINK12"/>
      <w:r w:rsidR="00BE59E1">
        <w:t>H</w:t>
      </w:r>
      <w:r w:rsidR="00BE59E1">
        <w:rPr>
          <w:vertAlign w:val="subscript"/>
        </w:rPr>
        <w:t>2</w:t>
      </w:r>
      <w:r w:rsidR="00BE59E1">
        <w:t>SO</w:t>
      </w:r>
      <w:r w:rsidR="00BE59E1">
        <w:rPr>
          <w:vertAlign w:val="subscript"/>
        </w:rPr>
        <w:t>4</w:t>
      </w:r>
      <w:bookmarkEnd w:id="13"/>
      <w:r w:rsidR="00BE59E1">
        <w:t xml:space="preserve"> (ZS-MS-HS</w:t>
      </w:r>
      <w:r w:rsidR="00E127C8">
        <w:t>) additive for different time</w:t>
      </w:r>
    </w:p>
    <w:p w14:paraId="4BEE63D3" w14:textId="77777777" w:rsidR="00F672BA" w:rsidRPr="00F672BA" w:rsidRDefault="00F672BA" w:rsidP="008D460F">
      <w:pPr>
        <w:spacing w:beforeLines="0" w:before="120" w:after="120" w:line="240" w:lineRule="auto"/>
      </w:pPr>
    </w:p>
    <w:p w14:paraId="0CD0382B"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E964E30" wp14:editId="77426E76">
            <wp:extent cx="3203463" cy="2619543"/>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19815" cy="2632914"/>
                    </a:xfrm>
                    <a:prstGeom prst="rect">
                      <a:avLst/>
                    </a:prstGeom>
                    <a:noFill/>
                    <a:ln>
                      <a:noFill/>
                    </a:ln>
                  </pic:spPr>
                </pic:pic>
              </a:graphicData>
            </a:graphic>
          </wp:inline>
        </w:drawing>
      </w:r>
    </w:p>
    <w:p w14:paraId="5ED88A25" w14:textId="58BA50F3" w:rsidR="00F672BA" w:rsidRPr="00F672BA" w:rsidRDefault="008D460F" w:rsidP="008D460F">
      <w:pPr>
        <w:spacing w:beforeLines="0" w:before="120" w:after="120" w:line="240" w:lineRule="auto"/>
      </w:pPr>
      <w:r w:rsidRPr="00E127C8">
        <w:rPr>
          <w:rFonts w:hint="eastAsia"/>
          <w:b/>
        </w:rPr>
        <w:t>Fig. S</w:t>
      </w:r>
      <w:r w:rsidR="00BE59E1" w:rsidRPr="00E127C8">
        <w:rPr>
          <w:rFonts w:hint="eastAsia"/>
          <w:b/>
        </w:rPr>
        <w:t>30</w:t>
      </w:r>
      <w:r w:rsidR="00BE59E1" w:rsidRPr="00E127C8">
        <w:t xml:space="preserve"> </w:t>
      </w:r>
      <w:r w:rsidR="00BE59E1">
        <w:t>The simulated discharge curves of Zn-MnO</w:t>
      </w:r>
      <w:r w:rsidR="00BE59E1" w:rsidRPr="00B24BC4">
        <w:rPr>
          <w:vertAlign w:val="subscript"/>
        </w:rPr>
        <w:t>2</w:t>
      </w:r>
      <w:r w:rsidR="00BE59E1">
        <w:t xml:space="preserve"> cells with and without H</w:t>
      </w:r>
      <w:r w:rsidR="00BE59E1">
        <w:rPr>
          <w:vertAlign w:val="subscript"/>
        </w:rPr>
        <w:t>2</w:t>
      </w:r>
      <w:r w:rsidR="00BE59E1">
        <w:t xml:space="preserve"> evolution at the a</w:t>
      </w:r>
      <w:r w:rsidR="00E127C8">
        <w:t>node by FEA</w:t>
      </w:r>
    </w:p>
    <w:p w14:paraId="7BB57844"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A949BB4" wp14:editId="53543AFB">
            <wp:extent cx="4978400" cy="3592032"/>
            <wp:effectExtent l="0" t="0" r="0" b="889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83915" cy="3596012"/>
                    </a:xfrm>
                    <a:prstGeom prst="rect">
                      <a:avLst/>
                    </a:prstGeom>
                    <a:noFill/>
                    <a:ln>
                      <a:noFill/>
                    </a:ln>
                  </pic:spPr>
                </pic:pic>
              </a:graphicData>
            </a:graphic>
          </wp:inline>
        </w:drawing>
      </w:r>
    </w:p>
    <w:p w14:paraId="584AD233" w14:textId="32AC148E" w:rsidR="00F672BA" w:rsidRPr="00F672BA" w:rsidRDefault="008D460F" w:rsidP="008D460F">
      <w:pPr>
        <w:spacing w:beforeLines="0" w:before="120" w:after="120" w:line="240" w:lineRule="auto"/>
      </w:pPr>
      <w:r w:rsidRPr="008D460F">
        <w:rPr>
          <w:rFonts w:hint="eastAsia"/>
          <w:b/>
        </w:rPr>
        <w:t>Fig. S</w:t>
      </w:r>
      <w:r w:rsidR="00BE59E1" w:rsidRPr="00E127C8">
        <w:rPr>
          <w:rFonts w:hint="eastAsia"/>
          <w:b/>
        </w:rPr>
        <w:t>31</w:t>
      </w:r>
      <w:r w:rsidR="00BE59E1" w:rsidRPr="00C61EA1">
        <w:rPr>
          <w:color w:val="EE0000"/>
        </w:rPr>
        <w:t xml:space="preserve"> </w:t>
      </w:r>
      <w:r w:rsidR="00BE59E1">
        <w:t>SEM images of the CE-MnO</w:t>
      </w:r>
      <w:r w:rsidR="00BE59E1">
        <w:rPr>
          <w:vertAlign w:val="subscript"/>
        </w:rPr>
        <w:t>2</w:t>
      </w:r>
      <w:r w:rsidR="00BE59E1">
        <w:t xml:space="preserve"> cell without AEM after 20 cycles at different states. (</w:t>
      </w:r>
      <w:r w:rsidR="00BE59E1" w:rsidRPr="00E127C8">
        <w:rPr>
          <w:b/>
        </w:rPr>
        <w:t>a-c</w:t>
      </w:r>
      <w:r w:rsidR="00BE59E1">
        <w:t>) Ch-2.2V, (</w:t>
      </w:r>
      <w:r w:rsidR="00BE59E1" w:rsidRPr="00E127C8">
        <w:rPr>
          <w:b/>
        </w:rPr>
        <w:t>d-f</w:t>
      </w:r>
      <w:r w:rsidR="00BE59E1">
        <w:t>) Dis-half and (</w:t>
      </w:r>
      <w:r w:rsidR="00BE59E1" w:rsidRPr="00E127C8">
        <w:rPr>
          <w:b/>
        </w:rPr>
        <w:t>g-i</w:t>
      </w:r>
      <w:r w:rsidR="00BE59E1">
        <w:t>) Dis-0.8V represent full charge state, discharge to half depth of di</w:t>
      </w:r>
      <w:r w:rsidR="00E127C8">
        <w:t>scharge and 0.8 V, respectively</w:t>
      </w:r>
    </w:p>
    <w:p w14:paraId="3CB5B10B"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C7A7D6A" wp14:editId="3C3B5077">
            <wp:extent cx="4828812" cy="340995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34421" cy="3413911"/>
                    </a:xfrm>
                    <a:prstGeom prst="rect">
                      <a:avLst/>
                    </a:prstGeom>
                    <a:noFill/>
                    <a:ln>
                      <a:noFill/>
                    </a:ln>
                  </pic:spPr>
                </pic:pic>
              </a:graphicData>
            </a:graphic>
          </wp:inline>
        </w:drawing>
      </w:r>
    </w:p>
    <w:p w14:paraId="704D25B1" w14:textId="1DE4CD8B" w:rsidR="00F672BA" w:rsidRPr="00F672BA" w:rsidRDefault="008D460F" w:rsidP="008D460F">
      <w:pPr>
        <w:spacing w:beforeLines="0" w:before="120" w:after="120" w:line="240" w:lineRule="auto"/>
      </w:pPr>
      <w:r w:rsidRPr="008D460F">
        <w:rPr>
          <w:rFonts w:hint="eastAsia"/>
          <w:b/>
        </w:rPr>
        <w:t>Fig. S</w:t>
      </w:r>
      <w:r w:rsidR="00BE59E1" w:rsidRPr="00E127C8">
        <w:rPr>
          <w:b/>
        </w:rPr>
        <w:t>3</w:t>
      </w:r>
      <w:r w:rsidR="00BE59E1" w:rsidRPr="00E127C8">
        <w:rPr>
          <w:rFonts w:hint="eastAsia"/>
          <w:b/>
        </w:rPr>
        <w:t>2</w:t>
      </w:r>
      <w:r w:rsidR="00BE59E1" w:rsidRPr="00C61EA1">
        <w:rPr>
          <w:color w:val="EE0000"/>
        </w:rPr>
        <w:t xml:space="preserve"> </w:t>
      </w:r>
      <w:r w:rsidR="00BE59E1">
        <w:t>SEM images of the CE-MnO</w:t>
      </w:r>
      <w:r w:rsidR="00BE59E1">
        <w:rPr>
          <w:vertAlign w:val="subscript"/>
        </w:rPr>
        <w:t>2</w:t>
      </w:r>
      <w:r w:rsidR="00BE59E1">
        <w:t xml:space="preserve"> cell with AEM after 20 cycles at different states. (</w:t>
      </w:r>
      <w:r w:rsidR="00BE59E1" w:rsidRPr="00E127C8">
        <w:rPr>
          <w:b/>
        </w:rPr>
        <w:t>a-c</w:t>
      </w:r>
      <w:r w:rsidR="00BE59E1">
        <w:t>) Ch-2.2V, (</w:t>
      </w:r>
      <w:r w:rsidR="00BE59E1" w:rsidRPr="00E127C8">
        <w:rPr>
          <w:b/>
        </w:rPr>
        <w:t>d-f</w:t>
      </w:r>
      <w:r w:rsidR="00BE59E1">
        <w:t>) Dis-half and (</w:t>
      </w:r>
      <w:r w:rsidR="00BE59E1" w:rsidRPr="00E127C8">
        <w:rPr>
          <w:b/>
        </w:rPr>
        <w:t>g-i</w:t>
      </w:r>
      <w:r w:rsidR="00E127C8">
        <w:t>) Dis-0.8V</w:t>
      </w:r>
    </w:p>
    <w:p w14:paraId="5AABEF42" w14:textId="77777777" w:rsidR="00F672BA" w:rsidRPr="00F672BA" w:rsidRDefault="00F672BA" w:rsidP="008D460F">
      <w:pPr>
        <w:spacing w:beforeLines="0" w:before="120" w:after="120" w:line="240" w:lineRule="auto"/>
      </w:pPr>
    </w:p>
    <w:p w14:paraId="7DB0EB16"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7768C7AC" wp14:editId="09C1021B">
            <wp:extent cx="4267200" cy="453580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67200" cy="4535805"/>
                    </a:xfrm>
                    <a:prstGeom prst="rect">
                      <a:avLst/>
                    </a:prstGeom>
                    <a:noFill/>
                    <a:ln>
                      <a:noFill/>
                    </a:ln>
                  </pic:spPr>
                </pic:pic>
              </a:graphicData>
            </a:graphic>
          </wp:inline>
        </w:drawing>
      </w:r>
    </w:p>
    <w:p w14:paraId="00F23EC7" w14:textId="2FCACCE5" w:rsidR="00E127C8" w:rsidRPr="00F672BA" w:rsidRDefault="008D460F" w:rsidP="008D460F">
      <w:pPr>
        <w:spacing w:beforeLines="0" w:before="120" w:after="120" w:line="240" w:lineRule="auto"/>
      </w:pPr>
      <w:r w:rsidRPr="008D460F">
        <w:rPr>
          <w:rFonts w:hint="eastAsia"/>
          <w:b/>
        </w:rPr>
        <w:t>Fig. S</w:t>
      </w:r>
      <w:r w:rsidR="00BE59E1" w:rsidRPr="00E127C8">
        <w:rPr>
          <w:b/>
        </w:rPr>
        <w:t>3</w:t>
      </w:r>
      <w:r w:rsidR="00BE59E1" w:rsidRPr="00E127C8">
        <w:rPr>
          <w:rFonts w:hint="eastAsia"/>
          <w:b/>
        </w:rPr>
        <w:t>3</w:t>
      </w:r>
      <w:r w:rsidR="00BE59E1" w:rsidRPr="00CC72DC">
        <w:rPr>
          <w:color w:val="EE0000"/>
        </w:rPr>
        <w:t xml:space="preserve"> </w:t>
      </w:r>
      <w:r w:rsidR="00BE59E1">
        <w:t>SEM images of the MnO</w:t>
      </w:r>
      <w:r w:rsidR="00BE59E1">
        <w:rPr>
          <w:vertAlign w:val="subscript"/>
        </w:rPr>
        <w:t>2</w:t>
      </w:r>
      <w:r w:rsidR="00BE59E1">
        <w:t xml:space="preserve"> slurry cell after 20 cycles at different states. (</w:t>
      </w:r>
      <w:r w:rsidR="00BE59E1" w:rsidRPr="00457BAE">
        <w:rPr>
          <w:b/>
        </w:rPr>
        <w:t>a, b</w:t>
      </w:r>
      <w:r w:rsidR="00BE59E1">
        <w:t>) Ch-2.2V, (</w:t>
      </w:r>
      <w:r w:rsidR="00BE59E1" w:rsidRPr="00457BAE">
        <w:rPr>
          <w:b/>
        </w:rPr>
        <w:t xml:space="preserve">c, </w:t>
      </w:r>
      <w:r w:rsidR="00E127C8" w:rsidRPr="00457BAE">
        <w:rPr>
          <w:b/>
        </w:rPr>
        <w:t>d</w:t>
      </w:r>
      <w:r w:rsidR="00E127C8">
        <w:t>) Dis-half and (</w:t>
      </w:r>
      <w:r w:rsidR="00E127C8" w:rsidRPr="00457BAE">
        <w:rPr>
          <w:b/>
        </w:rPr>
        <w:t>e, f</w:t>
      </w:r>
      <w:r w:rsidR="00E127C8">
        <w:t>) Dis-0.8V</w:t>
      </w:r>
    </w:p>
    <w:p w14:paraId="1F399368" w14:textId="77777777" w:rsidR="00F672BA" w:rsidRPr="00F672BA" w:rsidRDefault="00BE59E1" w:rsidP="008D460F">
      <w:pPr>
        <w:spacing w:beforeLines="0" w:before="120" w:after="120" w:line="240" w:lineRule="auto"/>
      </w:pPr>
      <w:r>
        <w:rPr>
          <w:noProof/>
          <w:lang w:val="en-IN" w:eastAsia="en-IN"/>
        </w:rPr>
        <w:drawing>
          <wp:inline distT="0" distB="0" distL="0" distR="0" wp14:anchorId="4C7A7995" wp14:editId="2873E34A">
            <wp:extent cx="5615075" cy="2940050"/>
            <wp:effectExtent l="0" t="0" r="508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26337" cy="2945947"/>
                    </a:xfrm>
                    <a:prstGeom prst="rect">
                      <a:avLst/>
                    </a:prstGeom>
                    <a:noFill/>
                    <a:ln>
                      <a:noFill/>
                    </a:ln>
                  </pic:spPr>
                </pic:pic>
              </a:graphicData>
            </a:graphic>
          </wp:inline>
        </w:drawing>
      </w:r>
    </w:p>
    <w:p w14:paraId="5AD1BB6E" w14:textId="70AA1905" w:rsidR="00F672BA" w:rsidRPr="00F672BA" w:rsidRDefault="008D460F" w:rsidP="008D460F">
      <w:pPr>
        <w:spacing w:beforeLines="0" w:before="120" w:after="120" w:line="240" w:lineRule="auto"/>
      </w:pPr>
      <w:r w:rsidRPr="008D460F">
        <w:rPr>
          <w:rFonts w:hint="eastAsia"/>
          <w:b/>
        </w:rPr>
        <w:t>Fig. S</w:t>
      </w:r>
      <w:r w:rsidR="00BE59E1" w:rsidRPr="00457BAE">
        <w:rPr>
          <w:b/>
        </w:rPr>
        <w:t>3</w:t>
      </w:r>
      <w:r w:rsidR="00BE59E1" w:rsidRPr="00457BAE">
        <w:rPr>
          <w:rFonts w:hint="eastAsia"/>
          <w:b/>
        </w:rPr>
        <w:t>4</w:t>
      </w:r>
      <w:r w:rsidR="00BE59E1" w:rsidRPr="00CC72DC">
        <w:rPr>
          <w:color w:val="EE0000"/>
        </w:rPr>
        <w:t xml:space="preserve"> </w:t>
      </w:r>
      <w:r w:rsidR="00BE59E1">
        <w:t>Mn 3s and O 1s spectra of (</w:t>
      </w:r>
      <w:r w:rsidR="00BE59E1" w:rsidRPr="00457BAE">
        <w:rPr>
          <w:b/>
        </w:rPr>
        <w:t>a, b</w:t>
      </w:r>
      <w:r w:rsidR="00BE59E1">
        <w:t>) MnO</w:t>
      </w:r>
      <w:r w:rsidR="00BE59E1">
        <w:rPr>
          <w:vertAlign w:val="subscript"/>
        </w:rPr>
        <w:t>2</w:t>
      </w:r>
      <w:r w:rsidR="00BE59E1">
        <w:t xml:space="preserve"> slurry and CE-MnO</w:t>
      </w:r>
      <w:r w:rsidR="00BE59E1">
        <w:rPr>
          <w:vertAlign w:val="subscript"/>
        </w:rPr>
        <w:t>2</w:t>
      </w:r>
      <w:r w:rsidR="00BE59E1">
        <w:t xml:space="preserve"> cell (</w:t>
      </w:r>
      <w:r w:rsidR="00BE59E1" w:rsidRPr="00457BAE">
        <w:rPr>
          <w:b/>
        </w:rPr>
        <w:t>c, d</w:t>
      </w:r>
      <w:r w:rsidR="00BE59E1">
        <w:t>) with and (</w:t>
      </w:r>
      <w:r w:rsidR="00BE59E1" w:rsidRPr="00457BAE">
        <w:rPr>
          <w:b/>
        </w:rPr>
        <w:t>e, f</w:t>
      </w:r>
      <w:r w:rsidR="00BE59E1">
        <w:t>) without AEM after 20 cycles at different states. ∆E value of (</w:t>
      </w:r>
      <w:r w:rsidR="00BE59E1" w:rsidRPr="00457BAE">
        <w:rPr>
          <w:b/>
        </w:rPr>
        <w:t>g</w:t>
      </w:r>
      <w:r w:rsidR="00BE59E1">
        <w:t>) MnO</w:t>
      </w:r>
      <w:r w:rsidR="00BE59E1">
        <w:rPr>
          <w:vertAlign w:val="subscript"/>
        </w:rPr>
        <w:t>2</w:t>
      </w:r>
      <w:r w:rsidR="00BE59E1">
        <w:t xml:space="preserve"> slurry and CE-MnO</w:t>
      </w:r>
      <w:r w:rsidR="00BE59E1">
        <w:rPr>
          <w:vertAlign w:val="subscript"/>
        </w:rPr>
        <w:t>2</w:t>
      </w:r>
      <w:r w:rsidR="00BE59E1">
        <w:t xml:space="preserve"> cells (</w:t>
      </w:r>
      <w:r w:rsidR="00BE59E1" w:rsidRPr="00BC5C03">
        <w:rPr>
          <w:b/>
        </w:rPr>
        <w:t>h</w:t>
      </w:r>
      <w:r w:rsidR="00BE59E1">
        <w:t>) with and (</w:t>
      </w:r>
      <w:r w:rsidR="00BE59E1" w:rsidRPr="00BC5C03">
        <w:rPr>
          <w:b/>
        </w:rPr>
        <w:t>i</w:t>
      </w:r>
      <w:r w:rsidR="00BE59E1">
        <w:t>) without AEM after 20 cycles at different states</w:t>
      </w:r>
    </w:p>
    <w:p w14:paraId="571E8FFE"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711953C0" wp14:editId="73AEE2D6">
            <wp:extent cx="3594735" cy="1414145"/>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44"/>
                    <a:stretch>
                      <a:fillRect/>
                    </a:stretch>
                  </pic:blipFill>
                  <pic:spPr>
                    <a:xfrm>
                      <a:off x="0" y="0"/>
                      <a:ext cx="3594745" cy="1414326"/>
                    </a:xfrm>
                    <a:prstGeom prst="rect">
                      <a:avLst/>
                    </a:prstGeom>
                    <a:noFill/>
                  </pic:spPr>
                </pic:pic>
              </a:graphicData>
            </a:graphic>
          </wp:inline>
        </w:drawing>
      </w:r>
    </w:p>
    <w:p w14:paraId="1F6E32C1" w14:textId="5E48EC25" w:rsidR="00F672BA" w:rsidRPr="00F672BA" w:rsidRDefault="008D460F" w:rsidP="00BC5C03">
      <w:pPr>
        <w:spacing w:beforeLines="0" w:before="120" w:after="120" w:line="240" w:lineRule="auto"/>
      </w:pPr>
      <w:r w:rsidRPr="008D460F">
        <w:rPr>
          <w:rFonts w:hint="eastAsia"/>
          <w:b/>
        </w:rPr>
        <w:t>Fig. S</w:t>
      </w:r>
      <w:r w:rsidR="00BE59E1" w:rsidRPr="00BC5C03">
        <w:rPr>
          <w:b/>
        </w:rPr>
        <w:t>3</w:t>
      </w:r>
      <w:r w:rsidR="00BE59E1" w:rsidRPr="00BC5C03">
        <w:rPr>
          <w:rFonts w:hint="eastAsia"/>
          <w:b/>
        </w:rPr>
        <w:t>5</w:t>
      </w:r>
      <w:r w:rsidR="00BE59E1" w:rsidRPr="00CC72DC">
        <w:rPr>
          <w:color w:val="EE0000"/>
        </w:rPr>
        <w:t xml:space="preserve"> </w:t>
      </w:r>
      <w:r w:rsidR="00BE59E1">
        <w:t>The schematic diagram of the electrolytic Zn-MnO</w:t>
      </w:r>
      <w:r w:rsidR="00BE59E1" w:rsidRPr="00B24BC4">
        <w:rPr>
          <w:vertAlign w:val="subscript"/>
        </w:rPr>
        <w:t>2</w:t>
      </w:r>
      <w:r w:rsidR="00BE59E1">
        <w:t xml:space="preserve"> slurry reaction tank for in-situ Raman spectr</w:t>
      </w:r>
      <w:r w:rsidR="00BE59E1">
        <w:rPr>
          <w:rFonts w:hint="eastAsia"/>
        </w:rPr>
        <w:t>oscopy</w:t>
      </w:r>
      <w:r w:rsidR="00BC5C03">
        <w:t xml:space="preserve"> record</w:t>
      </w:r>
    </w:p>
    <w:p w14:paraId="00117797"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17410FC6" wp14:editId="3606E54A">
            <wp:extent cx="3386050" cy="2142500"/>
            <wp:effectExtent l="0" t="0" r="5080" b="0"/>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45"/>
                    <a:stretch>
                      <a:fillRect/>
                    </a:stretch>
                  </pic:blipFill>
                  <pic:spPr>
                    <a:xfrm>
                      <a:off x="0" y="0"/>
                      <a:ext cx="3386050" cy="2142500"/>
                    </a:xfrm>
                    <a:prstGeom prst="rect">
                      <a:avLst/>
                    </a:prstGeom>
                  </pic:spPr>
                </pic:pic>
              </a:graphicData>
            </a:graphic>
          </wp:inline>
        </w:drawing>
      </w:r>
    </w:p>
    <w:p w14:paraId="59D17DC1" w14:textId="40368097" w:rsidR="00F672BA" w:rsidRPr="00F672BA" w:rsidRDefault="008D460F" w:rsidP="008D460F">
      <w:pPr>
        <w:spacing w:beforeLines="0" w:before="120" w:after="120" w:line="240" w:lineRule="auto"/>
      </w:pPr>
      <w:r w:rsidRPr="008D460F">
        <w:rPr>
          <w:rFonts w:hint="eastAsia"/>
          <w:b/>
        </w:rPr>
        <w:t>Fig. S</w:t>
      </w:r>
      <w:r w:rsidR="00BE59E1" w:rsidRPr="00BC5C03">
        <w:rPr>
          <w:b/>
        </w:rPr>
        <w:t>3</w:t>
      </w:r>
      <w:r w:rsidR="00BE59E1" w:rsidRPr="00BC5C03">
        <w:rPr>
          <w:rFonts w:hint="eastAsia"/>
          <w:b/>
        </w:rPr>
        <w:t>6</w:t>
      </w:r>
      <w:r w:rsidR="00BE59E1" w:rsidRPr="00CC72DC">
        <w:rPr>
          <w:color w:val="EE0000"/>
        </w:rPr>
        <w:t xml:space="preserve"> </w:t>
      </w:r>
      <w:r w:rsidR="00BE59E1">
        <w:t>Contour map of in-situ Raman spectra and voltage curves of CE-MnO</w:t>
      </w:r>
      <w:r w:rsidR="00BE59E1">
        <w:rPr>
          <w:vertAlign w:val="subscript"/>
        </w:rPr>
        <w:t>2</w:t>
      </w:r>
      <w:r w:rsidR="00BE59E1">
        <w:t xml:space="preserve"> cells with </w:t>
      </w:r>
      <w:r w:rsidR="00BC5C03">
        <w:t>AEM during discharge and charge</w:t>
      </w:r>
    </w:p>
    <w:p w14:paraId="54D23026" w14:textId="77777777" w:rsidR="00F672BA" w:rsidRPr="00F672BA" w:rsidRDefault="00F672BA" w:rsidP="008D460F">
      <w:pPr>
        <w:spacing w:beforeLines="0" w:before="120" w:after="120" w:line="240" w:lineRule="auto"/>
      </w:pPr>
    </w:p>
    <w:p w14:paraId="4BF82CB4"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19710DD" wp14:editId="5B6EC4FA">
            <wp:extent cx="5274310" cy="2171065"/>
            <wp:effectExtent l="0" t="0" r="254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74310" cy="2171065"/>
                    </a:xfrm>
                    <a:prstGeom prst="rect">
                      <a:avLst/>
                    </a:prstGeom>
                    <a:noFill/>
                    <a:ln>
                      <a:noFill/>
                    </a:ln>
                  </pic:spPr>
                </pic:pic>
              </a:graphicData>
            </a:graphic>
          </wp:inline>
        </w:drawing>
      </w:r>
    </w:p>
    <w:p w14:paraId="135E45CF" w14:textId="0F8E78C1" w:rsidR="00F672BA" w:rsidRPr="00F672BA" w:rsidRDefault="008D460F" w:rsidP="008D460F">
      <w:pPr>
        <w:spacing w:beforeLines="0" w:before="120" w:after="120" w:line="240" w:lineRule="auto"/>
      </w:pPr>
      <w:r w:rsidRPr="008D460F">
        <w:rPr>
          <w:rFonts w:hint="eastAsia"/>
          <w:b/>
        </w:rPr>
        <w:t>Fig. S</w:t>
      </w:r>
      <w:r w:rsidR="00BE59E1" w:rsidRPr="00BC5C03">
        <w:rPr>
          <w:b/>
        </w:rPr>
        <w:t>3</w:t>
      </w:r>
      <w:r w:rsidR="00BE59E1" w:rsidRPr="00BC5C03">
        <w:rPr>
          <w:rFonts w:hint="eastAsia"/>
          <w:b/>
        </w:rPr>
        <w:t>7</w:t>
      </w:r>
      <w:r w:rsidR="00BE59E1" w:rsidRPr="00BC5C03">
        <w:rPr>
          <w:b/>
        </w:rPr>
        <w:t xml:space="preserve"> </w:t>
      </w:r>
      <w:r w:rsidR="00BE59E1">
        <w:t>In-situ Raman spectra of (</w:t>
      </w:r>
      <w:r w:rsidR="00BE59E1" w:rsidRPr="00BC5C03">
        <w:rPr>
          <w:b/>
        </w:rPr>
        <w:t>a</w:t>
      </w:r>
      <w:r w:rsidR="00BE59E1">
        <w:t>) MnO</w:t>
      </w:r>
      <w:r w:rsidR="00BE59E1">
        <w:rPr>
          <w:vertAlign w:val="subscript"/>
        </w:rPr>
        <w:t>2</w:t>
      </w:r>
      <w:r w:rsidR="00BE59E1">
        <w:t xml:space="preserve"> slurry and CE-MnO</w:t>
      </w:r>
      <w:r w:rsidR="00BE59E1">
        <w:rPr>
          <w:vertAlign w:val="subscript"/>
        </w:rPr>
        <w:t>2</w:t>
      </w:r>
      <w:r w:rsidR="00BE59E1">
        <w:t xml:space="preserve"> cells (</w:t>
      </w:r>
      <w:r w:rsidR="00BE59E1" w:rsidRPr="00BC5C03">
        <w:rPr>
          <w:b/>
        </w:rPr>
        <w:t>b</w:t>
      </w:r>
      <w:r w:rsidR="00BE59E1">
        <w:t>) with and (</w:t>
      </w:r>
      <w:r w:rsidR="00BE59E1" w:rsidRPr="00BC5C03">
        <w:rPr>
          <w:b/>
        </w:rPr>
        <w:t>c</w:t>
      </w:r>
      <w:r w:rsidR="00BE59E1">
        <w:t>) without AEM at differ</w:t>
      </w:r>
      <w:r w:rsidR="00BC5C03">
        <w:t>ent charge and discharge states</w:t>
      </w:r>
    </w:p>
    <w:p w14:paraId="408FE08C" w14:textId="77777777" w:rsidR="00F672BA" w:rsidRPr="00F672BA" w:rsidRDefault="00BE59E1" w:rsidP="008D460F">
      <w:pPr>
        <w:widowControl/>
        <w:spacing w:beforeLines="0" w:before="120" w:after="120" w:line="240" w:lineRule="auto"/>
        <w:jc w:val="left"/>
      </w:pPr>
      <w:r>
        <w:br w:type="page"/>
      </w:r>
    </w:p>
    <w:p w14:paraId="027A88A6"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43878ABB" wp14:editId="2B3B29F1">
            <wp:extent cx="5264150" cy="2121556"/>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0708" cy="2124199"/>
                    </a:xfrm>
                    <a:prstGeom prst="rect">
                      <a:avLst/>
                    </a:prstGeom>
                    <a:noFill/>
                    <a:ln>
                      <a:noFill/>
                    </a:ln>
                  </pic:spPr>
                </pic:pic>
              </a:graphicData>
            </a:graphic>
          </wp:inline>
        </w:drawing>
      </w:r>
    </w:p>
    <w:p w14:paraId="63E9A4B2" w14:textId="1505F678" w:rsidR="00F672BA" w:rsidRPr="00F672BA" w:rsidRDefault="008D460F" w:rsidP="008D460F">
      <w:pPr>
        <w:spacing w:beforeLines="0" w:before="120" w:after="120" w:line="240" w:lineRule="auto"/>
      </w:pPr>
      <w:r w:rsidRPr="008D460F">
        <w:rPr>
          <w:rFonts w:hint="eastAsia"/>
          <w:b/>
        </w:rPr>
        <w:t>Fig. S</w:t>
      </w:r>
      <w:bookmarkStart w:id="14" w:name="OLE_LINK6"/>
      <w:r w:rsidR="00BE59E1" w:rsidRPr="00BC5C03">
        <w:rPr>
          <w:b/>
        </w:rPr>
        <w:t>3</w:t>
      </w:r>
      <w:r w:rsidR="00BE59E1" w:rsidRPr="00BC5C03">
        <w:rPr>
          <w:rFonts w:hint="eastAsia"/>
          <w:b/>
        </w:rPr>
        <w:t>8</w:t>
      </w:r>
      <w:r w:rsidR="00BE59E1" w:rsidRPr="00CC72DC">
        <w:rPr>
          <w:color w:val="EE0000"/>
        </w:rPr>
        <w:t xml:space="preserve"> </w:t>
      </w:r>
      <w:r w:rsidR="00BE59E1">
        <w:t>SEM images of MnO</w:t>
      </w:r>
      <w:r w:rsidR="00BE59E1">
        <w:rPr>
          <w:vertAlign w:val="subscript"/>
        </w:rPr>
        <w:t>2</w:t>
      </w:r>
      <w:r w:rsidR="00BE59E1">
        <w:t xml:space="preserve"> deposition/dissolution on carbon paper at different states.</w:t>
      </w:r>
      <w:bookmarkEnd w:id="14"/>
      <w:r w:rsidR="00BE59E1">
        <w:t xml:space="preserve"> (</w:t>
      </w:r>
      <w:r w:rsidR="00BE59E1" w:rsidRPr="00BC5C03">
        <w:rPr>
          <w:b/>
        </w:rPr>
        <w:t>a, e</w:t>
      </w:r>
      <w:r w:rsidR="00BE59E1">
        <w:t>) Ch-1 represents a charge for a capacity of 1 mAh cm</w:t>
      </w:r>
      <w:r w:rsidR="00BE59E1">
        <w:rPr>
          <w:rFonts w:cs="Times New Roman"/>
          <w:vertAlign w:val="superscript"/>
        </w:rPr>
        <w:t>−</w:t>
      </w:r>
      <w:r w:rsidR="00BE59E1">
        <w:rPr>
          <w:vertAlign w:val="superscript"/>
        </w:rPr>
        <w:t>2</w:t>
      </w:r>
      <w:r w:rsidR="00BE59E1">
        <w:t>; (</w:t>
      </w:r>
      <w:r w:rsidR="00BE59E1" w:rsidRPr="00BC5C03">
        <w:rPr>
          <w:b/>
        </w:rPr>
        <w:t>b, f</w:t>
      </w:r>
      <w:r w:rsidR="00BE59E1">
        <w:t>) Dis-0.2, (</w:t>
      </w:r>
      <w:r w:rsidR="00BE59E1" w:rsidRPr="00BC5C03">
        <w:rPr>
          <w:b/>
        </w:rPr>
        <w:t>c, g</w:t>
      </w:r>
      <w:r w:rsidR="00BE59E1">
        <w:t>) Dis-0.5 and (</w:t>
      </w:r>
      <w:r w:rsidR="00BE59E1" w:rsidRPr="00BC5C03">
        <w:rPr>
          <w:b/>
        </w:rPr>
        <w:t>d, h</w:t>
      </w:r>
      <w:r w:rsidR="00BE59E1">
        <w:t>) Dis-0.8 represent discharge for the capacities of 0.2 and 0.5 mAh cm</w:t>
      </w:r>
      <w:r w:rsidR="00BE59E1">
        <w:rPr>
          <w:rFonts w:cs="Times New Roman"/>
          <w:vertAlign w:val="superscript"/>
        </w:rPr>
        <w:t>−</w:t>
      </w:r>
      <w:r w:rsidR="00BE59E1">
        <w:rPr>
          <w:vertAlign w:val="superscript"/>
        </w:rPr>
        <w:t>2</w:t>
      </w:r>
      <w:r w:rsidR="00BC5C03">
        <w:t xml:space="preserve"> and to 0.8 V, respectively</w:t>
      </w:r>
    </w:p>
    <w:p w14:paraId="15601D21" w14:textId="77777777" w:rsidR="00F672BA" w:rsidRPr="00F672BA" w:rsidRDefault="00F672BA" w:rsidP="008D460F">
      <w:pPr>
        <w:widowControl/>
        <w:spacing w:beforeLines="0" w:before="120" w:after="120" w:line="240" w:lineRule="auto"/>
        <w:jc w:val="left"/>
      </w:pPr>
    </w:p>
    <w:p w14:paraId="70BA1354"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138AFBB6" wp14:editId="588C5535">
            <wp:extent cx="5015989" cy="3289300"/>
            <wp:effectExtent l="0" t="0" r="0" b="6350"/>
            <wp:docPr id="240"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9"/>
                    <pic:cNvPicPr>
                      <a:picLocks noChangeAspect="1"/>
                    </pic:cNvPicPr>
                  </pic:nvPicPr>
                  <pic:blipFill>
                    <a:blip r:embed="rId48"/>
                    <a:stretch>
                      <a:fillRect/>
                    </a:stretch>
                  </pic:blipFill>
                  <pic:spPr>
                    <a:xfrm>
                      <a:off x="0" y="0"/>
                      <a:ext cx="5019180" cy="3291393"/>
                    </a:xfrm>
                    <a:prstGeom prst="rect">
                      <a:avLst/>
                    </a:prstGeom>
                  </pic:spPr>
                </pic:pic>
              </a:graphicData>
            </a:graphic>
          </wp:inline>
        </w:drawing>
      </w:r>
    </w:p>
    <w:p w14:paraId="2D847F38" w14:textId="77777777" w:rsidR="00F672BA" w:rsidRPr="00F672BA" w:rsidRDefault="00F672BA" w:rsidP="008D460F">
      <w:pPr>
        <w:spacing w:beforeLines="0" w:before="120" w:after="120" w:line="240" w:lineRule="auto"/>
      </w:pPr>
    </w:p>
    <w:p w14:paraId="65774006" w14:textId="4CF587EA" w:rsidR="00F672BA" w:rsidRPr="00F672BA" w:rsidRDefault="008D460F" w:rsidP="008D460F">
      <w:pPr>
        <w:spacing w:beforeLines="0" w:before="120" w:after="120" w:line="240" w:lineRule="auto"/>
      </w:pPr>
      <w:r w:rsidRPr="008D460F">
        <w:rPr>
          <w:rFonts w:hint="eastAsia"/>
          <w:b/>
        </w:rPr>
        <w:t>Fig. S</w:t>
      </w:r>
      <w:r w:rsidR="00BE59E1" w:rsidRPr="00BC5C03">
        <w:rPr>
          <w:b/>
        </w:rPr>
        <w:t>3</w:t>
      </w:r>
      <w:r w:rsidR="00BE59E1" w:rsidRPr="00BC5C03">
        <w:rPr>
          <w:rFonts w:hint="eastAsia"/>
          <w:b/>
        </w:rPr>
        <w:t>9</w:t>
      </w:r>
      <w:r w:rsidR="00BE59E1" w:rsidRPr="00CC72DC">
        <w:rPr>
          <w:color w:val="EE0000"/>
        </w:rPr>
        <w:t xml:space="preserve"> </w:t>
      </w:r>
      <w:r w:rsidR="00BE59E1">
        <w:t>In-situ optical observations of MnO</w:t>
      </w:r>
      <w:r w:rsidR="00BE59E1">
        <w:rPr>
          <w:vertAlign w:val="subscript"/>
        </w:rPr>
        <w:t>2</w:t>
      </w:r>
      <w:r w:rsidR="00BE59E1">
        <w:t xml:space="preserve"> deposition/dissolution on ca</w:t>
      </w:r>
      <w:r w:rsidR="00BC5C03">
        <w:t>rbon paper at different states</w:t>
      </w:r>
    </w:p>
    <w:p w14:paraId="72F11D7F" w14:textId="77777777" w:rsidR="00F672BA" w:rsidRPr="00F672BA" w:rsidRDefault="00BE59E1" w:rsidP="008D460F">
      <w:pPr>
        <w:spacing w:beforeLines="0" w:before="120" w:after="120" w:line="240" w:lineRule="auto"/>
      </w:pPr>
      <w:r>
        <w:br w:type="page"/>
      </w:r>
    </w:p>
    <w:p w14:paraId="1A86154A" w14:textId="77777777" w:rsidR="00F672BA" w:rsidRPr="00F672BA" w:rsidRDefault="00BE59E1" w:rsidP="008D460F">
      <w:pPr>
        <w:spacing w:beforeLines="0" w:before="120" w:after="120" w:line="240" w:lineRule="auto"/>
        <w:jc w:val="center"/>
      </w:pPr>
      <w:bookmarkStart w:id="15" w:name="OLE_LINK1"/>
      <w:r>
        <w:rPr>
          <w:noProof/>
          <w:lang w:val="en-IN" w:eastAsia="en-IN"/>
        </w:rPr>
        <w:drawing>
          <wp:inline distT="0" distB="0" distL="0" distR="0" wp14:anchorId="22DBC090" wp14:editId="427D2CE9">
            <wp:extent cx="4440885" cy="2317750"/>
            <wp:effectExtent l="0" t="0" r="0"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67736" cy="2331764"/>
                    </a:xfrm>
                    <a:prstGeom prst="rect">
                      <a:avLst/>
                    </a:prstGeom>
                    <a:noFill/>
                    <a:ln>
                      <a:noFill/>
                    </a:ln>
                  </pic:spPr>
                </pic:pic>
              </a:graphicData>
            </a:graphic>
          </wp:inline>
        </w:drawing>
      </w:r>
    </w:p>
    <w:p w14:paraId="77568461" w14:textId="029CE45C" w:rsidR="00F672BA" w:rsidRPr="00F672BA" w:rsidRDefault="008D460F" w:rsidP="008D460F">
      <w:pPr>
        <w:spacing w:beforeLines="0" w:before="120" w:after="120" w:line="240" w:lineRule="auto"/>
      </w:pPr>
      <w:r w:rsidRPr="008D460F">
        <w:rPr>
          <w:rFonts w:hint="eastAsia"/>
          <w:b/>
        </w:rPr>
        <w:t>Fig. S</w:t>
      </w:r>
      <w:r w:rsidR="00BE59E1" w:rsidRPr="00375E0B">
        <w:rPr>
          <w:rFonts w:hint="eastAsia"/>
          <w:b/>
        </w:rPr>
        <w:t>40</w:t>
      </w:r>
      <w:r w:rsidR="00BE59E1" w:rsidRPr="00CC72DC">
        <w:rPr>
          <w:color w:val="EE0000"/>
        </w:rPr>
        <w:t xml:space="preserve"> </w:t>
      </w:r>
      <w:r w:rsidR="00BE59E1">
        <w:t>(</w:t>
      </w:r>
      <w:r w:rsidR="00BE59E1" w:rsidRPr="00375E0B">
        <w:rPr>
          <w:b/>
        </w:rPr>
        <w:t>a</w:t>
      </w:r>
      <w:r w:rsidR="00BE59E1">
        <w:t>) T</w:t>
      </w:r>
      <w:r w:rsidR="00BE59E1">
        <w:rPr>
          <w:rFonts w:hint="eastAsia"/>
        </w:rPr>
        <w:t>hree</w:t>
      </w:r>
      <w:r w:rsidR="00BE59E1">
        <w:t xml:space="preserve"> </w:t>
      </w:r>
      <w:r w:rsidR="00BE59E1">
        <w:rPr>
          <w:rFonts w:hint="eastAsia"/>
        </w:rPr>
        <w:t>electrode</w:t>
      </w:r>
      <w:r w:rsidR="00BE59E1">
        <w:t xml:space="preserve"> </w:t>
      </w:r>
      <w:r w:rsidR="00BE59E1">
        <w:rPr>
          <w:rFonts w:hint="eastAsia"/>
        </w:rPr>
        <w:t>configuration</w:t>
      </w:r>
      <w:r w:rsidR="00BE59E1">
        <w:t xml:space="preserve">s </w:t>
      </w:r>
      <w:r w:rsidR="00BE59E1">
        <w:rPr>
          <w:rFonts w:hint="eastAsia"/>
        </w:rPr>
        <w:t>with</w:t>
      </w:r>
      <w:r w:rsidR="00BE59E1">
        <w:t xml:space="preserve"> </w:t>
      </w:r>
      <w:r w:rsidR="00BE59E1">
        <w:rPr>
          <w:rFonts w:hint="eastAsia"/>
        </w:rPr>
        <w:t>carbon</w:t>
      </w:r>
      <w:r w:rsidR="00BE59E1">
        <w:t xml:space="preserve"> </w:t>
      </w:r>
      <w:r w:rsidR="00BE59E1">
        <w:rPr>
          <w:rFonts w:hint="eastAsia"/>
        </w:rPr>
        <w:t>cloth</w:t>
      </w:r>
      <w:r w:rsidR="00BE59E1">
        <w:t xml:space="preserve"> </w:t>
      </w:r>
      <w:r w:rsidR="00BE59E1">
        <w:rPr>
          <w:rFonts w:hint="eastAsia"/>
        </w:rPr>
        <w:t>as</w:t>
      </w:r>
      <w:r w:rsidR="00BE59E1">
        <w:t xml:space="preserve"> </w:t>
      </w:r>
      <w:r w:rsidR="00BE59E1">
        <w:rPr>
          <w:rFonts w:hint="eastAsia"/>
        </w:rPr>
        <w:t>work</w:t>
      </w:r>
      <w:r w:rsidR="00BE59E1">
        <w:t>ing electrode, platinum mesh as a counter electrode and Ag/AgCl as a reference electrode for in-situ EIS measurements of MnO</w:t>
      </w:r>
      <w:r w:rsidR="00BE59E1">
        <w:rPr>
          <w:vertAlign w:val="subscript"/>
        </w:rPr>
        <w:t>2</w:t>
      </w:r>
      <w:r w:rsidR="00BE59E1">
        <w:t xml:space="preserve"> deposition for different capacities. (</w:t>
      </w:r>
      <w:r w:rsidR="00BE59E1" w:rsidRPr="00375E0B">
        <w:rPr>
          <w:b/>
        </w:rPr>
        <w:t>b</w:t>
      </w:r>
      <w:r w:rsidR="00BE59E1">
        <w:t>) In-situ Nyquist plots of MnO</w:t>
      </w:r>
      <w:r w:rsidR="00BE59E1">
        <w:rPr>
          <w:vertAlign w:val="subscript"/>
        </w:rPr>
        <w:t>2</w:t>
      </w:r>
      <w:r w:rsidR="00BE59E1">
        <w:t xml:space="preserve"> deposition in three ele</w:t>
      </w:r>
      <w:r w:rsidR="00375E0B">
        <w:t>ctrodes at different capacities</w:t>
      </w:r>
      <w:bookmarkEnd w:id="15"/>
    </w:p>
    <w:p w14:paraId="5139DCCE" w14:textId="77777777" w:rsidR="00F672BA" w:rsidRPr="00F672BA" w:rsidRDefault="00BE59E1" w:rsidP="008D460F">
      <w:pPr>
        <w:spacing w:beforeLines="0" w:before="120" w:after="120" w:line="240" w:lineRule="auto"/>
        <w:jc w:val="center"/>
      </w:pPr>
      <w:r>
        <w:rPr>
          <w:noProof/>
          <w:lang w:val="en-IN" w:eastAsia="en-IN"/>
        </w:rPr>
        <w:drawing>
          <wp:inline distT="0" distB="0" distL="0" distR="0" wp14:anchorId="69361942" wp14:editId="4E7CF63E">
            <wp:extent cx="4871970" cy="1955800"/>
            <wp:effectExtent l="0" t="0" r="5080" b="635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881032" cy="1959438"/>
                    </a:xfrm>
                    <a:prstGeom prst="rect">
                      <a:avLst/>
                    </a:prstGeom>
                    <a:noFill/>
                    <a:ln>
                      <a:noFill/>
                    </a:ln>
                  </pic:spPr>
                </pic:pic>
              </a:graphicData>
            </a:graphic>
          </wp:inline>
        </w:drawing>
      </w:r>
    </w:p>
    <w:p w14:paraId="230F5EAE" w14:textId="1F51FF56" w:rsidR="00F672BA" w:rsidRPr="00F672BA" w:rsidRDefault="008D460F" w:rsidP="008D460F">
      <w:pPr>
        <w:spacing w:beforeLines="0" w:before="120" w:after="120" w:line="240" w:lineRule="auto"/>
      </w:pPr>
      <w:r w:rsidRPr="008D460F">
        <w:rPr>
          <w:rFonts w:hint="eastAsia"/>
          <w:b/>
        </w:rPr>
        <w:t>Fig. S</w:t>
      </w:r>
      <w:r w:rsidR="00BE59E1" w:rsidRPr="00375E0B">
        <w:rPr>
          <w:rFonts w:hint="eastAsia"/>
          <w:b/>
        </w:rPr>
        <w:t>41</w:t>
      </w:r>
      <w:r w:rsidR="00BE59E1" w:rsidRPr="00CC72DC">
        <w:rPr>
          <w:color w:val="EE0000"/>
        </w:rPr>
        <w:t xml:space="preserve"> </w:t>
      </w:r>
      <w:r w:rsidR="00BE59E1">
        <w:t>The electric field simulation of MnO</w:t>
      </w:r>
      <w:r w:rsidR="00BE59E1">
        <w:rPr>
          <w:vertAlign w:val="subscript"/>
        </w:rPr>
        <w:t>2</w:t>
      </w:r>
      <w:r w:rsidR="00BE59E1">
        <w:t xml:space="preserve"> deposition on (</w:t>
      </w:r>
      <w:r w:rsidR="00BE59E1" w:rsidRPr="00375E0B">
        <w:rPr>
          <w:b/>
        </w:rPr>
        <w:t>a</w:t>
      </w:r>
      <w:r w:rsidR="00BE59E1">
        <w:t>) carbon clot</w:t>
      </w:r>
      <w:r w:rsidR="00375E0B">
        <w:t>h and (</w:t>
      </w:r>
      <w:r w:rsidR="00375E0B" w:rsidRPr="00375E0B">
        <w:rPr>
          <w:b/>
        </w:rPr>
        <w:t>b</w:t>
      </w:r>
      <w:r w:rsidR="00375E0B">
        <w:t>) CNTs at initial state</w:t>
      </w:r>
    </w:p>
    <w:p w14:paraId="3F03207A" w14:textId="77777777" w:rsidR="00F672BA" w:rsidRPr="00F672BA" w:rsidRDefault="00BE59E1" w:rsidP="008D460F">
      <w:pPr>
        <w:spacing w:beforeLines="0" w:before="120" w:after="120" w:line="240" w:lineRule="auto"/>
        <w:jc w:val="center"/>
      </w:pPr>
      <w:r>
        <w:rPr>
          <w:rFonts w:hint="eastAsia"/>
          <w:noProof/>
          <w:lang w:val="en-IN" w:eastAsia="en-IN"/>
        </w:rPr>
        <w:drawing>
          <wp:inline distT="0" distB="0" distL="0" distR="0" wp14:anchorId="09598056" wp14:editId="2DA731A3">
            <wp:extent cx="2624479" cy="2228850"/>
            <wp:effectExtent l="0" t="0" r="4445" b="0"/>
            <wp:docPr id="10661637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46956" cy="2247939"/>
                    </a:xfrm>
                    <a:prstGeom prst="rect">
                      <a:avLst/>
                    </a:prstGeom>
                    <a:noFill/>
                    <a:ln>
                      <a:noFill/>
                    </a:ln>
                  </pic:spPr>
                </pic:pic>
              </a:graphicData>
            </a:graphic>
          </wp:inline>
        </w:drawing>
      </w:r>
    </w:p>
    <w:p w14:paraId="399FB1CE" w14:textId="20AEDEC2" w:rsidR="00F672BA" w:rsidRPr="00F672BA" w:rsidRDefault="008D460F" w:rsidP="00375E0B">
      <w:pPr>
        <w:spacing w:beforeLines="0" w:before="120" w:after="120" w:line="240" w:lineRule="auto"/>
        <w:jc w:val="left"/>
        <w:rPr>
          <w:color w:val="EE0000"/>
        </w:rPr>
      </w:pPr>
      <w:r w:rsidRPr="00375E0B">
        <w:rPr>
          <w:rFonts w:hint="eastAsia"/>
          <w:b/>
        </w:rPr>
        <w:t>Fig. S</w:t>
      </w:r>
      <w:r w:rsidR="00BE59E1" w:rsidRPr="00375E0B">
        <w:rPr>
          <w:rFonts w:hint="eastAsia"/>
          <w:b/>
        </w:rPr>
        <w:t>42</w:t>
      </w:r>
      <w:r w:rsidR="00BE59E1" w:rsidRPr="00375E0B">
        <w:rPr>
          <w:rFonts w:hint="eastAsia"/>
        </w:rPr>
        <w:t xml:space="preserve"> </w:t>
      </w:r>
      <w:r w:rsidR="00BE59E1" w:rsidRPr="00375E0B">
        <w:t xml:space="preserve">The structural models </w:t>
      </w:r>
      <w:r w:rsidR="00BE59E1" w:rsidRPr="00375E0B">
        <w:rPr>
          <w:rFonts w:hint="eastAsia"/>
        </w:rPr>
        <w:t>water molecules</w:t>
      </w:r>
      <w:r w:rsidR="00375E0B">
        <w:t xml:space="preserve"> adsorbed on CC and CNTs</w:t>
      </w:r>
    </w:p>
    <w:p w14:paraId="3E74F63D" w14:textId="77777777" w:rsidR="00F672BA" w:rsidRPr="00F672BA" w:rsidRDefault="00F672BA" w:rsidP="008D460F">
      <w:pPr>
        <w:widowControl/>
        <w:spacing w:beforeLines="0" w:before="120" w:after="120" w:line="240" w:lineRule="auto"/>
        <w:jc w:val="left"/>
      </w:pPr>
    </w:p>
    <w:p w14:paraId="26296B71" w14:textId="77777777" w:rsidR="00F672BA" w:rsidRPr="00F672BA" w:rsidRDefault="00BE59E1" w:rsidP="00EB6CAB">
      <w:pPr>
        <w:widowControl/>
        <w:spacing w:beforeLines="0" w:before="120" w:after="120" w:line="240" w:lineRule="auto"/>
        <w:jc w:val="center"/>
      </w:pPr>
      <w:r>
        <w:rPr>
          <w:rFonts w:hint="eastAsia"/>
          <w:noProof/>
          <w:lang w:val="en-IN" w:eastAsia="en-IN"/>
        </w:rPr>
        <w:drawing>
          <wp:inline distT="0" distB="0" distL="0" distR="0" wp14:anchorId="2CBC48A7" wp14:editId="6B10E309">
            <wp:extent cx="4712969" cy="1727200"/>
            <wp:effectExtent l="0" t="0" r="0" b="6350"/>
            <wp:docPr id="9735479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52932" cy="1741846"/>
                    </a:xfrm>
                    <a:prstGeom prst="rect">
                      <a:avLst/>
                    </a:prstGeom>
                    <a:noFill/>
                    <a:ln>
                      <a:noFill/>
                    </a:ln>
                  </pic:spPr>
                </pic:pic>
              </a:graphicData>
            </a:graphic>
          </wp:inline>
        </w:drawing>
      </w:r>
    </w:p>
    <w:p w14:paraId="3B2CE170" w14:textId="3DE6BDAE" w:rsidR="00F672BA" w:rsidRPr="00EB6CAB" w:rsidRDefault="008D460F" w:rsidP="00EB6CAB">
      <w:pPr>
        <w:spacing w:beforeLines="0" w:before="120" w:after="120" w:line="240" w:lineRule="auto"/>
        <w:jc w:val="left"/>
      </w:pPr>
      <w:r w:rsidRPr="00EB6CAB">
        <w:rPr>
          <w:rFonts w:hint="eastAsia"/>
          <w:b/>
        </w:rPr>
        <w:t>Fig. S</w:t>
      </w:r>
      <w:r w:rsidR="00BE59E1" w:rsidRPr="00EB6CAB">
        <w:rPr>
          <w:rFonts w:hint="eastAsia"/>
          <w:b/>
        </w:rPr>
        <w:t>43</w:t>
      </w:r>
      <w:r w:rsidR="00BE59E1" w:rsidRPr="00EB6CAB">
        <w:rPr>
          <w:rFonts w:hint="eastAsia"/>
        </w:rPr>
        <w:t xml:space="preserve"> </w:t>
      </w:r>
      <w:r w:rsidR="00BE59E1" w:rsidRPr="00EB6CAB">
        <w:t>Linear polarization curves</w:t>
      </w:r>
      <w:r w:rsidR="00BE59E1" w:rsidRPr="00EB6CAB">
        <w:rPr>
          <w:rFonts w:hint="eastAsia"/>
        </w:rPr>
        <w:t xml:space="preserve"> of (</w:t>
      </w:r>
      <w:r w:rsidR="00BE59E1" w:rsidRPr="00EB6CAB">
        <w:rPr>
          <w:rFonts w:hint="eastAsia"/>
          <w:b/>
        </w:rPr>
        <w:t>a</w:t>
      </w:r>
      <w:r w:rsidR="00BE59E1" w:rsidRPr="00EB6CAB">
        <w:rPr>
          <w:rFonts w:hint="eastAsia"/>
        </w:rPr>
        <w:t xml:space="preserve">) </w:t>
      </w:r>
      <w:r w:rsidR="00BE59E1" w:rsidRPr="00EB6CAB">
        <w:t xml:space="preserve">CNTs and </w:t>
      </w:r>
      <w:r w:rsidR="00BE59E1" w:rsidRPr="00EB6CAB">
        <w:rPr>
          <w:rFonts w:hint="eastAsia"/>
        </w:rPr>
        <w:t>(</w:t>
      </w:r>
      <w:r w:rsidR="00BE59E1" w:rsidRPr="00EB6CAB">
        <w:rPr>
          <w:rFonts w:hint="eastAsia"/>
          <w:b/>
        </w:rPr>
        <w:t>b</w:t>
      </w:r>
      <w:r w:rsidR="00BE59E1" w:rsidRPr="00EB6CAB">
        <w:rPr>
          <w:rFonts w:hint="eastAsia"/>
        </w:rPr>
        <w:t xml:space="preserve">) </w:t>
      </w:r>
      <w:r w:rsidR="00BE59E1" w:rsidRPr="00EB6CAB">
        <w:t xml:space="preserve">CC </w:t>
      </w:r>
      <w:r w:rsidR="00BE59E1" w:rsidRPr="00EB6CAB">
        <w:rPr>
          <w:rFonts w:hint="eastAsia"/>
        </w:rPr>
        <w:t>electrodes</w:t>
      </w:r>
    </w:p>
    <w:p w14:paraId="0D6C3688" w14:textId="3966497D" w:rsidR="00F672BA" w:rsidRPr="00EB6CAB" w:rsidRDefault="00BE59E1" w:rsidP="008D460F">
      <w:pPr>
        <w:widowControl/>
        <w:spacing w:beforeLines="0" w:before="120" w:after="120" w:line="240" w:lineRule="auto"/>
      </w:pPr>
      <w:r w:rsidRPr="00EB6CAB">
        <w:t xml:space="preserve">The exchange current density </w:t>
      </w:r>
      <w:r w:rsidRPr="00EB6CAB">
        <w:rPr>
          <w:rFonts w:hint="eastAsia"/>
        </w:rPr>
        <w:t>of CNTs and CC electrodes</w:t>
      </w:r>
      <w:r w:rsidRPr="00EB6CAB">
        <w:t xml:space="preserve"> was determined from the slope of the linear polarization curves according to </w:t>
      </w:r>
      <w:r w:rsidRPr="00EB6CAB">
        <w:rPr>
          <w:rFonts w:hint="eastAsia"/>
        </w:rPr>
        <w:t xml:space="preserve">follow </w:t>
      </w:r>
      <w:r w:rsidRPr="00EB6CAB">
        <w:t>Equation</w:t>
      </w:r>
      <w:r w:rsidR="00EB6CAB" w:rsidRPr="00EB6CAB">
        <w:t xml:space="preserve"> </w:t>
      </w:r>
      <w:r w:rsidRPr="00EB6CAB">
        <w:rPr>
          <w:rFonts w:hint="eastAsia"/>
        </w:rPr>
        <w:t>[</w:t>
      </w:r>
      <w:r w:rsidR="00EB6CAB" w:rsidRPr="00EB6CAB">
        <w:t>S</w:t>
      </w:r>
      <w:r w:rsidRPr="00EB6CAB">
        <w:rPr>
          <w:rFonts w:hint="eastAsia"/>
        </w:rPr>
        <w:t>3]</w:t>
      </w:r>
    </w:p>
    <w:p w14:paraId="18836851" w14:textId="3F232CCD" w:rsidR="00F672BA" w:rsidRPr="00EB6CAB" w:rsidRDefault="0078384C" w:rsidP="008D460F">
      <w:pPr>
        <w:widowControl/>
        <w:spacing w:beforeLines="0" w:before="120" w:after="120" w:line="240" w:lineRule="auto"/>
        <w:jc w:val="right"/>
      </w:pPr>
      <m:oMath>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RT</m:t>
            </m:r>
            <m:ctrlPr>
              <w:rPr>
                <w:rFonts w:ascii="Cambria Math" w:hAnsi="Cambria Math"/>
                <w:i/>
              </w:rPr>
            </m:ctrlPr>
          </m:num>
          <m:den>
            <m:r>
              <w:rPr>
                <w:rFonts w:ascii="Cambria Math" w:hAnsi="Cambria Math"/>
              </w:rPr>
              <m:t>F</m:t>
            </m:r>
            <m:r>
              <m:rPr>
                <m:sty m:val="p"/>
              </m:rPr>
              <w:rPr>
                <w:rFonts w:ascii="Cambria Math" w:hAnsi="Cambria Math"/>
              </w:rPr>
              <m:t>η</m:t>
            </m:r>
            <m:ctrlPr>
              <w:rPr>
                <w:rFonts w:ascii="Cambria Math" w:hAnsi="Cambria Math"/>
                <w:i/>
              </w:rPr>
            </m:ctrlPr>
          </m:den>
        </m:f>
      </m:oMath>
      <w:r w:rsidR="00BE59E1" w:rsidRPr="00EB6CAB">
        <w:rPr>
          <w:rFonts w:hint="eastAsia"/>
        </w:rPr>
        <w:t xml:space="preserve">                                 (</w:t>
      </w:r>
      <w:r w:rsidR="00EB6CAB">
        <w:t>S</w:t>
      </w:r>
      <w:r w:rsidR="00BE59E1" w:rsidRPr="00EB6CAB">
        <w:rPr>
          <w:rFonts w:hint="eastAsia"/>
        </w:rPr>
        <w:t>3)</w:t>
      </w:r>
    </w:p>
    <w:p w14:paraId="514CD09A" w14:textId="0CDAFCCB" w:rsidR="00F672BA" w:rsidRPr="00EB6CAB" w:rsidRDefault="00BE59E1" w:rsidP="00EB6CAB">
      <w:pPr>
        <w:widowControl/>
        <w:spacing w:beforeLines="0" w:before="120" w:after="120" w:line="240" w:lineRule="auto"/>
      </w:pPr>
      <w:r w:rsidRPr="00EB6CAB">
        <w:t xml:space="preserve">where </w:t>
      </w:r>
      <w:r w:rsidRPr="00EB6CAB">
        <w:rPr>
          <w:i/>
          <w:iCs/>
        </w:rPr>
        <w:t>I</w:t>
      </w:r>
      <w:r w:rsidRPr="00EB6CAB">
        <w:rPr>
          <w:vertAlign w:val="subscript"/>
        </w:rPr>
        <w:t>d</w:t>
      </w:r>
      <w:r w:rsidRPr="00EB6CAB">
        <w:t xml:space="preserve">, </w:t>
      </w:r>
      <w:r w:rsidRPr="00EB6CAB">
        <w:rPr>
          <w:i/>
          <w:iCs/>
        </w:rPr>
        <w:t>F</w:t>
      </w:r>
      <w:r w:rsidRPr="00EB6CAB">
        <w:t xml:space="preserve">, </w:t>
      </w:r>
      <w:r w:rsidRPr="00EB6CAB">
        <w:rPr>
          <w:i/>
          <w:iCs/>
        </w:rPr>
        <w:t>R</w:t>
      </w:r>
      <w:r w:rsidRPr="00EB6CAB">
        <w:rPr>
          <w:rFonts w:hint="eastAsia"/>
        </w:rPr>
        <w:t xml:space="preserve">, </w:t>
      </w:r>
      <w:r w:rsidRPr="00EB6CAB">
        <w:rPr>
          <w:i/>
          <w:iCs/>
        </w:rPr>
        <w:t>T</w:t>
      </w:r>
      <w:r w:rsidRPr="00EB6CAB">
        <w:rPr>
          <w:rFonts w:hint="eastAsia"/>
        </w:rPr>
        <w:t xml:space="preserve"> </w:t>
      </w:r>
      <w:r w:rsidRPr="00EB6CAB">
        <w:t xml:space="preserve">and </w:t>
      </w:r>
      <w:r w:rsidRPr="00EB6CAB">
        <w:rPr>
          <w:i/>
          <w:iCs/>
        </w:rPr>
        <w:t>η</w:t>
      </w:r>
      <w:r w:rsidRPr="00EB6CAB">
        <w:t xml:space="preserve"> represent the applied current density, the Faraday constant (96500 C mol</w:t>
      </w:r>
      <w:r w:rsidRPr="00EB6CAB">
        <w:rPr>
          <w:rFonts w:cs="Times New Roman"/>
          <w:vertAlign w:val="superscript"/>
        </w:rPr>
        <w:t>−</w:t>
      </w:r>
      <w:r w:rsidRPr="00EB6CAB">
        <w:rPr>
          <w:vertAlign w:val="superscript"/>
        </w:rPr>
        <w:t>1</w:t>
      </w:r>
      <w:r w:rsidRPr="00EB6CAB">
        <w:t>), the gas constant (8.314 J mol</w:t>
      </w:r>
      <w:r w:rsidRPr="00EB6CAB">
        <w:rPr>
          <w:vertAlign w:val="superscript"/>
        </w:rPr>
        <w:t>–1</w:t>
      </w:r>
      <w:r w:rsidRPr="00EB6CAB">
        <w:t xml:space="preserve"> K</w:t>
      </w:r>
      <w:r w:rsidRPr="00EB6CAB">
        <w:rPr>
          <w:vertAlign w:val="superscript"/>
        </w:rPr>
        <w:t>–1</w:t>
      </w:r>
      <w:r w:rsidRPr="00EB6CAB">
        <w:t>)</w:t>
      </w:r>
      <w:r w:rsidRPr="00EB6CAB">
        <w:rPr>
          <w:rFonts w:hint="eastAsia"/>
        </w:rPr>
        <w:t>,</w:t>
      </w:r>
      <w:r w:rsidRPr="00EB6CAB">
        <w:t xml:space="preserve"> the temperature (</w:t>
      </w:r>
      <w:r w:rsidRPr="00EB6CAB">
        <w:rPr>
          <w:rFonts w:hint="eastAsia"/>
        </w:rPr>
        <w:t xml:space="preserve">298 </w:t>
      </w:r>
      <w:r w:rsidRPr="00EB6CAB">
        <w:t>K),</w:t>
      </w:r>
      <w:r w:rsidRPr="00EB6CAB">
        <w:rPr>
          <w:rFonts w:hint="eastAsia"/>
        </w:rPr>
        <w:t xml:space="preserve"> </w:t>
      </w:r>
      <w:r w:rsidRPr="00EB6CAB">
        <w:t>and the total overpotential (V), respectively.</w:t>
      </w:r>
    </w:p>
    <w:p w14:paraId="07B294C8" w14:textId="77777777" w:rsidR="00F672BA" w:rsidRPr="00EB6CAB" w:rsidRDefault="00BE59E1" w:rsidP="00EB6CAB">
      <w:pPr>
        <w:widowControl/>
        <w:spacing w:beforeLines="0" w:before="120" w:after="120" w:line="240" w:lineRule="auto"/>
        <w:jc w:val="center"/>
      </w:pPr>
      <w:r w:rsidRPr="00EB6CAB">
        <w:rPr>
          <w:noProof/>
          <w:lang w:val="en-IN" w:eastAsia="en-IN"/>
        </w:rPr>
        <w:drawing>
          <wp:inline distT="0" distB="0" distL="0" distR="0" wp14:anchorId="6D4515BF" wp14:editId="4199DF93">
            <wp:extent cx="4997450" cy="1544508"/>
            <wp:effectExtent l="0" t="0" r="0" b="0"/>
            <wp:docPr id="848077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31134" cy="1554918"/>
                    </a:xfrm>
                    <a:prstGeom prst="rect">
                      <a:avLst/>
                    </a:prstGeom>
                    <a:noFill/>
                    <a:ln>
                      <a:noFill/>
                    </a:ln>
                  </pic:spPr>
                </pic:pic>
              </a:graphicData>
            </a:graphic>
          </wp:inline>
        </w:drawing>
      </w:r>
    </w:p>
    <w:p w14:paraId="5D8726BE" w14:textId="4D864F17" w:rsidR="00F672BA" w:rsidRPr="00EB6CAB" w:rsidRDefault="00BE59E1" w:rsidP="00EB6CAB">
      <w:pPr>
        <w:widowControl/>
        <w:spacing w:beforeLines="0" w:before="120" w:after="120" w:line="240" w:lineRule="auto"/>
      </w:pPr>
      <w:r w:rsidRPr="00EB6CAB">
        <w:rPr>
          <w:rFonts w:hint="eastAsia"/>
          <w:b/>
        </w:rPr>
        <w:t>Fig</w:t>
      </w:r>
      <w:r w:rsidR="00EB6CAB">
        <w:rPr>
          <w:b/>
        </w:rPr>
        <w:t>.</w:t>
      </w:r>
      <w:r w:rsidRPr="00EB6CAB">
        <w:rPr>
          <w:rFonts w:hint="eastAsia"/>
          <w:b/>
        </w:rPr>
        <w:t xml:space="preserve"> </w:t>
      </w:r>
      <w:r w:rsidR="00EB6CAB">
        <w:rPr>
          <w:b/>
        </w:rPr>
        <w:t>S</w:t>
      </w:r>
      <w:r w:rsidRPr="00EB6CAB">
        <w:rPr>
          <w:rFonts w:hint="eastAsia"/>
          <w:b/>
        </w:rPr>
        <w:t>44</w:t>
      </w:r>
      <w:r w:rsidRPr="00EB6CAB">
        <w:rPr>
          <w:rFonts w:hint="eastAsia"/>
        </w:rPr>
        <w:t xml:space="preserve"> </w:t>
      </w:r>
      <w:r w:rsidRPr="00EB6CAB">
        <w:t xml:space="preserve">Schematic illustration of localized dissolution in the </w:t>
      </w:r>
      <w:r w:rsidRPr="00EB6CAB">
        <w:rPr>
          <w:rFonts w:hint="eastAsia"/>
        </w:rPr>
        <w:t>(</w:t>
      </w:r>
      <w:r w:rsidRPr="00EB6CAB">
        <w:rPr>
          <w:rFonts w:hint="eastAsia"/>
          <w:b/>
        </w:rPr>
        <w:t>a</w:t>
      </w:r>
      <w:r w:rsidRPr="00EB6CAB">
        <w:rPr>
          <w:b/>
        </w:rPr>
        <w:t xml:space="preserve">, </w:t>
      </w:r>
      <w:r w:rsidRPr="00EB6CAB">
        <w:rPr>
          <w:rFonts w:hint="eastAsia"/>
          <w:b/>
        </w:rPr>
        <w:t>b</w:t>
      </w:r>
      <w:r w:rsidRPr="00EB6CAB">
        <w:rPr>
          <w:rFonts w:hint="eastAsia"/>
        </w:rPr>
        <w:t>)</w:t>
      </w:r>
      <w:r w:rsidRPr="00EB6CAB">
        <w:t xml:space="preserve"> CE-MnO</w:t>
      </w:r>
      <w:r w:rsidRPr="00EB6CAB">
        <w:rPr>
          <w:vertAlign w:val="subscript"/>
        </w:rPr>
        <w:t>2</w:t>
      </w:r>
      <w:r w:rsidRPr="00EB6CAB">
        <w:t xml:space="preserve"> cells and </w:t>
      </w:r>
      <w:r w:rsidRPr="00EB6CAB">
        <w:rPr>
          <w:rFonts w:hint="eastAsia"/>
          <w:b/>
        </w:rPr>
        <w:t>(c</w:t>
      </w:r>
      <w:r w:rsidRPr="00EB6CAB">
        <w:rPr>
          <w:b/>
        </w:rPr>
        <w:t xml:space="preserve">, </w:t>
      </w:r>
      <w:r w:rsidRPr="00EB6CAB">
        <w:rPr>
          <w:rFonts w:hint="eastAsia"/>
          <w:b/>
        </w:rPr>
        <w:t>d</w:t>
      </w:r>
      <w:r w:rsidRPr="00EB6CAB">
        <w:rPr>
          <w:rFonts w:hint="eastAsia"/>
        </w:rPr>
        <w:t>)</w:t>
      </w:r>
      <w:r w:rsidRPr="00EB6CAB">
        <w:t xml:space="preserve"> overall dissolution in the MnO</w:t>
      </w:r>
      <w:r w:rsidRPr="00EB6CAB">
        <w:rPr>
          <w:vertAlign w:val="subscript"/>
        </w:rPr>
        <w:t>2</w:t>
      </w:r>
      <w:r w:rsidR="00EB6CAB">
        <w:t xml:space="preserve"> slurry cells</w:t>
      </w:r>
    </w:p>
    <w:p w14:paraId="321F2E2B" w14:textId="7E60968D" w:rsidR="00BE59E1" w:rsidRPr="00EB6CAB" w:rsidRDefault="00BE59E1" w:rsidP="008D460F">
      <w:pPr>
        <w:widowControl/>
        <w:spacing w:beforeLines="0" w:before="120" w:after="120" w:line="240" w:lineRule="auto"/>
        <w:jc w:val="center"/>
      </w:pPr>
      <w:r w:rsidRPr="00EB6CAB">
        <w:rPr>
          <w:rFonts w:hint="eastAsia"/>
          <w:b/>
        </w:rPr>
        <w:t>Table S1</w:t>
      </w:r>
      <w:r w:rsidRPr="00EB6CAB">
        <w:rPr>
          <w:rFonts w:hint="eastAsia"/>
        </w:rPr>
        <w:t xml:space="preserve"> </w:t>
      </w:r>
      <w:r w:rsidRPr="00EB6CAB">
        <w:t xml:space="preserve">Parameters of </w:t>
      </w:r>
      <w:r w:rsidRPr="00EB6CAB">
        <w:rPr>
          <w:rFonts w:hint="eastAsia"/>
        </w:rPr>
        <w:t>MnO</w:t>
      </w:r>
      <w:r w:rsidRPr="00EB6CAB">
        <w:rPr>
          <w:vertAlign w:val="subscript"/>
        </w:rPr>
        <w:t>2</w:t>
      </w:r>
      <w:r w:rsidRPr="00EB6CAB">
        <w:rPr>
          <w:rFonts w:hint="eastAsia"/>
        </w:rPr>
        <w:t xml:space="preserve"> deposition and dissolution</w:t>
      </w:r>
      <w:r w:rsidRPr="00EB6CAB">
        <w:t xml:space="preserve"> simulation in COMSOL</w:t>
      </w:r>
    </w:p>
    <w:tbl>
      <w:tblPr>
        <w:tblStyle w:val="10"/>
        <w:tblW w:w="0" w:type="auto"/>
        <w:tblBorders>
          <w:left w:val="none" w:sz="0" w:space="0" w:color="auto"/>
          <w:right w:val="none" w:sz="0" w:space="0" w:color="auto"/>
        </w:tblBorders>
        <w:tblLook w:val="04A0" w:firstRow="1" w:lastRow="0" w:firstColumn="1" w:lastColumn="0" w:noHBand="0" w:noVBand="1"/>
      </w:tblPr>
      <w:tblGrid>
        <w:gridCol w:w="3569"/>
        <w:gridCol w:w="1819"/>
        <w:gridCol w:w="1502"/>
        <w:gridCol w:w="1416"/>
      </w:tblGrid>
      <w:tr w:rsidR="00EB6CAB" w:rsidRPr="00EB6CAB" w14:paraId="6FB2464D" w14:textId="77777777" w:rsidTr="00157157">
        <w:tc>
          <w:tcPr>
            <w:tcW w:w="4253" w:type="dxa"/>
            <w:tcBorders>
              <w:bottom w:val="single" w:sz="4" w:space="0" w:color="auto"/>
              <w:right w:val="nil"/>
            </w:tcBorders>
          </w:tcPr>
          <w:p w14:paraId="713AE3B6"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hint="eastAsia"/>
                <w:sz w:val="21"/>
                <w:szCs w:val="21"/>
              </w:rPr>
              <w:t>P</w:t>
            </w:r>
            <w:r w:rsidRPr="00EB6CAB">
              <w:rPr>
                <w:rFonts w:eastAsia="DengXian" w:cs="Times New Roman"/>
                <w:sz w:val="21"/>
                <w:szCs w:val="21"/>
              </w:rPr>
              <w:t>arameter</w:t>
            </w:r>
          </w:p>
        </w:tc>
        <w:tc>
          <w:tcPr>
            <w:tcW w:w="2126" w:type="dxa"/>
            <w:tcBorders>
              <w:left w:val="nil"/>
              <w:bottom w:val="single" w:sz="4" w:space="0" w:color="auto"/>
              <w:right w:val="nil"/>
            </w:tcBorders>
          </w:tcPr>
          <w:p w14:paraId="7B3EB0E1"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S</w:t>
            </w:r>
            <w:r w:rsidRPr="00EB6CAB">
              <w:rPr>
                <w:rFonts w:eastAsia="DengXian" w:cs="Times New Roman"/>
                <w:sz w:val="21"/>
                <w:szCs w:val="21"/>
              </w:rPr>
              <w:t>ymbol</w:t>
            </w:r>
          </w:p>
        </w:tc>
        <w:tc>
          <w:tcPr>
            <w:tcW w:w="1701" w:type="dxa"/>
            <w:tcBorders>
              <w:left w:val="nil"/>
              <w:bottom w:val="single" w:sz="4" w:space="0" w:color="auto"/>
              <w:right w:val="nil"/>
            </w:tcBorders>
          </w:tcPr>
          <w:p w14:paraId="2F149A01"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sz w:val="21"/>
                <w:szCs w:val="21"/>
              </w:rPr>
              <w:t>V</w:t>
            </w:r>
            <w:r w:rsidRPr="00EB6CAB">
              <w:rPr>
                <w:rFonts w:eastAsia="DengXian" w:cs="Times New Roman" w:hint="eastAsia"/>
                <w:sz w:val="21"/>
                <w:szCs w:val="21"/>
              </w:rPr>
              <w:t>alue</w:t>
            </w:r>
          </w:p>
        </w:tc>
        <w:tc>
          <w:tcPr>
            <w:tcW w:w="1656" w:type="dxa"/>
            <w:tcBorders>
              <w:left w:val="nil"/>
              <w:bottom w:val="single" w:sz="4" w:space="0" w:color="auto"/>
            </w:tcBorders>
          </w:tcPr>
          <w:p w14:paraId="4464F25A"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U</w:t>
            </w:r>
            <w:r w:rsidRPr="00EB6CAB">
              <w:rPr>
                <w:rFonts w:eastAsia="DengXian" w:cs="Times New Roman"/>
                <w:sz w:val="21"/>
                <w:szCs w:val="21"/>
              </w:rPr>
              <w:t>nit</w:t>
            </w:r>
          </w:p>
        </w:tc>
      </w:tr>
      <w:tr w:rsidR="00EB6CAB" w:rsidRPr="00EB6CAB" w14:paraId="1CF2BFD6" w14:textId="77777777" w:rsidTr="00157157">
        <w:tc>
          <w:tcPr>
            <w:tcW w:w="4253" w:type="dxa"/>
            <w:tcBorders>
              <w:bottom w:val="nil"/>
              <w:right w:val="nil"/>
            </w:tcBorders>
          </w:tcPr>
          <w:p w14:paraId="253FEF7C"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Initial Mn concentration</w:t>
            </w:r>
          </w:p>
        </w:tc>
        <w:tc>
          <w:tcPr>
            <w:tcW w:w="2126" w:type="dxa"/>
            <w:tcBorders>
              <w:left w:val="nil"/>
              <w:bottom w:val="nil"/>
              <w:right w:val="nil"/>
            </w:tcBorders>
          </w:tcPr>
          <w:p w14:paraId="20D33719"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C</w:t>
            </w:r>
            <w:r w:rsidRPr="00EB6CAB">
              <w:rPr>
                <w:rFonts w:eastAsia="DengXian" w:cs="Times New Roman" w:hint="eastAsia"/>
                <w:sz w:val="21"/>
                <w:szCs w:val="21"/>
                <w:vertAlign w:val="subscript"/>
              </w:rPr>
              <w:t>Mn2+,ref</w:t>
            </w:r>
          </w:p>
        </w:tc>
        <w:tc>
          <w:tcPr>
            <w:tcW w:w="1701" w:type="dxa"/>
            <w:tcBorders>
              <w:left w:val="nil"/>
              <w:bottom w:val="nil"/>
              <w:right w:val="nil"/>
            </w:tcBorders>
          </w:tcPr>
          <w:p w14:paraId="61F585C2"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2000</w:t>
            </w:r>
          </w:p>
        </w:tc>
        <w:tc>
          <w:tcPr>
            <w:tcW w:w="1656" w:type="dxa"/>
            <w:tcBorders>
              <w:left w:val="nil"/>
              <w:bottom w:val="nil"/>
            </w:tcBorders>
          </w:tcPr>
          <w:p w14:paraId="23194EDA"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mol m</w:t>
            </w:r>
            <w:r w:rsidRPr="00EB6CAB">
              <w:rPr>
                <w:rFonts w:eastAsia="DengXian" w:cs="Times New Roman"/>
                <w:sz w:val="21"/>
                <w:szCs w:val="21"/>
                <w:vertAlign w:val="superscript"/>
              </w:rPr>
              <w:t>−</w:t>
            </w:r>
            <w:r w:rsidRPr="00EB6CAB">
              <w:rPr>
                <w:rFonts w:eastAsia="DengXian" w:cs="Times New Roman" w:hint="eastAsia"/>
                <w:sz w:val="21"/>
                <w:szCs w:val="21"/>
                <w:vertAlign w:val="superscript"/>
              </w:rPr>
              <w:t>3</w:t>
            </w:r>
          </w:p>
        </w:tc>
      </w:tr>
      <w:tr w:rsidR="00EB6CAB" w:rsidRPr="00EB6CAB" w14:paraId="0328794D" w14:textId="77777777" w:rsidTr="00157157">
        <w:tc>
          <w:tcPr>
            <w:tcW w:w="4253" w:type="dxa"/>
            <w:tcBorders>
              <w:top w:val="nil"/>
              <w:bottom w:val="nil"/>
              <w:right w:val="nil"/>
            </w:tcBorders>
          </w:tcPr>
          <w:p w14:paraId="27B648E3"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Temperature</w:t>
            </w:r>
          </w:p>
        </w:tc>
        <w:tc>
          <w:tcPr>
            <w:tcW w:w="2126" w:type="dxa"/>
            <w:tcBorders>
              <w:top w:val="nil"/>
              <w:left w:val="nil"/>
              <w:bottom w:val="nil"/>
              <w:right w:val="nil"/>
            </w:tcBorders>
          </w:tcPr>
          <w:p w14:paraId="171705A2"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i/>
                <w:iCs/>
                <w:sz w:val="21"/>
                <w:szCs w:val="21"/>
              </w:rPr>
              <w:t>T</w:t>
            </w:r>
            <w:r w:rsidRPr="00EB6CAB">
              <w:rPr>
                <w:rFonts w:eastAsia="DengXian" w:cs="Times New Roman" w:hint="eastAsia"/>
                <w:sz w:val="21"/>
                <w:szCs w:val="21"/>
                <w:vertAlign w:val="subscript"/>
              </w:rPr>
              <w:t>0</w:t>
            </w:r>
          </w:p>
        </w:tc>
        <w:tc>
          <w:tcPr>
            <w:tcW w:w="1701" w:type="dxa"/>
            <w:tcBorders>
              <w:top w:val="nil"/>
              <w:left w:val="nil"/>
              <w:bottom w:val="nil"/>
              <w:right w:val="nil"/>
            </w:tcBorders>
          </w:tcPr>
          <w:p w14:paraId="693FD12B"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298</w:t>
            </w:r>
          </w:p>
        </w:tc>
        <w:tc>
          <w:tcPr>
            <w:tcW w:w="1656" w:type="dxa"/>
            <w:tcBorders>
              <w:top w:val="nil"/>
              <w:left w:val="nil"/>
              <w:bottom w:val="nil"/>
            </w:tcBorders>
          </w:tcPr>
          <w:p w14:paraId="50485D19"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K</w:t>
            </w:r>
          </w:p>
        </w:tc>
      </w:tr>
      <w:tr w:rsidR="00EB6CAB" w:rsidRPr="00EB6CAB" w14:paraId="672273BB" w14:textId="77777777" w:rsidTr="00157157">
        <w:tc>
          <w:tcPr>
            <w:tcW w:w="4253" w:type="dxa"/>
            <w:tcBorders>
              <w:top w:val="nil"/>
              <w:bottom w:val="nil"/>
              <w:right w:val="nil"/>
            </w:tcBorders>
          </w:tcPr>
          <w:p w14:paraId="42C2440F"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Exchange current density</w:t>
            </w:r>
          </w:p>
        </w:tc>
        <w:tc>
          <w:tcPr>
            <w:tcW w:w="2126" w:type="dxa"/>
            <w:tcBorders>
              <w:top w:val="nil"/>
              <w:left w:val="nil"/>
              <w:bottom w:val="nil"/>
              <w:right w:val="nil"/>
            </w:tcBorders>
          </w:tcPr>
          <w:p w14:paraId="31B9B910"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i/>
                <w:iCs/>
                <w:sz w:val="21"/>
                <w:szCs w:val="21"/>
              </w:rPr>
              <w:t>i</w:t>
            </w:r>
            <w:r w:rsidRPr="00EB6CAB">
              <w:rPr>
                <w:rFonts w:eastAsia="DengXian" w:cs="Times New Roman" w:hint="eastAsia"/>
                <w:sz w:val="21"/>
                <w:szCs w:val="21"/>
                <w:vertAlign w:val="subscript"/>
              </w:rPr>
              <w:t>0</w:t>
            </w:r>
          </w:p>
        </w:tc>
        <w:tc>
          <w:tcPr>
            <w:tcW w:w="1701" w:type="dxa"/>
            <w:tcBorders>
              <w:top w:val="nil"/>
              <w:left w:val="nil"/>
              <w:bottom w:val="nil"/>
              <w:right w:val="nil"/>
            </w:tcBorders>
          </w:tcPr>
          <w:p w14:paraId="3CFD5B7A"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0.49</w:t>
            </w:r>
          </w:p>
        </w:tc>
        <w:tc>
          <w:tcPr>
            <w:tcW w:w="1656" w:type="dxa"/>
            <w:tcBorders>
              <w:top w:val="nil"/>
              <w:left w:val="nil"/>
              <w:bottom w:val="nil"/>
            </w:tcBorders>
          </w:tcPr>
          <w:p w14:paraId="5EAB27CB"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A m</w:t>
            </w:r>
            <w:r w:rsidRPr="00EB6CAB">
              <w:rPr>
                <w:rFonts w:eastAsia="DengXian" w:cs="Times New Roman"/>
                <w:sz w:val="21"/>
                <w:szCs w:val="21"/>
                <w:vertAlign w:val="superscript"/>
              </w:rPr>
              <w:t>−</w:t>
            </w:r>
            <w:r w:rsidRPr="00EB6CAB">
              <w:rPr>
                <w:rFonts w:eastAsia="DengXian" w:cs="Times New Roman" w:hint="eastAsia"/>
                <w:sz w:val="21"/>
                <w:szCs w:val="21"/>
                <w:vertAlign w:val="superscript"/>
              </w:rPr>
              <w:t>2</w:t>
            </w:r>
          </w:p>
        </w:tc>
      </w:tr>
      <w:tr w:rsidR="00EB6CAB" w:rsidRPr="00EB6CAB" w14:paraId="1FA751F2" w14:textId="77777777" w:rsidTr="00157157">
        <w:tc>
          <w:tcPr>
            <w:tcW w:w="4253" w:type="dxa"/>
            <w:tcBorders>
              <w:top w:val="nil"/>
              <w:bottom w:val="nil"/>
              <w:right w:val="nil"/>
            </w:tcBorders>
          </w:tcPr>
          <w:p w14:paraId="2FBEB6BC"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Equilibrium potential</w:t>
            </w:r>
          </w:p>
        </w:tc>
        <w:tc>
          <w:tcPr>
            <w:tcW w:w="2126" w:type="dxa"/>
            <w:tcBorders>
              <w:top w:val="nil"/>
              <w:left w:val="nil"/>
              <w:bottom w:val="nil"/>
              <w:right w:val="nil"/>
            </w:tcBorders>
          </w:tcPr>
          <w:p w14:paraId="4275100E"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i/>
                <w:iCs/>
                <w:sz w:val="21"/>
                <w:szCs w:val="21"/>
              </w:rPr>
              <w:t>E</w:t>
            </w:r>
            <w:r w:rsidRPr="00EB6CAB">
              <w:rPr>
                <w:rFonts w:eastAsia="DengXian" w:cs="Times New Roman" w:hint="eastAsia"/>
                <w:sz w:val="21"/>
                <w:szCs w:val="21"/>
              </w:rPr>
              <w:t>eq</w:t>
            </w:r>
          </w:p>
        </w:tc>
        <w:tc>
          <w:tcPr>
            <w:tcW w:w="1701" w:type="dxa"/>
            <w:tcBorders>
              <w:top w:val="nil"/>
              <w:left w:val="nil"/>
              <w:bottom w:val="nil"/>
              <w:right w:val="nil"/>
            </w:tcBorders>
          </w:tcPr>
          <w:p w14:paraId="1FF5C70C"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0</w:t>
            </w:r>
          </w:p>
        </w:tc>
        <w:tc>
          <w:tcPr>
            <w:tcW w:w="1656" w:type="dxa"/>
            <w:tcBorders>
              <w:top w:val="nil"/>
              <w:left w:val="nil"/>
              <w:bottom w:val="nil"/>
            </w:tcBorders>
          </w:tcPr>
          <w:p w14:paraId="32E1E8A8"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V</w:t>
            </w:r>
          </w:p>
        </w:tc>
      </w:tr>
      <w:tr w:rsidR="00EB6CAB" w:rsidRPr="00EB6CAB" w14:paraId="38AB4866" w14:textId="77777777" w:rsidTr="00157157">
        <w:tc>
          <w:tcPr>
            <w:tcW w:w="4253" w:type="dxa"/>
            <w:tcBorders>
              <w:top w:val="nil"/>
              <w:bottom w:val="nil"/>
              <w:right w:val="nil"/>
            </w:tcBorders>
          </w:tcPr>
          <w:p w14:paraId="70FF6D61"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Anode potential</w:t>
            </w:r>
          </w:p>
        </w:tc>
        <w:tc>
          <w:tcPr>
            <w:tcW w:w="2126" w:type="dxa"/>
            <w:tcBorders>
              <w:top w:val="nil"/>
              <w:left w:val="nil"/>
              <w:bottom w:val="nil"/>
              <w:right w:val="nil"/>
            </w:tcBorders>
          </w:tcPr>
          <w:p w14:paraId="1214127C"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i/>
                <w:iCs/>
                <w:sz w:val="21"/>
                <w:szCs w:val="21"/>
              </w:rPr>
              <w:t>φ</w:t>
            </w:r>
            <w:r w:rsidRPr="00EB6CAB">
              <w:rPr>
                <w:rFonts w:eastAsia="DengXian" w:cs="Times New Roman"/>
                <w:sz w:val="21"/>
                <w:szCs w:val="21"/>
                <w:vertAlign w:val="subscript"/>
              </w:rPr>
              <w:t>s_anode</w:t>
            </w:r>
          </w:p>
        </w:tc>
        <w:tc>
          <w:tcPr>
            <w:tcW w:w="1701" w:type="dxa"/>
            <w:tcBorders>
              <w:top w:val="nil"/>
              <w:left w:val="nil"/>
              <w:bottom w:val="nil"/>
              <w:right w:val="nil"/>
            </w:tcBorders>
          </w:tcPr>
          <w:p w14:paraId="2715D66C"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sz w:val="21"/>
                <w:szCs w:val="21"/>
              </w:rPr>
              <w:t>−</w:t>
            </w:r>
            <w:r w:rsidRPr="00EB6CAB">
              <w:rPr>
                <w:rFonts w:eastAsia="DengXian" w:cs="Times New Roman" w:hint="eastAsia"/>
                <w:sz w:val="21"/>
                <w:szCs w:val="21"/>
              </w:rPr>
              <w:t>1.23</w:t>
            </w:r>
          </w:p>
        </w:tc>
        <w:tc>
          <w:tcPr>
            <w:tcW w:w="1656" w:type="dxa"/>
            <w:tcBorders>
              <w:top w:val="nil"/>
              <w:left w:val="nil"/>
              <w:bottom w:val="nil"/>
            </w:tcBorders>
          </w:tcPr>
          <w:p w14:paraId="0BCFA9A1"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V</w:t>
            </w:r>
          </w:p>
        </w:tc>
      </w:tr>
      <w:tr w:rsidR="00EB6CAB" w:rsidRPr="00EB6CAB" w14:paraId="42E0EC66" w14:textId="77777777" w:rsidTr="00157157">
        <w:tc>
          <w:tcPr>
            <w:tcW w:w="4253" w:type="dxa"/>
            <w:tcBorders>
              <w:top w:val="nil"/>
              <w:bottom w:val="nil"/>
              <w:right w:val="nil"/>
            </w:tcBorders>
          </w:tcPr>
          <w:p w14:paraId="1E0552C3"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Cathode potential</w:t>
            </w:r>
          </w:p>
        </w:tc>
        <w:tc>
          <w:tcPr>
            <w:tcW w:w="2126" w:type="dxa"/>
            <w:tcBorders>
              <w:top w:val="nil"/>
              <w:left w:val="nil"/>
              <w:bottom w:val="nil"/>
              <w:right w:val="nil"/>
            </w:tcBorders>
          </w:tcPr>
          <w:p w14:paraId="4D44D749"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i/>
                <w:iCs/>
                <w:sz w:val="21"/>
                <w:szCs w:val="21"/>
              </w:rPr>
              <w:t>φ</w:t>
            </w:r>
            <w:r w:rsidRPr="00EB6CAB">
              <w:rPr>
                <w:rFonts w:eastAsia="DengXian" w:cs="Times New Roman"/>
                <w:sz w:val="21"/>
                <w:szCs w:val="21"/>
                <w:vertAlign w:val="subscript"/>
              </w:rPr>
              <w:t>s_</w:t>
            </w:r>
            <w:r w:rsidRPr="00EB6CAB">
              <w:rPr>
                <w:rFonts w:eastAsia="DengXian" w:cs="Times New Roman" w:hint="eastAsia"/>
                <w:sz w:val="21"/>
                <w:szCs w:val="21"/>
                <w:vertAlign w:val="subscript"/>
              </w:rPr>
              <w:t>cath</w:t>
            </w:r>
            <w:r w:rsidRPr="00EB6CAB">
              <w:rPr>
                <w:rFonts w:eastAsia="DengXian" w:cs="Times New Roman"/>
                <w:sz w:val="21"/>
                <w:szCs w:val="21"/>
                <w:vertAlign w:val="subscript"/>
              </w:rPr>
              <w:t>ode</w:t>
            </w:r>
          </w:p>
        </w:tc>
        <w:tc>
          <w:tcPr>
            <w:tcW w:w="1701" w:type="dxa"/>
            <w:tcBorders>
              <w:top w:val="nil"/>
              <w:left w:val="nil"/>
              <w:bottom w:val="nil"/>
              <w:right w:val="nil"/>
            </w:tcBorders>
          </w:tcPr>
          <w:p w14:paraId="6503DA31"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1.23</w:t>
            </w:r>
          </w:p>
        </w:tc>
        <w:tc>
          <w:tcPr>
            <w:tcW w:w="1656" w:type="dxa"/>
            <w:tcBorders>
              <w:top w:val="nil"/>
              <w:left w:val="nil"/>
              <w:bottom w:val="nil"/>
            </w:tcBorders>
          </w:tcPr>
          <w:p w14:paraId="5FD67F5D"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V</w:t>
            </w:r>
          </w:p>
        </w:tc>
      </w:tr>
      <w:tr w:rsidR="00EB6CAB" w:rsidRPr="00EB6CAB" w14:paraId="10E9BC6A" w14:textId="77777777" w:rsidTr="00157157">
        <w:tc>
          <w:tcPr>
            <w:tcW w:w="4253" w:type="dxa"/>
            <w:tcBorders>
              <w:top w:val="nil"/>
              <w:bottom w:val="nil"/>
              <w:right w:val="nil"/>
            </w:tcBorders>
          </w:tcPr>
          <w:p w14:paraId="49D9E82F"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hint="eastAsia"/>
                <w:sz w:val="21"/>
                <w:szCs w:val="21"/>
              </w:rPr>
              <w:t>C</w:t>
            </w:r>
            <w:r w:rsidRPr="00EB6CAB">
              <w:rPr>
                <w:rFonts w:eastAsia="DengXian" w:cs="Times New Roman"/>
                <w:sz w:val="21"/>
                <w:szCs w:val="21"/>
              </w:rPr>
              <w:t>athode</w:t>
            </w:r>
            <w:r w:rsidRPr="00EB6CAB">
              <w:rPr>
                <w:rFonts w:eastAsia="DengXian" w:cs="Times New Roman" w:hint="eastAsia"/>
                <w:sz w:val="21"/>
                <w:szCs w:val="21"/>
              </w:rPr>
              <w:t xml:space="preserve"> t</w:t>
            </w:r>
            <w:r w:rsidRPr="00EB6CAB">
              <w:rPr>
                <w:rFonts w:eastAsia="DengXian" w:cs="Times New Roman"/>
                <w:sz w:val="21"/>
                <w:szCs w:val="21"/>
              </w:rPr>
              <w:t>ransfer coefficients</w:t>
            </w:r>
          </w:p>
        </w:tc>
        <w:tc>
          <w:tcPr>
            <w:tcW w:w="2126" w:type="dxa"/>
            <w:tcBorders>
              <w:top w:val="nil"/>
              <w:left w:val="nil"/>
              <w:bottom w:val="nil"/>
              <w:right w:val="nil"/>
            </w:tcBorders>
          </w:tcPr>
          <w:p w14:paraId="47AD38D4"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i/>
                <w:iCs/>
                <w:sz w:val="21"/>
                <w:szCs w:val="21"/>
              </w:rPr>
              <w:t>α</w:t>
            </w:r>
            <w:r w:rsidRPr="00EB6CAB">
              <w:rPr>
                <w:rFonts w:eastAsia="DengXian" w:cs="Times New Roman"/>
                <w:sz w:val="21"/>
                <w:szCs w:val="21"/>
                <w:vertAlign w:val="subscript"/>
              </w:rPr>
              <w:t>c</w:t>
            </w:r>
          </w:p>
        </w:tc>
        <w:tc>
          <w:tcPr>
            <w:tcW w:w="1701" w:type="dxa"/>
            <w:tcBorders>
              <w:top w:val="nil"/>
              <w:left w:val="nil"/>
              <w:bottom w:val="nil"/>
              <w:right w:val="nil"/>
            </w:tcBorders>
          </w:tcPr>
          <w:p w14:paraId="5B69EA1E"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1.5</w:t>
            </w:r>
          </w:p>
        </w:tc>
        <w:tc>
          <w:tcPr>
            <w:tcW w:w="1656" w:type="dxa"/>
            <w:tcBorders>
              <w:top w:val="nil"/>
              <w:left w:val="nil"/>
              <w:bottom w:val="nil"/>
            </w:tcBorders>
          </w:tcPr>
          <w:p w14:paraId="09475738" w14:textId="77777777" w:rsidR="00BE59E1" w:rsidRPr="00EB6CAB" w:rsidRDefault="00BE59E1" w:rsidP="00EB6CAB">
            <w:pPr>
              <w:widowControl/>
              <w:spacing w:beforeLines="0" w:before="0" w:line="240" w:lineRule="auto"/>
              <w:jc w:val="left"/>
              <w:rPr>
                <w:rFonts w:eastAsia="DengXian" w:cs="Times New Roman"/>
                <w:sz w:val="21"/>
                <w:szCs w:val="21"/>
              </w:rPr>
            </w:pPr>
          </w:p>
        </w:tc>
      </w:tr>
      <w:tr w:rsidR="00EB6CAB" w:rsidRPr="00EB6CAB" w14:paraId="232C9756" w14:textId="77777777" w:rsidTr="00157157">
        <w:tc>
          <w:tcPr>
            <w:tcW w:w="4253" w:type="dxa"/>
            <w:tcBorders>
              <w:top w:val="nil"/>
              <w:bottom w:val="nil"/>
              <w:right w:val="nil"/>
            </w:tcBorders>
          </w:tcPr>
          <w:p w14:paraId="71EDE368"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hint="eastAsia"/>
                <w:sz w:val="21"/>
                <w:szCs w:val="21"/>
              </w:rPr>
              <w:t>A</w:t>
            </w:r>
            <w:r w:rsidRPr="00EB6CAB">
              <w:rPr>
                <w:rFonts w:eastAsia="DengXian" w:cs="Times New Roman"/>
                <w:sz w:val="21"/>
                <w:szCs w:val="21"/>
              </w:rPr>
              <w:t>node</w:t>
            </w:r>
            <w:r w:rsidRPr="00EB6CAB">
              <w:rPr>
                <w:rFonts w:eastAsia="DengXian" w:cs="Times New Roman" w:hint="eastAsia"/>
                <w:sz w:val="21"/>
                <w:szCs w:val="21"/>
              </w:rPr>
              <w:t xml:space="preserve"> t</w:t>
            </w:r>
            <w:r w:rsidRPr="00EB6CAB">
              <w:rPr>
                <w:rFonts w:eastAsia="DengXian" w:cs="Times New Roman"/>
                <w:sz w:val="21"/>
                <w:szCs w:val="21"/>
              </w:rPr>
              <w:t>ransfer coefficients</w:t>
            </w:r>
          </w:p>
        </w:tc>
        <w:tc>
          <w:tcPr>
            <w:tcW w:w="2126" w:type="dxa"/>
            <w:tcBorders>
              <w:top w:val="nil"/>
              <w:left w:val="nil"/>
              <w:bottom w:val="nil"/>
              <w:right w:val="nil"/>
            </w:tcBorders>
          </w:tcPr>
          <w:p w14:paraId="4E39EFC3"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i/>
                <w:iCs/>
                <w:sz w:val="21"/>
                <w:szCs w:val="21"/>
              </w:rPr>
              <w:t>α</w:t>
            </w:r>
            <w:r w:rsidRPr="00EB6CAB">
              <w:rPr>
                <w:rFonts w:eastAsia="DengXian" w:cs="Times New Roman" w:hint="eastAsia"/>
                <w:sz w:val="21"/>
                <w:szCs w:val="21"/>
                <w:vertAlign w:val="subscript"/>
              </w:rPr>
              <w:t>a</w:t>
            </w:r>
          </w:p>
        </w:tc>
        <w:tc>
          <w:tcPr>
            <w:tcW w:w="1701" w:type="dxa"/>
            <w:tcBorders>
              <w:top w:val="nil"/>
              <w:left w:val="nil"/>
              <w:bottom w:val="nil"/>
              <w:right w:val="nil"/>
            </w:tcBorders>
          </w:tcPr>
          <w:p w14:paraId="1FAFE3BC"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0.5</w:t>
            </w:r>
          </w:p>
        </w:tc>
        <w:tc>
          <w:tcPr>
            <w:tcW w:w="1656" w:type="dxa"/>
            <w:tcBorders>
              <w:top w:val="nil"/>
              <w:left w:val="nil"/>
              <w:bottom w:val="nil"/>
            </w:tcBorders>
          </w:tcPr>
          <w:p w14:paraId="39C0593F" w14:textId="77777777" w:rsidR="00BE59E1" w:rsidRPr="00EB6CAB" w:rsidRDefault="00BE59E1" w:rsidP="00EB6CAB">
            <w:pPr>
              <w:widowControl/>
              <w:spacing w:beforeLines="0" w:before="0" w:line="240" w:lineRule="auto"/>
              <w:jc w:val="left"/>
              <w:rPr>
                <w:rFonts w:eastAsia="DengXian" w:cs="Times New Roman"/>
                <w:sz w:val="21"/>
                <w:szCs w:val="21"/>
              </w:rPr>
            </w:pPr>
          </w:p>
        </w:tc>
      </w:tr>
      <w:tr w:rsidR="00EB6CAB" w:rsidRPr="00EB6CAB" w14:paraId="5261D2C3" w14:textId="77777777" w:rsidTr="00157157">
        <w:tc>
          <w:tcPr>
            <w:tcW w:w="4253" w:type="dxa"/>
            <w:tcBorders>
              <w:top w:val="nil"/>
              <w:bottom w:val="nil"/>
              <w:right w:val="nil"/>
            </w:tcBorders>
          </w:tcPr>
          <w:p w14:paraId="00B682BB"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Density of MnO</w:t>
            </w:r>
            <w:r w:rsidRPr="00EB6CAB">
              <w:rPr>
                <w:rFonts w:eastAsia="DengXian" w:cs="Times New Roman" w:hint="eastAsia"/>
                <w:sz w:val="21"/>
                <w:szCs w:val="21"/>
                <w:vertAlign w:val="subscript"/>
              </w:rPr>
              <w:t>2</w:t>
            </w:r>
          </w:p>
        </w:tc>
        <w:tc>
          <w:tcPr>
            <w:tcW w:w="2126" w:type="dxa"/>
            <w:tcBorders>
              <w:top w:val="nil"/>
              <w:left w:val="nil"/>
              <w:bottom w:val="nil"/>
              <w:right w:val="nil"/>
            </w:tcBorders>
          </w:tcPr>
          <w:p w14:paraId="74C1F428" w14:textId="77777777" w:rsidR="00BE59E1" w:rsidRPr="00EB6CAB" w:rsidRDefault="00BE59E1" w:rsidP="00EB6CAB">
            <w:pPr>
              <w:widowControl/>
              <w:spacing w:beforeLines="0" w:before="0" w:line="240" w:lineRule="auto"/>
              <w:jc w:val="left"/>
              <w:rPr>
                <w:rFonts w:eastAsia="DengXian" w:cs="Times New Roman"/>
                <w:i/>
                <w:iCs/>
                <w:sz w:val="21"/>
                <w:szCs w:val="21"/>
              </w:rPr>
            </w:pPr>
            <w:r w:rsidRPr="00EB6CAB">
              <w:rPr>
                <w:rFonts w:eastAsia="DengXian" w:cs="Times New Roman"/>
                <w:i/>
                <w:iCs/>
                <w:sz w:val="21"/>
                <w:szCs w:val="21"/>
              </w:rPr>
              <w:t>ρ</w:t>
            </w:r>
          </w:p>
        </w:tc>
        <w:tc>
          <w:tcPr>
            <w:tcW w:w="1701" w:type="dxa"/>
            <w:tcBorders>
              <w:top w:val="nil"/>
              <w:left w:val="nil"/>
              <w:bottom w:val="nil"/>
              <w:right w:val="nil"/>
            </w:tcBorders>
          </w:tcPr>
          <w:p w14:paraId="4FC09386"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0.08693</w:t>
            </w:r>
          </w:p>
        </w:tc>
        <w:tc>
          <w:tcPr>
            <w:tcW w:w="1656" w:type="dxa"/>
            <w:tcBorders>
              <w:top w:val="nil"/>
              <w:left w:val="nil"/>
              <w:bottom w:val="nil"/>
            </w:tcBorders>
          </w:tcPr>
          <w:p w14:paraId="29E85DC3"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sz w:val="21"/>
                <w:szCs w:val="21"/>
              </w:rPr>
              <w:t>kg mol</w:t>
            </w:r>
            <w:r w:rsidRPr="00EB6CAB">
              <w:rPr>
                <w:rFonts w:eastAsia="DengXian" w:cs="Times New Roman"/>
                <w:sz w:val="21"/>
                <w:szCs w:val="21"/>
                <w:vertAlign w:val="superscript"/>
              </w:rPr>
              <w:t>−</w:t>
            </w:r>
            <w:r w:rsidRPr="00EB6CAB">
              <w:rPr>
                <w:rFonts w:eastAsia="DengXian" w:cs="Times New Roman" w:hint="eastAsia"/>
                <w:sz w:val="21"/>
                <w:szCs w:val="21"/>
                <w:vertAlign w:val="superscript"/>
              </w:rPr>
              <w:t>1</w:t>
            </w:r>
          </w:p>
        </w:tc>
      </w:tr>
      <w:tr w:rsidR="00EB6CAB" w:rsidRPr="00EB6CAB" w14:paraId="56030339" w14:textId="77777777" w:rsidTr="00157157">
        <w:tc>
          <w:tcPr>
            <w:tcW w:w="4253" w:type="dxa"/>
            <w:tcBorders>
              <w:top w:val="nil"/>
              <w:bottom w:val="nil"/>
              <w:right w:val="nil"/>
            </w:tcBorders>
          </w:tcPr>
          <w:p w14:paraId="0DDF6347"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Molar mass of MnO</w:t>
            </w:r>
            <w:r w:rsidRPr="00EB6CAB">
              <w:rPr>
                <w:rFonts w:eastAsia="DengXian" w:cs="Times New Roman" w:hint="eastAsia"/>
                <w:sz w:val="21"/>
                <w:szCs w:val="21"/>
                <w:vertAlign w:val="subscript"/>
              </w:rPr>
              <w:t>2</w:t>
            </w:r>
          </w:p>
        </w:tc>
        <w:tc>
          <w:tcPr>
            <w:tcW w:w="2126" w:type="dxa"/>
            <w:tcBorders>
              <w:top w:val="nil"/>
              <w:left w:val="nil"/>
              <w:bottom w:val="nil"/>
              <w:right w:val="nil"/>
            </w:tcBorders>
          </w:tcPr>
          <w:p w14:paraId="4DF04580" w14:textId="77777777" w:rsidR="00BE59E1" w:rsidRPr="00EB6CAB" w:rsidRDefault="00BE59E1" w:rsidP="00EB6CAB">
            <w:pPr>
              <w:widowControl/>
              <w:spacing w:beforeLines="0" w:before="0" w:line="240" w:lineRule="auto"/>
              <w:jc w:val="left"/>
              <w:rPr>
                <w:rFonts w:eastAsia="DengXian" w:cs="Times New Roman"/>
                <w:i/>
                <w:iCs/>
                <w:sz w:val="21"/>
                <w:szCs w:val="21"/>
              </w:rPr>
            </w:pPr>
            <w:r w:rsidRPr="00EB6CAB">
              <w:rPr>
                <w:rFonts w:eastAsia="DengXian" w:cs="Times New Roman" w:hint="eastAsia"/>
                <w:i/>
                <w:iCs/>
                <w:sz w:val="21"/>
                <w:szCs w:val="21"/>
              </w:rPr>
              <w:t>M</w:t>
            </w:r>
          </w:p>
        </w:tc>
        <w:tc>
          <w:tcPr>
            <w:tcW w:w="1701" w:type="dxa"/>
            <w:tcBorders>
              <w:top w:val="nil"/>
              <w:left w:val="nil"/>
              <w:bottom w:val="nil"/>
              <w:right w:val="nil"/>
            </w:tcBorders>
          </w:tcPr>
          <w:p w14:paraId="15A72DDF"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5.03</w:t>
            </w:r>
          </w:p>
        </w:tc>
        <w:tc>
          <w:tcPr>
            <w:tcW w:w="1656" w:type="dxa"/>
            <w:tcBorders>
              <w:top w:val="nil"/>
              <w:left w:val="nil"/>
              <w:bottom w:val="nil"/>
            </w:tcBorders>
          </w:tcPr>
          <w:p w14:paraId="49978CD7"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g cm</w:t>
            </w:r>
            <w:r w:rsidRPr="00EB6CAB">
              <w:rPr>
                <w:rFonts w:eastAsia="DengXian" w:cs="Times New Roman" w:hint="eastAsia"/>
                <w:sz w:val="21"/>
                <w:szCs w:val="21"/>
                <w:vertAlign w:val="superscript"/>
              </w:rPr>
              <w:t>3</w:t>
            </w:r>
          </w:p>
        </w:tc>
      </w:tr>
      <w:tr w:rsidR="00EB6CAB" w:rsidRPr="00EB6CAB" w14:paraId="22BE2F8D" w14:textId="77777777" w:rsidTr="00157157">
        <w:tc>
          <w:tcPr>
            <w:tcW w:w="4253" w:type="dxa"/>
            <w:tcBorders>
              <w:top w:val="nil"/>
              <w:bottom w:val="nil"/>
              <w:right w:val="nil"/>
            </w:tcBorders>
          </w:tcPr>
          <w:p w14:paraId="4C9F89DB"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sz w:val="21"/>
                <w:szCs w:val="21"/>
              </w:rPr>
              <w:t>Applied current density</w:t>
            </w:r>
          </w:p>
        </w:tc>
        <w:tc>
          <w:tcPr>
            <w:tcW w:w="2126" w:type="dxa"/>
            <w:tcBorders>
              <w:top w:val="nil"/>
              <w:left w:val="nil"/>
              <w:bottom w:val="nil"/>
              <w:right w:val="nil"/>
            </w:tcBorders>
          </w:tcPr>
          <w:p w14:paraId="1F7882D5"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appl_</w:t>
            </w:r>
            <w:r w:rsidRPr="00EB6CAB">
              <w:rPr>
                <w:rFonts w:eastAsia="DengXian" w:cs="Times New Roman" w:hint="eastAsia"/>
                <w:i/>
                <w:iCs/>
                <w:sz w:val="21"/>
                <w:szCs w:val="21"/>
              </w:rPr>
              <w:t>i</w:t>
            </w:r>
          </w:p>
        </w:tc>
        <w:tc>
          <w:tcPr>
            <w:tcW w:w="1701" w:type="dxa"/>
            <w:tcBorders>
              <w:top w:val="nil"/>
              <w:left w:val="nil"/>
              <w:bottom w:val="nil"/>
              <w:right w:val="nil"/>
            </w:tcBorders>
          </w:tcPr>
          <w:p w14:paraId="6D3FEAE9"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1</w:t>
            </w:r>
          </w:p>
        </w:tc>
        <w:tc>
          <w:tcPr>
            <w:tcW w:w="1656" w:type="dxa"/>
            <w:tcBorders>
              <w:top w:val="nil"/>
              <w:left w:val="nil"/>
              <w:bottom w:val="nil"/>
            </w:tcBorders>
          </w:tcPr>
          <w:p w14:paraId="4823DC10"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mA cm</w:t>
            </w:r>
            <w:r w:rsidRPr="00EB6CAB">
              <w:rPr>
                <w:rFonts w:eastAsia="DengXian" w:cs="Times New Roman"/>
                <w:sz w:val="21"/>
                <w:szCs w:val="21"/>
                <w:vertAlign w:val="superscript"/>
              </w:rPr>
              <w:t>−</w:t>
            </w:r>
            <w:r w:rsidRPr="00EB6CAB">
              <w:rPr>
                <w:rFonts w:eastAsia="DengXian" w:cs="Times New Roman" w:hint="eastAsia"/>
                <w:sz w:val="21"/>
                <w:szCs w:val="21"/>
                <w:vertAlign w:val="superscript"/>
              </w:rPr>
              <w:t>2</w:t>
            </w:r>
          </w:p>
        </w:tc>
      </w:tr>
      <w:tr w:rsidR="00EB6CAB" w:rsidRPr="00EB6CAB" w14:paraId="650703A2" w14:textId="77777777" w:rsidTr="00157157">
        <w:tc>
          <w:tcPr>
            <w:tcW w:w="4253" w:type="dxa"/>
            <w:tcBorders>
              <w:top w:val="nil"/>
              <w:bottom w:val="single" w:sz="4" w:space="0" w:color="auto"/>
              <w:right w:val="nil"/>
            </w:tcBorders>
          </w:tcPr>
          <w:p w14:paraId="7532F09D" w14:textId="77777777" w:rsidR="00BE59E1" w:rsidRPr="00EB6CAB" w:rsidRDefault="00BE59E1" w:rsidP="00EB6CAB">
            <w:pPr>
              <w:widowControl/>
              <w:spacing w:beforeLines="0" w:before="0" w:line="240" w:lineRule="auto"/>
              <w:ind w:firstLineChars="100" w:firstLine="210"/>
              <w:jc w:val="left"/>
              <w:rPr>
                <w:rFonts w:eastAsia="DengXian" w:cs="Times New Roman"/>
                <w:sz w:val="21"/>
                <w:szCs w:val="21"/>
              </w:rPr>
            </w:pPr>
            <w:r w:rsidRPr="00EB6CAB">
              <w:rPr>
                <w:rFonts w:eastAsia="DengXian" w:cs="Times New Roman" w:hint="eastAsia"/>
                <w:sz w:val="21"/>
                <w:szCs w:val="21"/>
              </w:rPr>
              <w:t>M</w:t>
            </w:r>
            <w:r w:rsidRPr="00EB6CAB">
              <w:rPr>
                <w:rFonts w:eastAsia="DengXian" w:cs="Times New Roman"/>
                <w:sz w:val="21"/>
                <w:szCs w:val="21"/>
              </w:rPr>
              <w:t>n</w:t>
            </w:r>
            <w:r w:rsidRPr="00EB6CAB">
              <w:rPr>
                <w:rFonts w:eastAsia="DengXian" w:cs="Times New Roman" w:hint="eastAsia"/>
                <w:sz w:val="21"/>
                <w:szCs w:val="21"/>
                <w:vertAlign w:val="superscript"/>
              </w:rPr>
              <w:t>2+</w:t>
            </w:r>
            <w:r w:rsidRPr="00EB6CAB">
              <w:rPr>
                <w:rFonts w:eastAsia="DengXian" w:cs="Times New Roman" w:hint="eastAsia"/>
                <w:sz w:val="21"/>
                <w:szCs w:val="21"/>
              </w:rPr>
              <w:t xml:space="preserve"> </w:t>
            </w:r>
            <w:r w:rsidRPr="00EB6CAB">
              <w:rPr>
                <w:rFonts w:eastAsia="DengXian" w:cs="Times New Roman"/>
                <w:sz w:val="21"/>
                <w:szCs w:val="21"/>
              </w:rPr>
              <w:t>charge</w:t>
            </w:r>
          </w:p>
        </w:tc>
        <w:tc>
          <w:tcPr>
            <w:tcW w:w="2126" w:type="dxa"/>
            <w:tcBorders>
              <w:top w:val="nil"/>
              <w:left w:val="nil"/>
              <w:bottom w:val="single" w:sz="4" w:space="0" w:color="auto"/>
              <w:right w:val="nil"/>
            </w:tcBorders>
          </w:tcPr>
          <w:p w14:paraId="3E45A04F"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i/>
                <w:iCs/>
                <w:sz w:val="21"/>
                <w:szCs w:val="21"/>
              </w:rPr>
              <w:t>z</w:t>
            </w:r>
            <w:r w:rsidRPr="00EB6CAB">
              <w:rPr>
                <w:rFonts w:eastAsia="DengXian" w:cs="Times New Roman" w:hint="eastAsia"/>
                <w:sz w:val="21"/>
                <w:szCs w:val="21"/>
                <w:vertAlign w:val="subscript"/>
              </w:rPr>
              <w:t>Mn</w:t>
            </w:r>
          </w:p>
        </w:tc>
        <w:tc>
          <w:tcPr>
            <w:tcW w:w="1701" w:type="dxa"/>
            <w:tcBorders>
              <w:top w:val="nil"/>
              <w:left w:val="nil"/>
              <w:bottom w:val="single" w:sz="4" w:space="0" w:color="auto"/>
              <w:right w:val="nil"/>
            </w:tcBorders>
          </w:tcPr>
          <w:p w14:paraId="1023D87C" w14:textId="77777777" w:rsidR="00BE59E1" w:rsidRPr="00EB6CAB" w:rsidRDefault="00BE59E1" w:rsidP="00EB6CAB">
            <w:pPr>
              <w:widowControl/>
              <w:spacing w:beforeLines="0" w:before="0" w:line="240" w:lineRule="auto"/>
              <w:jc w:val="left"/>
              <w:rPr>
                <w:rFonts w:eastAsia="DengXian" w:cs="Times New Roman"/>
                <w:sz w:val="21"/>
                <w:szCs w:val="21"/>
              </w:rPr>
            </w:pPr>
            <w:r w:rsidRPr="00EB6CAB">
              <w:rPr>
                <w:rFonts w:eastAsia="DengXian" w:cs="Times New Roman" w:hint="eastAsia"/>
                <w:sz w:val="21"/>
                <w:szCs w:val="21"/>
              </w:rPr>
              <w:t>2</w:t>
            </w:r>
          </w:p>
        </w:tc>
        <w:tc>
          <w:tcPr>
            <w:tcW w:w="1656" w:type="dxa"/>
            <w:tcBorders>
              <w:top w:val="nil"/>
              <w:left w:val="nil"/>
              <w:bottom w:val="single" w:sz="4" w:space="0" w:color="auto"/>
            </w:tcBorders>
          </w:tcPr>
          <w:p w14:paraId="4A34C219" w14:textId="77777777" w:rsidR="00BE59E1" w:rsidRPr="00EB6CAB" w:rsidRDefault="00BE59E1" w:rsidP="00EB6CAB">
            <w:pPr>
              <w:widowControl/>
              <w:spacing w:beforeLines="0" w:before="0" w:line="240" w:lineRule="auto"/>
              <w:jc w:val="left"/>
              <w:rPr>
                <w:rFonts w:eastAsia="DengXian" w:cs="Times New Roman"/>
                <w:sz w:val="21"/>
                <w:szCs w:val="21"/>
              </w:rPr>
            </w:pPr>
          </w:p>
        </w:tc>
      </w:tr>
    </w:tbl>
    <w:p w14:paraId="2AA2EE76" w14:textId="4B50FBE0" w:rsidR="00F672BA" w:rsidRPr="00EB6CAB" w:rsidRDefault="003401EB" w:rsidP="008D460F">
      <w:pPr>
        <w:spacing w:beforeLines="0" w:before="120" w:after="120" w:line="240" w:lineRule="auto"/>
        <w:rPr>
          <w:b/>
          <w:bCs/>
        </w:rPr>
      </w:pPr>
      <w:r w:rsidRPr="003401EB">
        <w:rPr>
          <w:b/>
          <w:bCs/>
          <w:sz w:val="28"/>
        </w:rPr>
        <w:t xml:space="preserve">Supplementary </w:t>
      </w:r>
      <w:r w:rsidR="00BE59E1" w:rsidRPr="003401EB">
        <w:rPr>
          <w:b/>
          <w:bCs/>
          <w:sz w:val="28"/>
        </w:rPr>
        <w:t>R</w:t>
      </w:r>
      <w:r w:rsidR="00BE59E1" w:rsidRPr="003401EB">
        <w:rPr>
          <w:rFonts w:hint="eastAsia"/>
          <w:b/>
          <w:bCs/>
          <w:sz w:val="28"/>
        </w:rPr>
        <w:t>eferences</w:t>
      </w:r>
    </w:p>
    <w:p w14:paraId="7459E5F1" w14:textId="41CF442D" w:rsidR="00F672BA" w:rsidRPr="003401EB" w:rsidRDefault="00F672BA" w:rsidP="00F663F2">
      <w:pPr>
        <w:pStyle w:val="EndNoteBibliography"/>
        <w:numPr>
          <w:ilvl w:val="0"/>
          <w:numId w:val="1"/>
        </w:numPr>
        <w:spacing w:beforeLines="0" w:before="120" w:after="120"/>
        <w:rPr>
          <w:noProof/>
        </w:rPr>
      </w:pPr>
      <w:r w:rsidRPr="003401EB">
        <w:rPr>
          <w:noProof/>
        </w:rPr>
        <w:t xml:space="preserve">C.M. Feng, D.D. Liu, Y.C. Chen, J.J. Du, P. Zhang, </w:t>
      </w:r>
      <w:bookmarkStart w:id="16" w:name="OLE_LINK2"/>
      <w:bookmarkStart w:id="17" w:name="OLE_LINK3"/>
      <w:r w:rsidRPr="003401EB">
        <w:rPr>
          <w:noProof/>
        </w:rPr>
        <w:t xml:space="preserve">Evaluation method of the conductive property of the electrode slurry in semi-solid lithium battery. J. Funct. Mater. </w:t>
      </w:r>
      <w:r w:rsidRPr="003401EB">
        <w:rPr>
          <w:b/>
          <w:noProof/>
        </w:rPr>
        <w:t>48</w:t>
      </w:r>
      <w:r w:rsidRPr="003401EB">
        <w:rPr>
          <w:noProof/>
        </w:rPr>
        <w:t>(5), 5011–5016 (2017).</w:t>
      </w:r>
      <w:bookmarkEnd w:id="16"/>
      <w:bookmarkEnd w:id="17"/>
      <w:r w:rsidRPr="003401EB">
        <w:rPr>
          <w:noProof/>
        </w:rPr>
        <w:t xml:space="preserve"> </w:t>
      </w:r>
      <w:hyperlink r:id="rId54" w:history="1">
        <w:r w:rsidR="00F663F2" w:rsidRPr="002F4D8E">
          <w:rPr>
            <w:rStyle w:val="Hyperlink"/>
            <w:noProof/>
          </w:rPr>
          <w:t>https://doi.org/10.3969/j.issn.1001-9731.2017.05.003</w:t>
        </w:r>
      </w:hyperlink>
      <w:r w:rsidR="00F663F2">
        <w:rPr>
          <w:noProof/>
        </w:rPr>
        <w:t xml:space="preserve"> </w:t>
      </w:r>
    </w:p>
    <w:p w14:paraId="385AE236" w14:textId="3380BA89" w:rsidR="00F672BA" w:rsidRPr="003401EB" w:rsidRDefault="00F672BA" w:rsidP="003401EB">
      <w:pPr>
        <w:pStyle w:val="EndNoteBibliography"/>
        <w:numPr>
          <w:ilvl w:val="0"/>
          <w:numId w:val="1"/>
        </w:numPr>
        <w:spacing w:beforeLines="0" w:before="120" w:after="120"/>
        <w:rPr>
          <w:noProof/>
        </w:rPr>
      </w:pPr>
      <w:r w:rsidRPr="003401EB">
        <w:rPr>
          <w:noProof/>
        </w:rPr>
        <w:t>C. Feng, Y. Chen, D. Liu, P. Zhang, Conductivity and electrochemical performance of LiFePO</w:t>
      </w:r>
      <w:r w:rsidRPr="003401EB">
        <w:rPr>
          <w:noProof/>
          <w:vertAlign w:val="subscript"/>
        </w:rPr>
        <w:t>4</w:t>
      </w:r>
      <w:r w:rsidRPr="003401EB">
        <w:rPr>
          <w:noProof/>
        </w:rPr>
        <w:t xml:space="preserve"> slurry in the lithium slurry battery. IOP Conf. Ser. Mater. Sci. Eng. </w:t>
      </w:r>
      <w:r w:rsidRPr="003401EB">
        <w:rPr>
          <w:b/>
          <w:noProof/>
        </w:rPr>
        <w:t>207</w:t>
      </w:r>
      <w:r w:rsidRPr="003401EB">
        <w:rPr>
          <w:noProof/>
        </w:rPr>
        <w:t xml:space="preserve">(1), 012076 (2017). </w:t>
      </w:r>
      <w:hyperlink r:id="rId55" w:history="1">
        <w:r w:rsidR="003401EB" w:rsidRPr="00CE6E78">
          <w:rPr>
            <w:rStyle w:val="Hyperlink"/>
            <w:noProof/>
          </w:rPr>
          <w:t>https://doi.org/10.1088/1757-899X/207/1/012076</w:t>
        </w:r>
      </w:hyperlink>
      <w:r w:rsidR="003401EB">
        <w:rPr>
          <w:noProof/>
        </w:rPr>
        <w:t xml:space="preserve"> </w:t>
      </w:r>
    </w:p>
    <w:p w14:paraId="7D16BC71" w14:textId="11E27086" w:rsidR="00F672BA" w:rsidRPr="00EB6CAB" w:rsidRDefault="00F672BA" w:rsidP="003401EB">
      <w:pPr>
        <w:pStyle w:val="ListParagraph"/>
        <w:numPr>
          <w:ilvl w:val="0"/>
          <w:numId w:val="1"/>
        </w:numPr>
        <w:spacing w:beforeLines="0" w:before="120" w:after="120" w:line="240" w:lineRule="auto"/>
      </w:pPr>
      <w:r w:rsidRPr="003401EB">
        <w:t xml:space="preserve">P.H.L. Notten, P. Hokkeling, Double-phase hydride forming compounds: a new class of highly electrocatalytic materials. J. Electrochem. Soc. </w:t>
      </w:r>
      <w:r w:rsidRPr="003401EB">
        <w:rPr>
          <w:b/>
        </w:rPr>
        <w:t>138</w:t>
      </w:r>
      <w:r w:rsidRPr="003401EB">
        <w:t xml:space="preserve">(7), 1877–1885 (1991). </w:t>
      </w:r>
      <w:hyperlink r:id="rId56" w:history="1">
        <w:r w:rsidR="003401EB" w:rsidRPr="00CE6E78">
          <w:rPr>
            <w:rStyle w:val="Hyperlink"/>
          </w:rPr>
          <w:t>https://doi.org/10.1149/1.2085893</w:t>
        </w:r>
      </w:hyperlink>
      <w:r w:rsidR="003401EB">
        <w:t xml:space="preserve"> </w:t>
      </w:r>
    </w:p>
    <w:sectPr w:rsidR="00F672BA" w:rsidRPr="00EB6CAB" w:rsidSect="00BE59E1">
      <w:headerReference w:type="even" r:id="rId57"/>
      <w:headerReference w:type="default" r:id="rId58"/>
      <w:footerReference w:type="even" r:id="rId59"/>
      <w:footerReference w:type="default" r:id="rId60"/>
      <w:headerReference w:type="first" r:id="rId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B4D2F" w14:textId="77777777" w:rsidR="00E544E4" w:rsidRDefault="00E544E4">
      <w:pPr>
        <w:spacing w:before="120" w:line="240" w:lineRule="auto"/>
      </w:pPr>
      <w:r>
        <w:separator/>
      </w:r>
    </w:p>
  </w:endnote>
  <w:endnote w:type="continuationSeparator" w:id="0">
    <w:p w14:paraId="1A3B1E4A" w14:textId="77777777" w:rsidR="00E544E4" w:rsidRDefault="00E544E4">
      <w:pPr>
        <w:spacing w:before="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BD6C" w14:textId="77777777" w:rsidR="00BE59E1" w:rsidRDefault="00BE59E1" w:rsidP="00730F75">
    <w:pPr>
      <w:pStyle w:val="Footer"/>
    </w:pPr>
  </w:p>
  <w:p w14:paraId="489CC734" w14:textId="77777777" w:rsidR="00BE59E1" w:rsidRDefault="00BE59E1" w:rsidP="00730F75">
    <w:pPr>
      <w:spacing w:before="120"/>
    </w:pPr>
  </w:p>
  <w:p w14:paraId="4192F01B" w14:textId="77777777" w:rsidR="00BE59E1" w:rsidRDefault="00BE59E1" w:rsidP="00730F75">
    <w:pPr>
      <w:spacing w:before="120"/>
    </w:pPr>
  </w:p>
  <w:p w14:paraId="3D1209F6" w14:textId="77777777" w:rsidR="00BE59E1" w:rsidRDefault="00BE59E1" w:rsidP="00730F75">
    <w:pPr>
      <w:spacing w:before="120"/>
    </w:pPr>
  </w:p>
  <w:p w14:paraId="7814E726" w14:textId="77777777" w:rsidR="00BE59E1" w:rsidRDefault="00BE59E1" w:rsidP="00730F75">
    <w:pPr>
      <w:spacing w:before="120"/>
    </w:pPr>
  </w:p>
  <w:p w14:paraId="54F49344" w14:textId="77777777" w:rsidR="00BE59E1" w:rsidRDefault="00BE59E1" w:rsidP="00730F75">
    <w:pPr>
      <w:spacing w:before="120"/>
    </w:pPr>
  </w:p>
  <w:p w14:paraId="45C27849" w14:textId="77777777" w:rsidR="00BE59E1" w:rsidRDefault="00BE59E1" w:rsidP="00730F75">
    <w:pPr>
      <w:spacing w:before="120"/>
    </w:pPr>
  </w:p>
  <w:p w14:paraId="508D6787" w14:textId="77777777" w:rsidR="00BE59E1" w:rsidRDefault="00BE59E1" w:rsidP="00730F75">
    <w:pPr>
      <w:spacing w:before="120"/>
    </w:pPr>
  </w:p>
  <w:p w14:paraId="5BC98C2B" w14:textId="77777777" w:rsidR="00BE59E1" w:rsidRDefault="00BE59E1" w:rsidP="00730F75">
    <w:pPr>
      <w:spacing w:before="120"/>
    </w:pPr>
  </w:p>
  <w:p w14:paraId="5E133D90" w14:textId="77777777" w:rsidR="00BE59E1" w:rsidRDefault="00BE59E1" w:rsidP="00730F75">
    <w:pPr>
      <w:spacing w:before="120"/>
    </w:pPr>
  </w:p>
  <w:p w14:paraId="232DA564" w14:textId="77777777" w:rsidR="00BE59E1" w:rsidRDefault="00BE59E1" w:rsidP="00730F75">
    <w:pPr>
      <w:spacing w:before="120"/>
    </w:pPr>
  </w:p>
  <w:p w14:paraId="292EAC45" w14:textId="77777777" w:rsidR="00BE59E1" w:rsidRDefault="00BE59E1" w:rsidP="00730F75">
    <w:pPr>
      <w:spacing w:before="120"/>
    </w:pPr>
  </w:p>
  <w:p w14:paraId="7E939CB8" w14:textId="77777777" w:rsidR="00BE59E1" w:rsidRDefault="00BE59E1" w:rsidP="00730F75">
    <w:pPr>
      <w:spacing w:before="120"/>
    </w:pPr>
  </w:p>
  <w:p w14:paraId="7FF02DE2" w14:textId="77777777" w:rsidR="00BE59E1" w:rsidRDefault="00BE59E1" w:rsidP="00730F75">
    <w:pPr>
      <w:spacing w:before="120"/>
    </w:pPr>
  </w:p>
  <w:p w14:paraId="3C1D3ECC" w14:textId="77777777" w:rsidR="00BE59E1" w:rsidRDefault="00BE59E1" w:rsidP="00730F75">
    <w:pPr>
      <w:spacing w:before="120"/>
    </w:pPr>
  </w:p>
  <w:p w14:paraId="48FEF026" w14:textId="77777777" w:rsidR="00BE59E1" w:rsidRDefault="00BE59E1" w:rsidP="00730F75">
    <w:pPr>
      <w:spacing w:before="1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254569"/>
      <w:docPartObj>
        <w:docPartGallery w:val="Page Numbers (Bottom of Page)"/>
        <w:docPartUnique/>
      </w:docPartObj>
    </w:sdtPr>
    <w:sdtEndPr/>
    <w:sdtContent>
      <w:p w14:paraId="4B53FE4A" w14:textId="7E9D1D02" w:rsidR="00BE59E1" w:rsidRDefault="003A2F69" w:rsidP="00730F75">
        <w:pPr>
          <w:pStyle w:val="Footer"/>
        </w:pPr>
        <w:r w:rsidRPr="003A2F69">
          <w:rPr>
            <w:sz w:val="21"/>
            <w:szCs w:val="21"/>
          </w:rPr>
          <w:t>S</w:t>
        </w:r>
        <w:r w:rsidR="00BE59E1" w:rsidRPr="003A2F69">
          <w:rPr>
            <w:sz w:val="21"/>
            <w:szCs w:val="21"/>
          </w:rPr>
          <w:fldChar w:fldCharType="begin"/>
        </w:r>
        <w:r w:rsidR="00BE59E1" w:rsidRPr="003A2F69">
          <w:rPr>
            <w:sz w:val="21"/>
            <w:szCs w:val="21"/>
          </w:rPr>
          <w:instrText>PAGE   \* MERGEFORMAT</w:instrText>
        </w:r>
        <w:r w:rsidR="00BE59E1" w:rsidRPr="003A2F69">
          <w:rPr>
            <w:sz w:val="21"/>
            <w:szCs w:val="21"/>
          </w:rPr>
          <w:fldChar w:fldCharType="separate"/>
        </w:r>
        <w:r w:rsidR="00F663F2" w:rsidRPr="00F663F2">
          <w:rPr>
            <w:noProof/>
            <w:sz w:val="21"/>
            <w:szCs w:val="21"/>
            <w:lang w:val="zh-CN"/>
          </w:rPr>
          <w:t>22</w:t>
        </w:r>
        <w:r w:rsidR="00BE59E1" w:rsidRPr="003A2F69">
          <w:rPr>
            <w:sz w:val="21"/>
            <w:szCs w:val="21"/>
          </w:rPr>
          <w:fldChar w:fldCharType="end"/>
        </w:r>
        <w:r w:rsidRPr="003A2F69">
          <w:rPr>
            <w:sz w:val="21"/>
            <w:szCs w:val="21"/>
          </w:rPr>
          <w:t>/S22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F6ABC" w14:textId="77777777" w:rsidR="00E544E4" w:rsidRDefault="00E544E4">
      <w:pPr>
        <w:spacing w:before="120" w:line="240" w:lineRule="auto"/>
      </w:pPr>
      <w:r>
        <w:separator/>
      </w:r>
    </w:p>
  </w:footnote>
  <w:footnote w:type="continuationSeparator" w:id="0">
    <w:p w14:paraId="3F45550A" w14:textId="77777777" w:rsidR="00E544E4" w:rsidRDefault="00E544E4">
      <w:pPr>
        <w:spacing w:before="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376F" w14:textId="77777777" w:rsidR="00BE59E1" w:rsidRDefault="00BE59E1" w:rsidP="00730F75">
    <w:pPr>
      <w:pStyle w:val="Header"/>
      <w:spacing w:before="120"/>
    </w:pPr>
  </w:p>
  <w:p w14:paraId="51C66DCC" w14:textId="77777777" w:rsidR="00BE59E1" w:rsidRDefault="00BE59E1" w:rsidP="00730F75">
    <w:pPr>
      <w:spacing w:before="120"/>
    </w:pPr>
  </w:p>
  <w:p w14:paraId="446F0818" w14:textId="77777777" w:rsidR="00BE59E1" w:rsidRDefault="00BE59E1" w:rsidP="00730F75">
    <w:pPr>
      <w:spacing w:before="120"/>
    </w:pPr>
  </w:p>
  <w:p w14:paraId="72966A84" w14:textId="77777777" w:rsidR="00BE59E1" w:rsidRDefault="00BE59E1" w:rsidP="00730F75">
    <w:pPr>
      <w:spacing w:before="120"/>
    </w:pPr>
  </w:p>
  <w:p w14:paraId="0F813614" w14:textId="77777777" w:rsidR="00BE59E1" w:rsidRDefault="00BE59E1" w:rsidP="00730F75">
    <w:pPr>
      <w:spacing w:before="120"/>
    </w:pPr>
  </w:p>
  <w:p w14:paraId="6B0454EF" w14:textId="77777777" w:rsidR="00BE59E1" w:rsidRDefault="00BE59E1" w:rsidP="00730F75">
    <w:pPr>
      <w:spacing w:before="120"/>
    </w:pPr>
  </w:p>
  <w:p w14:paraId="203B5375" w14:textId="77777777" w:rsidR="00BE59E1" w:rsidRDefault="00BE59E1" w:rsidP="00730F75">
    <w:pPr>
      <w:spacing w:before="120"/>
    </w:pPr>
  </w:p>
  <w:p w14:paraId="1EFD6215" w14:textId="77777777" w:rsidR="00BE59E1" w:rsidRDefault="00BE59E1" w:rsidP="00730F75">
    <w:pPr>
      <w:spacing w:before="120"/>
    </w:pPr>
  </w:p>
  <w:p w14:paraId="79A88A67" w14:textId="77777777" w:rsidR="00BE59E1" w:rsidRDefault="00BE59E1" w:rsidP="00730F75">
    <w:pPr>
      <w:spacing w:before="120"/>
    </w:pPr>
  </w:p>
  <w:p w14:paraId="51D29C42" w14:textId="77777777" w:rsidR="00BE59E1" w:rsidRDefault="00BE59E1" w:rsidP="00730F75">
    <w:pPr>
      <w:spacing w:before="120"/>
    </w:pPr>
  </w:p>
  <w:p w14:paraId="17C18026" w14:textId="77777777" w:rsidR="00BE59E1" w:rsidRDefault="00BE59E1" w:rsidP="00730F75">
    <w:pPr>
      <w:spacing w:before="120"/>
    </w:pPr>
  </w:p>
  <w:p w14:paraId="755DE20E" w14:textId="77777777" w:rsidR="00BE59E1" w:rsidRDefault="00BE59E1" w:rsidP="00730F75">
    <w:pPr>
      <w:spacing w:before="120"/>
    </w:pPr>
  </w:p>
  <w:p w14:paraId="2DB63264" w14:textId="77777777" w:rsidR="00BE59E1" w:rsidRDefault="00BE59E1" w:rsidP="00730F75">
    <w:pPr>
      <w:spacing w:before="120"/>
    </w:pPr>
  </w:p>
  <w:p w14:paraId="41B7F12F" w14:textId="77777777" w:rsidR="00BE59E1" w:rsidRDefault="00BE59E1" w:rsidP="00730F75">
    <w:pPr>
      <w:spacing w:before="120"/>
    </w:pPr>
  </w:p>
  <w:p w14:paraId="48AC5D28" w14:textId="77777777" w:rsidR="00BE59E1" w:rsidRDefault="00BE59E1" w:rsidP="00730F75">
    <w:pPr>
      <w:spacing w:before="120"/>
    </w:pPr>
  </w:p>
  <w:p w14:paraId="177EB381" w14:textId="77777777" w:rsidR="00BE59E1" w:rsidRDefault="00BE59E1" w:rsidP="00730F75">
    <w:pPr>
      <w:spacing w:before="1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57D01" w14:textId="0A399101" w:rsidR="00BE59E1" w:rsidRPr="003A2F69" w:rsidRDefault="003A2F69" w:rsidP="003A2F69">
    <w:pPr>
      <w:spacing w:before="120"/>
      <w:jc w:val="center"/>
      <w:rPr>
        <w:u w:val="single"/>
      </w:rPr>
    </w:pPr>
    <w:r w:rsidRPr="003A2F69">
      <w:rPr>
        <w:color w:val="0070C0"/>
        <w:u w:val="single"/>
      </w:rPr>
      <w:t>Nano-Micro Letters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F4A1A" w14:textId="77777777" w:rsidR="00BE59E1" w:rsidRDefault="00BE59E1" w:rsidP="00730F75">
    <w:pPr>
      <w:pStyle w:val="Heade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36725"/>
    <w:multiLevelType w:val="hybridMultilevel"/>
    <w:tmpl w:val="A8AEBE9A"/>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D234993"/>
    <w:multiLevelType w:val="hybridMultilevel"/>
    <w:tmpl w:val="303613C4"/>
    <w:lvl w:ilvl="0" w:tplc="6E9E1F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E59E1"/>
    <w:rsid w:val="001E155B"/>
    <w:rsid w:val="00313630"/>
    <w:rsid w:val="003401EB"/>
    <w:rsid w:val="00375E0B"/>
    <w:rsid w:val="003A2F69"/>
    <w:rsid w:val="00457BAE"/>
    <w:rsid w:val="007773FB"/>
    <w:rsid w:val="0078384C"/>
    <w:rsid w:val="008D460F"/>
    <w:rsid w:val="00907D25"/>
    <w:rsid w:val="0099781A"/>
    <w:rsid w:val="009A620B"/>
    <w:rsid w:val="009F0690"/>
    <w:rsid w:val="00AF2280"/>
    <w:rsid w:val="00B230F5"/>
    <w:rsid w:val="00BC5C03"/>
    <w:rsid w:val="00BE59E1"/>
    <w:rsid w:val="00C5062B"/>
    <w:rsid w:val="00CD5CDF"/>
    <w:rsid w:val="00E127C8"/>
    <w:rsid w:val="00E24B8F"/>
    <w:rsid w:val="00E425F1"/>
    <w:rsid w:val="00E544E4"/>
    <w:rsid w:val="00EB6CAB"/>
    <w:rsid w:val="00EB6E00"/>
    <w:rsid w:val="00EC5C61"/>
    <w:rsid w:val="00F663F2"/>
    <w:rsid w:val="00F67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FE25C3"/>
  <w15:chartTrackingRefBased/>
  <w15:docId w15:val="{B07955E3-CAF7-49EE-873E-8E76A70F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9E1"/>
    <w:pPr>
      <w:widowControl w:val="0"/>
      <w:spacing w:beforeLines="50" w:before="163" w:line="276" w:lineRule="auto"/>
      <w:jc w:val="both"/>
    </w:pPr>
    <w:rPr>
      <w:rFonts w:ascii="Times New Roman" w:hAnsi="Times New Roman"/>
      <w:sz w:val="24"/>
    </w:rPr>
  </w:style>
  <w:style w:type="paragraph" w:styleId="Heading1">
    <w:name w:val="heading 1"/>
    <w:basedOn w:val="Normal"/>
    <w:next w:val="Normal"/>
    <w:link w:val="Heading1Char"/>
    <w:uiPriority w:val="9"/>
    <w:qFormat/>
    <w:rsid w:val="00BE59E1"/>
    <w:pPr>
      <w:keepNext/>
      <w:keepLines/>
      <w:spacing w:beforeLines="0" w:before="0"/>
      <w:outlineLvl w:val="0"/>
    </w:pPr>
    <w:rPr>
      <w:b/>
      <w:bCs/>
      <w:kern w:val="44"/>
      <w:sz w:val="32"/>
      <w:szCs w:val="44"/>
    </w:rPr>
  </w:style>
  <w:style w:type="paragraph" w:styleId="Heading2">
    <w:name w:val="heading 2"/>
    <w:basedOn w:val="Normal"/>
    <w:next w:val="Normal"/>
    <w:link w:val="Heading2Char"/>
    <w:uiPriority w:val="9"/>
    <w:semiHidden/>
    <w:unhideWhenUsed/>
    <w:qFormat/>
    <w:rsid w:val="00BE59E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BE59E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BE59E1"/>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BE59E1"/>
    <w:pPr>
      <w:keepNext/>
      <w:keepLines/>
      <w:spacing w:before="80" w:after="40"/>
      <w:outlineLvl w:val="4"/>
    </w:pPr>
    <w:rPr>
      <w:rFonts w:cstheme="majorBidi"/>
      <w:color w:val="2F5496" w:themeColor="accent1" w:themeShade="BF"/>
      <w:szCs w:val="24"/>
    </w:rPr>
  </w:style>
  <w:style w:type="paragraph" w:styleId="Heading6">
    <w:name w:val="heading 6"/>
    <w:basedOn w:val="Normal"/>
    <w:next w:val="Normal"/>
    <w:link w:val="Heading6Char"/>
    <w:uiPriority w:val="9"/>
    <w:semiHidden/>
    <w:unhideWhenUsed/>
    <w:qFormat/>
    <w:rsid w:val="00BE59E1"/>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BE59E1"/>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BE59E1"/>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BE59E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9E1"/>
    <w:rPr>
      <w:rFonts w:ascii="Times New Roman" w:hAnsi="Times New Roman"/>
      <w:b/>
      <w:bCs/>
      <w:kern w:val="44"/>
      <w:sz w:val="32"/>
      <w:szCs w:val="44"/>
    </w:rPr>
  </w:style>
  <w:style w:type="character" w:customStyle="1" w:styleId="Heading2Char">
    <w:name w:val="Heading 2 Char"/>
    <w:basedOn w:val="DefaultParagraphFont"/>
    <w:link w:val="Heading2"/>
    <w:uiPriority w:val="9"/>
    <w:semiHidden/>
    <w:rsid w:val="00BE59E1"/>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BE59E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BE59E1"/>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BE59E1"/>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E59E1"/>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BE59E1"/>
    <w:rPr>
      <w:rFonts w:cstheme="majorBidi"/>
      <w:b/>
      <w:bCs/>
      <w:color w:val="595959" w:themeColor="text1" w:themeTint="A6"/>
    </w:rPr>
  </w:style>
  <w:style w:type="character" w:customStyle="1" w:styleId="Heading8Char">
    <w:name w:val="Heading 8 Char"/>
    <w:basedOn w:val="DefaultParagraphFont"/>
    <w:link w:val="Heading8"/>
    <w:uiPriority w:val="9"/>
    <w:semiHidden/>
    <w:rsid w:val="00BE59E1"/>
    <w:rPr>
      <w:rFonts w:cstheme="majorBidi"/>
      <w:color w:val="595959" w:themeColor="text1" w:themeTint="A6"/>
    </w:rPr>
  </w:style>
  <w:style w:type="character" w:customStyle="1" w:styleId="Heading9Char">
    <w:name w:val="Heading 9 Char"/>
    <w:basedOn w:val="DefaultParagraphFont"/>
    <w:link w:val="Heading9"/>
    <w:uiPriority w:val="9"/>
    <w:semiHidden/>
    <w:rsid w:val="00BE59E1"/>
    <w:rPr>
      <w:rFonts w:eastAsiaTheme="majorEastAsia" w:cstheme="majorBidi"/>
      <w:color w:val="595959" w:themeColor="text1" w:themeTint="A6"/>
    </w:rPr>
  </w:style>
  <w:style w:type="paragraph" w:styleId="Title">
    <w:name w:val="Title"/>
    <w:basedOn w:val="Normal"/>
    <w:next w:val="Normal"/>
    <w:link w:val="TitleChar"/>
    <w:uiPriority w:val="10"/>
    <w:qFormat/>
    <w:rsid w:val="00BE59E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9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9E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BE59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59E1"/>
    <w:rPr>
      <w:i/>
      <w:iCs/>
      <w:color w:val="404040" w:themeColor="text1" w:themeTint="BF"/>
    </w:rPr>
  </w:style>
  <w:style w:type="paragraph" w:styleId="ListParagraph">
    <w:name w:val="List Paragraph"/>
    <w:basedOn w:val="Normal"/>
    <w:uiPriority w:val="34"/>
    <w:qFormat/>
    <w:rsid w:val="00BE59E1"/>
    <w:pPr>
      <w:ind w:left="720"/>
      <w:contextualSpacing/>
    </w:pPr>
  </w:style>
  <w:style w:type="character" w:styleId="IntenseEmphasis">
    <w:name w:val="Intense Emphasis"/>
    <w:basedOn w:val="DefaultParagraphFont"/>
    <w:uiPriority w:val="21"/>
    <w:qFormat/>
    <w:rsid w:val="00BE59E1"/>
    <w:rPr>
      <w:i/>
      <w:iCs/>
      <w:color w:val="2F5496" w:themeColor="accent1" w:themeShade="BF"/>
    </w:rPr>
  </w:style>
  <w:style w:type="paragraph" w:styleId="IntenseQuote">
    <w:name w:val="Intense Quote"/>
    <w:basedOn w:val="Normal"/>
    <w:next w:val="Normal"/>
    <w:link w:val="IntenseQuoteChar"/>
    <w:uiPriority w:val="30"/>
    <w:qFormat/>
    <w:rsid w:val="00BE59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59E1"/>
    <w:rPr>
      <w:i/>
      <w:iCs/>
      <w:color w:val="2F5496" w:themeColor="accent1" w:themeShade="BF"/>
    </w:rPr>
  </w:style>
  <w:style w:type="character" w:styleId="IntenseReference">
    <w:name w:val="Intense Reference"/>
    <w:basedOn w:val="DefaultParagraphFont"/>
    <w:uiPriority w:val="32"/>
    <w:qFormat/>
    <w:rsid w:val="00BE59E1"/>
    <w:rPr>
      <w:b/>
      <w:bCs/>
      <w:smallCaps/>
      <w:color w:val="2F5496" w:themeColor="accent1" w:themeShade="BF"/>
      <w:spacing w:val="5"/>
    </w:rPr>
  </w:style>
  <w:style w:type="paragraph" w:styleId="CommentText">
    <w:name w:val="annotation text"/>
    <w:basedOn w:val="Normal"/>
    <w:link w:val="CommentTextChar"/>
    <w:autoRedefine/>
    <w:uiPriority w:val="99"/>
    <w:semiHidden/>
    <w:unhideWhenUsed/>
    <w:qFormat/>
    <w:rsid w:val="00BE59E1"/>
    <w:pPr>
      <w:jc w:val="left"/>
    </w:pPr>
  </w:style>
  <w:style w:type="character" w:customStyle="1" w:styleId="CommentTextChar">
    <w:name w:val="Comment Text Char"/>
    <w:basedOn w:val="DefaultParagraphFont"/>
    <w:link w:val="CommentText"/>
    <w:autoRedefine/>
    <w:uiPriority w:val="99"/>
    <w:semiHidden/>
    <w:qFormat/>
    <w:rsid w:val="00BE59E1"/>
    <w:rPr>
      <w:rFonts w:ascii="Times New Roman" w:hAnsi="Times New Roman"/>
      <w:sz w:val="24"/>
    </w:rPr>
  </w:style>
  <w:style w:type="paragraph" w:styleId="Footer">
    <w:name w:val="footer"/>
    <w:basedOn w:val="Normal"/>
    <w:link w:val="FooterChar"/>
    <w:autoRedefine/>
    <w:uiPriority w:val="99"/>
    <w:unhideWhenUsed/>
    <w:qFormat/>
    <w:rsid w:val="00BE59E1"/>
    <w:pPr>
      <w:tabs>
        <w:tab w:val="center" w:pos="4153"/>
        <w:tab w:val="right" w:pos="8306"/>
      </w:tabs>
      <w:snapToGrid w:val="0"/>
      <w:spacing w:before="120" w:line="240" w:lineRule="auto"/>
      <w:jc w:val="center"/>
    </w:pPr>
    <w:rPr>
      <w:sz w:val="18"/>
      <w:szCs w:val="18"/>
    </w:rPr>
  </w:style>
  <w:style w:type="character" w:customStyle="1" w:styleId="FooterChar">
    <w:name w:val="Footer Char"/>
    <w:basedOn w:val="DefaultParagraphFont"/>
    <w:link w:val="Footer"/>
    <w:autoRedefine/>
    <w:uiPriority w:val="99"/>
    <w:qFormat/>
    <w:rsid w:val="00BE59E1"/>
    <w:rPr>
      <w:rFonts w:ascii="Times New Roman" w:hAnsi="Times New Roman"/>
      <w:sz w:val="18"/>
      <w:szCs w:val="18"/>
    </w:rPr>
  </w:style>
  <w:style w:type="paragraph" w:styleId="Header">
    <w:name w:val="header"/>
    <w:basedOn w:val="Normal"/>
    <w:link w:val="HeaderChar"/>
    <w:uiPriority w:val="99"/>
    <w:unhideWhenUsed/>
    <w:rsid w:val="00BE59E1"/>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autoRedefine/>
    <w:uiPriority w:val="99"/>
    <w:qFormat/>
    <w:rsid w:val="00BE59E1"/>
    <w:rPr>
      <w:rFonts w:ascii="Times New Roman" w:hAnsi="Times New Roman"/>
      <w:sz w:val="18"/>
      <w:szCs w:val="18"/>
    </w:rPr>
  </w:style>
  <w:style w:type="paragraph" w:styleId="CommentSubject">
    <w:name w:val="annotation subject"/>
    <w:basedOn w:val="CommentText"/>
    <w:next w:val="CommentText"/>
    <w:link w:val="CommentSubjectChar"/>
    <w:autoRedefine/>
    <w:uiPriority w:val="99"/>
    <w:semiHidden/>
    <w:unhideWhenUsed/>
    <w:qFormat/>
    <w:rsid w:val="00BE59E1"/>
    <w:rPr>
      <w:b/>
      <w:bCs/>
    </w:rPr>
  </w:style>
  <w:style w:type="character" w:customStyle="1" w:styleId="CommentSubjectChar">
    <w:name w:val="Comment Subject Char"/>
    <w:basedOn w:val="CommentTextChar"/>
    <w:link w:val="CommentSubject"/>
    <w:autoRedefine/>
    <w:uiPriority w:val="99"/>
    <w:semiHidden/>
    <w:qFormat/>
    <w:rsid w:val="00BE59E1"/>
    <w:rPr>
      <w:rFonts w:ascii="Times New Roman" w:hAnsi="Times New Roman"/>
      <w:b/>
      <w:bCs/>
      <w:sz w:val="24"/>
    </w:rPr>
  </w:style>
  <w:style w:type="table" w:styleId="TableGrid">
    <w:name w:val="Table Grid"/>
    <w:basedOn w:val="TableNormal"/>
    <w:autoRedefine/>
    <w:uiPriority w:val="39"/>
    <w:qFormat/>
    <w:rsid w:val="00BE59E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nhideWhenUsed/>
    <w:qFormat/>
    <w:rsid w:val="00BE59E1"/>
    <w:rPr>
      <w:color w:val="0563C1" w:themeColor="hyperlink"/>
      <w:u w:val="single"/>
    </w:rPr>
  </w:style>
  <w:style w:type="character" w:styleId="CommentReference">
    <w:name w:val="annotation reference"/>
    <w:basedOn w:val="DefaultParagraphFont"/>
    <w:autoRedefine/>
    <w:uiPriority w:val="99"/>
    <w:semiHidden/>
    <w:unhideWhenUsed/>
    <w:qFormat/>
    <w:rsid w:val="00BE59E1"/>
    <w:rPr>
      <w:sz w:val="21"/>
      <w:szCs w:val="21"/>
    </w:rPr>
  </w:style>
  <w:style w:type="character" w:customStyle="1" w:styleId="1">
    <w:name w:val="未处理的提及1"/>
    <w:basedOn w:val="DefaultParagraphFont"/>
    <w:autoRedefine/>
    <w:uiPriority w:val="99"/>
    <w:semiHidden/>
    <w:unhideWhenUsed/>
    <w:rsid w:val="00BE59E1"/>
    <w:rPr>
      <w:color w:val="605E5C"/>
      <w:shd w:val="clear" w:color="auto" w:fill="E1DFDD"/>
    </w:rPr>
  </w:style>
  <w:style w:type="paragraph" w:customStyle="1" w:styleId="EndNoteBibliographyTitle">
    <w:name w:val="EndNote Bibliography Title"/>
    <w:basedOn w:val="Normal"/>
    <w:link w:val="EndNoteBibliographyTitle0"/>
    <w:qFormat/>
    <w:rsid w:val="00BE59E1"/>
    <w:pPr>
      <w:jc w:val="center"/>
    </w:pPr>
    <w:rPr>
      <w:rFonts w:cs="Times New Roman"/>
    </w:rPr>
  </w:style>
  <w:style w:type="character" w:customStyle="1" w:styleId="EndNoteBibliographyTitle0">
    <w:name w:val="EndNote Bibliography Title 字符"/>
    <w:basedOn w:val="DefaultParagraphFont"/>
    <w:link w:val="EndNoteBibliographyTitle"/>
    <w:autoRedefine/>
    <w:qFormat/>
    <w:rsid w:val="00BE59E1"/>
    <w:rPr>
      <w:rFonts w:ascii="Times New Roman" w:hAnsi="Times New Roman" w:cs="Times New Roman"/>
      <w:sz w:val="24"/>
    </w:rPr>
  </w:style>
  <w:style w:type="paragraph" w:customStyle="1" w:styleId="EndNoteBibliography">
    <w:name w:val="EndNote Bibliography"/>
    <w:basedOn w:val="Normal"/>
    <w:link w:val="EndNoteBibliography0"/>
    <w:autoRedefine/>
    <w:qFormat/>
    <w:rsid w:val="00BE59E1"/>
    <w:pPr>
      <w:spacing w:line="240" w:lineRule="auto"/>
    </w:pPr>
    <w:rPr>
      <w:rFonts w:cs="Times New Roman"/>
    </w:rPr>
  </w:style>
  <w:style w:type="character" w:customStyle="1" w:styleId="EndNoteBibliography0">
    <w:name w:val="EndNote Bibliography 字符"/>
    <w:basedOn w:val="DefaultParagraphFont"/>
    <w:link w:val="EndNoteBibliography"/>
    <w:autoRedefine/>
    <w:qFormat/>
    <w:rsid w:val="00BE59E1"/>
    <w:rPr>
      <w:rFonts w:ascii="Times New Roman" w:hAnsi="Times New Roman" w:cs="Times New Roman"/>
      <w:sz w:val="24"/>
    </w:rPr>
  </w:style>
  <w:style w:type="character" w:styleId="PlaceholderText">
    <w:name w:val="Placeholder Text"/>
    <w:basedOn w:val="DefaultParagraphFont"/>
    <w:autoRedefine/>
    <w:uiPriority w:val="99"/>
    <w:semiHidden/>
    <w:qFormat/>
    <w:rsid w:val="00BE59E1"/>
    <w:rPr>
      <w:color w:val="808080"/>
    </w:rPr>
  </w:style>
  <w:style w:type="paragraph" w:styleId="Revision">
    <w:name w:val="Revision"/>
    <w:hidden/>
    <w:uiPriority w:val="99"/>
    <w:semiHidden/>
    <w:rsid w:val="00BE59E1"/>
    <w:rPr>
      <w:rFonts w:ascii="Times New Roman" w:hAnsi="Times New Roman"/>
      <w:sz w:val="24"/>
    </w:rPr>
  </w:style>
  <w:style w:type="character" w:customStyle="1" w:styleId="2">
    <w:name w:val="未处理的提及2"/>
    <w:basedOn w:val="DefaultParagraphFont"/>
    <w:uiPriority w:val="99"/>
    <w:semiHidden/>
    <w:unhideWhenUsed/>
    <w:rsid w:val="00BE59E1"/>
    <w:rPr>
      <w:color w:val="605E5C"/>
      <w:shd w:val="clear" w:color="auto" w:fill="E1DFDD"/>
    </w:rPr>
  </w:style>
  <w:style w:type="table" w:customStyle="1" w:styleId="10">
    <w:name w:val="网格型1"/>
    <w:basedOn w:val="TableNormal"/>
    <w:next w:val="TableGrid"/>
    <w:autoRedefine/>
    <w:uiPriority w:val="39"/>
    <w:qFormat/>
    <w:rsid w:val="00BE59E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Full">
    <w:name w:val="Authors Full"/>
    <w:basedOn w:val="Normal"/>
    <w:rsid w:val="00BE59E1"/>
    <w:pPr>
      <w:widowControl/>
      <w:spacing w:beforeLines="0" w:before="0" w:line="240" w:lineRule="auto"/>
      <w:jc w:val="left"/>
    </w:pPr>
    <w:rPr>
      <w:rFonts w:eastAsia="MS Mincho" w:cs="Times New Roman"/>
      <w:i/>
      <w:kern w:val="0"/>
      <w:szCs w:val="24"/>
      <w:lang w:eastAsia="ja-JP"/>
    </w:rPr>
  </w:style>
  <w:style w:type="paragraph" w:customStyle="1" w:styleId="BCAuthorAddress">
    <w:name w:val="BC_Author_Address"/>
    <w:basedOn w:val="Normal"/>
    <w:next w:val="BIEmailAddress"/>
    <w:qFormat/>
    <w:rsid w:val="00BE59E1"/>
    <w:pPr>
      <w:widowControl/>
      <w:spacing w:beforeLines="0" w:before="0" w:after="240" w:line="480" w:lineRule="auto"/>
      <w:jc w:val="center"/>
    </w:pPr>
    <w:rPr>
      <w:rFonts w:ascii="Times" w:eastAsia="SimSun" w:hAnsi="Times" w:cs="Times New Roman"/>
      <w:kern w:val="0"/>
      <w:szCs w:val="20"/>
      <w:lang w:eastAsia="en-US"/>
    </w:rPr>
  </w:style>
  <w:style w:type="paragraph" w:customStyle="1" w:styleId="BIEmailAddress">
    <w:name w:val="BI_Email_Address"/>
    <w:basedOn w:val="Normal"/>
    <w:next w:val="Normal"/>
    <w:rsid w:val="00BE59E1"/>
    <w:pPr>
      <w:widowControl/>
      <w:spacing w:beforeLines="0" w:before="0" w:after="200" w:line="480" w:lineRule="auto"/>
    </w:pPr>
    <w:rPr>
      <w:rFonts w:ascii="Times" w:eastAsia="SimSun" w:hAnsi="Times" w:cs="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yperlink" Target="https://doi.org/10.1088/1757-899X/207/1/012076" TargetMode="External"/><Relationship Id="rId63" Type="http://schemas.openxmlformats.org/officeDocument/2006/relationships/theme" Target="theme/theme1.xml"/><Relationship Id="rId7" Type="http://schemas.openxmlformats.org/officeDocument/2006/relationships/hyperlink" Target="mailto:qzhang1027@csu.edu.cn"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tif"/><Relationship Id="rId53" Type="http://schemas.openxmlformats.org/officeDocument/2006/relationships/image" Target="media/image44.jpeg"/><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eader" Target="header3.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tiff"/><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s://doi.org/10.1149/1.2085893" TargetMode="External"/><Relationship Id="rId8" Type="http://schemas.openxmlformats.org/officeDocument/2006/relationships/hyperlink" Target="mailto:chaod@fudan.edu.cn" TargetMode="External"/><Relationship Id="rId51" Type="http://schemas.openxmlformats.org/officeDocument/2006/relationships/image" Target="media/image42.jpe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s://doi.org/10.3969/j.issn.1001-9731.2017.05.003"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eader" Target="header1.xml"/><Relationship Id="rId10" Type="http://schemas.openxmlformats.org/officeDocument/2006/relationships/image" Target="media/image1.jpeg"/><Relationship Id="rId31" Type="http://schemas.openxmlformats.org/officeDocument/2006/relationships/image" Target="media/image22.tiff"/><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wanghy419@c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1963</Words>
  <Characters>11194</Characters>
  <Application>Microsoft Office Word</Application>
  <DocSecurity>0</DocSecurity>
  <Lines>93</Lines>
  <Paragraphs>26</Paragraphs>
  <ScaleCrop>false</ScaleCrop>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ZF Y</dc:creator>
  <cp:keywords/>
  <dc:description/>
  <cp:lastModifiedBy>Kanmani B Balakrishnan J</cp:lastModifiedBy>
  <cp:revision>19</cp:revision>
  <dcterms:created xsi:type="dcterms:W3CDTF">2025-10-28T13:15:00Z</dcterms:created>
  <dcterms:modified xsi:type="dcterms:W3CDTF">2025-11-08T05:52:00Z</dcterms:modified>
</cp:coreProperties>
</file>